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39E9DC" w14:textId="77777777" w:rsidR="00497F75" w:rsidRPr="00F6526C" w:rsidRDefault="00497F75" w:rsidP="00082A8E">
      <w:pPr>
        <w:widowControl w:val="0"/>
        <w:spacing w:line="240" w:lineRule="auto"/>
        <w:rPr>
          <w:lang w:val="hu-HU"/>
        </w:rPr>
      </w:pPr>
    </w:p>
    <w:p w14:paraId="1FCD636F" w14:textId="77777777" w:rsidR="00F45C51" w:rsidRPr="00F6526C" w:rsidRDefault="00FC0857" w:rsidP="00082A8E">
      <w:pPr>
        <w:widowControl w:val="0"/>
        <w:spacing w:line="240" w:lineRule="auto"/>
        <w:rPr>
          <w:color w:val="008000"/>
          <w:lang w:val="hu-HU"/>
        </w:rPr>
      </w:pPr>
      <w:r w:rsidRPr="00F6526C">
        <w:rPr>
          <w:rFonts w:eastAsia="Times New Roman"/>
          <w:b/>
          <w:noProof/>
          <w:snapToGrid/>
          <w:szCs w:val="22"/>
          <w:lang w:val="hu-HU" w:eastAsia="en-US"/>
        </w:rPr>
        <w:t>1.</w:t>
      </w:r>
      <w:r w:rsidRPr="00F6526C">
        <w:rPr>
          <w:rFonts w:eastAsia="Times New Roman"/>
          <w:b/>
          <w:noProof/>
          <w:snapToGrid/>
          <w:szCs w:val="22"/>
          <w:lang w:val="hu-HU" w:eastAsia="en-US"/>
        </w:rPr>
        <w:tab/>
        <w:t>A GYÓGYSZER NEVE</w:t>
      </w:r>
    </w:p>
    <w:p w14:paraId="256C49E1" w14:textId="77777777" w:rsidR="00F45C51" w:rsidRPr="00F6526C" w:rsidRDefault="00F45C51" w:rsidP="00082A8E">
      <w:pPr>
        <w:widowControl w:val="0"/>
        <w:spacing w:line="240" w:lineRule="auto"/>
        <w:rPr>
          <w:rFonts w:eastAsia="Times New Roman"/>
          <w:noProof/>
          <w:snapToGrid/>
          <w:szCs w:val="22"/>
          <w:lang w:val="hu-HU" w:eastAsia="en-US"/>
        </w:rPr>
      </w:pPr>
    </w:p>
    <w:p w14:paraId="465B0B30" w14:textId="36CC5E53" w:rsidR="00F45C51" w:rsidRPr="00F6526C" w:rsidRDefault="006D4655" w:rsidP="00082A8E">
      <w:pPr>
        <w:widowControl w:val="0"/>
        <w:spacing w:line="240" w:lineRule="auto"/>
        <w:rPr>
          <w:rFonts w:eastAsia="Times New Roman"/>
          <w:noProof/>
          <w:snapToGrid/>
          <w:szCs w:val="22"/>
          <w:lang w:val="hu-HU" w:eastAsia="en-US"/>
        </w:rPr>
      </w:pPr>
      <w:r>
        <w:rPr>
          <w:rFonts w:eastAsia="Times New Roman"/>
          <w:noProof/>
          <w:snapToGrid/>
          <w:szCs w:val="22"/>
          <w:lang w:val="hu-HU" w:eastAsia="en-US"/>
        </w:rPr>
        <w:t>Elomen</w:t>
      </w:r>
      <w:r w:rsidR="00FF741E" w:rsidRPr="00F6526C">
        <w:rPr>
          <w:rFonts w:eastAsia="Times New Roman"/>
          <w:noProof/>
          <w:snapToGrid/>
          <w:szCs w:val="22"/>
          <w:lang w:val="hu-HU" w:eastAsia="en-US"/>
        </w:rPr>
        <w:t xml:space="preserve"> 1000 mg/300 mg oldatos infúzió </w:t>
      </w:r>
    </w:p>
    <w:p w14:paraId="2DC91119" w14:textId="77777777" w:rsidR="008A53A7" w:rsidRPr="00F6526C" w:rsidRDefault="008A53A7" w:rsidP="00082A8E">
      <w:pPr>
        <w:spacing w:line="240" w:lineRule="auto"/>
        <w:rPr>
          <w:lang w:val="hu-HU"/>
        </w:rPr>
      </w:pPr>
    </w:p>
    <w:p w14:paraId="15A1ABB3" w14:textId="77777777" w:rsidR="00F45C51" w:rsidRPr="00F6526C" w:rsidRDefault="00F45C51" w:rsidP="00082A8E">
      <w:pPr>
        <w:widowControl w:val="0"/>
        <w:spacing w:line="240" w:lineRule="auto"/>
        <w:rPr>
          <w:rFonts w:eastAsia="Times New Roman"/>
          <w:noProof/>
          <w:snapToGrid/>
          <w:szCs w:val="22"/>
          <w:lang w:val="hu-HU" w:eastAsia="en-US"/>
        </w:rPr>
      </w:pPr>
    </w:p>
    <w:p w14:paraId="7644ADAB" w14:textId="77777777" w:rsidR="00F45C51" w:rsidRPr="00F6526C" w:rsidRDefault="00FC0857" w:rsidP="00082A8E">
      <w:pPr>
        <w:widowControl w:val="0"/>
        <w:spacing w:line="240" w:lineRule="auto"/>
        <w:rPr>
          <w:b/>
          <w:lang w:val="hu-HU"/>
        </w:rPr>
      </w:pPr>
      <w:r w:rsidRPr="00F6526C">
        <w:rPr>
          <w:b/>
          <w:lang w:val="hu-HU"/>
        </w:rPr>
        <w:t>2.</w:t>
      </w:r>
      <w:r w:rsidRPr="00F6526C">
        <w:rPr>
          <w:b/>
          <w:lang w:val="hu-HU"/>
        </w:rPr>
        <w:tab/>
        <w:t>MINŐSÉGI ÉS MENNYISÉGI ÖSSZETÉTEL</w:t>
      </w:r>
    </w:p>
    <w:p w14:paraId="43C76970" w14:textId="77777777" w:rsidR="007471D2" w:rsidRPr="00F6526C" w:rsidRDefault="007471D2" w:rsidP="00082A8E">
      <w:pPr>
        <w:widowControl w:val="0"/>
        <w:spacing w:line="240" w:lineRule="auto"/>
        <w:rPr>
          <w:rFonts w:eastAsia="Times New Roman"/>
          <w:b/>
          <w:noProof/>
          <w:snapToGrid/>
          <w:szCs w:val="22"/>
          <w:lang w:val="hu-HU" w:eastAsia="en-US"/>
        </w:rPr>
      </w:pPr>
    </w:p>
    <w:p w14:paraId="5424D251" w14:textId="226674F6" w:rsidR="00FC0857" w:rsidRPr="00F6526C" w:rsidRDefault="00FC0857" w:rsidP="00082A8E">
      <w:pPr>
        <w:widowControl w:val="0"/>
        <w:spacing w:line="240" w:lineRule="auto"/>
        <w:rPr>
          <w:rFonts w:eastAsia="Times New Roman"/>
          <w:noProof/>
          <w:snapToGrid/>
          <w:szCs w:val="22"/>
          <w:lang w:val="hu-HU" w:eastAsia="en-US"/>
        </w:rPr>
      </w:pPr>
      <w:r w:rsidRPr="00F6526C">
        <w:rPr>
          <w:rFonts w:eastAsia="Times New Roman"/>
          <w:noProof/>
          <w:snapToGrid/>
          <w:szCs w:val="22"/>
          <w:lang w:val="hu-HU" w:eastAsia="en-US"/>
        </w:rPr>
        <w:t>Egy ml</w:t>
      </w:r>
      <w:r w:rsidR="002A5FCF" w:rsidRPr="00F6526C">
        <w:rPr>
          <w:rFonts w:eastAsia="Times New Roman"/>
          <w:noProof/>
          <w:snapToGrid/>
          <w:szCs w:val="22"/>
          <w:lang w:val="hu-HU" w:eastAsia="en-US"/>
        </w:rPr>
        <w:t xml:space="preserve"> 10 mg paracentamolt és ibuprofé</w:t>
      </w:r>
      <w:r w:rsidRPr="00F6526C">
        <w:rPr>
          <w:rFonts w:eastAsia="Times New Roman"/>
          <w:noProof/>
          <w:snapToGrid/>
          <w:szCs w:val="22"/>
          <w:lang w:val="hu-HU" w:eastAsia="en-US"/>
        </w:rPr>
        <w:t>n-nátrium-dihidrátot tartal</w:t>
      </w:r>
      <w:r w:rsidR="002A5FCF" w:rsidRPr="00F6526C">
        <w:rPr>
          <w:rFonts w:eastAsia="Times New Roman"/>
          <w:noProof/>
          <w:snapToGrid/>
          <w:szCs w:val="22"/>
          <w:lang w:val="hu-HU" w:eastAsia="en-US"/>
        </w:rPr>
        <w:t>maz, mely megfelel 3 mg ibuprofé</w:t>
      </w:r>
      <w:r w:rsidRPr="00F6526C">
        <w:rPr>
          <w:rFonts w:eastAsia="Times New Roman"/>
          <w:noProof/>
          <w:snapToGrid/>
          <w:szCs w:val="22"/>
          <w:lang w:val="hu-HU" w:eastAsia="en-US"/>
        </w:rPr>
        <w:t>nnek.</w:t>
      </w:r>
    </w:p>
    <w:p w14:paraId="23A54518" w14:textId="77777777" w:rsidR="00FC0857" w:rsidRPr="00F6526C" w:rsidRDefault="00FC0857" w:rsidP="00082A8E">
      <w:pPr>
        <w:widowControl w:val="0"/>
        <w:spacing w:line="240" w:lineRule="auto"/>
        <w:rPr>
          <w:rFonts w:eastAsia="Times New Roman"/>
          <w:b/>
          <w:noProof/>
          <w:snapToGrid/>
          <w:szCs w:val="22"/>
          <w:lang w:val="hu-HU" w:eastAsia="en-US"/>
        </w:rPr>
      </w:pPr>
    </w:p>
    <w:p w14:paraId="094355F8" w14:textId="3BD25EDA" w:rsidR="00617DD1" w:rsidRPr="00F6526C" w:rsidRDefault="00FC0857" w:rsidP="00082A8E">
      <w:pPr>
        <w:pStyle w:val="EMEAEnBodyText"/>
        <w:autoSpaceDE w:val="0"/>
        <w:autoSpaceDN w:val="0"/>
        <w:adjustRightInd w:val="0"/>
        <w:spacing w:before="0" w:after="0"/>
        <w:rPr>
          <w:u w:val="single"/>
          <w:lang w:val="hu-HU"/>
        </w:rPr>
      </w:pPr>
      <w:r w:rsidRPr="00F6526C">
        <w:rPr>
          <w:bCs/>
          <w:noProof/>
          <w:szCs w:val="22"/>
          <w:u w:val="single"/>
          <w:lang w:val="hu-HU"/>
        </w:rPr>
        <w:t>Ismert hatású segédanyag</w:t>
      </w:r>
    </w:p>
    <w:p w14:paraId="59F8B66F" w14:textId="0B7DDECE" w:rsidR="00FC0857" w:rsidRPr="00F6526C" w:rsidRDefault="00FC0857" w:rsidP="00082A8E">
      <w:pPr>
        <w:pStyle w:val="EMEAEnBodyText"/>
        <w:autoSpaceDE w:val="0"/>
        <w:autoSpaceDN w:val="0"/>
        <w:adjustRightInd w:val="0"/>
        <w:spacing w:before="0" w:after="0"/>
        <w:rPr>
          <w:lang w:val="hu-HU"/>
        </w:rPr>
      </w:pPr>
      <w:r w:rsidRPr="00F6526C">
        <w:rPr>
          <w:lang w:val="hu-HU"/>
        </w:rPr>
        <w:t>35 mg nátrium 100 ml-enként</w:t>
      </w:r>
      <w:r w:rsidR="002A5FCF" w:rsidRPr="00F6526C">
        <w:rPr>
          <w:lang w:val="hu-HU"/>
        </w:rPr>
        <w:t xml:space="preserve"> (0,35 mg/ml)</w:t>
      </w:r>
      <w:r w:rsidRPr="00F6526C">
        <w:rPr>
          <w:lang w:val="hu-HU"/>
        </w:rPr>
        <w:t>.</w:t>
      </w:r>
    </w:p>
    <w:p w14:paraId="357BAA0D" w14:textId="77777777" w:rsidR="00127C1D" w:rsidRPr="00F6526C" w:rsidRDefault="00127C1D" w:rsidP="00082A8E">
      <w:pPr>
        <w:pStyle w:val="EMEAEnBodyText"/>
        <w:autoSpaceDE w:val="0"/>
        <w:autoSpaceDN w:val="0"/>
        <w:adjustRightInd w:val="0"/>
        <w:spacing w:before="0" w:after="0"/>
        <w:rPr>
          <w:bCs/>
          <w:noProof/>
          <w:szCs w:val="22"/>
          <w:lang w:val="hu-HU"/>
        </w:rPr>
      </w:pPr>
    </w:p>
    <w:p w14:paraId="64377383" w14:textId="77777777" w:rsidR="00F45C51" w:rsidRPr="00F6526C" w:rsidRDefault="00111AC4" w:rsidP="00082A8E">
      <w:pPr>
        <w:pStyle w:val="EMEAEnBodyText"/>
        <w:autoSpaceDE w:val="0"/>
        <w:autoSpaceDN w:val="0"/>
        <w:adjustRightInd w:val="0"/>
        <w:spacing w:before="0" w:after="0"/>
        <w:rPr>
          <w:bCs/>
          <w:noProof/>
          <w:szCs w:val="22"/>
          <w:lang w:val="hu-HU"/>
        </w:rPr>
      </w:pPr>
      <w:r w:rsidRPr="00F6526C">
        <w:rPr>
          <w:lang w:val="hu-HU"/>
        </w:rPr>
        <w:t xml:space="preserve">A segédanyagok teljes </w:t>
      </w:r>
      <w:r w:rsidR="00127C1D" w:rsidRPr="00F6526C">
        <w:rPr>
          <w:bCs/>
          <w:noProof/>
          <w:szCs w:val="22"/>
          <w:lang w:val="hu-HU"/>
        </w:rPr>
        <w:t>list</w:t>
      </w:r>
      <w:r w:rsidRPr="00F6526C">
        <w:rPr>
          <w:bCs/>
          <w:noProof/>
          <w:szCs w:val="22"/>
          <w:lang w:val="hu-HU"/>
        </w:rPr>
        <w:t>á</w:t>
      </w:r>
      <w:r w:rsidR="00127C1D" w:rsidRPr="00F6526C">
        <w:rPr>
          <w:bCs/>
          <w:noProof/>
          <w:szCs w:val="22"/>
          <w:lang w:val="hu-HU"/>
        </w:rPr>
        <w:t>j</w:t>
      </w:r>
      <w:r w:rsidRPr="00F6526C">
        <w:rPr>
          <w:bCs/>
          <w:noProof/>
          <w:szCs w:val="22"/>
          <w:lang w:val="hu-HU"/>
        </w:rPr>
        <w:t>át</w:t>
      </w:r>
      <w:r w:rsidRPr="00F6526C">
        <w:rPr>
          <w:lang w:val="hu-HU"/>
        </w:rPr>
        <w:t xml:space="preserve"> lásd a 6.1 pontban</w:t>
      </w:r>
      <w:r w:rsidRPr="00F6526C">
        <w:rPr>
          <w:bCs/>
          <w:noProof/>
          <w:szCs w:val="22"/>
          <w:lang w:val="hu-HU"/>
        </w:rPr>
        <w:t>.</w:t>
      </w:r>
    </w:p>
    <w:p w14:paraId="3E574AAC" w14:textId="77777777" w:rsidR="008A53A7" w:rsidRPr="00F6526C" w:rsidRDefault="008A53A7" w:rsidP="00082A8E">
      <w:pPr>
        <w:pStyle w:val="EMEAEnBodyText"/>
        <w:autoSpaceDE w:val="0"/>
        <w:autoSpaceDN w:val="0"/>
        <w:adjustRightInd w:val="0"/>
        <w:spacing w:before="0" w:after="0"/>
        <w:rPr>
          <w:lang w:val="hu-HU"/>
        </w:rPr>
      </w:pPr>
    </w:p>
    <w:p w14:paraId="35D87968" w14:textId="77777777" w:rsidR="00F45C51" w:rsidRPr="00F6526C" w:rsidRDefault="00F45C51" w:rsidP="00082A8E">
      <w:pPr>
        <w:widowControl w:val="0"/>
        <w:spacing w:line="240" w:lineRule="auto"/>
        <w:rPr>
          <w:b/>
          <w:lang w:val="hu-HU"/>
        </w:rPr>
      </w:pPr>
    </w:p>
    <w:p w14:paraId="4CB66B37" w14:textId="77777777" w:rsidR="00F45C51" w:rsidRPr="00F6526C" w:rsidRDefault="00FC0857" w:rsidP="00082A8E">
      <w:pPr>
        <w:spacing w:line="240" w:lineRule="auto"/>
        <w:ind w:left="567" w:hanging="567"/>
        <w:rPr>
          <w:rFonts w:eastAsia="Times New Roman"/>
          <w:b/>
          <w:noProof/>
          <w:snapToGrid/>
          <w:szCs w:val="22"/>
          <w:lang w:val="hu-HU" w:eastAsia="en-US"/>
        </w:rPr>
      </w:pPr>
      <w:r w:rsidRPr="00F6526C">
        <w:rPr>
          <w:rFonts w:eastAsia="Times New Roman"/>
          <w:b/>
          <w:noProof/>
          <w:snapToGrid/>
          <w:szCs w:val="22"/>
          <w:lang w:val="hu-HU" w:eastAsia="en-US"/>
        </w:rPr>
        <w:t>3.</w:t>
      </w:r>
      <w:r w:rsidRPr="00F6526C">
        <w:rPr>
          <w:rFonts w:eastAsia="Times New Roman"/>
          <w:b/>
          <w:noProof/>
          <w:snapToGrid/>
          <w:szCs w:val="22"/>
          <w:lang w:val="hu-HU" w:eastAsia="en-US"/>
        </w:rPr>
        <w:tab/>
        <w:t>GYÓGYSZERFORMA</w:t>
      </w:r>
    </w:p>
    <w:p w14:paraId="0D3BEE0E" w14:textId="77777777" w:rsidR="00F45C51" w:rsidRPr="00F6526C" w:rsidRDefault="00F45C51" w:rsidP="00082A8E">
      <w:pPr>
        <w:spacing w:line="240" w:lineRule="auto"/>
        <w:ind w:left="567" w:hanging="567"/>
        <w:rPr>
          <w:b/>
          <w:lang w:val="hu-HU"/>
        </w:rPr>
      </w:pPr>
    </w:p>
    <w:p w14:paraId="4F285717" w14:textId="77777777" w:rsidR="00FC0857" w:rsidRPr="00F6526C" w:rsidRDefault="00FC0857" w:rsidP="00082A8E">
      <w:pPr>
        <w:spacing w:line="240" w:lineRule="auto"/>
        <w:ind w:left="567" w:hanging="567"/>
        <w:rPr>
          <w:lang w:val="hu-HU" w:eastAsia="en-US"/>
        </w:rPr>
      </w:pPr>
      <w:r w:rsidRPr="00F6526C">
        <w:rPr>
          <w:lang w:val="hu-HU" w:eastAsia="en-US"/>
        </w:rPr>
        <w:t xml:space="preserve">Oldatos infúzió. </w:t>
      </w:r>
    </w:p>
    <w:p w14:paraId="59A1FC8C" w14:textId="77777777" w:rsidR="00FC0857" w:rsidRPr="00F6526C" w:rsidRDefault="00FC0857" w:rsidP="00082A8E">
      <w:pPr>
        <w:spacing w:line="240" w:lineRule="auto"/>
        <w:ind w:left="567" w:hanging="567"/>
        <w:rPr>
          <w:lang w:val="hu-HU" w:eastAsia="en-US"/>
        </w:rPr>
      </w:pPr>
      <w:r w:rsidRPr="00F6526C">
        <w:rPr>
          <w:lang w:val="hu-HU" w:eastAsia="en-US"/>
        </w:rPr>
        <w:t>Tiszta, színtelen oldat látható részecskék nélkül. pH 6,3-7,3. Ozmolalitás 285-320 mOsmol/kg.</w:t>
      </w:r>
    </w:p>
    <w:p w14:paraId="366275FB" w14:textId="77777777" w:rsidR="00F45C51" w:rsidRPr="00F6526C" w:rsidRDefault="00F45C51" w:rsidP="00082A8E">
      <w:pPr>
        <w:autoSpaceDE w:val="0"/>
        <w:autoSpaceDN w:val="0"/>
        <w:adjustRightInd w:val="0"/>
        <w:spacing w:line="240" w:lineRule="auto"/>
        <w:jc w:val="both"/>
        <w:rPr>
          <w:lang w:val="hu-HU"/>
        </w:rPr>
      </w:pPr>
    </w:p>
    <w:p w14:paraId="7A54DFF8" w14:textId="77777777" w:rsidR="00F45C51" w:rsidRPr="00F6526C" w:rsidRDefault="00F45C51" w:rsidP="00082A8E">
      <w:pPr>
        <w:spacing w:line="240" w:lineRule="auto"/>
        <w:rPr>
          <w:lang w:val="hu-HU"/>
        </w:rPr>
      </w:pPr>
    </w:p>
    <w:p w14:paraId="2521195E" w14:textId="77777777" w:rsidR="00F45C51" w:rsidRPr="00F6526C" w:rsidRDefault="00FC0857" w:rsidP="00082A8E">
      <w:pPr>
        <w:spacing w:line="240" w:lineRule="auto"/>
        <w:ind w:left="567" w:hanging="567"/>
        <w:outlineLvl w:val="0"/>
        <w:rPr>
          <w:b/>
          <w:lang w:val="hu-HU"/>
        </w:rPr>
      </w:pPr>
      <w:r w:rsidRPr="00F6526C">
        <w:rPr>
          <w:b/>
          <w:lang w:val="hu-HU"/>
        </w:rPr>
        <w:t>4.</w:t>
      </w:r>
      <w:r w:rsidRPr="00F6526C">
        <w:rPr>
          <w:b/>
          <w:lang w:val="hu-HU"/>
        </w:rPr>
        <w:tab/>
        <w:t>KLINIKAI JELLEMZŐK</w:t>
      </w:r>
    </w:p>
    <w:p w14:paraId="01D6F0C3" w14:textId="77777777" w:rsidR="00F45C51" w:rsidRPr="00F6526C" w:rsidRDefault="00F45C51" w:rsidP="00082A8E">
      <w:pPr>
        <w:spacing w:line="240" w:lineRule="auto"/>
        <w:ind w:left="567" w:hanging="567"/>
        <w:outlineLvl w:val="0"/>
        <w:rPr>
          <w:b/>
          <w:lang w:val="hu-HU"/>
        </w:rPr>
      </w:pPr>
    </w:p>
    <w:p w14:paraId="2DDF1280" w14:textId="77777777" w:rsidR="00F45C51" w:rsidRPr="00F6526C" w:rsidRDefault="00FC0857" w:rsidP="00082A8E">
      <w:pPr>
        <w:spacing w:line="240" w:lineRule="auto"/>
        <w:ind w:left="567" w:hanging="567"/>
        <w:outlineLvl w:val="0"/>
        <w:rPr>
          <w:rFonts w:eastAsia="Times New Roman"/>
          <w:b/>
          <w:noProof/>
          <w:snapToGrid/>
          <w:szCs w:val="22"/>
          <w:lang w:val="hu-HU" w:eastAsia="en-US"/>
        </w:rPr>
      </w:pPr>
      <w:r w:rsidRPr="00F6526C">
        <w:rPr>
          <w:rFonts w:eastAsia="Times New Roman"/>
          <w:b/>
          <w:noProof/>
          <w:snapToGrid/>
          <w:szCs w:val="22"/>
          <w:lang w:val="hu-HU" w:eastAsia="en-US"/>
        </w:rPr>
        <w:t>4.1</w:t>
      </w:r>
      <w:r w:rsidRPr="00F6526C">
        <w:rPr>
          <w:rFonts w:eastAsia="Times New Roman"/>
          <w:b/>
          <w:noProof/>
          <w:snapToGrid/>
          <w:szCs w:val="22"/>
          <w:lang w:val="hu-HU" w:eastAsia="en-US"/>
        </w:rPr>
        <w:tab/>
        <w:t>Terápiás javallatok</w:t>
      </w:r>
    </w:p>
    <w:p w14:paraId="61D5920A" w14:textId="77777777" w:rsidR="00F45C51" w:rsidRPr="00F6526C" w:rsidRDefault="00F45C51" w:rsidP="00082A8E">
      <w:pPr>
        <w:spacing w:line="240" w:lineRule="auto"/>
        <w:ind w:left="567" w:hanging="567"/>
        <w:outlineLvl w:val="0"/>
        <w:rPr>
          <w:b/>
          <w:lang w:val="hu-HU"/>
        </w:rPr>
      </w:pPr>
    </w:p>
    <w:p w14:paraId="59507CCC" w14:textId="594B5BD6" w:rsidR="00FC0857" w:rsidRPr="00F6526C" w:rsidRDefault="00AF62C6" w:rsidP="00082A8E">
      <w:pPr>
        <w:spacing w:line="240" w:lineRule="auto"/>
        <w:rPr>
          <w:rFonts w:eastAsia="Times New Roman"/>
          <w:noProof/>
          <w:snapToGrid/>
          <w:szCs w:val="22"/>
          <w:lang w:val="hu-HU" w:eastAsia="en-US"/>
        </w:rPr>
      </w:pPr>
      <w:r w:rsidRPr="00F6526C">
        <w:rPr>
          <w:rFonts w:eastAsia="Times New Roman"/>
          <w:noProof/>
          <w:snapToGrid/>
          <w:szCs w:val="22"/>
          <w:lang w:val="hu-HU" w:eastAsia="en-US"/>
        </w:rPr>
        <w:t>A</w:t>
      </w:r>
      <w:r w:rsidR="00DD2DF7">
        <w:rPr>
          <w:rFonts w:eastAsia="Times New Roman"/>
          <w:noProof/>
          <w:snapToGrid/>
          <w:szCs w:val="22"/>
          <w:lang w:val="hu-HU" w:eastAsia="en-US"/>
        </w:rPr>
        <w:t>z</w:t>
      </w:r>
      <w:r w:rsidRPr="00F6526C">
        <w:rPr>
          <w:rFonts w:eastAsia="Times New Roman"/>
          <w:noProof/>
          <w:snapToGrid/>
          <w:szCs w:val="22"/>
          <w:lang w:val="hu-HU" w:eastAsia="en-US"/>
        </w:rPr>
        <w:t xml:space="preserve"> </w:t>
      </w:r>
      <w:r w:rsidR="006D4655">
        <w:rPr>
          <w:rFonts w:eastAsia="Times New Roman"/>
          <w:noProof/>
          <w:snapToGrid/>
          <w:szCs w:val="22"/>
          <w:lang w:val="hu-HU" w:eastAsia="en-US"/>
        </w:rPr>
        <w:t>Elomen</w:t>
      </w:r>
      <w:r w:rsidRPr="00F6526C">
        <w:rPr>
          <w:rFonts w:eastAsia="Times New Roman"/>
          <w:noProof/>
          <w:snapToGrid/>
          <w:szCs w:val="22"/>
          <w:lang w:val="hu-HU" w:eastAsia="en-US"/>
        </w:rPr>
        <w:t xml:space="preserve"> 1000 mg/300 mg oldatos infúzió</w:t>
      </w:r>
      <w:r w:rsidR="00FC0857" w:rsidRPr="00F6526C">
        <w:rPr>
          <w:rFonts w:eastAsia="Times New Roman"/>
          <w:noProof/>
          <w:snapToGrid/>
          <w:szCs w:val="22"/>
          <w:lang w:val="hu-HU" w:eastAsia="en-US"/>
        </w:rPr>
        <w:t xml:space="preserve"> felnőttek akut, mérsékelt fájdalmának rövid távú tüneti kezelésére ajánlott, amikor az intravénás adagolási mód klinikailag indokolt, és</w:t>
      </w:r>
      <w:r w:rsidR="002A5FCF" w:rsidRPr="00F6526C">
        <w:rPr>
          <w:rFonts w:eastAsia="Times New Roman"/>
          <w:noProof/>
          <w:snapToGrid/>
          <w:szCs w:val="22"/>
          <w:lang w:val="hu-HU" w:eastAsia="en-US"/>
        </w:rPr>
        <w:t>/vagy</w:t>
      </w:r>
      <w:r w:rsidR="00FC0857" w:rsidRPr="00F6526C">
        <w:rPr>
          <w:rFonts w:eastAsia="Times New Roman"/>
          <w:noProof/>
          <w:snapToGrid/>
          <w:szCs w:val="22"/>
          <w:lang w:val="hu-HU" w:eastAsia="en-US"/>
        </w:rPr>
        <w:t xml:space="preserve"> más adagolási mód nem lehetséges. </w:t>
      </w:r>
    </w:p>
    <w:p w14:paraId="7FD07EEA" w14:textId="77777777" w:rsidR="00F45C51" w:rsidRPr="00F6526C" w:rsidRDefault="00F45C51" w:rsidP="00082A8E">
      <w:pPr>
        <w:spacing w:line="240" w:lineRule="auto"/>
        <w:rPr>
          <w:rFonts w:eastAsia="Times New Roman"/>
          <w:snapToGrid/>
          <w:szCs w:val="22"/>
          <w:lang w:val="hu-HU" w:eastAsia="en-US"/>
        </w:rPr>
      </w:pPr>
    </w:p>
    <w:p w14:paraId="7CA1CAEB" w14:textId="77777777" w:rsidR="00F45C51" w:rsidRPr="00F6526C" w:rsidRDefault="00FC0857" w:rsidP="00082A8E">
      <w:pPr>
        <w:spacing w:line="240" w:lineRule="auto"/>
        <w:ind w:left="567" w:hanging="567"/>
        <w:outlineLvl w:val="0"/>
        <w:rPr>
          <w:rFonts w:eastAsia="Times New Roman"/>
          <w:b/>
          <w:noProof/>
          <w:snapToGrid/>
          <w:szCs w:val="22"/>
          <w:lang w:val="hu-HU" w:eastAsia="en-US"/>
        </w:rPr>
      </w:pPr>
      <w:r w:rsidRPr="00F6526C">
        <w:rPr>
          <w:rFonts w:eastAsia="Times New Roman"/>
          <w:b/>
          <w:noProof/>
          <w:snapToGrid/>
          <w:szCs w:val="22"/>
          <w:lang w:val="hu-HU" w:eastAsia="en-US"/>
        </w:rPr>
        <w:t>4.2</w:t>
      </w:r>
      <w:r w:rsidRPr="00F6526C">
        <w:rPr>
          <w:rFonts w:eastAsia="Times New Roman"/>
          <w:b/>
          <w:noProof/>
          <w:snapToGrid/>
          <w:szCs w:val="22"/>
          <w:lang w:val="hu-HU" w:eastAsia="en-US"/>
        </w:rPr>
        <w:tab/>
        <w:t>Adagolás és alkalmazás</w:t>
      </w:r>
    </w:p>
    <w:p w14:paraId="65F29992" w14:textId="77777777" w:rsidR="00F45C51" w:rsidRPr="00F6526C" w:rsidRDefault="00F45C51" w:rsidP="00082A8E">
      <w:pPr>
        <w:spacing w:line="240" w:lineRule="auto"/>
        <w:ind w:left="567" w:hanging="567"/>
        <w:outlineLvl w:val="0"/>
        <w:rPr>
          <w:b/>
          <w:lang w:val="hu-HU"/>
        </w:rPr>
      </w:pPr>
    </w:p>
    <w:p w14:paraId="26FA6E27" w14:textId="77777777" w:rsidR="00F45C51" w:rsidRPr="00F6526C" w:rsidRDefault="00FC0857" w:rsidP="00082A8E">
      <w:pPr>
        <w:spacing w:line="240" w:lineRule="auto"/>
        <w:rPr>
          <w:rFonts w:eastAsia="Times New Roman"/>
          <w:snapToGrid/>
          <w:szCs w:val="22"/>
          <w:u w:val="single"/>
          <w:lang w:val="hu-HU" w:eastAsia="en-US"/>
        </w:rPr>
      </w:pPr>
      <w:r w:rsidRPr="00F6526C">
        <w:rPr>
          <w:rFonts w:eastAsia="Times New Roman"/>
          <w:snapToGrid/>
          <w:szCs w:val="22"/>
          <w:u w:val="single"/>
          <w:lang w:val="hu-HU" w:eastAsia="en-US"/>
        </w:rPr>
        <w:t>Adagolás</w:t>
      </w:r>
    </w:p>
    <w:p w14:paraId="70608829" w14:textId="77777777" w:rsidR="00F45C51" w:rsidRPr="00F6526C" w:rsidRDefault="00F45C51" w:rsidP="00082A8E">
      <w:pPr>
        <w:autoSpaceDE w:val="0"/>
        <w:autoSpaceDN w:val="0"/>
        <w:adjustRightInd w:val="0"/>
        <w:spacing w:line="240" w:lineRule="auto"/>
        <w:jc w:val="both"/>
        <w:rPr>
          <w:lang w:val="hu-HU"/>
        </w:rPr>
      </w:pPr>
    </w:p>
    <w:p w14:paraId="42547D5D" w14:textId="77777777" w:rsidR="001F5302" w:rsidRPr="00F6526C" w:rsidRDefault="001F5302" w:rsidP="00082A8E">
      <w:pPr>
        <w:autoSpaceDE w:val="0"/>
        <w:autoSpaceDN w:val="0"/>
        <w:adjustRightInd w:val="0"/>
        <w:spacing w:line="240" w:lineRule="auto"/>
        <w:jc w:val="both"/>
        <w:rPr>
          <w:lang w:val="hu-HU"/>
        </w:rPr>
      </w:pPr>
      <w:r w:rsidRPr="00F6526C">
        <w:rPr>
          <w:lang w:val="hu-HU"/>
        </w:rPr>
        <w:t>Intra</w:t>
      </w:r>
      <w:r w:rsidR="006C7D6C" w:rsidRPr="00F6526C">
        <w:rPr>
          <w:lang w:val="hu-HU"/>
        </w:rPr>
        <w:t>vénás</w:t>
      </w:r>
      <w:r w:rsidRPr="00F6526C">
        <w:rPr>
          <w:lang w:val="hu-HU"/>
        </w:rPr>
        <w:t>, rövid távú használatra, maximum 2 napig. A ne</w:t>
      </w:r>
      <w:r w:rsidR="006C7D6C" w:rsidRPr="00F6526C">
        <w:rPr>
          <w:lang w:val="hu-HU"/>
        </w:rPr>
        <w:t>m</w:t>
      </w:r>
      <w:r w:rsidRPr="00F6526C">
        <w:rPr>
          <w:lang w:val="hu-HU"/>
        </w:rPr>
        <w:t>kívánatos hatások előfordulása minimálisra csökkenthető, ha a tünetek kezelésére a legkisebb hatásos dózist a legrövidebb ideig alkalmazzák (lásd 4.4 pont)</w:t>
      </w:r>
    </w:p>
    <w:p w14:paraId="3E5A24FD" w14:textId="77777777" w:rsidR="001F5302" w:rsidRPr="00F6526C" w:rsidRDefault="001F5302" w:rsidP="00082A8E">
      <w:pPr>
        <w:autoSpaceDE w:val="0"/>
        <w:autoSpaceDN w:val="0"/>
        <w:adjustRightInd w:val="0"/>
        <w:spacing w:line="240" w:lineRule="auto"/>
        <w:jc w:val="both"/>
        <w:rPr>
          <w:lang w:val="hu-HU"/>
        </w:rPr>
      </w:pPr>
    </w:p>
    <w:p w14:paraId="2349CD56" w14:textId="2C6B74B8" w:rsidR="001F5302" w:rsidRPr="00F6526C" w:rsidRDefault="001F5302" w:rsidP="00082A8E">
      <w:pPr>
        <w:autoSpaceDE w:val="0"/>
        <w:autoSpaceDN w:val="0"/>
        <w:adjustRightInd w:val="0"/>
        <w:spacing w:line="240" w:lineRule="auto"/>
        <w:jc w:val="both"/>
        <w:rPr>
          <w:b/>
          <w:i/>
          <w:lang w:val="hu-HU"/>
        </w:rPr>
      </w:pPr>
      <w:r w:rsidRPr="00F6526C">
        <w:rPr>
          <w:b/>
          <w:i/>
          <w:lang w:val="hu-HU"/>
        </w:rPr>
        <w:t xml:space="preserve">Felnőttek </w:t>
      </w:r>
      <w:r w:rsidR="002A5FCF" w:rsidRPr="00F6526C">
        <w:rPr>
          <w:b/>
          <w:i/>
          <w:lang w:val="hu-HU"/>
        </w:rPr>
        <w:t>(50 kg testtömeg</w:t>
      </w:r>
      <w:r w:rsidRPr="00F6526C">
        <w:rPr>
          <w:b/>
          <w:i/>
          <w:lang w:val="hu-HU"/>
        </w:rPr>
        <w:t xml:space="preserve"> felett</w:t>
      </w:r>
      <w:r w:rsidR="002A5FCF" w:rsidRPr="00F6526C">
        <w:rPr>
          <w:b/>
          <w:i/>
          <w:lang w:val="hu-HU"/>
        </w:rPr>
        <w:t>)</w:t>
      </w:r>
    </w:p>
    <w:p w14:paraId="61572465" w14:textId="4842BCB7" w:rsidR="001F5302" w:rsidRPr="00F6526C" w:rsidRDefault="006C7D6C" w:rsidP="00BF3242">
      <w:pPr>
        <w:autoSpaceDE w:val="0"/>
        <w:autoSpaceDN w:val="0"/>
        <w:adjustRightInd w:val="0"/>
        <w:spacing w:line="240" w:lineRule="auto"/>
        <w:rPr>
          <w:lang w:val="hu-HU"/>
        </w:rPr>
      </w:pPr>
      <w:r w:rsidRPr="00F6526C">
        <w:rPr>
          <w:lang w:val="hu-HU"/>
        </w:rPr>
        <w:t>Egy</w:t>
      </w:r>
      <w:r w:rsidR="002A5FCF" w:rsidRPr="00F6526C">
        <w:rPr>
          <w:lang w:val="hu-HU"/>
        </w:rPr>
        <w:t>szeri szokásos adagja egy injekciós üveg</w:t>
      </w:r>
      <w:r w:rsidR="00AF62C6" w:rsidRPr="00F6526C">
        <w:rPr>
          <w:lang w:val="hu-HU"/>
        </w:rPr>
        <w:t xml:space="preserve"> (100 ml) </w:t>
      </w:r>
      <w:r w:rsidR="006D4655">
        <w:rPr>
          <w:rFonts w:eastAsia="Times New Roman"/>
          <w:noProof/>
          <w:snapToGrid/>
          <w:szCs w:val="22"/>
          <w:lang w:val="hu-HU" w:eastAsia="en-US"/>
        </w:rPr>
        <w:t>Elomen</w:t>
      </w:r>
      <w:r w:rsidR="00AF62C6" w:rsidRPr="00F6526C">
        <w:rPr>
          <w:rFonts w:eastAsia="Times New Roman"/>
          <w:noProof/>
          <w:snapToGrid/>
          <w:szCs w:val="22"/>
          <w:lang w:val="hu-HU" w:eastAsia="en-US"/>
        </w:rPr>
        <w:t xml:space="preserve"> 1000 mg/300 mg oldatos infúzió</w:t>
      </w:r>
      <w:r w:rsidRPr="00F6526C">
        <w:rPr>
          <w:lang w:val="hu-HU"/>
        </w:rPr>
        <w:t xml:space="preserve"> 15</w:t>
      </w:r>
      <w:r w:rsidR="00DD2DF7">
        <w:rPr>
          <w:lang w:val="hu-HU"/>
        </w:rPr>
        <w:t> </w:t>
      </w:r>
      <w:r w:rsidRPr="00F6526C">
        <w:rPr>
          <w:lang w:val="hu-HU"/>
        </w:rPr>
        <w:t xml:space="preserve">perces infúzió formájában, mely szükség szerint 6 óránként ismételhető. A 24 óra alatt beadott mennyiség </w:t>
      </w:r>
      <w:r w:rsidR="002A5FCF" w:rsidRPr="00F6526C">
        <w:rPr>
          <w:lang w:val="hu-HU"/>
        </w:rPr>
        <w:t>nem haladhatja meg a négy injekciós üveg</w:t>
      </w:r>
      <w:r w:rsidRPr="00F6526C">
        <w:rPr>
          <w:lang w:val="hu-HU"/>
        </w:rPr>
        <w:t>nyi mennyiséget, mely 4000 mg</w:t>
      </w:r>
      <w:r w:rsidR="003D3B64" w:rsidRPr="00F6526C">
        <w:rPr>
          <w:lang w:val="hu-HU"/>
        </w:rPr>
        <w:t xml:space="preserve"> (4 g)</w:t>
      </w:r>
      <w:r w:rsidRPr="00F6526C">
        <w:rPr>
          <w:lang w:val="hu-HU"/>
        </w:rPr>
        <w:t xml:space="preserve"> pa</w:t>
      </w:r>
      <w:r w:rsidR="002A5FCF" w:rsidRPr="00F6526C">
        <w:rPr>
          <w:lang w:val="hu-HU"/>
        </w:rPr>
        <w:t>racetamolnak és 1200 mg ibuprofé</w:t>
      </w:r>
      <w:r w:rsidRPr="00F6526C">
        <w:rPr>
          <w:lang w:val="hu-HU"/>
        </w:rPr>
        <w:t>nnek felel meg.</w:t>
      </w:r>
    </w:p>
    <w:p w14:paraId="671C33D2" w14:textId="77777777" w:rsidR="001F5302" w:rsidRPr="00F6526C" w:rsidRDefault="001F5302" w:rsidP="00082A8E">
      <w:pPr>
        <w:autoSpaceDE w:val="0"/>
        <w:autoSpaceDN w:val="0"/>
        <w:adjustRightInd w:val="0"/>
        <w:spacing w:line="240" w:lineRule="auto"/>
        <w:jc w:val="both"/>
        <w:rPr>
          <w:lang w:val="hu-HU"/>
        </w:rPr>
      </w:pPr>
    </w:p>
    <w:p w14:paraId="3FFCE62A" w14:textId="057D21A8" w:rsidR="006C7D6C" w:rsidRPr="00F6526C" w:rsidRDefault="006C7D6C" w:rsidP="00082A8E">
      <w:pPr>
        <w:spacing w:line="240" w:lineRule="auto"/>
        <w:rPr>
          <w:rFonts w:eastAsia="Times New Roman"/>
          <w:b/>
          <w:bCs/>
          <w:i/>
          <w:iCs/>
          <w:snapToGrid/>
          <w:szCs w:val="22"/>
          <w:lang w:val="hu-HU" w:eastAsia="en-US"/>
        </w:rPr>
      </w:pPr>
      <w:r w:rsidRPr="00F6526C">
        <w:rPr>
          <w:rFonts w:eastAsia="Times New Roman"/>
          <w:b/>
          <w:bCs/>
          <w:i/>
          <w:iCs/>
          <w:snapToGrid/>
          <w:szCs w:val="22"/>
          <w:lang w:val="hu-HU" w:eastAsia="en-US"/>
        </w:rPr>
        <w:t xml:space="preserve">Felnőttek </w:t>
      </w:r>
      <w:r w:rsidR="002A5FCF" w:rsidRPr="00F6526C">
        <w:rPr>
          <w:rFonts w:eastAsia="Times New Roman"/>
          <w:b/>
          <w:bCs/>
          <w:i/>
          <w:iCs/>
          <w:snapToGrid/>
          <w:szCs w:val="22"/>
          <w:lang w:val="hu-HU" w:eastAsia="en-US"/>
        </w:rPr>
        <w:t>(</w:t>
      </w:r>
      <w:r w:rsidRPr="00F6526C">
        <w:rPr>
          <w:rFonts w:eastAsia="Times New Roman"/>
          <w:b/>
          <w:bCs/>
          <w:i/>
          <w:iCs/>
          <w:snapToGrid/>
          <w:szCs w:val="22"/>
          <w:lang w:val="hu-HU" w:eastAsia="en-US"/>
        </w:rPr>
        <w:t xml:space="preserve">50 kg-os vagy </w:t>
      </w:r>
      <w:r w:rsidR="002A5FCF" w:rsidRPr="00F6526C">
        <w:rPr>
          <w:rFonts w:eastAsia="Times New Roman"/>
          <w:b/>
          <w:bCs/>
          <w:i/>
          <w:iCs/>
          <w:snapToGrid/>
          <w:szCs w:val="22"/>
          <w:lang w:val="hu-HU" w:eastAsia="en-US"/>
        </w:rPr>
        <w:t>annál kisebb testtömeggel)</w:t>
      </w:r>
    </w:p>
    <w:p w14:paraId="6416C228" w14:textId="32281609" w:rsidR="006C7D6C" w:rsidRPr="00F6526C" w:rsidRDefault="002A5FCF" w:rsidP="00082A8E">
      <w:pPr>
        <w:spacing w:line="240" w:lineRule="auto"/>
        <w:rPr>
          <w:rFonts w:eastAsia="Times New Roman"/>
          <w:bCs/>
          <w:iCs/>
          <w:snapToGrid/>
          <w:szCs w:val="22"/>
          <w:lang w:val="hu-HU" w:eastAsia="en-US"/>
        </w:rPr>
      </w:pPr>
      <w:r w:rsidRPr="00F6526C">
        <w:rPr>
          <w:rFonts w:eastAsia="Times New Roman"/>
          <w:bCs/>
          <w:iCs/>
          <w:snapToGrid/>
          <w:szCs w:val="22"/>
          <w:lang w:val="hu-HU" w:eastAsia="en-US"/>
        </w:rPr>
        <w:t>50 kg-os vagy annál kisebb testtömegű</w:t>
      </w:r>
      <w:r w:rsidR="006C7D6C" w:rsidRPr="00F6526C">
        <w:rPr>
          <w:rFonts w:eastAsia="Times New Roman"/>
          <w:bCs/>
          <w:iCs/>
          <w:snapToGrid/>
          <w:szCs w:val="22"/>
          <w:lang w:val="hu-HU" w:eastAsia="en-US"/>
        </w:rPr>
        <w:t xml:space="preserve"> fe</w:t>
      </w:r>
      <w:r w:rsidRPr="00F6526C">
        <w:rPr>
          <w:rFonts w:eastAsia="Times New Roman"/>
          <w:bCs/>
          <w:iCs/>
          <w:snapToGrid/>
          <w:szCs w:val="22"/>
          <w:lang w:val="hu-HU" w:eastAsia="en-US"/>
        </w:rPr>
        <w:t>lnőtteknek az adagot a testtömegük</w:t>
      </w:r>
      <w:r w:rsidR="006C7D6C" w:rsidRPr="00F6526C">
        <w:rPr>
          <w:rFonts w:eastAsia="Times New Roman"/>
          <w:bCs/>
          <w:iCs/>
          <w:snapToGrid/>
          <w:szCs w:val="22"/>
          <w:lang w:val="hu-HU" w:eastAsia="en-US"/>
        </w:rPr>
        <w:t xml:space="preserve"> alapján kell meghatározni, 1,5 ml/ttkg adagban</w:t>
      </w:r>
      <w:r w:rsidR="00904B77" w:rsidRPr="00F6526C">
        <w:rPr>
          <w:rFonts w:eastAsia="Times New Roman"/>
          <w:bCs/>
          <w:iCs/>
          <w:snapToGrid/>
          <w:szCs w:val="22"/>
          <w:lang w:val="hu-HU" w:eastAsia="en-US"/>
        </w:rPr>
        <w:t xml:space="preserve"> 15 perces infúzió formájában, mely szükség esetén 6 óránként ismételhető. Ez maximálisan 75 </w:t>
      </w:r>
      <w:r w:rsidR="003D3B64" w:rsidRPr="00F6526C">
        <w:rPr>
          <w:rFonts w:eastAsia="Times New Roman"/>
          <w:bCs/>
          <w:iCs/>
          <w:snapToGrid/>
          <w:szCs w:val="22"/>
          <w:lang w:val="hu-HU" w:eastAsia="en-US"/>
        </w:rPr>
        <w:t>ml egyszeri dózist jelent</w:t>
      </w:r>
      <w:r w:rsidR="00CC6FEA" w:rsidRPr="00F6526C">
        <w:rPr>
          <w:rFonts w:eastAsia="Times New Roman"/>
          <w:bCs/>
          <w:iCs/>
          <w:snapToGrid/>
          <w:szCs w:val="22"/>
          <w:lang w:val="hu-HU" w:eastAsia="en-US"/>
        </w:rPr>
        <w:t xml:space="preserve"> (a fel nem használt infúziót ki kell dobni)</w:t>
      </w:r>
      <w:r w:rsidR="003D3B64" w:rsidRPr="00F6526C">
        <w:rPr>
          <w:rFonts w:eastAsia="Times New Roman"/>
          <w:bCs/>
          <w:iCs/>
          <w:snapToGrid/>
          <w:szCs w:val="22"/>
          <w:lang w:val="hu-HU" w:eastAsia="en-US"/>
        </w:rPr>
        <w:t>, és 24 órán belül maximálisan 3000 mg (3 g)</w:t>
      </w:r>
      <w:r w:rsidRPr="00F6526C">
        <w:rPr>
          <w:rFonts w:eastAsia="Times New Roman"/>
          <w:bCs/>
          <w:iCs/>
          <w:snapToGrid/>
          <w:szCs w:val="22"/>
          <w:lang w:val="hu-HU" w:eastAsia="en-US"/>
        </w:rPr>
        <w:t xml:space="preserve"> paracetamolt és 900 mg ibuprofé</w:t>
      </w:r>
      <w:r w:rsidR="003D3B64" w:rsidRPr="00F6526C">
        <w:rPr>
          <w:rFonts w:eastAsia="Times New Roman"/>
          <w:bCs/>
          <w:iCs/>
          <w:snapToGrid/>
          <w:szCs w:val="22"/>
          <w:lang w:val="hu-HU" w:eastAsia="en-US"/>
        </w:rPr>
        <w:t>nt.</w:t>
      </w:r>
    </w:p>
    <w:p w14:paraId="58235DC2" w14:textId="77777777" w:rsidR="006C7D6C" w:rsidRPr="00F6526C" w:rsidRDefault="006C7D6C" w:rsidP="00082A8E">
      <w:pPr>
        <w:spacing w:line="240" w:lineRule="auto"/>
        <w:rPr>
          <w:rFonts w:eastAsia="Times New Roman"/>
          <w:bCs/>
          <w:i/>
          <w:iCs/>
          <w:snapToGrid/>
          <w:szCs w:val="22"/>
          <w:lang w:val="hu-HU" w:eastAsia="en-US"/>
        </w:rPr>
      </w:pPr>
    </w:p>
    <w:p w14:paraId="564A0879" w14:textId="063C1ABF" w:rsidR="00F45C51" w:rsidRPr="00F6526C" w:rsidRDefault="00FC0857" w:rsidP="00563DB0">
      <w:pPr>
        <w:spacing w:line="240" w:lineRule="auto"/>
        <w:rPr>
          <w:rFonts w:eastAsia="Times New Roman"/>
          <w:b/>
          <w:bCs/>
          <w:i/>
          <w:iCs/>
          <w:snapToGrid/>
          <w:szCs w:val="22"/>
          <w:lang w:val="hu-HU" w:eastAsia="en-US"/>
        </w:rPr>
      </w:pPr>
      <w:r w:rsidRPr="00F6526C">
        <w:rPr>
          <w:rFonts w:eastAsia="Times New Roman"/>
          <w:b/>
          <w:bCs/>
          <w:i/>
          <w:iCs/>
          <w:snapToGrid/>
          <w:szCs w:val="22"/>
          <w:lang w:val="hu-HU" w:eastAsia="en-US"/>
        </w:rPr>
        <w:t>Gyermek</w:t>
      </w:r>
      <w:r w:rsidR="00F5194B" w:rsidRPr="00F6526C">
        <w:rPr>
          <w:rFonts w:eastAsia="Times New Roman"/>
          <w:b/>
          <w:bCs/>
          <w:i/>
          <w:iCs/>
          <w:snapToGrid/>
          <w:szCs w:val="22"/>
          <w:lang w:val="hu-HU" w:eastAsia="en-US"/>
        </w:rPr>
        <w:t>ek</w:t>
      </w:r>
      <w:r w:rsidR="00563DB0" w:rsidRPr="00F6526C">
        <w:rPr>
          <w:rFonts w:eastAsia="Times New Roman"/>
          <w:b/>
          <w:bCs/>
          <w:i/>
          <w:iCs/>
          <w:snapToGrid/>
          <w:szCs w:val="22"/>
          <w:lang w:val="hu-HU" w:eastAsia="en-US"/>
        </w:rPr>
        <w:t xml:space="preserve"> </w:t>
      </w:r>
    </w:p>
    <w:p w14:paraId="7133FD0B" w14:textId="38B7A0CE" w:rsidR="00F45C51" w:rsidRPr="00F6526C" w:rsidRDefault="00AF62C6" w:rsidP="00082A8E">
      <w:pPr>
        <w:autoSpaceDE w:val="0"/>
        <w:autoSpaceDN w:val="0"/>
        <w:adjustRightInd w:val="0"/>
        <w:spacing w:line="240" w:lineRule="auto"/>
        <w:rPr>
          <w:rFonts w:eastAsia="Times New Roman"/>
          <w:snapToGrid/>
          <w:szCs w:val="22"/>
          <w:lang w:val="hu-HU" w:eastAsia="en-US"/>
        </w:rPr>
      </w:pPr>
      <w:r w:rsidRPr="00F6526C">
        <w:rPr>
          <w:rFonts w:eastAsia="Times New Roman"/>
          <w:snapToGrid/>
          <w:szCs w:val="22"/>
          <w:lang w:val="hu-HU" w:eastAsia="en-US"/>
        </w:rPr>
        <w:t>A</w:t>
      </w:r>
      <w:r w:rsidR="00DD2DF7">
        <w:rPr>
          <w:rFonts w:eastAsia="Times New Roman"/>
          <w:snapToGrid/>
          <w:szCs w:val="22"/>
          <w:lang w:val="hu-HU" w:eastAsia="en-US"/>
        </w:rPr>
        <w:t>z</w:t>
      </w:r>
      <w:r w:rsidRPr="00F6526C">
        <w:rPr>
          <w:rFonts w:eastAsia="Times New Roman"/>
          <w:snapToGrid/>
          <w:szCs w:val="22"/>
          <w:lang w:val="hu-HU" w:eastAsia="en-US"/>
        </w:rPr>
        <w:t xml:space="preserve"> </w:t>
      </w:r>
      <w:r w:rsidR="006D4655">
        <w:rPr>
          <w:rFonts w:eastAsia="Times New Roman"/>
          <w:noProof/>
          <w:snapToGrid/>
          <w:szCs w:val="22"/>
          <w:lang w:val="hu-HU" w:eastAsia="en-US"/>
        </w:rPr>
        <w:t>Elomen</w:t>
      </w:r>
      <w:r w:rsidRPr="00F6526C">
        <w:rPr>
          <w:rFonts w:eastAsia="Times New Roman"/>
          <w:noProof/>
          <w:snapToGrid/>
          <w:szCs w:val="22"/>
          <w:lang w:val="hu-HU" w:eastAsia="en-US"/>
        </w:rPr>
        <w:t xml:space="preserve"> 1000 mg/300 mg oldatos infúzió</w:t>
      </w:r>
      <w:r w:rsidR="00FC0857" w:rsidRPr="00F6526C">
        <w:rPr>
          <w:rFonts w:eastAsia="Times New Roman"/>
          <w:snapToGrid/>
          <w:szCs w:val="22"/>
          <w:lang w:val="hu-HU" w:eastAsia="en-US"/>
        </w:rPr>
        <w:t xml:space="preserve"> al</w:t>
      </w:r>
      <w:r w:rsidR="00563DB0" w:rsidRPr="00F6526C">
        <w:rPr>
          <w:rFonts w:eastAsia="Times New Roman"/>
          <w:snapToGrid/>
          <w:szCs w:val="22"/>
          <w:lang w:val="hu-HU" w:eastAsia="en-US"/>
        </w:rPr>
        <w:t xml:space="preserve">kalmazása ellenjavallt 18 </w:t>
      </w:r>
      <w:r w:rsidR="002A5FCF" w:rsidRPr="00F6526C">
        <w:rPr>
          <w:rFonts w:eastAsia="Times New Roman"/>
          <w:snapToGrid/>
          <w:szCs w:val="22"/>
          <w:lang w:val="hu-HU" w:eastAsia="en-US"/>
        </w:rPr>
        <w:t>évnél</w:t>
      </w:r>
      <w:r w:rsidR="00563DB0" w:rsidRPr="00F6526C">
        <w:rPr>
          <w:rFonts w:eastAsia="Times New Roman"/>
          <w:snapToGrid/>
          <w:szCs w:val="22"/>
          <w:lang w:val="hu-HU" w:eastAsia="en-US"/>
        </w:rPr>
        <w:t xml:space="preserve"> fiatalabbak</w:t>
      </w:r>
      <w:r w:rsidR="00FC0857" w:rsidRPr="00F6526C">
        <w:rPr>
          <w:rFonts w:eastAsia="Times New Roman"/>
          <w:snapToGrid/>
          <w:szCs w:val="22"/>
          <w:lang w:val="hu-HU" w:eastAsia="en-US"/>
        </w:rPr>
        <w:t xml:space="preserve"> </w:t>
      </w:r>
      <w:r w:rsidR="00563DB0" w:rsidRPr="00F6526C">
        <w:rPr>
          <w:rFonts w:eastAsia="Times New Roman"/>
          <w:snapToGrid/>
          <w:szCs w:val="22"/>
          <w:lang w:val="hu-HU" w:eastAsia="en-US"/>
        </w:rPr>
        <w:t>esetén (lásd 4.3 pont).</w:t>
      </w:r>
    </w:p>
    <w:p w14:paraId="2B493040" w14:textId="77777777" w:rsidR="00A710F8" w:rsidRPr="00F6526C" w:rsidRDefault="00A710F8" w:rsidP="00082A8E">
      <w:pPr>
        <w:autoSpaceDE w:val="0"/>
        <w:autoSpaceDN w:val="0"/>
        <w:adjustRightInd w:val="0"/>
        <w:spacing w:line="240" w:lineRule="auto"/>
        <w:rPr>
          <w:rFonts w:eastAsia="Times New Roman"/>
          <w:snapToGrid/>
          <w:szCs w:val="22"/>
          <w:lang w:val="hu-HU" w:eastAsia="en-US"/>
        </w:rPr>
      </w:pPr>
    </w:p>
    <w:p w14:paraId="31CCD8A0" w14:textId="2CCF7992" w:rsidR="00A710F8" w:rsidRPr="00F6526C" w:rsidRDefault="002A5FCF" w:rsidP="00082A8E">
      <w:pPr>
        <w:autoSpaceDE w:val="0"/>
        <w:autoSpaceDN w:val="0"/>
        <w:adjustRightInd w:val="0"/>
        <w:spacing w:line="240" w:lineRule="auto"/>
        <w:rPr>
          <w:rFonts w:eastAsia="Times New Roman"/>
          <w:b/>
          <w:i/>
          <w:snapToGrid/>
          <w:szCs w:val="22"/>
          <w:lang w:val="hu-HU" w:eastAsia="en-US"/>
        </w:rPr>
      </w:pPr>
      <w:r w:rsidRPr="00F6526C">
        <w:rPr>
          <w:rFonts w:eastAsia="Times New Roman"/>
          <w:b/>
          <w:i/>
          <w:snapToGrid/>
          <w:szCs w:val="22"/>
          <w:lang w:val="hu-HU" w:eastAsia="en-US"/>
        </w:rPr>
        <w:t>Különleges</w:t>
      </w:r>
      <w:r w:rsidR="00A710F8" w:rsidRPr="00F6526C">
        <w:rPr>
          <w:rFonts w:eastAsia="Times New Roman"/>
          <w:b/>
          <w:i/>
          <w:snapToGrid/>
          <w:szCs w:val="22"/>
          <w:lang w:val="hu-HU" w:eastAsia="en-US"/>
        </w:rPr>
        <w:t xml:space="preserve"> betegcsoportok</w:t>
      </w:r>
    </w:p>
    <w:p w14:paraId="67F38549" w14:textId="40D9B9F4" w:rsidR="00A710F8" w:rsidRPr="00F6526C" w:rsidRDefault="002A5FCF" w:rsidP="00082A8E">
      <w:pPr>
        <w:autoSpaceDE w:val="0"/>
        <w:autoSpaceDN w:val="0"/>
        <w:adjustRightInd w:val="0"/>
        <w:spacing w:line="240" w:lineRule="auto"/>
        <w:rPr>
          <w:rFonts w:eastAsia="Times New Roman"/>
          <w:i/>
          <w:snapToGrid/>
          <w:szCs w:val="22"/>
          <w:lang w:val="hu-HU" w:eastAsia="en-US"/>
        </w:rPr>
      </w:pPr>
      <w:r w:rsidRPr="00F6526C">
        <w:rPr>
          <w:rFonts w:eastAsia="Times New Roman"/>
          <w:i/>
          <w:snapToGrid/>
          <w:szCs w:val="22"/>
          <w:lang w:val="hu-HU" w:eastAsia="en-US"/>
        </w:rPr>
        <w:t>Idősek</w:t>
      </w:r>
    </w:p>
    <w:p w14:paraId="4352F135" w14:textId="3F2086C5" w:rsidR="000A277F" w:rsidRPr="00F6526C" w:rsidRDefault="000A277F" w:rsidP="00082A8E">
      <w:pPr>
        <w:autoSpaceDE w:val="0"/>
        <w:autoSpaceDN w:val="0"/>
        <w:adjustRightInd w:val="0"/>
        <w:spacing w:line="240" w:lineRule="auto"/>
        <w:rPr>
          <w:rFonts w:eastAsia="Times New Roman"/>
          <w:snapToGrid/>
          <w:szCs w:val="22"/>
          <w:lang w:val="hu-HU" w:eastAsia="en-US"/>
        </w:rPr>
      </w:pPr>
      <w:r w:rsidRPr="00F6526C">
        <w:rPr>
          <w:rFonts w:eastAsia="Times New Roman"/>
          <w:snapToGrid/>
          <w:szCs w:val="22"/>
          <w:lang w:val="hu-HU" w:eastAsia="en-US"/>
        </w:rPr>
        <w:lastRenderedPageBreak/>
        <w:t>A dózis meghatározáskor idős betegek ese</w:t>
      </w:r>
      <w:r w:rsidR="0056676F" w:rsidRPr="00F6526C">
        <w:rPr>
          <w:rFonts w:eastAsia="Times New Roman"/>
          <w:snapToGrid/>
          <w:szCs w:val="22"/>
          <w:lang w:val="hu-HU" w:eastAsia="en-US"/>
        </w:rPr>
        <w:t>tén elővigyázatosnak kell lenni;</w:t>
      </w:r>
      <w:r w:rsidRPr="00F6526C">
        <w:rPr>
          <w:rFonts w:eastAsia="Times New Roman"/>
          <w:snapToGrid/>
          <w:szCs w:val="22"/>
          <w:lang w:val="hu-HU" w:eastAsia="en-US"/>
        </w:rPr>
        <w:t xml:space="preserve"> </w:t>
      </w:r>
      <w:r w:rsidR="0056676F" w:rsidRPr="00F6526C">
        <w:rPr>
          <w:rFonts w:eastAsia="Times New Roman"/>
          <w:snapToGrid/>
          <w:szCs w:val="22"/>
          <w:lang w:val="hu-HU" w:eastAsia="en-US"/>
        </w:rPr>
        <w:t>általánosan érvényes, hogy a tünetek kezeléséhez szükséges lega</w:t>
      </w:r>
      <w:r w:rsidR="00925D35" w:rsidRPr="00F6526C">
        <w:rPr>
          <w:rFonts w:eastAsia="Times New Roman"/>
          <w:snapToGrid/>
          <w:szCs w:val="22"/>
          <w:lang w:val="hu-HU" w:eastAsia="en-US"/>
        </w:rPr>
        <w:t>lacsonyabb hatásos dózissal kell</w:t>
      </w:r>
      <w:r w:rsidR="0056676F" w:rsidRPr="00F6526C">
        <w:rPr>
          <w:rFonts w:eastAsia="Times New Roman"/>
          <w:snapToGrid/>
          <w:szCs w:val="22"/>
          <w:lang w:val="hu-HU" w:eastAsia="en-US"/>
        </w:rPr>
        <w:t xml:space="preserve"> kezdeni, tekintettel arra, hogy esetükben nagyobb a valószínűsége a máj-, vese</w:t>
      </w:r>
      <w:r w:rsidR="009864B7">
        <w:rPr>
          <w:rFonts w:eastAsia="Calibri"/>
          <w:snapToGrid/>
          <w:szCs w:val="22"/>
          <w:lang w:val="hu-HU" w:eastAsia="en-US"/>
        </w:rPr>
        <w:t>-</w:t>
      </w:r>
      <w:r w:rsidR="0056676F" w:rsidRPr="00F6526C">
        <w:rPr>
          <w:rFonts w:eastAsia="Times New Roman"/>
          <w:snapToGrid/>
          <w:szCs w:val="22"/>
          <w:lang w:val="hu-HU" w:eastAsia="en-US"/>
        </w:rPr>
        <w:t>, vagy cardiovascularis működészavar kialakulásának, és hogy egyéb gyógyszereket is alkalmaznak egyidejűleg.</w:t>
      </w:r>
    </w:p>
    <w:p w14:paraId="4EAEF8ED" w14:textId="77777777" w:rsidR="0056676F" w:rsidRPr="00F6526C" w:rsidRDefault="0056676F" w:rsidP="00082A8E">
      <w:pPr>
        <w:autoSpaceDE w:val="0"/>
        <w:autoSpaceDN w:val="0"/>
        <w:adjustRightInd w:val="0"/>
        <w:spacing w:line="240" w:lineRule="auto"/>
        <w:rPr>
          <w:rFonts w:eastAsia="Times New Roman"/>
          <w:snapToGrid/>
          <w:szCs w:val="22"/>
          <w:lang w:val="hu-HU" w:eastAsia="en-US"/>
        </w:rPr>
      </w:pPr>
    </w:p>
    <w:p w14:paraId="5AB116C0" w14:textId="56C2A6F4" w:rsidR="007E29C4" w:rsidRPr="00F6526C" w:rsidRDefault="0056676F" w:rsidP="0056676F">
      <w:pPr>
        <w:autoSpaceDE w:val="0"/>
        <w:autoSpaceDN w:val="0"/>
        <w:adjustRightInd w:val="0"/>
        <w:spacing w:line="240" w:lineRule="auto"/>
        <w:rPr>
          <w:szCs w:val="22"/>
          <w:lang w:val="hu-HU"/>
        </w:rPr>
      </w:pPr>
      <w:r w:rsidRPr="00F6526C">
        <w:rPr>
          <w:szCs w:val="22"/>
          <w:lang w:val="hu-HU"/>
        </w:rPr>
        <w:t>Időseknél magasabb a súlyos mellékhatások megjelenésének kockázata. Ha NSAID alkalmazása szükséges, akkor a legkisebb hatásos dózist a lehető legrövidebb ideig kell alkalmazni.</w:t>
      </w:r>
      <w:r w:rsidR="007E29C4" w:rsidRPr="00F6526C">
        <w:rPr>
          <w:szCs w:val="22"/>
          <w:lang w:val="hu-HU"/>
        </w:rPr>
        <w:t xml:space="preserve"> A kezelést rendszeres időközönként felül kell vizsgálni, és fel kell függeszteni, ha nem mutatkozik előny, vagy intolerancia alakul ki. Az NSAID-kezelés alatt a beteget gastrointestinalis vérzés tekintetében rendszeresen ellenőrizni kell.</w:t>
      </w:r>
    </w:p>
    <w:p w14:paraId="3D9B4906" w14:textId="77777777" w:rsidR="00D965A5" w:rsidRPr="00F6526C" w:rsidRDefault="00D965A5" w:rsidP="0056676F">
      <w:pPr>
        <w:autoSpaceDE w:val="0"/>
        <w:autoSpaceDN w:val="0"/>
        <w:adjustRightInd w:val="0"/>
        <w:spacing w:line="240" w:lineRule="auto"/>
        <w:rPr>
          <w:szCs w:val="22"/>
          <w:lang w:val="hu-HU"/>
        </w:rPr>
      </w:pPr>
    </w:p>
    <w:p w14:paraId="094D4014" w14:textId="263718AC" w:rsidR="00D965A5" w:rsidRPr="00F6526C" w:rsidRDefault="00D965A5" w:rsidP="0056676F">
      <w:pPr>
        <w:autoSpaceDE w:val="0"/>
        <w:autoSpaceDN w:val="0"/>
        <w:adjustRightInd w:val="0"/>
        <w:spacing w:line="240" w:lineRule="auto"/>
        <w:rPr>
          <w:i/>
          <w:szCs w:val="22"/>
          <w:lang w:val="hu-HU"/>
        </w:rPr>
      </w:pPr>
      <w:r w:rsidRPr="00F6526C">
        <w:rPr>
          <w:i/>
          <w:szCs w:val="22"/>
          <w:lang w:val="hu-HU"/>
        </w:rPr>
        <w:t>Vesekáro</w:t>
      </w:r>
      <w:r w:rsidR="007F3B9D" w:rsidRPr="00F6526C">
        <w:rPr>
          <w:i/>
          <w:szCs w:val="22"/>
          <w:lang w:val="hu-HU"/>
        </w:rPr>
        <w:t>sodás</w:t>
      </w:r>
    </w:p>
    <w:p w14:paraId="59082204" w14:textId="5DDF1B44" w:rsidR="00D965A5" w:rsidRPr="00F6526C" w:rsidRDefault="00D965A5" w:rsidP="0056676F">
      <w:pPr>
        <w:autoSpaceDE w:val="0"/>
        <w:autoSpaceDN w:val="0"/>
        <w:adjustRightInd w:val="0"/>
        <w:spacing w:line="240" w:lineRule="auto"/>
        <w:rPr>
          <w:szCs w:val="22"/>
          <w:lang w:val="hu-HU"/>
        </w:rPr>
      </w:pPr>
      <w:r w:rsidRPr="00F6526C">
        <w:rPr>
          <w:szCs w:val="22"/>
          <w:lang w:val="hu-HU"/>
        </w:rPr>
        <w:t xml:space="preserve">Az ibuprofén </w:t>
      </w:r>
      <w:r w:rsidR="008F77E7" w:rsidRPr="00F6526C">
        <w:rPr>
          <w:szCs w:val="22"/>
          <w:lang w:val="hu-HU"/>
        </w:rPr>
        <w:t xml:space="preserve">vesekárosodásban szenvedő </w:t>
      </w:r>
      <w:r w:rsidRPr="00F6526C">
        <w:rPr>
          <w:szCs w:val="22"/>
          <w:lang w:val="hu-HU"/>
        </w:rPr>
        <w:t>betegeknél történő alkalmazásakor óvatossággal kell eljárni. Ez a gyógyszer súlyos veseelégtelenségben szenvedő betegeknél ellenjavallt (lásd 4.3 pont).</w:t>
      </w:r>
    </w:p>
    <w:p w14:paraId="1D009757" w14:textId="77777777" w:rsidR="00546D51" w:rsidRPr="00F6526C" w:rsidRDefault="00546D51" w:rsidP="0056676F">
      <w:pPr>
        <w:autoSpaceDE w:val="0"/>
        <w:autoSpaceDN w:val="0"/>
        <w:adjustRightInd w:val="0"/>
        <w:spacing w:line="240" w:lineRule="auto"/>
        <w:rPr>
          <w:szCs w:val="22"/>
          <w:lang w:val="hu-HU"/>
        </w:rPr>
      </w:pPr>
    </w:p>
    <w:p w14:paraId="3ABA9409" w14:textId="4CDCA753" w:rsidR="00546D51" w:rsidRPr="00F6526C" w:rsidRDefault="003C315F" w:rsidP="003C315F">
      <w:pPr>
        <w:autoSpaceDE w:val="0"/>
        <w:autoSpaceDN w:val="0"/>
        <w:adjustRightInd w:val="0"/>
        <w:spacing w:line="240" w:lineRule="auto"/>
        <w:rPr>
          <w:szCs w:val="22"/>
          <w:lang w:val="hu-HU"/>
        </w:rPr>
      </w:pPr>
      <w:r w:rsidRPr="00F6526C">
        <w:rPr>
          <w:szCs w:val="22"/>
          <w:lang w:val="hu-HU"/>
        </w:rPr>
        <w:t xml:space="preserve">A dózist egyénre szabottan kell meghatározni. Enyhe vagy közepes </w:t>
      </w:r>
      <w:r w:rsidR="003F0D12" w:rsidRPr="00F6526C">
        <w:rPr>
          <w:szCs w:val="22"/>
          <w:lang w:val="hu-HU"/>
        </w:rPr>
        <w:t xml:space="preserve">fokú </w:t>
      </w:r>
      <w:r w:rsidRPr="00F6526C">
        <w:rPr>
          <w:szCs w:val="22"/>
          <w:lang w:val="hu-HU"/>
        </w:rPr>
        <w:t>vesekárosodásban szenvedő betegeknél csökkenten</w:t>
      </w:r>
      <w:r w:rsidR="004507E5" w:rsidRPr="00F6526C">
        <w:rPr>
          <w:szCs w:val="22"/>
          <w:lang w:val="hu-HU"/>
        </w:rPr>
        <w:t>i kell a kezdő adagot, és</w:t>
      </w:r>
      <w:r w:rsidRPr="00F6526C">
        <w:rPr>
          <w:szCs w:val="22"/>
          <w:lang w:val="hu-HU"/>
        </w:rPr>
        <w:t xml:space="preserve"> a tünetek kezeléséhez szükséges lehető legalacsonyabb adagot kell alkalma</w:t>
      </w:r>
      <w:r w:rsidR="00A21547" w:rsidRPr="00F6526C">
        <w:rPr>
          <w:szCs w:val="22"/>
          <w:lang w:val="hu-HU"/>
        </w:rPr>
        <w:t>zni, a lehető legrövidebb ideig;</w:t>
      </w:r>
      <w:r w:rsidRPr="00F6526C">
        <w:rPr>
          <w:szCs w:val="22"/>
          <w:lang w:val="hu-HU"/>
        </w:rPr>
        <w:t xml:space="preserve"> valamint</w:t>
      </w:r>
      <w:r w:rsidR="00D7329E" w:rsidRPr="00F6526C">
        <w:rPr>
          <w:szCs w:val="22"/>
          <w:lang w:val="hu-HU"/>
        </w:rPr>
        <w:t xml:space="preserve"> ellenőrizni kell a vesefunkciót</w:t>
      </w:r>
      <w:r w:rsidRPr="00F6526C">
        <w:rPr>
          <w:szCs w:val="22"/>
          <w:lang w:val="hu-HU"/>
        </w:rPr>
        <w:t xml:space="preserve"> (lásd 4.3, 4.4 és 5.2 pont).</w:t>
      </w:r>
    </w:p>
    <w:p w14:paraId="3E46608B" w14:textId="77777777" w:rsidR="00F63B90" w:rsidRPr="00F6526C" w:rsidRDefault="00F63B90" w:rsidP="003C315F">
      <w:pPr>
        <w:autoSpaceDE w:val="0"/>
        <w:autoSpaceDN w:val="0"/>
        <w:adjustRightInd w:val="0"/>
        <w:spacing w:line="240" w:lineRule="auto"/>
        <w:rPr>
          <w:szCs w:val="22"/>
          <w:lang w:val="hu-HU"/>
        </w:rPr>
      </w:pPr>
    </w:p>
    <w:p w14:paraId="2CF28E69" w14:textId="3CF13259" w:rsidR="00F63B90" w:rsidRPr="00F6526C" w:rsidRDefault="003F0D12" w:rsidP="003C315F">
      <w:pPr>
        <w:autoSpaceDE w:val="0"/>
        <w:autoSpaceDN w:val="0"/>
        <w:adjustRightInd w:val="0"/>
        <w:spacing w:line="240" w:lineRule="auto"/>
        <w:rPr>
          <w:i/>
          <w:szCs w:val="22"/>
          <w:lang w:val="hu-HU"/>
        </w:rPr>
      </w:pPr>
      <w:r w:rsidRPr="00F6526C">
        <w:rPr>
          <w:i/>
          <w:szCs w:val="22"/>
          <w:lang w:val="hu-HU"/>
        </w:rPr>
        <w:t>Májkárosodás</w:t>
      </w:r>
    </w:p>
    <w:p w14:paraId="124B83A3" w14:textId="01D501E3" w:rsidR="00F63B90" w:rsidRPr="00F6526C" w:rsidRDefault="00F63B90" w:rsidP="003C315F">
      <w:pPr>
        <w:autoSpaceDE w:val="0"/>
        <w:autoSpaceDN w:val="0"/>
        <w:adjustRightInd w:val="0"/>
        <w:spacing w:line="240" w:lineRule="auto"/>
        <w:rPr>
          <w:szCs w:val="22"/>
          <w:lang w:val="hu-HU"/>
        </w:rPr>
      </w:pPr>
      <w:r w:rsidRPr="00F6526C">
        <w:rPr>
          <w:szCs w:val="22"/>
          <w:lang w:val="hu-HU"/>
        </w:rPr>
        <w:t>A paracetamol az ajánlottnál nagyobb dózis esetén hepatotoxicitást, sőt, májelégtelenséget és halált is okozhat. Azoknál a betegeknél, akiknél a hepatotoxicitás további kockázati tényezői fennállnak, min</w:t>
      </w:r>
      <w:r w:rsidR="00DA2C56" w:rsidRPr="00F6526C">
        <w:rPr>
          <w:szCs w:val="22"/>
          <w:lang w:val="hu-HU"/>
        </w:rPr>
        <w:t>t például hepatocelluláris insufficientia</w:t>
      </w:r>
      <w:r w:rsidRPr="00F6526C">
        <w:rPr>
          <w:szCs w:val="22"/>
          <w:lang w:val="hu-HU"/>
        </w:rPr>
        <w:t>, krónikus alkoholizmus, krónikus alultápláltsá</w:t>
      </w:r>
      <w:r w:rsidR="00F02B68" w:rsidRPr="00F6526C">
        <w:rPr>
          <w:szCs w:val="22"/>
          <w:lang w:val="hu-HU"/>
        </w:rPr>
        <w:t>g (alacsony szintű máj-glutation tartalék</w:t>
      </w:r>
      <w:r w:rsidRPr="00F6526C">
        <w:rPr>
          <w:szCs w:val="22"/>
          <w:lang w:val="hu-HU"/>
        </w:rPr>
        <w:t>) vagy dehidráció, a teljes napi 3000 mg (3 g) paracetamol-adagot nem szabad túllépni.</w:t>
      </w:r>
    </w:p>
    <w:p w14:paraId="4B99A200" w14:textId="77777777" w:rsidR="005E7138" w:rsidRPr="00F6526C" w:rsidRDefault="005E7138" w:rsidP="003C315F">
      <w:pPr>
        <w:autoSpaceDE w:val="0"/>
        <w:autoSpaceDN w:val="0"/>
        <w:adjustRightInd w:val="0"/>
        <w:spacing w:line="240" w:lineRule="auto"/>
        <w:rPr>
          <w:szCs w:val="22"/>
          <w:lang w:val="hu-HU"/>
        </w:rPr>
      </w:pPr>
    </w:p>
    <w:p w14:paraId="4E960CA9" w14:textId="71576E80" w:rsidR="00A976BB" w:rsidRPr="00F6526C" w:rsidRDefault="005E7138" w:rsidP="00A976BB">
      <w:pPr>
        <w:rPr>
          <w:szCs w:val="22"/>
          <w:lang w:val="hu-HU"/>
        </w:rPr>
      </w:pPr>
      <w:r w:rsidRPr="00F6526C">
        <w:rPr>
          <w:szCs w:val="22"/>
          <w:lang w:val="hu-HU"/>
        </w:rPr>
        <w:t xml:space="preserve">Ez a gyógyszer súlyos májelégtelenségben szenvedő betegeknél ellenjavallt (lásd 4.3 pont). </w:t>
      </w:r>
      <w:r w:rsidR="006B7E62" w:rsidRPr="00F6526C">
        <w:rPr>
          <w:szCs w:val="22"/>
          <w:lang w:val="hu-HU"/>
        </w:rPr>
        <w:t xml:space="preserve">Májkárosodásra utaló klinikai jelek és/vagy tünetek, illetve kóros májfunkciós értékek megjelenését fokozódó májelégtelenség kialakulásának bizonyítékaként kell értékelni, és az ibuprofén és </w:t>
      </w:r>
      <w:r w:rsidR="006D4655">
        <w:rPr>
          <w:rFonts w:eastAsia="Times New Roman"/>
          <w:noProof/>
          <w:snapToGrid/>
          <w:szCs w:val="22"/>
          <w:lang w:val="hu-HU" w:eastAsia="en-US"/>
        </w:rPr>
        <w:t>Elomen</w:t>
      </w:r>
      <w:r w:rsidR="006E5E74" w:rsidRPr="00F6526C">
        <w:rPr>
          <w:rFonts w:eastAsia="Times New Roman"/>
          <w:noProof/>
          <w:snapToGrid/>
          <w:szCs w:val="22"/>
          <w:lang w:val="hu-HU" w:eastAsia="en-US"/>
        </w:rPr>
        <w:t xml:space="preserve"> 1000 mg/300 mg oldatos infúzió</w:t>
      </w:r>
      <w:r w:rsidR="006E5E74" w:rsidRPr="00F6526C">
        <w:rPr>
          <w:szCs w:val="22"/>
          <w:lang w:val="hu-HU"/>
        </w:rPr>
        <w:t xml:space="preserve">s </w:t>
      </w:r>
      <w:r w:rsidR="006B7E62" w:rsidRPr="00F6526C">
        <w:rPr>
          <w:szCs w:val="22"/>
          <w:lang w:val="hu-HU"/>
        </w:rPr>
        <w:t>kezelést fel kell függeszteni.</w:t>
      </w:r>
      <w:r w:rsidR="00A976BB" w:rsidRPr="00F6526C">
        <w:rPr>
          <w:szCs w:val="22"/>
          <w:lang w:val="hu-HU"/>
        </w:rPr>
        <w:t xml:space="preserve"> </w:t>
      </w:r>
      <w:r w:rsidR="006B5B56" w:rsidRPr="00F6526C">
        <w:rPr>
          <w:szCs w:val="22"/>
          <w:lang w:val="hu-HU"/>
        </w:rPr>
        <w:t>Ha májbetegségre utaló</w:t>
      </w:r>
      <w:r w:rsidR="00A976BB" w:rsidRPr="00F6526C">
        <w:rPr>
          <w:szCs w:val="22"/>
          <w:lang w:val="hu-HU"/>
        </w:rPr>
        <w:t xml:space="preserve"> klinikai jele</w:t>
      </w:r>
      <w:r w:rsidR="0003278D" w:rsidRPr="00F6526C">
        <w:rPr>
          <w:szCs w:val="22"/>
          <w:lang w:val="hu-HU"/>
        </w:rPr>
        <w:t>k és tünetek</w:t>
      </w:r>
      <w:r w:rsidR="006B5B56" w:rsidRPr="00F6526C">
        <w:rPr>
          <w:szCs w:val="22"/>
          <w:lang w:val="hu-HU"/>
        </w:rPr>
        <w:t xml:space="preserve"> vagy </w:t>
      </w:r>
      <w:r w:rsidR="00A976BB" w:rsidRPr="00F6526C">
        <w:rPr>
          <w:szCs w:val="22"/>
          <w:lang w:val="hu-HU"/>
        </w:rPr>
        <w:t>szisztémás hatások jelentkeznek (pl. eozin</w:t>
      </w:r>
      <w:r w:rsidR="00AF62C6" w:rsidRPr="00F6526C">
        <w:rPr>
          <w:szCs w:val="22"/>
          <w:lang w:val="hu-HU"/>
        </w:rPr>
        <w:t>ofília, kiütés stb.), akkor a</w:t>
      </w:r>
      <w:r w:rsidR="00DD2DF7">
        <w:rPr>
          <w:szCs w:val="22"/>
          <w:lang w:val="hu-HU"/>
        </w:rPr>
        <w:t>z</w:t>
      </w:r>
      <w:r w:rsidR="00AF62C6" w:rsidRPr="00F6526C">
        <w:rPr>
          <w:szCs w:val="22"/>
          <w:lang w:val="hu-HU"/>
        </w:rPr>
        <w:t xml:space="preserve"> </w:t>
      </w:r>
      <w:r w:rsidR="006D4655">
        <w:rPr>
          <w:rFonts w:eastAsia="Times New Roman"/>
          <w:noProof/>
          <w:snapToGrid/>
          <w:szCs w:val="22"/>
          <w:lang w:val="hu-HU" w:eastAsia="en-US"/>
        </w:rPr>
        <w:t>Elomen</w:t>
      </w:r>
      <w:r w:rsidR="00AF62C6" w:rsidRPr="00F6526C">
        <w:rPr>
          <w:rFonts w:eastAsia="Times New Roman"/>
          <w:noProof/>
          <w:snapToGrid/>
          <w:szCs w:val="22"/>
          <w:lang w:val="hu-HU" w:eastAsia="en-US"/>
        </w:rPr>
        <w:t xml:space="preserve"> 1000 mg/300 mg oldatos infúziós</w:t>
      </w:r>
      <w:r w:rsidR="00A976BB" w:rsidRPr="00F6526C">
        <w:rPr>
          <w:szCs w:val="22"/>
          <w:lang w:val="hu-HU"/>
        </w:rPr>
        <w:t xml:space="preserve"> kezelést fel kell függeszteni.</w:t>
      </w:r>
    </w:p>
    <w:p w14:paraId="7D038218" w14:textId="77777777" w:rsidR="006E43F9" w:rsidRPr="00F6526C" w:rsidRDefault="006E43F9" w:rsidP="00082A8E">
      <w:pPr>
        <w:spacing w:line="240" w:lineRule="auto"/>
        <w:rPr>
          <w:rFonts w:eastAsia="Times New Roman"/>
          <w:snapToGrid/>
          <w:szCs w:val="22"/>
          <w:lang w:val="hu-HU" w:eastAsia="en-US"/>
        </w:rPr>
      </w:pPr>
    </w:p>
    <w:p w14:paraId="22A56947" w14:textId="77777777" w:rsidR="00F45C51" w:rsidRPr="00F6526C" w:rsidRDefault="00FC0857" w:rsidP="00082A8E">
      <w:pPr>
        <w:spacing w:line="240" w:lineRule="auto"/>
        <w:rPr>
          <w:rFonts w:eastAsia="Times New Roman"/>
          <w:snapToGrid/>
          <w:szCs w:val="22"/>
          <w:u w:val="single"/>
          <w:lang w:val="hu-HU" w:eastAsia="en-US"/>
        </w:rPr>
      </w:pPr>
      <w:r w:rsidRPr="00F6526C">
        <w:rPr>
          <w:rFonts w:eastAsia="Times New Roman"/>
          <w:snapToGrid/>
          <w:szCs w:val="22"/>
          <w:u w:val="single"/>
          <w:lang w:val="hu-HU" w:eastAsia="en-US"/>
        </w:rPr>
        <w:t>Az alkalmazás módja</w:t>
      </w:r>
    </w:p>
    <w:p w14:paraId="6E8C62C8" w14:textId="42370AED" w:rsidR="00407D1F" w:rsidRPr="00F6526C" w:rsidRDefault="00AF62C6" w:rsidP="00082A8E">
      <w:pPr>
        <w:spacing w:line="240" w:lineRule="auto"/>
        <w:rPr>
          <w:rFonts w:eastAsia="Times New Roman"/>
          <w:snapToGrid/>
          <w:szCs w:val="22"/>
          <w:lang w:val="hu-HU" w:eastAsia="en-US"/>
        </w:rPr>
      </w:pPr>
      <w:r w:rsidRPr="00F6526C">
        <w:rPr>
          <w:rFonts w:eastAsia="Times New Roman"/>
          <w:snapToGrid/>
          <w:szCs w:val="22"/>
          <w:lang w:val="hu-HU" w:eastAsia="en-US"/>
        </w:rPr>
        <w:t>A</w:t>
      </w:r>
      <w:r w:rsidR="00DD2DF7">
        <w:rPr>
          <w:rFonts w:eastAsia="Times New Roman"/>
          <w:snapToGrid/>
          <w:szCs w:val="22"/>
          <w:lang w:val="hu-HU" w:eastAsia="en-US"/>
        </w:rPr>
        <w:t>z</w:t>
      </w:r>
      <w:r w:rsidRPr="00F6526C">
        <w:rPr>
          <w:rFonts w:eastAsia="Times New Roman"/>
          <w:snapToGrid/>
          <w:szCs w:val="22"/>
          <w:lang w:val="hu-HU" w:eastAsia="en-US"/>
        </w:rPr>
        <w:t xml:space="preserve"> </w:t>
      </w:r>
      <w:r w:rsidR="006D4655">
        <w:rPr>
          <w:rFonts w:eastAsia="Times New Roman"/>
          <w:noProof/>
          <w:snapToGrid/>
          <w:szCs w:val="22"/>
          <w:lang w:val="hu-HU" w:eastAsia="en-US"/>
        </w:rPr>
        <w:t>Elomen</w:t>
      </w:r>
      <w:r w:rsidRPr="00F6526C">
        <w:rPr>
          <w:rFonts w:eastAsia="Times New Roman"/>
          <w:noProof/>
          <w:snapToGrid/>
          <w:szCs w:val="22"/>
          <w:lang w:val="hu-HU" w:eastAsia="en-US"/>
        </w:rPr>
        <w:t xml:space="preserve"> 1000 mg/300 mg oldatos infúzió</w:t>
      </w:r>
      <w:r w:rsidRPr="00F6526C">
        <w:rPr>
          <w:rFonts w:eastAsia="Times New Roman"/>
          <w:snapToGrid/>
          <w:szCs w:val="22"/>
          <w:lang w:val="hu-HU" w:eastAsia="en-US"/>
        </w:rPr>
        <w:t>t</w:t>
      </w:r>
      <w:r w:rsidR="00407D1F" w:rsidRPr="00F6526C">
        <w:rPr>
          <w:rFonts w:eastAsia="Times New Roman"/>
          <w:snapToGrid/>
          <w:szCs w:val="22"/>
          <w:lang w:val="hu-HU" w:eastAsia="en-US"/>
        </w:rPr>
        <w:t xml:space="preserve"> 15 perces intravénás infúzióban kell beadni.</w:t>
      </w:r>
    </w:p>
    <w:p w14:paraId="587BFA94" w14:textId="77777777" w:rsidR="00407D1F" w:rsidRPr="00F6526C" w:rsidRDefault="00407D1F" w:rsidP="00082A8E">
      <w:pPr>
        <w:spacing w:line="240" w:lineRule="auto"/>
        <w:rPr>
          <w:rFonts w:eastAsia="Times New Roman"/>
          <w:snapToGrid/>
          <w:szCs w:val="22"/>
          <w:lang w:val="hu-HU" w:eastAsia="en-US"/>
        </w:rPr>
      </w:pPr>
    </w:p>
    <w:p w14:paraId="5D26EFF5" w14:textId="7056614D" w:rsidR="00407D1F" w:rsidRPr="00F6526C" w:rsidRDefault="00407D1F" w:rsidP="00407D1F">
      <w:pPr>
        <w:spacing w:line="240" w:lineRule="auto"/>
        <w:rPr>
          <w:rFonts w:eastAsia="Times New Roman"/>
          <w:snapToGrid/>
          <w:szCs w:val="22"/>
          <w:lang w:val="hu-HU" w:eastAsia="en-US"/>
        </w:rPr>
      </w:pPr>
      <w:r w:rsidRPr="00F6526C">
        <w:rPr>
          <w:rFonts w:eastAsia="Times New Roman"/>
          <w:snapToGrid/>
          <w:szCs w:val="22"/>
          <w:lang w:val="hu-HU" w:eastAsia="en-US"/>
        </w:rPr>
        <w:t>Az oldat felszívásához 0,8 mm</w:t>
      </w:r>
      <w:r w:rsidR="009864B7">
        <w:rPr>
          <w:rFonts w:eastAsia="Times New Roman"/>
          <w:snapToGrid/>
          <w:szCs w:val="22"/>
          <w:lang w:val="hu-HU" w:eastAsia="en-US"/>
        </w:rPr>
        <w:t>-</w:t>
      </w:r>
      <w:r w:rsidRPr="00F6526C">
        <w:rPr>
          <w:rFonts w:eastAsia="Times New Roman"/>
          <w:snapToGrid/>
          <w:szCs w:val="22"/>
          <w:lang w:val="hu-HU" w:eastAsia="en-US"/>
        </w:rPr>
        <w:t>es (G21</w:t>
      </w:r>
      <w:r w:rsidR="009864B7">
        <w:rPr>
          <w:rFonts w:eastAsia="Times New Roman"/>
          <w:snapToGrid/>
          <w:szCs w:val="22"/>
          <w:lang w:val="hu-HU" w:eastAsia="en-US"/>
        </w:rPr>
        <w:t>-</w:t>
      </w:r>
      <w:r w:rsidRPr="00F6526C">
        <w:rPr>
          <w:rFonts w:eastAsia="Times New Roman"/>
          <w:snapToGrid/>
          <w:szCs w:val="22"/>
          <w:lang w:val="hu-HU" w:eastAsia="en-US"/>
        </w:rPr>
        <w:t>es) tűt kell használni, és a függőlegesen tartott injekciós üveg dugóját a megjelölt helyen kell átszúrni.</w:t>
      </w:r>
    </w:p>
    <w:p w14:paraId="39D08111" w14:textId="77777777" w:rsidR="00407D1F" w:rsidRPr="00F6526C" w:rsidRDefault="00407D1F" w:rsidP="00407D1F">
      <w:pPr>
        <w:spacing w:line="240" w:lineRule="auto"/>
        <w:rPr>
          <w:rFonts w:eastAsia="Times New Roman"/>
          <w:snapToGrid/>
          <w:szCs w:val="22"/>
          <w:lang w:val="hu-HU" w:eastAsia="en-US"/>
        </w:rPr>
      </w:pPr>
    </w:p>
    <w:p w14:paraId="2748E525" w14:textId="5BC56474" w:rsidR="00407D1F" w:rsidRPr="00F6526C" w:rsidRDefault="00426B76" w:rsidP="00082A8E">
      <w:pPr>
        <w:spacing w:line="240" w:lineRule="auto"/>
        <w:rPr>
          <w:rFonts w:eastAsia="Times New Roman"/>
          <w:snapToGrid/>
          <w:szCs w:val="22"/>
          <w:lang w:val="hu-HU" w:eastAsia="en-US"/>
        </w:rPr>
      </w:pPr>
      <w:r w:rsidRPr="00F6526C">
        <w:rPr>
          <w:rFonts w:eastAsia="Times New Roman"/>
          <w:snapToGrid/>
          <w:szCs w:val="22"/>
          <w:lang w:val="hu-HU" w:eastAsia="en-US"/>
        </w:rPr>
        <w:t>50 kg-nál kisebb testtömegű betegek esetében, akiknek nem szükséges</w:t>
      </w:r>
      <w:r w:rsidR="00C32973" w:rsidRPr="00F6526C">
        <w:rPr>
          <w:rFonts w:eastAsia="Times New Roman"/>
          <w:snapToGrid/>
          <w:szCs w:val="22"/>
          <w:lang w:val="hu-HU" w:eastAsia="en-US"/>
        </w:rPr>
        <w:t xml:space="preserve"> az</w:t>
      </w:r>
      <w:r w:rsidRPr="00F6526C">
        <w:rPr>
          <w:rFonts w:eastAsia="Times New Roman"/>
          <w:snapToGrid/>
          <w:szCs w:val="22"/>
          <w:lang w:val="hu-HU" w:eastAsia="en-US"/>
        </w:rPr>
        <w:t xml:space="preserve"> injekciós üveg teljes tartalma (100 ml), a megfelelő mennyiség beadása után a fennmaradó oldatot ki k</w:t>
      </w:r>
      <w:r w:rsidR="00C628A2" w:rsidRPr="00F6526C">
        <w:rPr>
          <w:rFonts w:eastAsia="Times New Roman"/>
          <w:snapToGrid/>
          <w:szCs w:val="22"/>
          <w:lang w:val="hu-HU" w:eastAsia="en-US"/>
        </w:rPr>
        <w:t>ell dobni (lásd még a 6.6 pont</w:t>
      </w:r>
      <w:r w:rsidRPr="00F6526C">
        <w:rPr>
          <w:rFonts w:eastAsia="Times New Roman"/>
          <w:snapToGrid/>
          <w:szCs w:val="22"/>
          <w:lang w:val="hu-HU" w:eastAsia="en-US"/>
        </w:rPr>
        <w:t>).</w:t>
      </w:r>
    </w:p>
    <w:p w14:paraId="25A47851" w14:textId="77777777" w:rsidR="000E1D9B" w:rsidRPr="00F6526C" w:rsidRDefault="000E1D9B" w:rsidP="00082A8E">
      <w:pPr>
        <w:spacing w:line="240" w:lineRule="auto"/>
        <w:rPr>
          <w:rFonts w:eastAsia="Times New Roman"/>
          <w:snapToGrid/>
          <w:szCs w:val="22"/>
          <w:lang w:val="hu-HU" w:eastAsia="en-US"/>
        </w:rPr>
      </w:pPr>
    </w:p>
    <w:p w14:paraId="3EC482DD" w14:textId="6AFA7697" w:rsidR="00F45C51" w:rsidRPr="00F6526C" w:rsidRDefault="000E1D9B" w:rsidP="00497F75">
      <w:pPr>
        <w:spacing w:line="240" w:lineRule="auto"/>
        <w:rPr>
          <w:lang w:val="hu-HU"/>
        </w:rPr>
      </w:pPr>
      <w:r w:rsidRPr="00F6526C">
        <w:rPr>
          <w:lang w:val="hu-HU"/>
        </w:rPr>
        <w:t>Ahogyan az minden, injekciós üvegben forgalmazott oldatos infúzió esetében érvényes, szoros ellenőrzés szükséges, elsősorban az infúziós kezelés végén, függetlenül a beadás módjától. Az infúziós kezelés végén történő ellenőrzés főleg centrális vénába való beadáskor fontos a légembólia elkerülése miatt.</w:t>
      </w:r>
    </w:p>
    <w:p w14:paraId="57278E80" w14:textId="77777777" w:rsidR="00F45C51" w:rsidRPr="00F6526C" w:rsidRDefault="00F45C51" w:rsidP="00497F75">
      <w:pPr>
        <w:spacing w:line="240" w:lineRule="auto"/>
        <w:rPr>
          <w:lang w:val="hu-HU"/>
        </w:rPr>
      </w:pPr>
    </w:p>
    <w:p w14:paraId="2392ACA7" w14:textId="77777777" w:rsidR="00F45C51" w:rsidRPr="00F6526C" w:rsidRDefault="00FC0857" w:rsidP="008B35F0">
      <w:pPr>
        <w:spacing w:before="240" w:after="120" w:line="240" w:lineRule="auto"/>
        <w:ind w:left="567" w:hanging="567"/>
        <w:outlineLvl w:val="0"/>
        <w:rPr>
          <w:rFonts w:eastAsia="Times New Roman"/>
          <w:b/>
          <w:noProof/>
          <w:snapToGrid/>
          <w:szCs w:val="22"/>
          <w:lang w:val="hu-HU" w:eastAsia="en-US"/>
        </w:rPr>
      </w:pPr>
      <w:r w:rsidRPr="00F6526C">
        <w:rPr>
          <w:rFonts w:eastAsia="Times New Roman"/>
          <w:b/>
          <w:noProof/>
          <w:snapToGrid/>
          <w:szCs w:val="22"/>
          <w:lang w:val="hu-HU" w:eastAsia="en-US"/>
        </w:rPr>
        <w:t>4.3</w:t>
      </w:r>
      <w:r w:rsidRPr="00F6526C">
        <w:rPr>
          <w:rFonts w:eastAsia="Times New Roman"/>
          <w:b/>
          <w:noProof/>
          <w:snapToGrid/>
          <w:szCs w:val="22"/>
          <w:lang w:val="hu-HU" w:eastAsia="en-US"/>
        </w:rPr>
        <w:tab/>
        <w:t>Ellenjavallatok</w:t>
      </w:r>
    </w:p>
    <w:p w14:paraId="7083A120" w14:textId="77777777" w:rsidR="00F506DB" w:rsidRPr="00F6526C" w:rsidRDefault="00F506DB" w:rsidP="00F506DB">
      <w:pPr>
        <w:spacing w:line="240" w:lineRule="auto"/>
        <w:ind w:left="567" w:hanging="567"/>
        <w:outlineLvl w:val="0"/>
        <w:rPr>
          <w:rFonts w:eastAsia="Times New Roman"/>
          <w:b/>
          <w:noProof/>
          <w:snapToGrid/>
          <w:szCs w:val="22"/>
          <w:lang w:val="hu-HU" w:eastAsia="en-US"/>
        </w:rPr>
      </w:pPr>
    </w:p>
    <w:p w14:paraId="7C15652D" w14:textId="64FA6198" w:rsidR="00F506DB" w:rsidRPr="00F6526C" w:rsidRDefault="00050FD3" w:rsidP="00F506DB">
      <w:pPr>
        <w:spacing w:line="240" w:lineRule="auto"/>
        <w:ind w:left="567" w:hanging="567"/>
        <w:outlineLvl w:val="0"/>
        <w:rPr>
          <w:rFonts w:eastAsia="Times New Roman"/>
          <w:noProof/>
          <w:snapToGrid/>
          <w:szCs w:val="22"/>
          <w:lang w:val="hu-HU" w:eastAsia="en-US"/>
        </w:rPr>
      </w:pPr>
      <w:r w:rsidRPr="00F6526C">
        <w:rPr>
          <w:rFonts w:eastAsia="Times New Roman"/>
          <w:noProof/>
          <w:snapToGrid/>
          <w:szCs w:val="22"/>
          <w:lang w:val="hu-HU" w:eastAsia="en-US"/>
        </w:rPr>
        <w:t>A</w:t>
      </w:r>
      <w:r w:rsidR="00F506DB" w:rsidRPr="00F6526C">
        <w:rPr>
          <w:rFonts w:eastAsia="Times New Roman"/>
          <w:noProof/>
          <w:snapToGrid/>
          <w:szCs w:val="22"/>
          <w:lang w:val="hu-HU" w:eastAsia="en-US"/>
        </w:rPr>
        <w:t xml:space="preserve"> gyógyszer </w:t>
      </w:r>
      <w:r w:rsidRPr="00F6526C">
        <w:rPr>
          <w:rFonts w:eastAsia="Times New Roman"/>
          <w:noProof/>
          <w:snapToGrid/>
          <w:szCs w:val="22"/>
          <w:lang w:val="hu-HU" w:eastAsia="en-US"/>
        </w:rPr>
        <w:t>ellenjavallt</w:t>
      </w:r>
      <w:r w:rsidR="00F506DB" w:rsidRPr="00F6526C">
        <w:rPr>
          <w:rFonts w:eastAsia="Times New Roman"/>
          <w:noProof/>
          <w:snapToGrid/>
          <w:szCs w:val="22"/>
          <w:lang w:val="hu-HU" w:eastAsia="en-US"/>
        </w:rPr>
        <w:t>:</w:t>
      </w:r>
    </w:p>
    <w:p w14:paraId="75754EB8" w14:textId="3CDFB425" w:rsidR="00050FD3" w:rsidRPr="00F6526C" w:rsidRDefault="00050FD3" w:rsidP="00C97896">
      <w:pPr>
        <w:pStyle w:val="Listaszerbekezds"/>
        <w:numPr>
          <w:ilvl w:val="0"/>
          <w:numId w:val="13"/>
        </w:numPr>
        <w:spacing w:line="240" w:lineRule="auto"/>
        <w:ind w:left="567" w:hanging="207"/>
        <w:outlineLvl w:val="0"/>
        <w:rPr>
          <w:rFonts w:eastAsia="Times New Roman"/>
          <w:noProof/>
          <w:snapToGrid/>
          <w:szCs w:val="22"/>
          <w:lang w:val="hu-HU" w:eastAsia="en-US"/>
        </w:rPr>
      </w:pPr>
      <w:r w:rsidRPr="00F6526C">
        <w:rPr>
          <w:rFonts w:eastAsia="Times New Roman"/>
          <w:noProof/>
          <w:snapToGrid/>
          <w:szCs w:val="22"/>
          <w:lang w:val="hu-HU" w:eastAsia="en-US"/>
        </w:rPr>
        <w:t>paracetamollal, ibuprofénnel, egyéb NSAID</w:t>
      </w:r>
      <w:r w:rsidR="009864B7">
        <w:rPr>
          <w:rFonts w:eastAsia="Calibri"/>
          <w:noProof/>
          <w:snapToGrid/>
          <w:szCs w:val="22"/>
          <w:lang w:val="hu-HU" w:eastAsia="en-US"/>
        </w:rPr>
        <w:t>-</w:t>
      </w:r>
      <w:r w:rsidRPr="00F6526C">
        <w:rPr>
          <w:rFonts w:eastAsia="Times New Roman"/>
          <w:noProof/>
          <w:snapToGrid/>
          <w:szCs w:val="22"/>
          <w:lang w:val="hu-HU" w:eastAsia="en-US"/>
        </w:rPr>
        <w:t xml:space="preserve">okkal vagy </w:t>
      </w:r>
      <w:r w:rsidR="002C78C5" w:rsidRPr="00F6526C">
        <w:rPr>
          <w:rFonts w:eastAsia="Times New Roman"/>
          <w:noProof/>
          <w:snapToGrid/>
          <w:szCs w:val="22"/>
          <w:lang w:val="hu-HU" w:eastAsia="en-US"/>
        </w:rPr>
        <w:t xml:space="preserve">a 6.1 pontban felsorolt bármely </w:t>
      </w:r>
      <w:r w:rsidRPr="00F6526C">
        <w:rPr>
          <w:rFonts w:eastAsia="Times New Roman"/>
          <w:noProof/>
          <w:snapToGrid/>
          <w:szCs w:val="22"/>
          <w:lang w:val="hu-HU" w:eastAsia="en-US"/>
        </w:rPr>
        <w:t>segédanyaggal szembeni túlérzékenység esetén;</w:t>
      </w:r>
    </w:p>
    <w:p w14:paraId="103E93E3" w14:textId="7BFE98A9" w:rsidR="00050FD3" w:rsidRPr="00F6526C" w:rsidRDefault="00DE1236" w:rsidP="00C97896">
      <w:pPr>
        <w:pStyle w:val="Listaszerbekezds"/>
        <w:numPr>
          <w:ilvl w:val="0"/>
          <w:numId w:val="13"/>
        </w:numPr>
        <w:spacing w:line="240" w:lineRule="auto"/>
        <w:outlineLvl w:val="0"/>
        <w:rPr>
          <w:rFonts w:eastAsia="Times New Roman"/>
          <w:noProof/>
          <w:snapToGrid/>
          <w:szCs w:val="22"/>
          <w:lang w:val="hu-HU" w:eastAsia="en-US"/>
        </w:rPr>
      </w:pPr>
      <w:r w:rsidRPr="00F6526C">
        <w:rPr>
          <w:rFonts w:eastAsia="Times New Roman"/>
          <w:noProof/>
          <w:snapToGrid/>
          <w:szCs w:val="22"/>
          <w:lang w:val="hu-HU" w:eastAsia="en-US"/>
        </w:rPr>
        <w:t>súlyos szívelégte</w:t>
      </w:r>
      <w:r w:rsidR="009358A6" w:rsidRPr="00F6526C">
        <w:rPr>
          <w:rFonts w:eastAsia="Times New Roman"/>
          <w:noProof/>
          <w:snapToGrid/>
          <w:szCs w:val="22"/>
          <w:lang w:val="hu-HU" w:eastAsia="en-US"/>
        </w:rPr>
        <w:t>lenségben (NYHA IV. stádium)</w:t>
      </w:r>
      <w:r w:rsidRPr="00F6526C">
        <w:rPr>
          <w:rFonts w:eastAsia="Times New Roman"/>
          <w:noProof/>
          <w:snapToGrid/>
          <w:szCs w:val="22"/>
          <w:lang w:val="hu-HU" w:eastAsia="en-US"/>
        </w:rPr>
        <w:t>;</w:t>
      </w:r>
    </w:p>
    <w:p w14:paraId="5E866F78" w14:textId="23D943D4" w:rsidR="00DE1236" w:rsidRPr="00F6526C" w:rsidRDefault="007C098C" w:rsidP="00C97896">
      <w:pPr>
        <w:pStyle w:val="Listaszerbekezds"/>
        <w:numPr>
          <w:ilvl w:val="0"/>
          <w:numId w:val="13"/>
        </w:numPr>
        <w:spacing w:line="240" w:lineRule="auto"/>
        <w:ind w:left="567" w:hanging="207"/>
        <w:outlineLvl w:val="0"/>
        <w:rPr>
          <w:rFonts w:eastAsia="Times New Roman"/>
          <w:noProof/>
          <w:snapToGrid/>
          <w:szCs w:val="22"/>
          <w:lang w:val="hu-HU" w:eastAsia="en-US"/>
        </w:rPr>
      </w:pPr>
      <w:r w:rsidRPr="00F6526C">
        <w:rPr>
          <w:rFonts w:eastAsia="Times New Roman"/>
          <w:noProof/>
          <w:snapToGrid/>
          <w:szCs w:val="22"/>
          <w:lang w:val="hu-HU" w:eastAsia="en-US"/>
        </w:rPr>
        <w:lastRenderedPageBreak/>
        <w:t>aktív alkoholizmusban s</w:t>
      </w:r>
      <w:r w:rsidR="006A47E4" w:rsidRPr="00F6526C">
        <w:rPr>
          <w:rFonts w:eastAsia="Times New Roman"/>
          <w:noProof/>
          <w:snapToGrid/>
          <w:szCs w:val="22"/>
          <w:lang w:val="hu-HU" w:eastAsia="en-US"/>
        </w:rPr>
        <w:t>zenvedő betegek esetén, mivel a</w:t>
      </w:r>
      <w:r w:rsidRPr="00F6526C">
        <w:rPr>
          <w:rFonts w:eastAsia="Times New Roman"/>
          <w:noProof/>
          <w:snapToGrid/>
          <w:szCs w:val="22"/>
          <w:lang w:val="hu-HU" w:eastAsia="en-US"/>
        </w:rPr>
        <w:t xml:space="preserve"> túlzott mértékű alkoholfogyasztás fokozhatja a hepatotoxicitást (a paracetamol összetevő okán)</w:t>
      </w:r>
      <w:r w:rsidR="00377FDD" w:rsidRPr="00F6526C">
        <w:rPr>
          <w:rFonts w:eastAsia="Times New Roman"/>
          <w:noProof/>
          <w:snapToGrid/>
          <w:szCs w:val="22"/>
          <w:lang w:val="hu-HU" w:eastAsia="en-US"/>
        </w:rPr>
        <w:t>;</w:t>
      </w:r>
    </w:p>
    <w:p w14:paraId="29E767EA" w14:textId="694CF7D9" w:rsidR="00377FDD" w:rsidRPr="00F6526C" w:rsidRDefault="006837D9" w:rsidP="00C97896">
      <w:pPr>
        <w:pStyle w:val="Listaszerbekezds"/>
        <w:numPr>
          <w:ilvl w:val="0"/>
          <w:numId w:val="13"/>
        </w:numPr>
        <w:spacing w:line="240" w:lineRule="auto"/>
        <w:ind w:left="567" w:hanging="207"/>
        <w:outlineLvl w:val="0"/>
        <w:rPr>
          <w:rFonts w:eastAsia="Times New Roman"/>
          <w:noProof/>
          <w:snapToGrid/>
          <w:szCs w:val="22"/>
          <w:lang w:val="hu-HU" w:eastAsia="en-US"/>
        </w:rPr>
      </w:pPr>
      <w:r w:rsidRPr="00F6526C">
        <w:rPr>
          <w:rFonts w:eastAsia="Times New Roman"/>
          <w:noProof/>
          <w:snapToGrid/>
          <w:szCs w:val="22"/>
          <w:lang w:val="hu-HU" w:eastAsia="en-US"/>
        </w:rPr>
        <w:t xml:space="preserve">acetilszalicilsav vagy más </w:t>
      </w:r>
      <w:r w:rsidR="009358A6" w:rsidRPr="00F6526C">
        <w:rPr>
          <w:rFonts w:eastAsia="Times New Roman"/>
          <w:noProof/>
          <w:snapToGrid/>
          <w:szCs w:val="22"/>
          <w:lang w:val="hu-HU" w:eastAsia="en-US"/>
        </w:rPr>
        <w:t>NSAID</w:t>
      </w:r>
      <w:r w:rsidR="009864B7">
        <w:rPr>
          <w:rFonts w:eastAsia="Calibri"/>
          <w:noProof/>
          <w:snapToGrid/>
          <w:szCs w:val="22"/>
          <w:lang w:val="hu-HU" w:eastAsia="en-US"/>
        </w:rPr>
        <w:t>-</w:t>
      </w:r>
      <w:r w:rsidRPr="00F6526C">
        <w:rPr>
          <w:rFonts w:eastAsia="Times New Roman"/>
          <w:noProof/>
          <w:snapToGrid/>
          <w:szCs w:val="22"/>
          <w:lang w:val="hu-HU" w:eastAsia="en-US"/>
        </w:rPr>
        <w:t>ok</w:t>
      </w:r>
      <w:r w:rsidR="009358A6" w:rsidRPr="00F6526C">
        <w:rPr>
          <w:rFonts w:eastAsia="Times New Roman"/>
          <w:noProof/>
          <w:snapToGrid/>
          <w:szCs w:val="22"/>
          <w:lang w:val="hu-HU" w:eastAsia="en-US"/>
        </w:rPr>
        <w:t xml:space="preserve"> alkalmazása során jelentkező hörgőgörcs, asthma, urticaria vagy allergiás reakció korábbi előfordulása esetén;</w:t>
      </w:r>
    </w:p>
    <w:p w14:paraId="6BD8ECA1" w14:textId="48CD1DDE" w:rsidR="009358A6" w:rsidRPr="00F6526C" w:rsidRDefault="006837D9" w:rsidP="00C97896">
      <w:pPr>
        <w:pStyle w:val="Listaszerbekezds"/>
        <w:numPr>
          <w:ilvl w:val="0"/>
          <w:numId w:val="13"/>
        </w:numPr>
        <w:spacing w:line="240" w:lineRule="auto"/>
        <w:outlineLvl w:val="0"/>
        <w:rPr>
          <w:rFonts w:eastAsia="Times New Roman"/>
          <w:noProof/>
          <w:snapToGrid/>
          <w:szCs w:val="22"/>
          <w:lang w:val="hu-HU" w:eastAsia="en-US"/>
        </w:rPr>
      </w:pPr>
      <w:r w:rsidRPr="00F6526C">
        <w:rPr>
          <w:rFonts w:eastAsia="Times New Roman"/>
          <w:noProof/>
          <w:snapToGrid/>
          <w:szCs w:val="22"/>
          <w:lang w:val="hu-HU" w:eastAsia="en-US"/>
        </w:rPr>
        <w:t>korábbi NSAID</w:t>
      </w:r>
      <w:r w:rsidR="009864B7">
        <w:rPr>
          <w:rFonts w:eastAsia="Calibri"/>
          <w:noProof/>
          <w:snapToGrid/>
          <w:szCs w:val="22"/>
          <w:lang w:val="hu-HU" w:eastAsia="en-US"/>
        </w:rPr>
        <w:t>-</w:t>
      </w:r>
      <w:r w:rsidRPr="00F6526C">
        <w:rPr>
          <w:rFonts w:eastAsia="Times New Roman"/>
          <w:noProof/>
          <w:snapToGrid/>
          <w:szCs w:val="22"/>
          <w:lang w:val="hu-HU" w:eastAsia="en-US"/>
        </w:rPr>
        <w:t>kezelés kapcsán fellépő gastrointestinalis vérzés vagy perforatio esetén;</w:t>
      </w:r>
    </w:p>
    <w:p w14:paraId="28A30905" w14:textId="6F9E1CF3" w:rsidR="006837D9" w:rsidRPr="00F6526C" w:rsidRDefault="00E95979" w:rsidP="00C97896">
      <w:pPr>
        <w:pStyle w:val="Listaszerbekezds"/>
        <w:numPr>
          <w:ilvl w:val="0"/>
          <w:numId w:val="13"/>
        </w:numPr>
        <w:spacing w:line="240" w:lineRule="auto"/>
        <w:ind w:left="567" w:hanging="207"/>
        <w:outlineLvl w:val="0"/>
        <w:rPr>
          <w:rFonts w:eastAsia="Times New Roman"/>
          <w:noProof/>
          <w:snapToGrid/>
          <w:szCs w:val="22"/>
          <w:lang w:val="hu-HU" w:eastAsia="en-US"/>
        </w:rPr>
      </w:pPr>
      <w:r w:rsidRPr="00F6526C">
        <w:rPr>
          <w:rFonts w:eastAsia="Times New Roman"/>
          <w:noProof/>
          <w:snapToGrid/>
          <w:szCs w:val="22"/>
          <w:lang w:val="hu-HU" w:eastAsia="en-US"/>
        </w:rPr>
        <w:t>aktív, vagy a kórelőzményben szereplő visszatérő pepticus fekély/vérzés esetén (fekély vagy vérzés igazolt előfordulása két vagy több alkalommal);</w:t>
      </w:r>
    </w:p>
    <w:p w14:paraId="1FC97B22" w14:textId="7FFFA5E9" w:rsidR="00E95979" w:rsidRPr="00F6526C" w:rsidRDefault="00717997" w:rsidP="00C97896">
      <w:pPr>
        <w:pStyle w:val="Listaszerbekezds"/>
        <w:numPr>
          <w:ilvl w:val="0"/>
          <w:numId w:val="13"/>
        </w:numPr>
        <w:spacing w:line="240" w:lineRule="auto"/>
        <w:outlineLvl w:val="0"/>
        <w:rPr>
          <w:rFonts w:eastAsia="Times New Roman"/>
          <w:noProof/>
          <w:snapToGrid/>
          <w:szCs w:val="22"/>
          <w:lang w:val="hu-HU" w:eastAsia="en-US"/>
        </w:rPr>
      </w:pPr>
      <w:r w:rsidRPr="00F6526C">
        <w:rPr>
          <w:rFonts w:eastAsia="Times New Roman"/>
          <w:noProof/>
          <w:snapToGrid/>
          <w:szCs w:val="22"/>
          <w:lang w:val="hu-HU" w:eastAsia="en-US"/>
        </w:rPr>
        <w:t>súlyos máj</w:t>
      </w:r>
      <w:r w:rsidR="009864B7">
        <w:rPr>
          <w:rFonts w:eastAsia="Calibri"/>
          <w:noProof/>
          <w:snapToGrid/>
          <w:szCs w:val="22"/>
          <w:lang w:val="hu-HU" w:eastAsia="en-US"/>
        </w:rPr>
        <w:t>-</w:t>
      </w:r>
      <w:r w:rsidRPr="00F6526C">
        <w:rPr>
          <w:rFonts w:eastAsia="Times New Roman"/>
          <w:noProof/>
          <w:snapToGrid/>
          <w:szCs w:val="22"/>
          <w:lang w:val="hu-HU" w:eastAsia="en-US"/>
        </w:rPr>
        <w:t xml:space="preserve"> vagy veseelégtelenség esetén (lásd 4.4 pont);</w:t>
      </w:r>
    </w:p>
    <w:p w14:paraId="5B62A8B4" w14:textId="04F0561D" w:rsidR="00717997" w:rsidRPr="00F6526C" w:rsidRDefault="008145A0" w:rsidP="00C97896">
      <w:pPr>
        <w:pStyle w:val="Listaszerbekezds"/>
        <w:numPr>
          <w:ilvl w:val="0"/>
          <w:numId w:val="13"/>
        </w:numPr>
        <w:spacing w:line="240" w:lineRule="auto"/>
        <w:outlineLvl w:val="0"/>
        <w:rPr>
          <w:rFonts w:eastAsia="Times New Roman"/>
          <w:noProof/>
          <w:snapToGrid/>
          <w:szCs w:val="22"/>
          <w:lang w:val="hu-HU" w:eastAsia="en-US"/>
        </w:rPr>
      </w:pPr>
      <w:r w:rsidRPr="00F6526C">
        <w:rPr>
          <w:rFonts w:eastAsia="Times New Roman"/>
          <w:noProof/>
          <w:snapToGrid/>
          <w:szCs w:val="22"/>
          <w:lang w:val="hu-HU" w:eastAsia="en-US"/>
        </w:rPr>
        <w:t>cerebrovascularis vagy egyéb aktív vérzés esetén;</w:t>
      </w:r>
    </w:p>
    <w:p w14:paraId="1B559953" w14:textId="610BE0A6" w:rsidR="00417C60" w:rsidRPr="00F6526C" w:rsidRDefault="00417C60" w:rsidP="00C97896">
      <w:pPr>
        <w:pStyle w:val="Listaszerbekezds"/>
        <w:numPr>
          <w:ilvl w:val="0"/>
          <w:numId w:val="13"/>
        </w:numPr>
        <w:spacing w:line="240" w:lineRule="auto"/>
        <w:outlineLvl w:val="0"/>
        <w:rPr>
          <w:rFonts w:eastAsia="Times New Roman"/>
          <w:noProof/>
          <w:snapToGrid/>
          <w:szCs w:val="22"/>
          <w:lang w:val="hu-HU" w:eastAsia="en-US"/>
        </w:rPr>
      </w:pPr>
      <w:r w:rsidRPr="00F6526C">
        <w:rPr>
          <w:rFonts w:eastAsia="Times New Roman"/>
          <w:noProof/>
          <w:snapToGrid/>
          <w:szCs w:val="22"/>
          <w:lang w:val="hu-HU" w:eastAsia="en-US"/>
        </w:rPr>
        <w:t>véralvadási zavar vagy fokozott vérzéshajlammal járó állapotok esetén;</w:t>
      </w:r>
    </w:p>
    <w:p w14:paraId="07B11ACE" w14:textId="5354A946" w:rsidR="00417C60" w:rsidRPr="00F6526C" w:rsidRDefault="00C93708" w:rsidP="00C97896">
      <w:pPr>
        <w:pStyle w:val="Listaszerbekezds"/>
        <w:numPr>
          <w:ilvl w:val="0"/>
          <w:numId w:val="13"/>
        </w:numPr>
        <w:spacing w:line="240" w:lineRule="auto"/>
        <w:outlineLvl w:val="0"/>
        <w:rPr>
          <w:rFonts w:eastAsia="Times New Roman"/>
          <w:noProof/>
          <w:snapToGrid/>
          <w:szCs w:val="22"/>
          <w:lang w:val="hu-HU" w:eastAsia="en-US"/>
        </w:rPr>
      </w:pPr>
      <w:r w:rsidRPr="00F6526C">
        <w:rPr>
          <w:rFonts w:eastAsia="Times New Roman"/>
          <w:noProof/>
          <w:snapToGrid/>
          <w:szCs w:val="22"/>
          <w:lang w:val="hu-HU" w:eastAsia="en-US"/>
        </w:rPr>
        <w:t>súlyos dehidráció esetén (hányás, hasmenés vagy elégtelen folyadékbevitel következtében);</w:t>
      </w:r>
    </w:p>
    <w:p w14:paraId="71544266" w14:textId="2D1DE0B5" w:rsidR="00167735" w:rsidRPr="00F6526C" w:rsidRDefault="00167735" w:rsidP="00C97896">
      <w:pPr>
        <w:pStyle w:val="Listaszerbekezds"/>
        <w:numPr>
          <w:ilvl w:val="0"/>
          <w:numId w:val="13"/>
        </w:numPr>
        <w:spacing w:line="240" w:lineRule="auto"/>
        <w:outlineLvl w:val="0"/>
        <w:rPr>
          <w:rFonts w:eastAsia="Times New Roman"/>
          <w:noProof/>
          <w:snapToGrid/>
          <w:szCs w:val="22"/>
          <w:lang w:val="hu-HU" w:eastAsia="en-US"/>
        </w:rPr>
      </w:pPr>
      <w:r w:rsidRPr="00F6526C">
        <w:rPr>
          <w:rFonts w:eastAsia="Times New Roman"/>
          <w:noProof/>
          <w:snapToGrid/>
          <w:szCs w:val="22"/>
          <w:lang w:val="hu-HU" w:eastAsia="en-US"/>
        </w:rPr>
        <w:t>a terhesség harmadik trimeszterében (lásd 4.6 pont);</w:t>
      </w:r>
    </w:p>
    <w:p w14:paraId="110FFB06" w14:textId="02289104" w:rsidR="00167735" w:rsidRPr="00F6526C" w:rsidRDefault="00BE1AE4" w:rsidP="00C97896">
      <w:pPr>
        <w:pStyle w:val="Listaszerbekezds"/>
        <w:numPr>
          <w:ilvl w:val="0"/>
          <w:numId w:val="13"/>
        </w:numPr>
        <w:spacing w:line="240" w:lineRule="auto"/>
        <w:outlineLvl w:val="0"/>
        <w:rPr>
          <w:rFonts w:eastAsia="Times New Roman"/>
          <w:noProof/>
          <w:snapToGrid/>
          <w:szCs w:val="22"/>
          <w:lang w:val="hu-HU" w:eastAsia="en-US"/>
        </w:rPr>
      </w:pPr>
      <w:r w:rsidRPr="00F6526C">
        <w:rPr>
          <w:rFonts w:eastAsia="Times New Roman"/>
          <w:noProof/>
          <w:snapToGrid/>
          <w:szCs w:val="22"/>
          <w:lang w:val="hu-HU" w:eastAsia="en-US"/>
        </w:rPr>
        <w:t>18 évnél fiatalabbak esetén</w:t>
      </w:r>
      <w:r w:rsidR="00931CF4" w:rsidRPr="00F6526C">
        <w:rPr>
          <w:rFonts w:eastAsia="Times New Roman"/>
          <w:noProof/>
          <w:snapToGrid/>
          <w:szCs w:val="22"/>
          <w:lang w:val="hu-HU" w:eastAsia="en-US"/>
        </w:rPr>
        <w:t>.</w:t>
      </w:r>
    </w:p>
    <w:p w14:paraId="49674486" w14:textId="77777777" w:rsidR="00BE1AE4" w:rsidRPr="00F6526C" w:rsidRDefault="00BE1AE4" w:rsidP="00082A8E">
      <w:pPr>
        <w:spacing w:line="240" w:lineRule="auto"/>
        <w:rPr>
          <w:rFonts w:eastAsia="Times New Roman"/>
          <w:noProof/>
          <w:snapToGrid/>
          <w:szCs w:val="22"/>
          <w:lang w:val="hu-HU" w:eastAsia="en-US"/>
        </w:rPr>
      </w:pPr>
    </w:p>
    <w:p w14:paraId="391D4434" w14:textId="77777777" w:rsidR="00F45C51" w:rsidRPr="00F6526C" w:rsidRDefault="00FC0857" w:rsidP="00814EA9">
      <w:pPr>
        <w:spacing w:before="240" w:after="120" w:line="240" w:lineRule="auto"/>
        <w:ind w:left="567" w:hanging="567"/>
        <w:outlineLvl w:val="0"/>
        <w:rPr>
          <w:rFonts w:eastAsia="Times New Roman"/>
          <w:b/>
          <w:noProof/>
          <w:snapToGrid/>
          <w:szCs w:val="22"/>
          <w:lang w:val="hu-HU" w:eastAsia="en-US"/>
        </w:rPr>
      </w:pPr>
      <w:r w:rsidRPr="00F6526C">
        <w:rPr>
          <w:rFonts w:eastAsia="Times New Roman"/>
          <w:b/>
          <w:noProof/>
          <w:snapToGrid/>
          <w:szCs w:val="22"/>
          <w:lang w:val="hu-HU" w:eastAsia="en-US"/>
        </w:rPr>
        <w:t>4.4</w:t>
      </w:r>
      <w:r w:rsidRPr="00F6526C">
        <w:rPr>
          <w:rFonts w:eastAsia="Times New Roman"/>
          <w:b/>
          <w:noProof/>
          <w:snapToGrid/>
          <w:szCs w:val="22"/>
          <w:lang w:val="hu-HU" w:eastAsia="en-US"/>
        </w:rPr>
        <w:tab/>
        <w:t>Különleges figyelmeztetések és az alkalmazással kapcsolatos óvintézkedések</w:t>
      </w:r>
    </w:p>
    <w:p w14:paraId="32CE5AAE" w14:textId="72922E1B" w:rsidR="00F45C51" w:rsidRPr="00F6526C" w:rsidRDefault="00E67DAA" w:rsidP="00497F75">
      <w:pPr>
        <w:spacing w:line="240" w:lineRule="auto"/>
        <w:rPr>
          <w:lang w:val="hu-HU"/>
        </w:rPr>
      </w:pPr>
      <w:r w:rsidRPr="00F6526C">
        <w:rPr>
          <w:lang w:val="hu-HU"/>
        </w:rPr>
        <w:t xml:space="preserve">A mellékhatások előfordulása minimálisra csökkenthető, ha a tünetek kezeléséhez szükséges legalacsonyabb hatásos dózist alkalmazzák a lehető legrövidebb ideig. Ez a gyógyszer rövid távú kezelésére javallott, és </w:t>
      </w:r>
      <w:r w:rsidR="00F97C58" w:rsidRPr="00F6526C">
        <w:rPr>
          <w:lang w:val="hu-HU"/>
        </w:rPr>
        <w:t xml:space="preserve">alkalmazása </w:t>
      </w:r>
      <w:r w:rsidR="00214B14" w:rsidRPr="00F6526C">
        <w:rPr>
          <w:lang w:val="hu-HU"/>
        </w:rPr>
        <w:t>2</w:t>
      </w:r>
      <w:r w:rsidR="00F97C58" w:rsidRPr="00F6526C">
        <w:rPr>
          <w:lang w:val="hu-HU"/>
        </w:rPr>
        <w:t> napnál hosszabb ideig nem ajánlott</w:t>
      </w:r>
      <w:r w:rsidRPr="00F6526C">
        <w:rPr>
          <w:lang w:val="hu-HU"/>
        </w:rPr>
        <w:t>.</w:t>
      </w:r>
    </w:p>
    <w:p w14:paraId="551F9EF9" w14:textId="77777777" w:rsidR="00E67DAA" w:rsidRPr="00F6526C" w:rsidRDefault="00E67DAA" w:rsidP="00497F75">
      <w:pPr>
        <w:spacing w:line="240" w:lineRule="auto"/>
        <w:rPr>
          <w:lang w:val="hu-HU"/>
        </w:rPr>
      </w:pPr>
    </w:p>
    <w:p w14:paraId="17E5EE3D" w14:textId="54AB0BA0" w:rsidR="00BA0225" w:rsidRPr="00F6526C" w:rsidRDefault="008C1DB2" w:rsidP="00497F75">
      <w:pPr>
        <w:spacing w:line="240" w:lineRule="auto"/>
        <w:rPr>
          <w:lang w:val="hu-HU"/>
        </w:rPr>
      </w:pPr>
      <w:r w:rsidRPr="00F6526C">
        <w:rPr>
          <w:lang w:val="hu-HU"/>
        </w:rPr>
        <w:t>A</w:t>
      </w:r>
      <w:r w:rsidR="00DD2DF7">
        <w:rPr>
          <w:lang w:val="hu-HU"/>
        </w:rPr>
        <w:t>z</w:t>
      </w:r>
      <w:r w:rsidRPr="00F6526C">
        <w:rPr>
          <w:lang w:val="hu-HU"/>
        </w:rPr>
        <w:t xml:space="preserve"> </w:t>
      </w:r>
      <w:r w:rsidR="006D4655">
        <w:rPr>
          <w:rFonts w:eastAsia="Times New Roman"/>
          <w:noProof/>
          <w:snapToGrid/>
          <w:szCs w:val="22"/>
          <w:lang w:val="hu-HU" w:eastAsia="en-US"/>
        </w:rPr>
        <w:t>Elomen</w:t>
      </w:r>
      <w:r w:rsidRPr="00F6526C">
        <w:rPr>
          <w:rFonts w:eastAsia="Times New Roman"/>
          <w:noProof/>
          <w:snapToGrid/>
          <w:szCs w:val="22"/>
          <w:lang w:val="hu-HU" w:eastAsia="en-US"/>
        </w:rPr>
        <w:t xml:space="preserve"> 1000 mg/300 mg oldatos infúzió</w:t>
      </w:r>
      <w:r w:rsidR="00505336" w:rsidRPr="00F6526C">
        <w:rPr>
          <w:lang w:val="hu-HU"/>
        </w:rPr>
        <w:t xml:space="preserve"> együttes alkalmazása egyéb NSAID</w:t>
      </w:r>
      <w:r w:rsidR="009864B7">
        <w:rPr>
          <w:rFonts w:eastAsia="Calibri"/>
          <w:lang w:val="hu-HU"/>
        </w:rPr>
        <w:t>-</w:t>
      </w:r>
      <w:r w:rsidR="00505336" w:rsidRPr="00F6526C">
        <w:rPr>
          <w:lang w:val="hu-HU"/>
        </w:rPr>
        <w:t>okkal, köztük a szelektív ciklooxigenáz</w:t>
      </w:r>
      <w:r w:rsidR="009864B7">
        <w:rPr>
          <w:rFonts w:eastAsia="Calibri"/>
          <w:lang w:val="hu-HU"/>
        </w:rPr>
        <w:t>-</w:t>
      </w:r>
      <w:r w:rsidR="00505336" w:rsidRPr="00F6526C">
        <w:rPr>
          <w:lang w:val="hu-HU"/>
        </w:rPr>
        <w:t>2 gátlókkal kerülendő.</w:t>
      </w:r>
    </w:p>
    <w:p w14:paraId="0F2C415B" w14:textId="77777777" w:rsidR="00451C1F" w:rsidRPr="00F6526C" w:rsidRDefault="00451C1F" w:rsidP="00497F75">
      <w:pPr>
        <w:spacing w:line="240" w:lineRule="auto"/>
        <w:rPr>
          <w:lang w:val="hu-HU"/>
        </w:rPr>
      </w:pPr>
    </w:p>
    <w:p w14:paraId="4CB0DE70" w14:textId="77777777" w:rsidR="00812334" w:rsidRPr="00F6526C" w:rsidRDefault="00DE25BA" w:rsidP="00497F75">
      <w:pPr>
        <w:spacing w:line="240" w:lineRule="auto"/>
        <w:rPr>
          <w:lang w:val="hu-HU"/>
        </w:rPr>
      </w:pPr>
      <w:r w:rsidRPr="00F6526C">
        <w:rPr>
          <w:lang w:val="hu-HU"/>
        </w:rPr>
        <w:t>A túladagolás veszélyének elkerülése érdekében</w:t>
      </w:r>
      <w:r w:rsidR="00812334" w:rsidRPr="00F6526C">
        <w:rPr>
          <w:lang w:val="hu-HU"/>
        </w:rPr>
        <w:t>:</w:t>
      </w:r>
    </w:p>
    <w:p w14:paraId="2FD403DF" w14:textId="33CC74A8" w:rsidR="00451C1F" w:rsidRPr="00F6526C" w:rsidRDefault="00DE25BA" w:rsidP="00C97896">
      <w:pPr>
        <w:pStyle w:val="Listaszerbekezds"/>
        <w:numPr>
          <w:ilvl w:val="0"/>
          <w:numId w:val="14"/>
        </w:numPr>
        <w:spacing w:line="240" w:lineRule="auto"/>
        <w:rPr>
          <w:lang w:val="hu-HU"/>
        </w:rPr>
      </w:pPr>
      <w:r w:rsidRPr="00F6526C">
        <w:rPr>
          <w:lang w:val="hu-HU"/>
        </w:rPr>
        <w:t>ellenőrizze, hogy az együtt adott gyógyszerek nem tartalmaznak</w:t>
      </w:r>
      <w:r w:rsidR="009864B7">
        <w:rPr>
          <w:rFonts w:eastAsia="Calibri"/>
          <w:lang w:val="hu-HU"/>
        </w:rPr>
        <w:t>-</w:t>
      </w:r>
      <w:r w:rsidRPr="00F6526C">
        <w:rPr>
          <w:lang w:val="hu-HU"/>
        </w:rPr>
        <w:t>e paracetamolt</w:t>
      </w:r>
      <w:r w:rsidR="00F50EB8" w:rsidRPr="00F6526C">
        <w:rPr>
          <w:lang w:val="hu-HU"/>
        </w:rPr>
        <w:t>,</w:t>
      </w:r>
    </w:p>
    <w:p w14:paraId="695D3366" w14:textId="4CC2433F" w:rsidR="00812334" w:rsidRPr="00F6526C" w:rsidRDefault="00670D8E" w:rsidP="00C97896">
      <w:pPr>
        <w:pStyle w:val="Listaszerbekezds"/>
        <w:numPr>
          <w:ilvl w:val="0"/>
          <w:numId w:val="14"/>
        </w:numPr>
        <w:spacing w:line="240" w:lineRule="auto"/>
        <w:rPr>
          <w:lang w:val="hu-HU"/>
        </w:rPr>
      </w:pPr>
      <w:r w:rsidRPr="00F6526C">
        <w:rPr>
          <w:lang w:val="hu-HU"/>
        </w:rPr>
        <w:t>vegye figyelembe a javasolt maximális adagokat</w:t>
      </w:r>
      <w:r w:rsidR="00F50EB8" w:rsidRPr="00F6526C">
        <w:rPr>
          <w:lang w:val="hu-HU"/>
        </w:rPr>
        <w:t xml:space="preserve"> (lásd 4.2 pont)</w:t>
      </w:r>
      <w:r w:rsidR="00BC41B4" w:rsidRPr="00F6526C">
        <w:rPr>
          <w:lang w:val="hu-HU"/>
        </w:rPr>
        <w:t>.</w:t>
      </w:r>
    </w:p>
    <w:p w14:paraId="5201A0F8" w14:textId="77777777" w:rsidR="003A4789" w:rsidRPr="00F6526C" w:rsidRDefault="003A4789" w:rsidP="003A4789">
      <w:pPr>
        <w:spacing w:line="240" w:lineRule="auto"/>
        <w:rPr>
          <w:lang w:val="hu-HU"/>
        </w:rPr>
      </w:pPr>
    </w:p>
    <w:p w14:paraId="7D4676F6" w14:textId="45A415E4" w:rsidR="008863EB" w:rsidRPr="00F6526C" w:rsidRDefault="008863EB" w:rsidP="003A4789">
      <w:pPr>
        <w:spacing w:line="240" w:lineRule="auto"/>
        <w:rPr>
          <w:b/>
          <w:i/>
          <w:lang w:val="hu-HU"/>
        </w:rPr>
      </w:pPr>
      <w:r w:rsidRPr="00F6526C">
        <w:rPr>
          <w:b/>
          <w:i/>
          <w:lang w:val="hu-HU"/>
        </w:rPr>
        <w:t xml:space="preserve">Szív- és érrendszeri thrombotikus </w:t>
      </w:r>
      <w:r w:rsidR="00F6526C">
        <w:rPr>
          <w:b/>
          <w:i/>
          <w:lang w:val="hu-HU"/>
        </w:rPr>
        <w:t>események</w:t>
      </w:r>
    </w:p>
    <w:p w14:paraId="0771A7BF" w14:textId="28BFBDAD" w:rsidR="008863EB" w:rsidRPr="00F6526C" w:rsidRDefault="008863EB" w:rsidP="003A4789">
      <w:pPr>
        <w:spacing w:line="240" w:lineRule="auto"/>
        <w:rPr>
          <w:lang w:val="hu-HU"/>
        </w:rPr>
      </w:pPr>
      <w:r w:rsidRPr="00F6526C">
        <w:rPr>
          <w:lang w:val="hu-HU"/>
        </w:rPr>
        <w:t>A klinikai vizsgálati adatok arra utalnak, hogy az ibuprofén alkalmazása – különösen nagy (2400 mg/nap) dózisokban összefügghet az artériás thro</w:t>
      </w:r>
      <w:r w:rsidR="0011794E" w:rsidRPr="00F6526C">
        <w:rPr>
          <w:lang w:val="hu-HU"/>
        </w:rPr>
        <w:t>mbotikus események</w:t>
      </w:r>
      <w:r w:rsidRPr="00F6526C">
        <w:rPr>
          <w:lang w:val="hu-HU"/>
        </w:rPr>
        <w:t xml:space="preserve"> (pl. szívinfarctus vagy stroke) kockázatának kismértékű emelkedésével. </w:t>
      </w:r>
      <w:r w:rsidR="001779BA" w:rsidRPr="00F6526C">
        <w:rPr>
          <w:lang w:val="hu-HU"/>
        </w:rPr>
        <w:t>Összességében az epidemiológiai vizsgálatok nem utalnak arra, hogy az alacsony dózisú ibuprofén (pl. 1200 mg/nap) összefüggene az arteriás thrombotikus események kockázatának fokozódásával.</w:t>
      </w:r>
    </w:p>
    <w:p w14:paraId="6F0A7417" w14:textId="77777777" w:rsidR="001779BA" w:rsidRPr="00F6526C" w:rsidRDefault="001779BA" w:rsidP="003A4789">
      <w:pPr>
        <w:spacing w:line="240" w:lineRule="auto"/>
        <w:rPr>
          <w:lang w:val="hu-HU"/>
        </w:rPr>
      </w:pPr>
    </w:p>
    <w:p w14:paraId="7F14991A" w14:textId="6A9EE5D7" w:rsidR="001779BA" w:rsidRPr="00F6526C" w:rsidRDefault="008E1B02" w:rsidP="003A4789">
      <w:pPr>
        <w:spacing w:line="240" w:lineRule="auto"/>
        <w:rPr>
          <w:lang w:val="hu-HU"/>
        </w:rPr>
      </w:pPr>
      <w:r w:rsidRPr="00F6526C">
        <w:rPr>
          <w:lang w:val="hu-HU"/>
        </w:rPr>
        <w:t>A kontrollálatlan hypertoniában, pangásos szívelégtelenségben (NYHA II-III), diagnosztizált ischaemiás szívbetegségben, perifériás arteriás betegségben és/vagy cerebrovascularis betegségben szenvedő betegeket csak gondos mérlegelés után szabad ibuprofénnel kezelni és kerülni kell a nagy (2400 mg/nap) dózisokat.</w:t>
      </w:r>
    </w:p>
    <w:p w14:paraId="01FFD756" w14:textId="77777777" w:rsidR="00D004BD" w:rsidRPr="00F6526C" w:rsidRDefault="00D004BD" w:rsidP="003A4789">
      <w:pPr>
        <w:spacing w:line="240" w:lineRule="auto"/>
        <w:rPr>
          <w:lang w:val="hu-HU"/>
        </w:rPr>
      </w:pPr>
    </w:p>
    <w:p w14:paraId="4EF4AF52" w14:textId="42E8A2E5" w:rsidR="00D004BD" w:rsidRPr="00F6526C" w:rsidRDefault="003C592D" w:rsidP="003A4789">
      <w:pPr>
        <w:spacing w:line="240" w:lineRule="auto"/>
        <w:rPr>
          <w:lang w:val="hu-HU"/>
        </w:rPr>
      </w:pPr>
      <w:r w:rsidRPr="00F6526C">
        <w:rPr>
          <w:lang w:val="hu-HU"/>
        </w:rPr>
        <w:t>A szív- és érrendszeri események kockázati tényezőivel (pl. hypertonia, hyperlipidaemia, diabetes mellitus, dohányzás) rendelkező betegeknél gondos mérlegelés szükséges a hosszú időtartamú kezelés megkezdése előtt, különösen, ha nagy ibuprofén</w:t>
      </w:r>
      <w:r w:rsidR="00F6526C">
        <w:rPr>
          <w:lang w:val="hu-HU"/>
        </w:rPr>
        <w:t>-</w:t>
      </w:r>
      <w:r w:rsidRPr="00F6526C">
        <w:rPr>
          <w:lang w:val="hu-HU"/>
        </w:rPr>
        <w:t>dózisok (2400 mg/nap) szükségesek.</w:t>
      </w:r>
    </w:p>
    <w:p w14:paraId="6F41CBD4" w14:textId="77777777" w:rsidR="003C592D" w:rsidRPr="00F6526C" w:rsidRDefault="003C592D" w:rsidP="003A4789">
      <w:pPr>
        <w:spacing w:line="240" w:lineRule="auto"/>
        <w:rPr>
          <w:lang w:val="hu-HU"/>
        </w:rPr>
      </w:pPr>
    </w:p>
    <w:p w14:paraId="33F86E6F" w14:textId="22ED2AAA" w:rsidR="00E4352D" w:rsidRPr="00F6526C" w:rsidRDefault="00E4352D" w:rsidP="003A4789">
      <w:pPr>
        <w:spacing w:line="240" w:lineRule="auto"/>
        <w:rPr>
          <w:b/>
          <w:i/>
          <w:lang w:val="hu-HU"/>
        </w:rPr>
      </w:pPr>
      <w:r w:rsidRPr="00F6526C">
        <w:rPr>
          <w:b/>
          <w:i/>
          <w:lang w:val="hu-HU"/>
        </w:rPr>
        <w:t>Májkárosodás</w:t>
      </w:r>
    </w:p>
    <w:p w14:paraId="09167E4B" w14:textId="20E3A51A" w:rsidR="008D236F" w:rsidRPr="00F6526C" w:rsidRDefault="00104EDE" w:rsidP="008D236F">
      <w:pPr>
        <w:rPr>
          <w:lang w:val="hu-HU"/>
        </w:rPr>
      </w:pPr>
      <w:r w:rsidRPr="00F6526C">
        <w:rPr>
          <w:lang w:val="hu-HU"/>
        </w:rPr>
        <w:t>A paracetamol ajánlottnál nagyobb dózisa hepatotoxicitást, sőt, májelégtelenséget és halált is okozhat.</w:t>
      </w:r>
      <w:r w:rsidR="00316ACC" w:rsidRPr="00F6526C">
        <w:rPr>
          <w:lang w:val="hu-HU"/>
        </w:rPr>
        <w:t xml:space="preserve"> </w:t>
      </w:r>
      <w:r w:rsidR="002E1843" w:rsidRPr="00F6526C">
        <w:rPr>
          <w:lang w:val="hu-HU"/>
        </w:rPr>
        <w:t>A</w:t>
      </w:r>
      <w:r w:rsidR="00A94C8F" w:rsidRPr="00F6526C">
        <w:rPr>
          <w:lang w:val="hu-HU"/>
        </w:rPr>
        <w:t xml:space="preserve"> károsodott májfunkciójú vagy májbetegségben szenvedő betegeknél, akik hosszú távú ibuprofén- vagy paracetamol kezelésben részesülnek, rendszeres </w:t>
      </w:r>
      <w:r w:rsidR="004E104B" w:rsidRPr="00F6526C">
        <w:rPr>
          <w:lang w:val="hu-HU"/>
        </w:rPr>
        <w:t xml:space="preserve">időközönként ellenőrizni kell a </w:t>
      </w:r>
      <w:r w:rsidR="00A94C8F" w:rsidRPr="00F6526C">
        <w:rPr>
          <w:lang w:val="hu-HU"/>
        </w:rPr>
        <w:t xml:space="preserve">májfunkciót, </w:t>
      </w:r>
      <w:r w:rsidR="00A62896" w:rsidRPr="00F6526C">
        <w:rPr>
          <w:lang w:val="hu-HU"/>
        </w:rPr>
        <w:t xml:space="preserve">mivel </w:t>
      </w:r>
      <w:r w:rsidR="00540F95" w:rsidRPr="00F6526C">
        <w:rPr>
          <w:lang w:val="hu-HU"/>
        </w:rPr>
        <w:t xml:space="preserve">beszámolók alapján </w:t>
      </w:r>
      <w:r w:rsidR="00A62896" w:rsidRPr="00F6526C">
        <w:rPr>
          <w:lang w:val="hu-HU"/>
        </w:rPr>
        <w:t>az ibuprofén kismértékű</w:t>
      </w:r>
      <w:r w:rsidR="00A94C8F" w:rsidRPr="00F6526C">
        <w:rPr>
          <w:lang w:val="hu-HU"/>
        </w:rPr>
        <w:t xml:space="preserve"> és átmeneti hatást gyakorol a májenzimekre.</w:t>
      </w:r>
      <w:r w:rsidR="00A34A2C" w:rsidRPr="00F6526C">
        <w:rPr>
          <w:lang w:val="hu-HU"/>
        </w:rPr>
        <w:t xml:space="preserve"> </w:t>
      </w:r>
      <w:r w:rsidR="00ED2B03" w:rsidRPr="00F6526C">
        <w:rPr>
          <w:lang w:val="hu-HU"/>
        </w:rPr>
        <w:t xml:space="preserve">A </w:t>
      </w:r>
      <w:r w:rsidR="00A34A2C" w:rsidRPr="00F6526C">
        <w:rPr>
          <w:lang w:val="hu-HU"/>
        </w:rPr>
        <w:t xml:space="preserve">májfunkciós értékek emelkedése esetén a dózis csökkentése javasolt. </w:t>
      </w:r>
      <w:r w:rsidR="008D236F" w:rsidRPr="00F6526C">
        <w:rPr>
          <w:lang w:val="hu-HU"/>
        </w:rPr>
        <w:t>Súlyos májelégtelenség kialakulásakor a kezelést fel kell függeszteni (lásd 4.3 pont).</w:t>
      </w:r>
    </w:p>
    <w:p w14:paraId="01E91AFA" w14:textId="77777777" w:rsidR="00CE231F" w:rsidRPr="00F6526C" w:rsidRDefault="00CE231F" w:rsidP="008D236F">
      <w:pPr>
        <w:rPr>
          <w:lang w:val="hu-HU"/>
        </w:rPr>
      </w:pPr>
    </w:p>
    <w:p w14:paraId="66BC8E48" w14:textId="5D34F084" w:rsidR="00CE231F" w:rsidRPr="00F6526C" w:rsidRDefault="00785DEF" w:rsidP="004E104B">
      <w:pPr>
        <w:rPr>
          <w:lang w:val="hu-HU"/>
        </w:rPr>
      </w:pPr>
      <w:r w:rsidRPr="00F6526C">
        <w:rPr>
          <w:lang w:val="hu-HU"/>
        </w:rPr>
        <w:t xml:space="preserve">Bár ritkán, de ibuprofén alkalmazása során hasonlóan más NSAID-okhoz, beszámoltak súlyos májreakciókról, beleértve a sárgaságot és a halálos kimenetelű hepatitist. </w:t>
      </w:r>
      <w:r w:rsidR="004E104B" w:rsidRPr="00F6526C">
        <w:rPr>
          <w:lang w:val="hu-HU"/>
        </w:rPr>
        <w:t>Amennyiben a kó</w:t>
      </w:r>
      <w:r w:rsidR="009A3F25" w:rsidRPr="00F6526C">
        <w:rPr>
          <w:lang w:val="hu-HU"/>
        </w:rPr>
        <w:t>ros májenzim értékek tartósan</w:t>
      </w:r>
      <w:r w:rsidR="004E104B" w:rsidRPr="00F6526C">
        <w:rPr>
          <w:lang w:val="hu-HU"/>
        </w:rPr>
        <w:t xml:space="preserve"> fennállnak, vagy rosszabbodnak, illetve májbetegséggel összefüggő klinikai jelek és tünetek alakulnak ki, vagy szisztémás hatások jelentkeznek (pl. eozinofília, </w:t>
      </w:r>
      <w:r w:rsidR="0097330A" w:rsidRPr="00F6526C">
        <w:rPr>
          <w:lang w:val="hu-HU"/>
        </w:rPr>
        <w:t>bőr</w:t>
      </w:r>
      <w:r w:rsidR="004E104B" w:rsidRPr="00F6526C">
        <w:rPr>
          <w:lang w:val="hu-HU"/>
        </w:rPr>
        <w:t>ki</w:t>
      </w:r>
      <w:r w:rsidR="0097330A" w:rsidRPr="00F6526C">
        <w:rPr>
          <w:lang w:val="hu-HU"/>
        </w:rPr>
        <w:t xml:space="preserve">ütés stb.), </w:t>
      </w:r>
      <w:r w:rsidR="0097330A" w:rsidRPr="00F6526C">
        <w:rPr>
          <w:lang w:val="hu-HU"/>
        </w:rPr>
        <w:lastRenderedPageBreak/>
        <w:t xml:space="preserve">akkor az ibuprofén </w:t>
      </w:r>
      <w:r w:rsidR="004E104B" w:rsidRPr="00F6526C">
        <w:rPr>
          <w:lang w:val="hu-HU"/>
        </w:rPr>
        <w:t>kezelést fel kell függeszteni.</w:t>
      </w:r>
      <w:r w:rsidR="009F3FA2" w:rsidRPr="00F6526C">
        <w:rPr>
          <w:lang w:val="hu-HU"/>
        </w:rPr>
        <w:t xml:space="preserve"> </w:t>
      </w:r>
      <w:r w:rsidR="00B66AB2" w:rsidRPr="00F6526C">
        <w:rPr>
          <w:lang w:val="hu-HU"/>
        </w:rPr>
        <w:t>Főként a paracetamollal, de mindkét hatóanyaggal való kezelés során fordult elő hepatotoxicitás és akár májelégtelenség is.</w:t>
      </w:r>
    </w:p>
    <w:p w14:paraId="0538A0B9" w14:textId="77777777" w:rsidR="00F97287" w:rsidRPr="00F6526C" w:rsidRDefault="00F97287" w:rsidP="004E104B">
      <w:pPr>
        <w:rPr>
          <w:lang w:val="hu-HU"/>
        </w:rPr>
      </w:pPr>
    </w:p>
    <w:p w14:paraId="687A9107" w14:textId="461D37F5" w:rsidR="00F97287" w:rsidRPr="00F6526C" w:rsidRDefault="00BB205B" w:rsidP="004E104B">
      <w:pPr>
        <w:rPr>
          <w:b/>
          <w:i/>
          <w:lang w:val="hu-HU"/>
        </w:rPr>
      </w:pPr>
      <w:r w:rsidRPr="00F6526C">
        <w:rPr>
          <w:b/>
          <w:i/>
          <w:lang w:val="hu-HU"/>
        </w:rPr>
        <w:t>Vese</w:t>
      </w:r>
      <w:r w:rsidR="00F97287" w:rsidRPr="00F6526C">
        <w:rPr>
          <w:b/>
          <w:i/>
          <w:lang w:val="hu-HU"/>
        </w:rPr>
        <w:t>károsodás</w:t>
      </w:r>
    </w:p>
    <w:p w14:paraId="69F890A3" w14:textId="2235912F" w:rsidR="00BB205B" w:rsidRPr="00F6526C" w:rsidRDefault="00B553A6" w:rsidP="004E104B">
      <w:pPr>
        <w:rPr>
          <w:lang w:val="hu-HU"/>
        </w:rPr>
      </w:pPr>
      <w:r w:rsidRPr="00F6526C">
        <w:rPr>
          <w:lang w:val="hu-HU"/>
        </w:rPr>
        <w:t xml:space="preserve">A paracetamol a dózis módosítása nélkül használható krónikus vesebetegek esetén. </w:t>
      </w:r>
      <w:r w:rsidR="000E4C3F" w:rsidRPr="00F6526C">
        <w:rPr>
          <w:lang w:val="hu-HU"/>
        </w:rPr>
        <w:t>Közepes</w:t>
      </w:r>
      <w:r w:rsidR="00892818" w:rsidRPr="00F6526C">
        <w:rPr>
          <w:lang w:val="hu-HU"/>
        </w:rPr>
        <w:t xml:space="preserve"> vagy súlyos </w:t>
      </w:r>
      <w:r w:rsidR="000E4C3F" w:rsidRPr="00F6526C">
        <w:rPr>
          <w:lang w:val="hu-HU"/>
        </w:rPr>
        <w:t xml:space="preserve">fokú </w:t>
      </w:r>
      <w:r w:rsidR="00892818" w:rsidRPr="00F6526C">
        <w:rPr>
          <w:lang w:val="hu-HU"/>
        </w:rPr>
        <w:t>veseelégtelenségben a paracetamol</w:t>
      </w:r>
      <w:r w:rsidR="005C77DF">
        <w:rPr>
          <w:lang w:val="hu-HU"/>
        </w:rPr>
        <w:t>-</w:t>
      </w:r>
      <w:r w:rsidR="00892818" w:rsidRPr="00F6526C">
        <w:rPr>
          <w:lang w:val="hu-HU"/>
        </w:rPr>
        <w:t xml:space="preserve">toxicitás kockázata minimális. </w:t>
      </w:r>
      <w:r w:rsidR="00316712" w:rsidRPr="00F6526C">
        <w:rPr>
          <w:lang w:val="hu-HU"/>
        </w:rPr>
        <w:t>Elővigyázatosan kell a</w:t>
      </w:r>
      <w:r w:rsidR="00247021" w:rsidRPr="00F6526C">
        <w:rPr>
          <w:lang w:val="hu-HU"/>
        </w:rPr>
        <w:t xml:space="preserve">zonban </w:t>
      </w:r>
      <w:r w:rsidR="000A3693" w:rsidRPr="00F6526C">
        <w:rPr>
          <w:lang w:val="hu-HU"/>
        </w:rPr>
        <w:t>eljárni</w:t>
      </w:r>
      <w:r w:rsidR="00247021" w:rsidRPr="00F6526C">
        <w:rPr>
          <w:lang w:val="hu-HU"/>
        </w:rPr>
        <w:t xml:space="preserve"> a gyógyszer ibuprofén</w:t>
      </w:r>
      <w:r w:rsidR="005C77DF">
        <w:rPr>
          <w:lang w:val="hu-HU"/>
        </w:rPr>
        <w:t>-</w:t>
      </w:r>
      <w:r w:rsidR="00247021" w:rsidRPr="00F6526C">
        <w:rPr>
          <w:lang w:val="hu-HU"/>
        </w:rPr>
        <w:t>tartalma okán, amennyiben a kezelést dehidratált betegnél kezdik.</w:t>
      </w:r>
      <w:r w:rsidR="00081AD3" w:rsidRPr="00F6526C">
        <w:rPr>
          <w:lang w:val="hu-HU"/>
        </w:rPr>
        <w:t xml:space="preserve"> Az ibuprofén két fő metabolitja elsősorban a vizelettel ürül, így a vesefunkció károsodása</w:t>
      </w:r>
      <w:r w:rsidR="00CE230A" w:rsidRPr="00F6526C">
        <w:rPr>
          <w:lang w:val="hu-HU"/>
        </w:rPr>
        <w:t xml:space="preserve"> </w:t>
      </w:r>
      <w:r w:rsidR="00B8510B" w:rsidRPr="00F6526C">
        <w:rPr>
          <w:lang w:val="hu-HU"/>
        </w:rPr>
        <w:t xml:space="preserve">a </w:t>
      </w:r>
      <w:r w:rsidR="00CE230A" w:rsidRPr="00F6526C">
        <w:rPr>
          <w:lang w:val="hu-HU"/>
        </w:rPr>
        <w:t xml:space="preserve">felhalmozódását eredményezheti, </w:t>
      </w:r>
      <w:r w:rsidR="009D65B3" w:rsidRPr="00F6526C">
        <w:rPr>
          <w:lang w:val="hu-HU"/>
        </w:rPr>
        <w:t>melynek jelentősége</w:t>
      </w:r>
      <w:r w:rsidR="00B8510B" w:rsidRPr="00F6526C">
        <w:rPr>
          <w:lang w:val="hu-HU"/>
        </w:rPr>
        <w:t xml:space="preserve"> nem ismert. </w:t>
      </w:r>
      <w:r w:rsidR="0050401C" w:rsidRPr="00F6526C">
        <w:rPr>
          <w:lang w:val="hu-HU"/>
        </w:rPr>
        <w:t>Beszámolók szerint az NSAID-ok a nephrotoxicitás különböző formáit okozhatják, így interstitialis nephritist, nephrotikus szindrómát és veseelégtelenséget.</w:t>
      </w:r>
      <w:r w:rsidR="00081AD3" w:rsidRPr="00F6526C">
        <w:rPr>
          <w:lang w:val="hu-HU"/>
        </w:rPr>
        <w:t xml:space="preserve"> </w:t>
      </w:r>
      <w:r w:rsidR="002124FB" w:rsidRPr="00F6526C">
        <w:rPr>
          <w:lang w:val="hu-HU"/>
        </w:rPr>
        <w:t xml:space="preserve">Az ibuprofén használatából eredő vesekárosodás általában reverzibilis. </w:t>
      </w:r>
      <w:r w:rsidR="00411946" w:rsidRPr="00F6526C">
        <w:rPr>
          <w:lang w:val="hu-HU"/>
        </w:rPr>
        <w:t>Óvatosság szükséges diuretikummal vagy ACE-gátlóval kezelt vese-, szív- vagy májkárosodásban szenvedő betegeknél, illetve időseknél, mert az NSAID-ok használata a veseműködés romlását idézheti elő.</w:t>
      </w:r>
      <w:r w:rsidR="003C163D" w:rsidRPr="00F6526C">
        <w:rPr>
          <w:lang w:val="hu-HU"/>
        </w:rPr>
        <w:t xml:space="preserve"> Ilyen betegeknél a lehető legalacsonyabb adagot kell alkalmazni, és a beteg veseműködését rendszeresen ellenőrizni kell.</w:t>
      </w:r>
      <w:r w:rsidR="00D46D38" w:rsidRPr="00F6526C">
        <w:rPr>
          <w:lang w:val="hu-HU"/>
        </w:rPr>
        <w:t xml:space="preserve"> A kezelést fel kell függeszteni azoknál a betegeknél, akiknél súlyos veseelégtelenség alakul ki (lásd 4.3 pont).</w:t>
      </w:r>
    </w:p>
    <w:p w14:paraId="29641EF8" w14:textId="77777777" w:rsidR="00A44479" w:rsidRPr="00F6526C" w:rsidRDefault="00A44479" w:rsidP="004E104B">
      <w:pPr>
        <w:rPr>
          <w:lang w:val="hu-HU"/>
        </w:rPr>
      </w:pPr>
    </w:p>
    <w:p w14:paraId="0104E345" w14:textId="24C2FAD0" w:rsidR="00A44479" w:rsidRPr="00F6526C" w:rsidRDefault="00A44479" w:rsidP="004E104B">
      <w:pPr>
        <w:rPr>
          <w:b/>
          <w:i/>
          <w:lang w:val="hu-HU"/>
        </w:rPr>
      </w:pPr>
      <w:r w:rsidRPr="00F6526C">
        <w:rPr>
          <w:b/>
          <w:i/>
          <w:lang w:val="hu-HU"/>
        </w:rPr>
        <w:t>ACE-gátlók vagy angiotenzin-receptor antagonisták, gyulladásgátló gyógyszerek és tiazid-diuretikumok egyidejű alkalmazása</w:t>
      </w:r>
    </w:p>
    <w:p w14:paraId="671CBFDF" w14:textId="788C3BA6" w:rsidR="00A44479" w:rsidRPr="00F6526C" w:rsidRDefault="007A053D" w:rsidP="004E104B">
      <w:pPr>
        <w:rPr>
          <w:lang w:val="hu-HU"/>
        </w:rPr>
      </w:pPr>
      <w:r w:rsidRPr="00F6526C">
        <w:rPr>
          <w:lang w:val="hu-HU"/>
        </w:rPr>
        <w:t>Az ACE-gátló gyógyszerek (ACE-gátló vagy angiotenzin-receptor antagonista), gyulladáscsökkentők (NSAID vagy COX-2-gátló) és tiazid-diuretikumok együttes ha</w:t>
      </w:r>
      <w:r w:rsidR="00633DD5" w:rsidRPr="00F6526C">
        <w:rPr>
          <w:lang w:val="hu-HU"/>
        </w:rPr>
        <w:t xml:space="preserve">sználata növeli a vesekárosodás </w:t>
      </w:r>
      <w:r w:rsidRPr="00F6526C">
        <w:rPr>
          <w:lang w:val="hu-HU"/>
        </w:rPr>
        <w:t>kockázatát.</w:t>
      </w:r>
      <w:r w:rsidR="00671E0B" w:rsidRPr="00F6526C">
        <w:rPr>
          <w:lang w:val="hu-HU"/>
        </w:rPr>
        <w:t xml:space="preserve"> Ez magában f</w:t>
      </w:r>
      <w:r w:rsidR="00FC1FE4" w:rsidRPr="00F6526C">
        <w:rPr>
          <w:lang w:val="hu-HU"/>
        </w:rPr>
        <w:t>oglalja a fix kombinációs készítmény</w:t>
      </w:r>
      <w:r w:rsidR="00671E0B" w:rsidRPr="00F6526C">
        <w:rPr>
          <w:lang w:val="hu-HU"/>
        </w:rPr>
        <w:t>ekkel történő kezelést is, amely készítmények egynél több hatóanyagot tartalmaznak.</w:t>
      </w:r>
      <w:r w:rsidR="00D32144" w:rsidRPr="00F6526C">
        <w:rPr>
          <w:lang w:val="hu-HU"/>
        </w:rPr>
        <w:t xml:space="preserve"> </w:t>
      </w:r>
      <w:r w:rsidR="00746075" w:rsidRPr="00F6526C">
        <w:rPr>
          <w:lang w:val="hu-HU"/>
        </w:rPr>
        <w:t>Ezen gyógyszerek együttes alkalmazásakor a szérum</w:t>
      </w:r>
      <w:r w:rsidR="005C77DF">
        <w:rPr>
          <w:lang w:val="hu-HU"/>
        </w:rPr>
        <w:t>-</w:t>
      </w:r>
      <w:r w:rsidR="00746075" w:rsidRPr="00F6526C">
        <w:rPr>
          <w:lang w:val="hu-HU"/>
        </w:rPr>
        <w:t xml:space="preserve">kreatininszint fokozott ellenőrzése szükséges, különösen </w:t>
      </w:r>
      <w:r w:rsidR="00711960" w:rsidRPr="00F6526C">
        <w:rPr>
          <w:lang w:val="hu-HU"/>
        </w:rPr>
        <w:t xml:space="preserve">a </w:t>
      </w:r>
      <w:r w:rsidR="00746075" w:rsidRPr="00F6526C">
        <w:rPr>
          <w:lang w:val="hu-HU"/>
        </w:rPr>
        <w:t>kombináció</w:t>
      </w:r>
      <w:r w:rsidR="00711960" w:rsidRPr="00F6526C">
        <w:rPr>
          <w:lang w:val="hu-HU"/>
        </w:rPr>
        <w:t>s kezelés indításakor</w:t>
      </w:r>
      <w:r w:rsidR="00746075" w:rsidRPr="00F6526C">
        <w:rPr>
          <w:lang w:val="hu-HU"/>
        </w:rPr>
        <w:t>. A fenti három csoportba tartozó gyógyszerek kombinációját óvatosan kell alkalmazni, különösen idős betegeknél vagy korábban vesekárosodásban szenvedőknél.</w:t>
      </w:r>
    </w:p>
    <w:p w14:paraId="24F282D7" w14:textId="77777777" w:rsidR="00746075" w:rsidRPr="00F6526C" w:rsidRDefault="00746075" w:rsidP="004E104B">
      <w:pPr>
        <w:rPr>
          <w:lang w:val="hu-HU"/>
        </w:rPr>
      </w:pPr>
    </w:p>
    <w:p w14:paraId="06924A00" w14:textId="0AADF82F" w:rsidR="00746075" w:rsidRPr="00F6526C" w:rsidRDefault="00FD1782" w:rsidP="004E104B">
      <w:pPr>
        <w:rPr>
          <w:b/>
          <w:i/>
          <w:lang w:val="hu-HU"/>
        </w:rPr>
      </w:pPr>
      <w:r w:rsidRPr="00F6526C">
        <w:rPr>
          <w:b/>
          <w:i/>
          <w:lang w:val="hu-HU"/>
        </w:rPr>
        <w:t>Idősek</w:t>
      </w:r>
    </w:p>
    <w:p w14:paraId="7E3C75D1" w14:textId="77777777" w:rsidR="005608B9" w:rsidRPr="00F6526C" w:rsidRDefault="00FD1782" w:rsidP="005608B9">
      <w:pPr>
        <w:rPr>
          <w:lang w:val="hu-HU"/>
        </w:rPr>
      </w:pPr>
      <w:r w:rsidRPr="00F6526C">
        <w:rPr>
          <w:lang w:val="hu-HU"/>
        </w:rPr>
        <w:t xml:space="preserve">Az ajánlott adag csökkentése nem szükséges. </w:t>
      </w:r>
      <w:r w:rsidR="005608B9" w:rsidRPr="00F6526C">
        <w:rPr>
          <w:lang w:val="hu-HU"/>
        </w:rPr>
        <w:t xml:space="preserve">Az ibuprofént azonban óvatosan kell alkalmazni, nem szabad figyelmen kívül hagyni a 65 évesnél idősebbek egyéb betegségeit és szedett gyógyszereit, </w:t>
      </w:r>
    </w:p>
    <w:p w14:paraId="4F16E4A3" w14:textId="57DA5CE8" w:rsidR="00FD1782" w:rsidRPr="00F6526C" w:rsidRDefault="005608B9" w:rsidP="005608B9">
      <w:pPr>
        <w:rPr>
          <w:lang w:val="hu-HU"/>
        </w:rPr>
      </w:pPr>
      <w:r w:rsidRPr="00F6526C">
        <w:rPr>
          <w:lang w:val="hu-HU"/>
        </w:rPr>
        <w:t>mivel ők általában hajlamosabbak a mellékhatásokra, különösképpen szívelégtelenség, gastrointestinalis fekély és vesekárosodás kialakulására.</w:t>
      </w:r>
    </w:p>
    <w:p w14:paraId="12AAD88C" w14:textId="77777777" w:rsidR="005912DB" w:rsidRPr="00F6526C" w:rsidRDefault="005912DB" w:rsidP="005608B9">
      <w:pPr>
        <w:rPr>
          <w:lang w:val="hu-HU"/>
        </w:rPr>
      </w:pPr>
    </w:p>
    <w:p w14:paraId="3F422DFA" w14:textId="7597AC9F" w:rsidR="005912DB" w:rsidRPr="00F6526C" w:rsidRDefault="005446EF" w:rsidP="005608B9">
      <w:pPr>
        <w:rPr>
          <w:b/>
          <w:i/>
          <w:lang w:val="hu-HU"/>
        </w:rPr>
      </w:pPr>
      <w:r w:rsidRPr="00F6526C">
        <w:rPr>
          <w:b/>
          <w:i/>
          <w:lang w:val="hu-HU"/>
        </w:rPr>
        <w:t>H</w:t>
      </w:r>
      <w:r w:rsidR="005E6F7B" w:rsidRPr="00F6526C">
        <w:rPr>
          <w:b/>
          <w:i/>
          <w:lang w:val="hu-HU"/>
        </w:rPr>
        <w:t>ematológiai hatások</w:t>
      </w:r>
    </w:p>
    <w:p w14:paraId="118BB98D" w14:textId="111906EE" w:rsidR="005E6F7B" w:rsidRPr="00F6526C" w:rsidRDefault="005446EF" w:rsidP="005E6F7B">
      <w:pPr>
        <w:rPr>
          <w:lang w:val="hu-HU"/>
        </w:rPr>
      </w:pPr>
      <w:r w:rsidRPr="00F6526C">
        <w:rPr>
          <w:lang w:val="hu-HU"/>
        </w:rPr>
        <w:t>H</w:t>
      </w:r>
      <w:r w:rsidR="005E6F7B" w:rsidRPr="00F6526C">
        <w:rPr>
          <w:lang w:val="hu-HU"/>
        </w:rPr>
        <w:t>ematológiai eltérésekről ritkán számoltak be. Az ibuprofén ta</w:t>
      </w:r>
      <w:r w:rsidR="000A3693" w:rsidRPr="00F6526C">
        <w:rPr>
          <w:lang w:val="hu-HU"/>
        </w:rPr>
        <w:t xml:space="preserve">rtós alkalmazása alatt a vérkép </w:t>
      </w:r>
      <w:r w:rsidR="005E6F7B" w:rsidRPr="00F6526C">
        <w:rPr>
          <w:lang w:val="hu-HU"/>
        </w:rPr>
        <w:t>rendszeres ellenőrzése szükséges.</w:t>
      </w:r>
    </w:p>
    <w:p w14:paraId="0601DEC8" w14:textId="77777777" w:rsidR="00F97287" w:rsidRPr="00F6526C" w:rsidRDefault="00F97287" w:rsidP="004E104B">
      <w:pPr>
        <w:rPr>
          <w:lang w:val="hu-HU"/>
        </w:rPr>
      </w:pPr>
    </w:p>
    <w:p w14:paraId="7F8A8A6E" w14:textId="7CB06E64" w:rsidR="00E4352D" w:rsidRPr="00F6526C" w:rsidRDefault="00AB1480" w:rsidP="003A4789">
      <w:pPr>
        <w:spacing w:line="240" w:lineRule="auto"/>
        <w:rPr>
          <w:b/>
          <w:i/>
          <w:lang w:val="hu-HU"/>
        </w:rPr>
      </w:pPr>
      <w:r w:rsidRPr="00F6526C">
        <w:rPr>
          <w:b/>
          <w:i/>
          <w:lang w:val="hu-HU"/>
        </w:rPr>
        <w:t>Anaphylactoid reakciók</w:t>
      </w:r>
    </w:p>
    <w:p w14:paraId="1787F348" w14:textId="6D55C40E" w:rsidR="00AB1480" w:rsidRPr="00F6526C" w:rsidRDefault="00AB1480" w:rsidP="003A4789">
      <w:pPr>
        <w:spacing w:line="240" w:lineRule="auto"/>
        <w:rPr>
          <w:lang w:val="hu-HU"/>
        </w:rPr>
      </w:pPr>
      <w:r w:rsidRPr="00F6526C">
        <w:rPr>
          <w:lang w:val="hu-HU"/>
        </w:rPr>
        <w:t>A hatóanyag</w:t>
      </w:r>
      <w:r w:rsidR="000A3693" w:rsidRPr="00F6526C">
        <w:rPr>
          <w:lang w:val="hu-HU"/>
        </w:rPr>
        <w:t>ok</w:t>
      </w:r>
      <w:r w:rsidRPr="00F6526C">
        <w:rPr>
          <w:lang w:val="hu-HU"/>
        </w:rPr>
        <w:t xml:space="preserve"> vagy a segédanyagok által kiváltott esetleges anaphylaxiás reakció észlelése érdekében az intravénás infúzió beadása alatt standard eljárásként ajánlott a beteg szoros ellenőrzése, különösen az infúzió kezdetén.</w:t>
      </w:r>
    </w:p>
    <w:p w14:paraId="237AC1A0" w14:textId="77777777" w:rsidR="00AB1480" w:rsidRPr="00F6526C" w:rsidRDefault="00AB1480" w:rsidP="003A4789">
      <w:pPr>
        <w:spacing w:line="240" w:lineRule="auto"/>
        <w:rPr>
          <w:lang w:val="hu-HU"/>
        </w:rPr>
      </w:pPr>
    </w:p>
    <w:p w14:paraId="3762D158" w14:textId="40E9D7AF" w:rsidR="00AB1480" w:rsidRPr="00F6526C" w:rsidRDefault="00AB1480" w:rsidP="003A4789">
      <w:pPr>
        <w:spacing w:line="240" w:lineRule="auto"/>
        <w:rPr>
          <w:lang w:val="hu-HU"/>
        </w:rPr>
      </w:pPr>
      <w:r w:rsidRPr="00F6526C">
        <w:rPr>
          <w:lang w:val="hu-HU"/>
        </w:rPr>
        <w:t xml:space="preserve">Súlyos akut túlérzékenységi reakciók (például anaphylaxiás sokk) nagyon ritkán figyelhetők meg. </w:t>
      </w:r>
      <w:r w:rsidR="000A3693" w:rsidRPr="00F6526C">
        <w:rPr>
          <w:lang w:val="hu-HU"/>
        </w:rPr>
        <w:t>A</w:t>
      </w:r>
      <w:r w:rsidR="00DD2DF7">
        <w:rPr>
          <w:lang w:val="hu-HU"/>
        </w:rPr>
        <w:t>z</w:t>
      </w:r>
      <w:r w:rsidR="00051703" w:rsidRPr="00F6526C">
        <w:rPr>
          <w:lang w:val="hu-HU"/>
        </w:rPr>
        <w:t xml:space="preserve"> </w:t>
      </w:r>
      <w:r w:rsidR="006D4655">
        <w:rPr>
          <w:rFonts w:eastAsia="Times New Roman"/>
          <w:noProof/>
          <w:snapToGrid/>
          <w:szCs w:val="22"/>
          <w:lang w:val="hu-HU" w:eastAsia="en-US"/>
        </w:rPr>
        <w:t>Elomen</w:t>
      </w:r>
      <w:r w:rsidR="00051703" w:rsidRPr="00F6526C">
        <w:rPr>
          <w:rFonts w:eastAsia="Times New Roman"/>
          <w:noProof/>
          <w:snapToGrid/>
          <w:szCs w:val="22"/>
          <w:lang w:val="hu-HU" w:eastAsia="en-US"/>
        </w:rPr>
        <w:t xml:space="preserve"> 1000 mg/300 mg oldatos infúzió</w:t>
      </w:r>
      <w:r w:rsidR="00DB42FE" w:rsidRPr="00F6526C">
        <w:rPr>
          <w:lang w:val="hu-HU"/>
        </w:rPr>
        <w:t xml:space="preserve"> beadása után a túlérzékenységi reakció első jelére le kell állítani a kezelést, és tüneti kezelést kell alkalmazni. </w:t>
      </w:r>
      <w:r w:rsidR="00731A93" w:rsidRPr="00F6526C">
        <w:rPr>
          <w:lang w:val="hu-HU"/>
        </w:rPr>
        <w:t xml:space="preserve">A szakorvosnak meg kell kezdenie a tüneteknek megfelelő, orvosilag szükséges beavatkozásokat. </w:t>
      </w:r>
    </w:p>
    <w:p w14:paraId="30AFF9ED" w14:textId="77777777" w:rsidR="001F0209" w:rsidRPr="00F6526C" w:rsidRDefault="001F0209" w:rsidP="003A4789">
      <w:pPr>
        <w:spacing w:line="240" w:lineRule="auto"/>
        <w:rPr>
          <w:lang w:val="hu-HU"/>
        </w:rPr>
      </w:pPr>
    </w:p>
    <w:p w14:paraId="6A13B364" w14:textId="435C3A4A" w:rsidR="001F0209" w:rsidRPr="00F6526C" w:rsidRDefault="001F0209" w:rsidP="003A4789">
      <w:pPr>
        <w:spacing w:line="240" w:lineRule="auto"/>
        <w:rPr>
          <w:b/>
          <w:i/>
          <w:lang w:val="hu-HU"/>
        </w:rPr>
      </w:pPr>
      <w:r w:rsidRPr="00F6526C">
        <w:rPr>
          <w:b/>
          <w:i/>
          <w:lang w:val="hu-HU"/>
        </w:rPr>
        <w:t>Alvadási zavarok</w:t>
      </w:r>
    </w:p>
    <w:p w14:paraId="164D0FD7" w14:textId="77777777" w:rsidR="00BA352D" w:rsidRPr="00F6526C" w:rsidRDefault="00CD1191" w:rsidP="00BA352D">
      <w:pPr>
        <w:rPr>
          <w:lang w:val="hu-HU"/>
        </w:rPr>
      </w:pPr>
      <w:r w:rsidRPr="00F6526C">
        <w:rPr>
          <w:lang w:val="hu-HU"/>
        </w:rPr>
        <w:t>Az ibuprofén más NSAID-okhoz hasonlóan gátolja a vérlemezke-aggregációt, ezáltal megnövelve a vérzési időt egészséges egyénekben (de a normál tartományon belül).</w:t>
      </w:r>
      <w:r w:rsidR="00132975" w:rsidRPr="00F6526C">
        <w:rPr>
          <w:lang w:val="hu-HU"/>
        </w:rPr>
        <w:t xml:space="preserve"> Mivel alvadási zavarban szenvedő betegeknél, illetve antikoagulációs terápiában részesülőknél ez a megnövekedett vérzési idő kóros lehet, ezen esetekben az ibuprofént tartalmazó készítményeket elővigyázatossággal kell alkalm</w:t>
      </w:r>
      <w:r w:rsidR="00BA352D" w:rsidRPr="00F6526C">
        <w:rPr>
          <w:lang w:val="hu-HU"/>
        </w:rPr>
        <w:t>azni. Azokat a betegeket, akiknél alvadási zavarok állnak fenn, vagy műtéten esnek át, ellenőrizni kell. Az ibuprofén alkalmazása nagyobb műtéten átesett betegeknél közvetlenül a műtét utáni időszakban különös orvosi figyelmet igényel.</w:t>
      </w:r>
    </w:p>
    <w:p w14:paraId="4435129B" w14:textId="648101D7" w:rsidR="001F0209" w:rsidRPr="00F6526C" w:rsidRDefault="001F0209" w:rsidP="003A4789">
      <w:pPr>
        <w:spacing w:line="240" w:lineRule="auto"/>
        <w:rPr>
          <w:lang w:val="hu-HU"/>
        </w:rPr>
      </w:pPr>
    </w:p>
    <w:p w14:paraId="1D379BE1" w14:textId="77777777" w:rsidR="00495F3A" w:rsidRPr="00F6526C" w:rsidRDefault="00F87D77" w:rsidP="00495F3A">
      <w:pPr>
        <w:spacing w:line="240" w:lineRule="auto"/>
        <w:rPr>
          <w:b/>
          <w:i/>
          <w:lang w:val="hu-HU"/>
        </w:rPr>
      </w:pPr>
      <w:r w:rsidRPr="00F6526C">
        <w:rPr>
          <w:b/>
          <w:i/>
          <w:lang w:val="hu-HU"/>
        </w:rPr>
        <w:lastRenderedPageBreak/>
        <w:t>Gastrointestinális események</w:t>
      </w:r>
    </w:p>
    <w:p w14:paraId="74C6D2A1" w14:textId="36D93CED" w:rsidR="002222D5" w:rsidRPr="00F6526C" w:rsidRDefault="000D4BB7" w:rsidP="00495F3A">
      <w:pPr>
        <w:spacing w:line="240" w:lineRule="auto"/>
        <w:rPr>
          <w:szCs w:val="22"/>
          <w:lang w:val="hu-HU"/>
        </w:rPr>
      </w:pPr>
      <w:r w:rsidRPr="00F6526C">
        <w:rPr>
          <w:szCs w:val="22"/>
          <w:lang w:val="hu-HU"/>
        </w:rPr>
        <w:t>Valamennyi NSAID</w:t>
      </w:r>
      <w:r w:rsidR="009864B7">
        <w:rPr>
          <w:rFonts w:eastAsia="Calibri"/>
          <w:szCs w:val="22"/>
          <w:lang w:val="hu-HU"/>
        </w:rPr>
        <w:t>-</w:t>
      </w:r>
      <w:r w:rsidRPr="00F6526C">
        <w:rPr>
          <w:szCs w:val="22"/>
          <w:lang w:val="hu-HU"/>
        </w:rPr>
        <w:t>dal végzett kezelés során beszámoltak akár halált is okozó gastrointestinalis vérzésről, fekélyről vagy perforatióról, amelyeket nem feltétlenül kísértek figyelmeztető tünetek vagy előztek meg a kórelőzményben súlyos gastrointestinalis események.</w:t>
      </w:r>
    </w:p>
    <w:p w14:paraId="4D874AFF" w14:textId="77777777" w:rsidR="000D4BB7" w:rsidRPr="00F6526C" w:rsidRDefault="000D4BB7" w:rsidP="00495F3A">
      <w:pPr>
        <w:spacing w:line="240" w:lineRule="auto"/>
        <w:rPr>
          <w:szCs w:val="22"/>
          <w:lang w:val="hu-HU"/>
        </w:rPr>
      </w:pPr>
    </w:p>
    <w:p w14:paraId="0A8B5590" w14:textId="4703200C" w:rsidR="002222D5" w:rsidRPr="00F6526C" w:rsidRDefault="00EB0BAB" w:rsidP="00495F3A">
      <w:pPr>
        <w:spacing w:line="240" w:lineRule="auto"/>
        <w:rPr>
          <w:lang w:val="hu-HU"/>
        </w:rPr>
      </w:pPr>
      <w:r w:rsidRPr="00F6526C">
        <w:rPr>
          <w:lang w:val="hu-HU"/>
        </w:rPr>
        <w:t>A gastrointestinalis vérzés, fekély vagy perforatio kockázata fokozottabb magasabb NSAID</w:t>
      </w:r>
      <w:r w:rsidR="009864B7">
        <w:rPr>
          <w:rFonts w:eastAsia="Calibri"/>
          <w:lang w:val="hu-HU"/>
        </w:rPr>
        <w:t>-</w:t>
      </w:r>
      <w:r w:rsidRPr="00F6526C">
        <w:rPr>
          <w:lang w:val="hu-HU"/>
        </w:rPr>
        <w:t xml:space="preserve">adagok alkalmazása esetén, ha a beteg kórelőzményében fekély szerepel, különösen, ha ez vérzéssel vagy perforatióval együtt lépett fel (lásd </w:t>
      </w:r>
      <w:r w:rsidR="0059517B" w:rsidRPr="00F6526C">
        <w:rPr>
          <w:lang w:val="hu-HU"/>
        </w:rPr>
        <w:t>4.3 pont), valamint idősekné</w:t>
      </w:r>
      <w:r w:rsidRPr="00F6526C">
        <w:rPr>
          <w:lang w:val="hu-HU"/>
        </w:rPr>
        <w:t xml:space="preserve">l. </w:t>
      </w:r>
      <w:r w:rsidR="00E049DD" w:rsidRPr="00F6526C">
        <w:rPr>
          <w:lang w:val="hu-HU"/>
        </w:rPr>
        <w:t>Ezeknél a betegeknél a lehetséges legalacsonyabb dózissal kell kezdeni a kezelést.</w:t>
      </w:r>
    </w:p>
    <w:p w14:paraId="502FBF04" w14:textId="77777777" w:rsidR="00E049DD" w:rsidRPr="00F6526C" w:rsidRDefault="00E049DD" w:rsidP="00495F3A">
      <w:pPr>
        <w:spacing w:line="240" w:lineRule="auto"/>
        <w:rPr>
          <w:lang w:val="hu-HU"/>
        </w:rPr>
      </w:pPr>
    </w:p>
    <w:p w14:paraId="52BFD80D" w14:textId="4F773286" w:rsidR="00E049DD" w:rsidRPr="00F6526C" w:rsidRDefault="00FC6B85" w:rsidP="00495F3A">
      <w:pPr>
        <w:spacing w:line="240" w:lineRule="auto"/>
        <w:rPr>
          <w:lang w:val="hu-HU"/>
        </w:rPr>
      </w:pPr>
      <w:r w:rsidRPr="00F6526C">
        <w:rPr>
          <w:lang w:val="hu-HU"/>
        </w:rPr>
        <w:t>A gyomorvédő szerekkel (például mizoprosztol vagy protonpumpa</w:t>
      </w:r>
      <w:r w:rsidR="009864B7">
        <w:rPr>
          <w:rFonts w:eastAsia="Calibri"/>
          <w:lang w:val="hu-HU"/>
        </w:rPr>
        <w:t>-</w:t>
      </w:r>
      <w:r w:rsidRPr="00F6526C">
        <w:rPr>
          <w:lang w:val="hu-HU"/>
        </w:rPr>
        <w:t>gátlók) történő együttes kezelés megfontolandó ezeknél a betegeknél, valamint az alacson</w:t>
      </w:r>
      <w:r w:rsidR="00375009" w:rsidRPr="00F6526C">
        <w:rPr>
          <w:lang w:val="hu-HU"/>
        </w:rPr>
        <w:t>y dózisú acetilszalicilsav</w:t>
      </w:r>
      <w:r w:rsidRPr="00F6526C">
        <w:rPr>
          <w:lang w:val="hu-HU"/>
        </w:rPr>
        <w:t xml:space="preserve"> vagy a gastrointestinalis kockázatot feltehetően fokozó egyéb gyógyszerek szedését igénylő betegeknél is (lásd alább és 4.5 pont).</w:t>
      </w:r>
      <w:r w:rsidR="007A40EE" w:rsidRPr="00F6526C">
        <w:rPr>
          <w:lang w:val="hu-HU"/>
        </w:rPr>
        <w:t xml:space="preserve"> Azoknak a betegeknek, akiknek a kórelőzményében gastrointestinalis toxicitás szerepel </w:t>
      </w:r>
      <w:r w:rsidR="009864B7">
        <w:rPr>
          <w:rFonts w:eastAsia="Calibri"/>
          <w:lang w:val="hu-HU"/>
        </w:rPr>
        <w:t>-</w:t>
      </w:r>
      <w:r w:rsidR="00CC6884" w:rsidRPr="00F6526C">
        <w:rPr>
          <w:lang w:val="hu-HU"/>
        </w:rPr>
        <w:t xml:space="preserve"> különösen az idősekne</w:t>
      </w:r>
      <w:r w:rsidR="007A40EE" w:rsidRPr="00F6526C">
        <w:rPr>
          <w:lang w:val="hu-HU"/>
        </w:rPr>
        <w:t xml:space="preserve">k </w:t>
      </w:r>
      <w:r w:rsidR="009864B7">
        <w:rPr>
          <w:rFonts w:eastAsia="Calibri"/>
          <w:lang w:val="hu-HU"/>
        </w:rPr>
        <w:t>-</w:t>
      </w:r>
      <w:r w:rsidR="007A40EE" w:rsidRPr="00F6526C">
        <w:rPr>
          <w:lang w:val="hu-HU"/>
        </w:rPr>
        <w:t xml:space="preserve"> be kell számolniuk minden szokatlan hasi tünetről (különösen a gastrointestinalis vérzésről), főleg a kezelés kezdeti szakaszában.</w:t>
      </w:r>
      <w:r w:rsidR="00A1026A" w:rsidRPr="00F6526C">
        <w:rPr>
          <w:lang w:val="hu-HU"/>
        </w:rPr>
        <w:t xml:space="preserve"> </w:t>
      </w:r>
    </w:p>
    <w:p w14:paraId="0B00C997" w14:textId="77777777" w:rsidR="00A1026A" w:rsidRPr="00F6526C" w:rsidRDefault="00A1026A" w:rsidP="00495F3A">
      <w:pPr>
        <w:spacing w:line="240" w:lineRule="auto"/>
        <w:rPr>
          <w:lang w:val="hu-HU"/>
        </w:rPr>
      </w:pPr>
    </w:p>
    <w:p w14:paraId="3842670B" w14:textId="40320C4C" w:rsidR="00A1026A" w:rsidRPr="00F6526C" w:rsidRDefault="00224115" w:rsidP="00495F3A">
      <w:pPr>
        <w:spacing w:line="240" w:lineRule="auto"/>
        <w:rPr>
          <w:lang w:val="hu-HU"/>
        </w:rPr>
      </w:pPr>
      <w:r w:rsidRPr="00F6526C">
        <w:rPr>
          <w:lang w:val="hu-HU"/>
        </w:rPr>
        <w:t>Óvatosság ajánlott azoknál a betegeknél, akik egyidejűleg olyan gyógyszereket szednek, melyek növelhetik a fekély vagy a vérzés kialakulásának kockázatát, mint például a szájon át szedhető kortikoszteroidok, antikoagulánsok, pl. warfarin, szelektív szerotoninvisszavétel</w:t>
      </w:r>
      <w:r w:rsidR="00A27809">
        <w:rPr>
          <w:lang w:val="hu-HU"/>
        </w:rPr>
        <w:t>-</w:t>
      </w:r>
      <w:r w:rsidRPr="00F6526C">
        <w:rPr>
          <w:lang w:val="hu-HU"/>
        </w:rPr>
        <w:t>gátlók vagy thrombocytaaggregáció</w:t>
      </w:r>
      <w:r w:rsidR="009864B7">
        <w:rPr>
          <w:rFonts w:eastAsia="Calibri"/>
          <w:lang w:val="hu-HU"/>
        </w:rPr>
        <w:t>-</w:t>
      </w:r>
      <w:r w:rsidRPr="00F6526C">
        <w:rPr>
          <w:lang w:val="hu-HU"/>
        </w:rPr>
        <w:t>gátló szerek, pl. az acetilszalicilsav (lásd 4.5 pont).</w:t>
      </w:r>
    </w:p>
    <w:p w14:paraId="522DF53E" w14:textId="77777777" w:rsidR="00224115" w:rsidRPr="00F6526C" w:rsidRDefault="00224115" w:rsidP="00495F3A">
      <w:pPr>
        <w:spacing w:line="240" w:lineRule="auto"/>
        <w:rPr>
          <w:lang w:val="hu-HU"/>
        </w:rPr>
      </w:pPr>
    </w:p>
    <w:p w14:paraId="4826267C" w14:textId="66043741" w:rsidR="00224115" w:rsidRPr="00F6526C" w:rsidRDefault="008C1DB2" w:rsidP="00495F3A">
      <w:pPr>
        <w:spacing w:line="240" w:lineRule="auto"/>
        <w:rPr>
          <w:lang w:val="hu-HU"/>
        </w:rPr>
      </w:pPr>
      <w:r w:rsidRPr="00F6526C">
        <w:rPr>
          <w:lang w:val="hu-HU"/>
        </w:rPr>
        <w:t>Az ibuprofén összetevő miatt a</w:t>
      </w:r>
      <w:r w:rsidR="00DD2DF7">
        <w:rPr>
          <w:lang w:val="hu-HU"/>
        </w:rPr>
        <w:t>z</w:t>
      </w:r>
      <w:r w:rsidRPr="00F6526C">
        <w:rPr>
          <w:lang w:val="hu-HU"/>
        </w:rPr>
        <w:t xml:space="preserve"> </w:t>
      </w:r>
      <w:r w:rsidR="006D4655">
        <w:rPr>
          <w:rFonts w:eastAsia="Times New Roman"/>
          <w:noProof/>
          <w:snapToGrid/>
          <w:szCs w:val="22"/>
          <w:lang w:val="hu-HU" w:eastAsia="en-US"/>
        </w:rPr>
        <w:t>Elomen</w:t>
      </w:r>
      <w:r w:rsidRPr="00F6526C">
        <w:rPr>
          <w:rFonts w:eastAsia="Times New Roman"/>
          <w:noProof/>
          <w:snapToGrid/>
          <w:szCs w:val="22"/>
          <w:lang w:val="hu-HU" w:eastAsia="en-US"/>
        </w:rPr>
        <w:t xml:space="preserve"> 1000 mg/300 mg oldatos infúzió</w:t>
      </w:r>
      <w:r w:rsidR="00986B73" w:rsidRPr="00F6526C">
        <w:rPr>
          <w:lang w:val="hu-HU"/>
        </w:rPr>
        <w:t xml:space="preserve"> csak kellő óvatossággal alkalmazható azoknál a betegeknél, akiknek a kórelőzményében gastrointestinalis betegség (pl. colitis ulcerosa vagy Crohn</w:t>
      </w:r>
      <w:r w:rsidR="009864B7">
        <w:rPr>
          <w:rFonts w:eastAsia="Calibri"/>
          <w:lang w:val="hu-HU"/>
        </w:rPr>
        <w:t>-</w:t>
      </w:r>
      <w:r w:rsidR="00986B73" w:rsidRPr="00F6526C">
        <w:rPr>
          <w:lang w:val="hu-HU"/>
        </w:rPr>
        <w:t>bet</w:t>
      </w:r>
      <w:r w:rsidR="003456A9" w:rsidRPr="00F6526C">
        <w:rPr>
          <w:lang w:val="hu-HU"/>
        </w:rPr>
        <w:t>egség) szerepel, valamint a porphy</w:t>
      </w:r>
      <w:r w:rsidR="00217E6E" w:rsidRPr="00F6526C">
        <w:rPr>
          <w:lang w:val="hu-HU"/>
        </w:rPr>
        <w:t>ri</w:t>
      </w:r>
      <w:r w:rsidR="00986B73" w:rsidRPr="00F6526C">
        <w:rPr>
          <w:lang w:val="hu-HU"/>
        </w:rPr>
        <w:t>ában szenvedő betegeknél.</w:t>
      </w:r>
    </w:p>
    <w:p w14:paraId="68682A4A" w14:textId="77777777" w:rsidR="00FA0FE1" w:rsidRPr="00F6526C" w:rsidRDefault="00FA0FE1" w:rsidP="00495F3A">
      <w:pPr>
        <w:spacing w:line="240" w:lineRule="auto"/>
        <w:rPr>
          <w:lang w:val="hu-HU"/>
        </w:rPr>
      </w:pPr>
    </w:p>
    <w:p w14:paraId="7F2B4EAB" w14:textId="40027724" w:rsidR="00FA0FE1" w:rsidRPr="00F6526C" w:rsidRDefault="00FA0FE1" w:rsidP="00495F3A">
      <w:pPr>
        <w:spacing w:line="240" w:lineRule="auto"/>
        <w:rPr>
          <w:lang w:val="hu-HU"/>
        </w:rPr>
      </w:pPr>
      <w:r w:rsidRPr="00F6526C">
        <w:rPr>
          <w:lang w:val="hu-HU"/>
        </w:rPr>
        <w:t xml:space="preserve">Időseknél gyakoribb a NSAID-ok mellékhatásainak </w:t>
      </w:r>
      <w:r w:rsidR="001B5DAD" w:rsidRPr="00F6526C">
        <w:rPr>
          <w:lang w:val="hu-HU"/>
        </w:rPr>
        <w:t>előfordulása</w:t>
      </w:r>
      <w:r w:rsidRPr="00F6526C">
        <w:rPr>
          <w:lang w:val="hu-HU"/>
        </w:rPr>
        <w:t>, különösen a gastrointestinalis vérzés és perforáció, amelyek halálos kimenetelűek lehetnek (lásd 4.2 pont).</w:t>
      </w:r>
    </w:p>
    <w:p w14:paraId="60578B42" w14:textId="77777777" w:rsidR="00FA0FE1" w:rsidRPr="00F6526C" w:rsidRDefault="00FA0FE1" w:rsidP="00495F3A">
      <w:pPr>
        <w:spacing w:line="240" w:lineRule="auto"/>
        <w:rPr>
          <w:lang w:val="hu-HU"/>
        </w:rPr>
      </w:pPr>
    </w:p>
    <w:p w14:paraId="198648CF" w14:textId="2C8B995B" w:rsidR="00FA0FE1" w:rsidRPr="00F6526C" w:rsidRDefault="00AA72CF" w:rsidP="00495F3A">
      <w:pPr>
        <w:spacing w:line="240" w:lineRule="auto"/>
        <w:rPr>
          <w:lang w:val="hu-HU"/>
        </w:rPr>
      </w:pPr>
      <w:r w:rsidRPr="00F6526C">
        <w:rPr>
          <w:lang w:val="hu-HU"/>
        </w:rPr>
        <w:t>Ha a készítménnyel való kezelés során bármilyen gastrointestinalis vérzés vagy fekély lép fel, a kezelést fel kell függeszteni.</w:t>
      </w:r>
    </w:p>
    <w:p w14:paraId="5548BC93" w14:textId="77777777" w:rsidR="00E543F2" w:rsidRPr="00F6526C" w:rsidRDefault="00E543F2" w:rsidP="00495F3A">
      <w:pPr>
        <w:spacing w:line="240" w:lineRule="auto"/>
        <w:rPr>
          <w:lang w:val="hu-HU"/>
        </w:rPr>
      </w:pPr>
    </w:p>
    <w:p w14:paraId="6277297E" w14:textId="0F4F2A06" w:rsidR="00E543F2" w:rsidRPr="00F6526C" w:rsidRDefault="00E543F2" w:rsidP="00495F3A">
      <w:pPr>
        <w:spacing w:line="240" w:lineRule="auto"/>
        <w:rPr>
          <w:b/>
          <w:i/>
          <w:lang w:val="hu-HU"/>
        </w:rPr>
      </w:pPr>
      <w:r w:rsidRPr="00F6526C">
        <w:rPr>
          <w:b/>
          <w:i/>
          <w:lang w:val="hu-HU"/>
        </w:rPr>
        <w:t>Hypertonia</w:t>
      </w:r>
    </w:p>
    <w:p w14:paraId="6B0BE3AC" w14:textId="660497BF" w:rsidR="00E543F2" w:rsidRPr="00F6526C" w:rsidRDefault="00E81B3B" w:rsidP="00BA1A52">
      <w:pPr>
        <w:spacing w:line="240" w:lineRule="auto"/>
        <w:rPr>
          <w:lang w:val="hu-HU"/>
        </w:rPr>
      </w:pPr>
      <w:r w:rsidRPr="00F6526C">
        <w:rPr>
          <w:lang w:val="hu-HU"/>
        </w:rPr>
        <w:t>Az NSAID-</w:t>
      </w:r>
      <w:r w:rsidR="006A7027" w:rsidRPr="00F6526C">
        <w:rPr>
          <w:lang w:val="hu-HU"/>
        </w:rPr>
        <w:t>ok új hyperto</w:t>
      </w:r>
      <w:r w:rsidRPr="00F6526C">
        <w:rPr>
          <w:lang w:val="hu-HU"/>
        </w:rPr>
        <w:t>nia kial</w:t>
      </w:r>
      <w:r w:rsidR="006A7027" w:rsidRPr="00F6526C">
        <w:rPr>
          <w:lang w:val="hu-HU"/>
        </w:rPr>
        <w:t>akulásához vagy a már meglévő hyperto</w:t>
      </w:r>
      <w:r w:rsidRPr="00F6526C">
        <w:rPr>
          <w:lang w:val="hu-HU"/>
        </w:rPr>
        <w:t>nia súlyosbodásához vezethetnek, és a vérnyomáscsökkentő gyógyszerek hatékonyságát az együttesen szedett NSAID-ok ronthatják.</w:t>
      </w:r>
      <w:r w:rsidR="00BA1A52" w:rsidRPr="00F6526C">
        <w:rPr>
          <w:lang w:val="hu-HU"/>
        </w:rPr>
        <w:t xml:space="preserve"> Óvatosság szükséges hypertoniás betegnek való NSAID rendelésekor. </w:t>
      </w:r>
      <w:r w:rsidR="00524E46" w:rsidRPr="00F6526C">
        <w:rPr>
          <w:lang w:val="hu-HU"/>
        </w:rPr>
        <w:t>Az NSAID-kezelés megkezdésekor és azt követően rendszeresen ellenőrizni kell a vérnyomást.</w:t>
      </w:r>
    </w:p>
    <w:p w14:paraId="593E78B7" w14:textId="77777777" w:rsidR="00524E46" w:rsidRPr="00F6526C" w:rsidRDefault="00524E46" w:rsidP="00BA1A52">
      <w:pPr>
        <w:spacing w:line="240" w:lineRule="auto"/>
        <w:rPr>
          <w:lang w:val="hu-HU"/>
        </w:rPr>
      </w:pPr>
    </w:p>
    <w:p w14:paraId="4CA9E7C3" w14:textId="4BE66DA9" w:rsidR="00524E46" w:rsidRPr="00F6526C" w:rsidRDefault="00327355" w:rsidP="00BA1A52">
      <w:pPr>
        <w:spacing w:line="240" w:lineRule="auto"/>
        <w:rPr>
          <w:b/>
          <w:i/>
          <w:lang w:val="hu-HU"/>
        </w:rPr>
      </w:pPr>
      <w:r w:rsidRPr="00F6526C">
        <w:rPr>
          <w:b/>
          <w:i/>
          <w:lang w:val="hu-HU"/>
        </w:rPr>
        <w:t>Szívelégtelenség</w:t>
      </w:r>
    </w:p>
    <w:p w14:paraId="01CF60D8" w14:textId="306AB248" w:rsidR="00057F8D" w:rsidRPr="00F6526C" w:rsidRDefault="00057F8D" w:rsidP="00057F8D">
      <w:pPr>
        <w:spacing w:line="240" w:lineRule="auto"/>
        <w:rPr>
          <w:lang w:val="hu-HU"/>
        </w:rPr>
      </w:pPr>
      <w:r w:rsidRPr="00F6526C">
        <w:rPr>
          <w:lang w:val="hu-HU"/>
        </w:rPr>
        <w:t>Néhány NSAID kezelésben részesülő betegnél folyadékretenciót és ödémát figyeltek meg, ezért folyadékretenció vagy szívelégtelenségben szenvedő betegek esetében óvatosság szükséges.</w:t>
      </w:r>
    </w:p>
    <w:p w14:paraId="0846302D" w14:textId="77777777" w:rsidR="00057F8D" w:rsidRPr="00F6526C" w:rsidRDefault="00057F8D" w:rsidP="00057F8D">
      <w:pPr>
        <w:spacing w:line="240" w:lineRule="auto"/>
        <w:rPr>
          <w:lang w:val="hu-HU"/>
        </w:rPr>
      </w:pPr>
    </w:p>
    <w:p w14:paraId="07B2F4C9" w14:textId="7D0A1B7E" w:rsidR="00057F8D" w:rsidRPr="00F6526C" w:rsidRDefault="006F2E92" w:rsidP="00057F8D">
      <w:pPr>
        <w:spacing w:line="240" w:lineRule="auto"/>
        <w:rPr>
          <w:b/>
          <w:i/>
          <w:lang w:val="hu-HU"/>
        </w:rPr>
      </w:pPr>
      <w:r w:rsidRPr="00F6526C">
        <w:rPr>
          <w:b/>
          <w:i/>
          <w:lang w:val="hu-HU"/>
        </w:rPr>
        <w:t>Súlyos bőrreakciók</w:t>
      </w:r>
    </w:p>
    <w:p w14:paraId="07CDB267" w14:textId="56F4270C" w:rsidR="006F2E92" w:rsidRPr="00F6526C" w:rsidRDefault="00094588" w:rsidP="00057F8D">
      <w:pPr>
        <w:spacing w:line="240" w:lineRule="auto"/>
        <w:rPr>
          <w:lang w:val="hu-HU"/>
        </w:rPr>
      </w:pPr>
      <w:r w:rsidRPr="00F6526C">
        <w:rPr>
          <w:lang w:val="hu-HU"/>
        </w:rPr>
        <w:t>Az NSAID-ok nagyon ritkán súlyos, néhány esetben végzetes kimenetelű</w:t>
      </w:r>
      <w:r w:rsidR="005275CA" w:rsidRPr="00F6526C">
        <w:rPr>
          <w:lang w:val="hu-HU"/>
        </w:rPr>
        <w:t xml:space="preserve">, előzmények nélkül jelentkező </w:t>
      </w:r>
      <w:r w:rsidRPr="00F6526C">
        <w:rPr>
          <w:lang w:val="hu-HU"/>
        </w:rPr>
        <w:t>bőrreakció kialakulását okozhatják, beleértve az exfoliatív dermatitist, a toxikus epider</w:t>
      </w:r>
      <w:r w:rsidR="005275CA" w:rsidRPr="00F6526C">
        <w:rPr>
          <w:lang w:val="hu-HU"/>
        </w:rPr>
        <w:t xml:space="preserve">malis necrolysist (TEN) és a </w:t>
      </w:r>
      <w:r w:rsidRPr="00F6526C">
        <w:rPr>
          <w:lang w:val="hu-HU"/>
        </w:rPr>
        <w:t>Stevens</w:t>
      </w:r>
      <w:r w:rsidR="005275CA" w:rsidRPr="00F6526C">
        <w:rPr>
          <w:rStyle w:val="st"/>
          <w:lang w:val="hu-HU"/>
        </w:rPr>
        <w:t>–</w:t>
      </w:r>
      <w:r w:rsidRPr="00F6526C">
        <w:rPr>
          <w:lang w:val="hu-HU"/>
        </w:rPr>
        <w:t>Johnson</w:t>
      </w:r>
      <w:r w:rsidR="009864B7">
        <w:rPr>
          <w:rFonts w:eastAsia="Calibri"/>
          <w:lang w:val="hu-HU"/>
        </w:rPr>
        <w:t>-</w:t>
      </w:r>
      <w:r w:rsidRPr="00F6526C">
        <w:rPr>
          <w:lang w:val="hu-HU"/>
        </w:rPr>
        <w:t xml:space="preserve">szindrómát (SJS) is. </w:t>
      </w:r>
      <w:r w:rsidR="00691826" w:rsidRPr="00F6526C">
        <w:rPr>
          <w:lang w:val="hu-HU"/>
        </w:rPr>
        <w:t xml:space="preserve">Az ibuprofén-tartalmú gyógyszerekkel kapcsolatban akut generalizált exanthemás pustulosist (AGEP) jelentettek. </w:t>
      </w:r>
      <w:r w:rsidR="003C3FD0" w:rsidRPr="00F6526C">
        <w:rPr>
          <w:lang w:val="hu-HU"/>
        </w:rPr>
        <w:t xml:space="preserve">A betegeknél az ilyen reakciók kockázata a kezelés legelején a legnagyobb, többségüknél a reakció a kezelés első hónapjában kezdődik. </w:t>
      </w:r>
    </w:p>
    <w:p w14:paraId="5655BF65" w14:textId="77777777" w:rsidR="00165BCB" w:rsidRPr="00F6526C" w:rsidRDefault="00165BCB" w:rsidP="00057F8D">
      <w:pPr>
        <w:spacing w:line="240" w:lineRule="auto"/>
        <w:rPr>
          <w:lang w:val="hu-HU"/>
        </w:rPr>
      </w:pPr>
    </w:p>
    <w:p w14:paraId="329C6766" w14:textId="2E7C652D" w:rsidR="00165BCB" w:rsidRPr="00F6526C" w:rsidRDefault="00165BCB" w:rsidP="00057F8D">
      <w:pPr>
        <w:spacing w:line="240" w:lineRule="auto"/>
        <w:rPr>
          <w:lang w:val="hu-HU"/>
        </w:rPr>
      </w:pPr>
      <w:r w:rsidRPr="00F6526C">
        <w:rPr>
          <w:lang w:val="hu-HU"/>
        </w:rPr>
        <w:t>A betegeket figyelmeztetni kell a súlyos bőrreakciók jeleire és tüneteire, valamint a kiütés vagy túlérzékenység első jelének megjelenésekor orvosi konzultáció szükséges.</w:t>
      </w:r>
    </w:p>
    <w:p w14:paraId="75423E8B" w14:textId="77777777" w:rsidR="00165BCB" w:rsidRPr="00F6526C" w:rsidRDefault="00165BCB" w:rsidP="00057F8D">
      <w:pPr>
        <w:spacing w:line="240" w:lineRule="auto"/>
        <w:rPr>
          <w:lang w:val="hu-HU"/>
        </w:rPr>
      </w:pPr>
    </w:p>
    <w:p w14:paraId="09665A7A" w14:textId="4AC89AEB" w:rsidR="00165BCB" w:rsidRPr="00F6526C" w:rsidRDefault="00A96278" w:rsidP="00057F8D">
      <w:pPr>
        <w:spacing w:line="240" w:lineRule="auto"/>
        <w:rPr>
          <w:lang w:val="hu-HU"/>
        </w:rPr>
      </w:pPr>
      <w:r w:rsidRPr="00F6526C">
        <w:rPr>
          <w:lang w:val="hu-HU"/>
        </w:rPr>
        <w:t>A varicella szövődményeként kivételes esetekben súlyos bőr</w:t>
      </w:r>
      <w:r w:rsidR="009864B7">
        <w:rPr>
          <w:rFonts w:eastAsia="Calibri"/>
          <w:lang w:val="hu-HU"/>
        </w:rPr>
        <w:t>-</w:t>
      </w:r>
      <w:r w:rsidRPr="00F6526C">
        <w:rPr>
          <w:lang w:val="hu-HU"/>
        </w:rPr>
        <w:t xml:space="preserve"> és lágyrészfertőzések alakulhatnak ki. A mai napig nem zárható ki az, hogy az NSAID</w:t>
      </w:r>
      <w:r w:rsidR="009864B7">
        <w:rPr>
          <w:rFonts w:eastAsia="Calibri"/>
          <w:lang w:val="hu-HU"/>
        </w:rPr>
        <w:t>-</w:t>
      </w:r>
      <w:r w:rsidRPr="00F6526C">
        <w:rPr>
          <w:lang w:val="hu-HU"/>
        </w:rPr>
        <w:t>ok is ho</w:t>
      </w:r>
      <w:r w:rsidR="003A5604" w:rsidRPr="00F6526C">
        <w:rPr>
          <w:lang w:val="hu-HU"/>
        </w:rPr>
        <w:t xml:space="preserve">zzájárulnak az ilyen fertőzések </w:t>
      </w:r>
      <w:r w:rsidRPr="00F6526C">
        <w:rPr>
          <w:lang w:val="hu-HU"/>
        </w:rPr>
        <w:t xml:space="preserve">súlyosbodásához. Ezért varicella esetén </w:t>
      </w:r>
      <w:r w:rsidR="008C1DB2" w:rsidRPr="00F6526C">
        <w:rPr>
          <w:lang w:val="hu-HU"/>
        </w:rPr>
        <w:t>ajánlott kerülni a</w:t>
      </w:r>
      <w:r w:rsidR="00DD2DF7">
        <w:rPr>
          <w:lang w:val="hu-HU"/>
        </w:rPr>
        <w:t>z</w:t>
      </w:r>
      <w:r w:rsidR="008C1DB2" w:rsidRPr="00F6526C">
        <w:rPr>
          <w:lang w:val="hu-HU"/>
        </w:rPr>
        <w:t xml:space="preserve"> </w:t>
      </w:r>
      <w:r w:rsidR="006D4655">
        <w:rPr>
          <w:rFonts w:eastAsia="Times New Roman"/>
          <w:noProof/>
          <w:snapToGrid/>
          <w:szCs w:val="22"/>
          <w:lang w:val="hu-HU" w:eastAsia="en-US"/>
        </w:rPr>
        <w:t>Elomen</w:t>
      </w:r>
      <w:r w:rsidR="008C1DB2" w:rsidRPr="00F6526C">
        <w:rPr>
          <w:rFonts w:eastAsia="Times New Roman"/>
          <w:noProof/>
          <w:snapToGrid/>
          <w:szCs w:val="22"/>
          <w:lang w:val="hu-HU" w:eastAsia="en-US"/>
        </w:rPr>
        <w:t xml:space="preserve"> 1000 mg/300 mg oldatos infúzió</w:t>
      </w:r>
      <w:r w:rsidRPr="00F6526C">
        <w:rPr>
          <w:lang w:val="hu-HU"/>
        </w:rPr>
        <w:t xml:space="preserve"> alkalmazását. </w:t>
      </w:r>
    </w:p>
    <w:p w14:paraId="5605FE98" w14:textId="77777777" w:rsidR="007F38AF" w:rsidRPr="00F6526C" w:rsidRDefault="007F38AF" w:rsidP="00057F8D">
      <w:pPr>
        <w:spacing w:line="240" w:lineRule="auto"/>
        <w:rPr>
          <w:lang w:val="hu-HU"/>
        </w:rPr>
      </w:pPr>
    </w:p>
    <w:p w14:paraId="3F04E629" w14:textId="11CC3422" w:rsidR="007F38AF" w:rsidRPr="00F6526C" w:rsidRDefault="00344A4A" w:rsidP="00057F8D">
      <w:pPr>
        <w:spacing w:line="240" w:lineRule="auto"/>
        <w:rPr>
          <w:b/>
          <w:i/>
          <w:lang w:val="hu-HU"/>
        </w:rPr>
      </w:pPr>
      <w:r w:rsidRPr="00F6526C">
        <w:rPr>
          <w:b/>
          <w:i/>
          <w:lang w:val="hu-HU"/>
        </w:rPr>
        <w:t>Fennálló a</w:t>
      </w:r>
      <w:r w:rsidR="007F38AF" w:rsidRPr="00F6526C">
        <w:rPr>
          <w:b/>
          <w:i/>
          <w:lang w:val="hu-HU"/>
        </w:rPr>
        <w:t xml:space="preserve">sthma </w:t>
      </w:r>
    </w:p>
    <w:p w14:paraId="6361E689" w14:textId="61608AF3" w:rsidR="00AD4B1D" w:rsidRPr="00F6526C" w:rsidRDefault="00344A4A" w:rsidP="00057F8D">
      <w:pPr>
        <w:spacing w:line="240" w:lineRule="auto"/>
        <w:rPr>
          <w:lang w:val="hu-HU"/>
        </w:rPr>
      </w:pPr>
      <w:r w:rsidRPr="00F6526C">
        <w:rPr>
          <w:lang w:val="hu-HU"/>
        </w:rPr>
        <w:t>Az ibuprofént tartalmazó k</w:t>
      </w:r>
      <w:r w:rsidR="00FB29FC" w:rsidRPr="00F6526C">
        <w:rPr>
          <w:lang w:val="hu-HU"/>
        </w:rPr>
        <w:t>észítményeket nem szabad acetil</w:t>
      </w:r>
      <w:r w:rsidRPr="00F6526C">
        <w:rPr>
          <w:lang w:val="hu-HU"/>
        </w:rPr>
        <w:t>szalicilsav-érzékeny asztmás betegeknek beadni, és óvatosan kell alkalmazni a már fennálló asztmában szenvedő betegek esetén.</w:t>
      </w:r>
    </w:p>
    <w:p w14:paraId="19A8D6AE" w14:textId="77777777" w:rsidR="008630A0" w:rsidRPr="00F6526C" w:rsidRDefault="008630A0" w:rsidP="00057F8D">
      <w:pPr>
        <w:spacing w:line="240" w:lineRule="auto"/>
        <w:rPr>
          <w:lang w:val="hu-HU"/>
        </w:rPr>
      </w:pPr>
    </w:p>
    <w:p w14:paraId="7D4085A8" w14:textId="17A5D4A5" w:rsidR="008630A0" w:rsidRPr="00F6526C" w:rsidRDefault="008630A0" w:rsidP="00057F8D">
      <w:pPr>
        <w:spacing w:line="240" w:lineRule="auto"/>
        <w:rPr>
          <w:b/>
          <w:i/>
          <w:lang w:val="hu-HU"/>
        </w:rPr>
      </w:pPr>
      <w:r w:rsidRPr="00F6526C">
        <w:rPr>
          <w:b/>
          <w:i/>
          <w:lang w:val="hu-HU"/>
        </w:rPr>
        <w:t>Szemészeti hatások</w:t>
      </w:r>
    </w:p>
    <w:p w14:paraId="4FDB72D7" w14:textId="330EC53C" w:rsidR="008630A0" w:rsidRPr="00F6526C" w:rsidRDefault="008630A0" w:rsidP="00057F8D">
      <w:pPr>
        <w:spacing w:line="240" w:lineRule="auto"/>
        <w:rPr>
          <w:lang w:val="hu-HU"/>
        </w:rPr>
      </w:pPr>
      <w:r w:rsidRPr="00F6526C">
        <w:rPr>
          <w:lang w:val="hu-HU"/>
        </w:rPr>
        <w:t>NSAID</w:t>
      </w:r>
      <w:r w:rsidR="00A27809">
        <w:rPr>
          <w:lang w:val="hu-HU"/>
        </w:rPr>
        <w:t>-</w:t>
      </w:r>
      <w:r w:rsidRPr="00F6526C">
        <w:rPr>
          <w:lang w:val="hu-HU"/>
        </w:rPr>
        <w:t>kezelés mellett kedvezőtlen szemészeti hatásokat figyeltek meg; ezért azoknak a betegeknek, akiknek látási zavaraik alakulnak ki az ibuprofént tartalma</w:t>
      </w:r>
      <w:r w:rsidR="003A5604" w:rsidRPr="00F6526C">
        <w:rPr>
          <w:lang w:val="hu-HU"/>
        </w:rPr>
        <w:t>zó készítmények</w:t>
      </w:r>
      <w:r w:rsidRPr="00F6526C">
        <w:rPr>
          <w:lang w:val="hu-HU"/>
        </w:rPr>
        <w:t>kel történő kezelés során, szemészeti vizsgálatot kell végezni.</w:t>
      </w:r>
    </w:p>
    <w:p w14:paraId="07784640" w14:textId="77777777" w:rsidR="008630A0" w:rsidRPr="00F6526C" w:rsidRDefault="008630A0" w:rsidP="00057F8D">
      <w:pPr>
        <w:spacing w:line="240" w:lineRule="auto"/>
        <w:rPr>
          <w:lang w:val="hu-HU"/>
        </w:rPr>
      </w:pPr>
    </w:p>
    <w:p w14:paraId="2C2BADDD" w14:textId="213AFB08" w:rsidR="008630A0" w:rsidRPr="00F6526C" w:rsidRDefault="00DC3B24" w:rsidP="00057F8D">
      <w:pPr>
        <w:spacing w:line="240" w:lineRule="auto"/>
        <w:rPr>
          <w:b/>
          <w:i/>
          <w:lang w:val="hu-HU"/>
        </w:rPr>
      </w:pPr>
      <w:r w:rsidRPr="00F6526C">
        <w:rPr>
          <w:b/>
          <w:i/>
          <w:lang w:val="hu-HU"/>
        </w:rPr>
        <w:t>Asepticus meningitis</w:t>
      </w:r>
    </w:p>
    <w:p w14:paraId="6EBD27D0" w14:textId="502B0BD2" w:rsidR="00DC3B24" w:rsidRPr="00F6526C" w:rsidRDefault="00D1050A" w:rsidP="00057F8D">
      <w:pPr>
        <w:spacing w:line="240" w:lineRule="auto"/>
        <w:rPr>
          <w:lang w:val="hu-HU"/>
        </w:rPr>
      </w:pPr>
      <w:r w:rsidRPr="00F6526C">
        <w:rPr>
          <w:lang w:val="hu-HU"/>
        </w:rPr>
        <w:t>Ibuprofént tartalmazó készítmények használata mellett ritkán asepticus meningitisről számoltak be, mely nem kizárólag, de gyakrabban fordult elő szisztémás lupus erythematosus (SLE) vagy eg</w:t>
      </w:r>
      <w:r w:rsidR="001B6E45" w:rsidRPr="00F6526C">
        <w:rPr>
          <w:lang w:val="hu-HU"/>
        </w:rPr>
        <w:t xml:space="preserve">yéb kötőszöveti </w:t>
      </w:r>
      <w:r w:rsidR="007B3AE3" w:rsidRPr="00F6526C">
        <w:rPr>
          <w:lang w:val="hu-HU"/>
        </w:rPr>
        <w:t>rendellenességben</w:t>
      </w:r>
      <w:r w:rsidRPr="00F6526C">
        <w:rPr>
          <w:lang w:val="hu-HU"/>
        </w:rPr>
        <w:t xml:space="preserve"> szenvedő betegeknél.</w:t>
      </w:r>
    </w:p>
    <w:p w14:paraId="1E7165E3" w14:textId="77777777" w:rsidR="007B3AE3" w:rsidRPr="00F6526C" w:rsidRDefault="007B3AE3" w:rsidP="00057F8D">
      <w:pPr>
        <w:spacing w:line="240" w:lineRule="auto"/>
        <w:rPr>
          <w:lang w:val="hu-HU"/>
        </w:rPr>
      </w:pPr>
    </w:p>
    <w:p w14:paraId="6482307F" w14:textId="71FB4635" w:rsidR="007B3AE3" w:rsidRPr="00F6526C" w:rsidRDefault="00BA5448" w:rsidP="00057F8D">
      <w:pPr>
        <w:spacing w:line="240" w:lineRule="auto"/>
        <w:rPr>
          <w:b/>
          <w:i/>
          <w:lang w:val="hu-HU"/>
        </w:rPr>
      </w:pPr>
      <w:r w:rsidRPr="00F6526C">
        <w:rPr>
          <w:b/>
          <w:i/>
          <w:lang w:val="hu-HU"/>
        </w:rPr>
        <w:t>Lehetséges kölcsön</w:t>
      </w:r>
      <w:r w:rsidR="0081668E" w:rsidRPr="00F6526C">
        <w:rPr>
          <w:b/>
          <w:i/>
          <w:lang w:val="hu-HU"/>
        </w:rPr>
        <w:t>hatások laboratóriumi vizsgálatokkal</w:t>
      </w:r>
    </w:p>
    <w:p w14:paraId="3020A76E" w14:textId="23BFBB51" w:rsidR="00C26418" w:rsidRPr="00F6526C" w:rsidRDefault="00CE2882" w:rsidP="00057F8D">
      <w:pPr>
        <w:spacing w:line="240" w:lineRule="auto"/>
        <w:rPr>
          <w:lang w:val="hu-HU"/>
        </w:rPr>
      </w:pPr>
      <w:r w:rsidRPr="00F6526C">
        <w:rPr>
          <w:lang w:val="hu-HU"/>
        </w:rPr>
        <w:t>A jelenleg használt analitikai rendszerek alkalmazása során a paracetamol nem befolyásolja a laboratóriumi vizsgálatokat. Azonban az alábbi módszerek esetén fennáll a kóros interferencia lehetősége:</w:t>
      </w:r>
    </w:p>
    <w:p w14:paraId="68198D08" w14:textId="77777777" w:rsidR="00B6671A" w:rsidRPr="00F6526C" w:rsidRDefault="00B6671A" w:rsidP="00057F8D">
      <w:pPr>
        <w:spacing w:line="240" w:lineRule="auto"/>
        <w:rPr>
          <w:lang w:val="hu-HU"/>
        </w:rPr>
      </w:pPr>
    </w:p>
    <w:p w14:paraId="374466CA" w14:textId="56282906" w:rsidR="00B6671A" w:rsidRPr="00F6526C" w:rsidRDefault="00B6671A" w:rsidP="00057F8D">
      <w:pPr>
        <w:spacing w:line="240" w:lineRule="auto"/>
        <w:rPr>
          <w:i/>
          <w:lang w:val="hu-HU"/>
        </w:rPr>
      </w:pPr>
      <w:r w:rsidRPr="00F6526C">
        <w:rPr>
          <w:i/>
          <w:lang w:val="hu-HU"/>
        </w:rPr>
        <w:t>Vizeletvizsgálat</w:t>
      </w:r>
    </w:p>
    <w:p w14:paraId="7F5E6CD5" w14:textId="58B161D1" w:rsidR="007B3AE3" w:rsidRPr="00F6526C" w:rsidRDefault="009B103D" w:rsidP="00057F8D">
      <w:pPr>
        <w:spacing w:line="240" w:lineRule="auto"/>
        <w:rPr>
          <w:lang w:val="hu-HU"/>
        </w:rPr>
      </w:pPr>
      <w:r w:rsidRPr="00F6526C">
        <w:rPr>
          <w:lang w:val="hu-HU"/>
        </w:rPr>
        <w:t>A paracetamol terápiás adagokban zavarhatja az 5-hidroxi-indolecetsav (5HIAA) meghatározását, téves pozitív eredményeket okozva.</w:t>
      </w:r>
      <w:r w:rsidR="00802849" w:rsidRPr="00F6526C">
        <w:rPr>
          <w:lang w:val="hu-HU"/>
        </w:rPr>
        <w:t xml:space="preserve"> A bizonytalan eredmény kiküszöbölhető, ha a vizeletminta gyűjtése előtt néhány órával és közben nem történik paracetamol</w:t>
      </w:r>
      <w:r w:rsidR="00A27809">
        <w:rPr>
          <w:lang w:val="hu-HU"/>
        </w:rPr>
        <w:t>-</w:t>
      </w:r>
      <w:r w:rsidR="00802849" w:rsidRPr="00F6526C">
        <w:rPr>
          <w:lang w:val="hu-HU"/>
        </w:rPr>
        <w:t>kezelés.</w:t>
      </w:r>
    </w:p>
    <w:p w14:paraId="1C043469" w14:textId="77777777" w:rsidR="00D1050A" w:rsidRPr="00F6526C" w:rsidRDefault="00D1050A" w:rsidP="00057F8D">
      <w:pPr>
        <w:spacing w:line="240" w:lineRule="auto"/>
        <w:rPr>
          <w:lang w:val="hu-HU"/>
        </w:rPr>
      </w:pPr>
    </w:p>
    <w:p w14:paraId="7281A6AD" w14:textId="72E4277E" w:rsidR="004D64AC" w:rsidRPr="00F6526C" w:rsidRDefault="004D64AC" w:rsidP="00057F8D">
      <w:pPr>
        <w:spacing w:line="240" w:lineRule="auto"/>
        <w:rPr>
          <w:b/>
          <w:i/>
          <w:lang w:val="hu-HU"/>
        </w:rPr>
      </w:pPr>
      <w:r w:rsidRPr="00F6526C">
        <w:rPr>
          <w:b/>
          <w:i/>
          <w:lang w:val="hu-HU"/>
        </w:rPr>
        <w:t>Egyidejűleg fennálló fertőzések tüneteinek elfedése</w:t>
      </w:r>
    </w:p>
    <w:p w14:paraId="4267AC08" w14:textId="570FEB99" w:rsidR="007C02E2" w:rsidRPr="00F6526C" w:rsidRDefault="00932806" w:rsidP="00057F8D">
      <w:pPr>
        <w:spacing w:line="240" w:lineRule="auto"/>
        <w:rPr>
          <w:lang w:val="hu-HU"/>
        </w:rPr>
      </w:pPr>
      <w:r w:rsidRPr="00F6526C">
        <w:rPr>
          <w:lang w:val="hu-HU"/>
        </w:rPr>
        <w:t>A</w:t>
      </w:r>
      <w:r w:rsidR="00DD2DF7">
        <w:rPr>
          <w:lang w:val="hu-HU"/>
        </w:rPr>
        <w:t>z</w:t>
      </w:r>
      <w:r w:rsidRPr="00F6526C">
        <w:rPr>
          <w:lang w:val="hu-HU"/>
        </w:rPr>
        <w:t xml:space="preserve"> </w:t>
      </w:r>
      <w:r w:rsidR="006D4655">
        <w:rPr>
          <w:rFonts w:eastAsia="Times New Roman"/>
          <w:noProof/>
          <w:snapToGrid/>
          <w:szCs w:val="22"/>
          <w:lang w:val="hu-HU" w:eastAsia="en-US"/>
        </w:rPr>
        <w:t>Elomen</w:t>
      </w:r>
      <w:r w:rsidRPr="00F6526C">
        <w:rPr>
          <w:rFonts w:eastAsia="Times New Roman"/>
          <w:noProof/>
          <w:snapToGrid/>
          <w:szCs w:val="22"/>
          <w:lang w:val="hu-HU" w:eastAsia="en-US"/>
        </w:rPr>
        <w:t xml:space="preserve"> 1000 mg/300 mg oldatos infúzió</w:t>
      </w:r>
      <w:r w:rsidR="00775CD7" w:rsidRPr="00F6526C">
        <w:rPr>
          <w:lang w:val="hu-HU"/>
        </w:rPr>
        <w:t xml:space="preserve"> elfedheti az egyidejűleg fennálló fertőzések tüneteit, mellyel késleltetheti a megfelelő kezelés megkezdését és ezáltal ronthatja a fertőzés kimenetelét. </w:t>
      </w:r>
      <w:r w:rsidR="007E1C7F" w:rsidRPr="00F6526C">
        <w:rPr>
          <w:lang w:val="hu-HU"/>
        </w:rPr>
        <w:t xml:space="preserve">Ezt megfigyelték </w:t>
      </w:r>
      <w:r w:rsidR="00A27809">
        <w:rPr>
          <w:lang w:val="hu-HU"/>
        </w:rPr>
        <w:t>területen</w:t>
      </w:r>
      <w:r w:rsidR="00A27809" w:rsidRPr="00F6526C">
        <w:rPr>
          <w:lang w:val="hu-HU"/>
        </w:rPr>
        <w:t xml:space="preserve"> </w:t>
      </w:r>
      <w:r w:rsidR="007E1C7F" w:rsidRPr="00F6526C">
        <w:rPr>
          <w:lang w:val="hu-HU"/>
        </w:rPr>
        <w:t>szerzett bakteriális tüdőgyulladás és varicella bakteriális felülfertőződése</w:t>
      </w:r>
      <w:r w:rsidR="002126AD" w:rsidRPr="00F6526C">
        <w:rPr>
          <w:lang w:val="hu-HU"/>
        </w:rPr>
        <w:t xml:space="preserve"> </w:t>
      </w:r>
      <w:r w:rsidR="007E1C7F" w:rsidRPr="00F6526C">
        <w:rPr>
          <w:lang w:val="hu-HU"/>
        </w:rPr>
        <w:t>esetén.</w:t>
      </w:r>
      <w:r w:rsidR="00712F78" w:rsidRPr="00F6526C">
        <w:rPr>
          <w:lang w:val="hu-HU"/>
        </w:rPr>
        <w:t xml:space="preserve"> </w:t>
      </w:r>
      <w:r w:rsidR="008C1DB2" w:rsidRPr="00F6526C">
        <w:rPr>
          <w:lang w:val="hu-HU"/>
        </w:rPr>
        <w:t>Amikor a</w:t>
      </w:r>
      <w:r w:rsidR="00DD2DF7">
        <w:rPr>
          <w:lang w:val="hu-HU"/>
        </w:rPr>
        <w:t>z</w:t>
      </w:r>
      <w:r w:rsidR="008C1DB2" w:rsidRPr="00F6526C">
        <w:rPr>
          <w:lang w:val="hu-HU"/>
        </w:rPr>
        <w:t xml:space="preserve"> </w:t>
      </w:r>
      <w:r w:rsidR="006D4655">
        <w:rPr>
          <w:rFonts w:eastAsia="Times New Roman"/>
          <w:noProof/>
          <w:snapToGrid/>
          <w:szCs w:val="22"/>
          <w:lang w:val="hu-HU" w:eastAsia="en-US"/>
        </w:rPr>
        <w:t>Elomen</w:t>
      </w:r>
      <w:r w:rsidR="008C1DB2" w:rsidRPr="00F6526C">
        <w:rPr>
          <w:rFonts w:eastAsia="Times New Roman"/>
          <w:noProof/>
          <w:snapToGrid/>
          <w:szCs w:val="22"/>
          <w:lang w:val="hu-HU" w:eastAsia="en-US"/>
        </w:rPr>
        <w:t xml:space="preserve"> 1000 mg/300 mg oldatos infúziót</w:t>
      </w:r>
      <w:r w:rsidR="00833C7B" w:rsidRPr="00F6526C">
        <w:rPr>
          <w:lang w:val="hu-HU"/>
        </w:rPr>
        <w:t xml:space="preserve"> fertőzéssel összefüggő láz vagy fájdalom kezelésére alkalmazzák, a fertőzés kontrollja javasolt. </w:t>
      </w:r>
      <w:r w:rsidR="00636F63" w:rsidRPr="00F6526C">
        <w:rPr>
          <w:lang w:val="hu-HU"/>
        </w:rPr>
        <w:t>Nem kórházi kezelés esetén a betegnek orvoshoz kell fordulnia, ha a tünetek továbbra is fennállnak vagy súlyosbodnak.</w:t>
      </w:r>
    </w:p>
    <w:p w14:paraId="685B69DF" w14:textId="77777777" w:rsidR="00D1050A" w:rsidRPr="00F6526C" w:rsidRDefault="00D1050A" w:rsidP="00057F8D">
      <w:pPr>
        <w:spacing w:line="240" w:lineRule="auto"/>
        <w:rPr>
          <w:lang w:val="hu-HU"/>
        </w:rPr>
      </w:pPr>
    </w:p>
    <w:p w14:paraId="52A9F831" w14:textId="5FBC82AD" w:rsidR="004E38A8" w:rsidRPr="00F6526C" w:rsidRDefault="004E38A8" w:rsidP="00057F8D">
      <w:pPr>
        <w:spacing w:line="240" w:lineRule="auto"/>
        <w:rPr>
          <w:b/>
          <w:i/>
          <w:lang w:val="hu-HU"/>
        </w:rPr>
      </w:pPr>
      <w:r w:rsidRPr="00F6526C">
        <w:rPr>
          <w:b/>
          <w:i/>
          <w:lang w:val="hu-HU"/>
        </w:rPr>
        <w:t>Fájdalomcsillapítók tartós használata</w:t>
      </w:r>
    </w:p>
    <w:p w14:paraId="63825A0D" w14:textId="59B964F0" w:rsidR="00145BC2" w:rsidRPr="00F6526C" w:rsidRDefault="00A719BE" w:rsidP="00057F8D">
      <w:pPr>
        <w:spacing w:line="240" w:lineRule="auto"/>
        <w:rPr>
          <w:lang w:val="hu-HU"/>
        </w:rPr>
      </w:pPr>
      <w:r w:rsidRPr="00F6526C">
        <w:rPr>
          <w:lang w:val="hu-HU"/>
        </w:rPr>
        <w:t>A fájdalomcsillapítók tartós használata esetén fejfájás léphet fel, amelyet nem szabad a gyógyszer adagjának növelésével kezelni.</w:t>
      </w:r>
    </w:p>
    <w:p w14:paraId="3862361C" w14:textId="77C74D75" w:rsidR="00A719BE" w:rsidRDefault="00A719BE" w:rsidP="00057F8D">
      <w:pPr>
        <w:spacing w:line="240" w:lineRule="auto"/>
        <w:rPr>
          <w:lang w:val="hu-HU"/>
        </w:rPr>
      </w:pPr>
    </w:p>
    <w:p w14:paraId="79DBD90E" w14:textId="372D7193" w:rsidR="006A48F0" w:rsidRPr="00654B96" w:rsidRDefault="009B4019" w:rsidP="006A48F0">
      <w:pPr>
        <w:spacing w:line="240" w:lineRule="auto"/>
        <w:rPr>
          <w:b/>
          <w:bCs/>
          <w:i/>
          <w:iCs/>
          <w:lang w:val="hu-HU"/>
        </w:rPr>
      </w:pPr>
      <w:r>
        <w:rPr>
          <w:b/>
          <w:bCs/>
          <w:i/>
          <w:iCs/>
          <w:lang w:val="hu-HU"/>
        </w:rPr>
        <w:t>P</w:t>
      </w:r>
      <w:r w:rsidRPr="00654B96">
        <w:rPr>
          <w:b/>
          <w:bCs/>
          <w:i/>
          <w:iCs/>
          <w:lang w:val="hu-HU"/>
        </w:rPr>
        <w:t>iroglutam</w:t>
      </w:r>
      <w:r>
        <w:rPr>
          <w:b/>
          <w:bCs/>
          <w:i/>
          <w:iCs/>
          <w:lang w:val="hu-HU"/>
        </w:rPr>
        <w:t>át-</w:t>
      </w:r>
      <w:r w:rsidRPr="00654B96">
        <w:rPr>
          <w:b/>
          <w:bCs/>
          <w:i/>
          <w:iCs/>
          <w:lang w:val="hu-HU"/>
        </w:rPr>
        <w:t xml:space="preserve">acidózis miatt </w:t>
      </w:r>
      <w:r>
        <w:rPr>
          <w:b/>
          <w:bCs/>
          <w:i/>
          <w:iCs/>
          <w:lang w:val="hu-HU"/>
        </w:rPr>
        <w:t>kialakuló e</w:t>
      </w:r>
      <w:r w:rsidR="006A48F0" w:rsidRPr="00B42D19">
        <w:rPr>
          <w:b/>
          <w:bCs/>
          <w:i/>
          <w:iCs/>
          <w:lang w:val="hu-HU"/>
        </w:rPr>
        <w:t>melkedett anionréssel járó metabolikus acidózis</w:t>
      </w:r>
      <w:r w:rsidR="006A48F0" w:rsidRPr="00654B96">
        <w:rPr>
          <w:b/>
          <w:bCs/>
          <w:i/>
          <w:iCs/>
          <w:lang w:val="hu-HU"/>
        </w:rPr>
        <w:t xml:space="preserve"> (HAGMA) </w:t>
      </w:r>
    </w:p>
    <w:p w14:paraId="2E1AC85D" w14:textId="77777777" w:rsidR="009B4019" w:rsidRDefault="009B4019" w:rsidP="00057F8D">
      <w:pPr>
        <w:spacing w:line="240" w:lineRule="auto"/>
      </w:pPr>
      <w:r>
        <w:t>Piroglutamát-acidózis miatt kialakuló emelkedett anionréssel járó metabolikus acidózist (HAGMA) jelentettek egyes olyan, súlyos betegségben (pl. súlyos vesekárosodás, sepsis) szenvedő, vagy egyes alultáplált, illetve egyéb ok (pl. krónikus alkoholizmus) miatt glutationhiányban szenvedő betegeknél, akiket hosszú időn keresztül kezeltek terápiás dózisú paracetamollal, illetve akiket paracetamol és flukloxacillin kombinációjával kezeltek. Ha piroglutamát-acidózis miatt kialakuló HAGMA gyanúja merül fel, a paracetamol alkalmazásának azonnali leállítása és szoros monitorozás javasolt. A vizelet 5-oxoprolinszintjének ellenőrzése célszerű lehet a piroglutamát-acidózis – mint a HAGMA mögöttes okának – azonosításához olyan betegek esetében, akiknél több kockázati tényező is fennáll.</w:t>
      </w:r>
    </w:p>
    <w:p w14:paraId="2E7FB840" w14:textId="77777777" w:rsidR="00822A6C" w:rsidRPr="00F6526C" w:rsidRDefault="00822A6C" w:rsidP="00057F8D">
      <w:pPr>
        <w:spacing w:line="240" w:lineRule="auto"/>
        <w:rPr>
          <w:lang w:val="hu-HU"/>
        </w:rPr>
      </w:pPr>
    </w:p>
    <w:p w14:paraId="2AC2B1BB" w14:textId="511620B5" w:rsidR="00A719BE" w:rsidRPr="00F6526C" w:rsidRDefault="005E7DFE" w:rsidP="00057F8D">
      <w:pPr>
        <w:spacing w:line="240" w:lineRule="auto"/>
        <w:rPr>
          <w:b/>
          <w:i/>
          <w:lang w:val="hu-HU"/>
        </w:rPr>
      </w:pPr>
      <w:r w:rsidRPr="00F6526C">
        <w:rPr>
          <w:b/>
          <w:i/>
          <w:lang w:val="hu-HU"/>
        </w:rPr>
        <w:t>Különleges óvintézkedések</w:t>
      </w:r>
    </w:p>
    <w:p w14:paraId="43804B07" w14:textId="00F567CF" w:rsidR="005E7DFE" w:rsidRPr="00F6526C" w:rsidRDefault="00016FEC" w:rsidP="00057F8D">
      <w:pPr>
        <w:spacing w:line="240" w:lineRule="auto"/>
        <w:rPr>
          <w:lang w:val="hu-HU"/>
        </w:rPr>
      </w:pPr>
      <w:r w:rsidRPr="00F6526C">
        <w:rPr>
          <w:lang w:val="hu-HU"/>
        </w:rPr>
        <w:t>Egyes bizonyítékok alapján a ciklooxigenáz</w:t>
      </w:r>
      <w:r w:rsidR="00A27809">
        <w:rPr>
          <w:lang w:val="hu-HU"/>
        </w:rPr>
        <w:t>-</w:t>
      </w:r>
      <w:r w:rsidRPr="00F6526C">
        <w:rPr>
          <w:lang w:val="hu-HU"/>
        </w:rPr>
        <w:t xml:space="preserve"> / prosztaglandinszintézist gátló gyógyszerek, az ovuláció befolyásolásával ronthatják a nők termékenységét.</w:t>
      </w:r>
      <w:r w:rsidR="004921DA" w:rsidRPr="00F6526C">
        <w:rPr>
          <w:lang w:val="hu-HU"/>
        </w:rPr>
        <w:t xml:space="preserve"> Ez a gyógyszer elhagyásával visszafordítható.</w:t>
      </w:r>
    </w:p>
    <w:p w14:paraId="0BF0ACAD" w14:textId="77777777" w:rsidR="004921DA" w:rsidRPr="00F6526C" w:rsidRDefault="004921DA" w:rsidP="00057F8D">
      <w:pPr>
        <w:spacing w:line="240" w:lineRule="auto"/>
        <w:rPr>
          <w:lang w:val="hu-HU"/>
        </w:rPr>
      </w:pPr>
    </w:p>
    <w:p w14:paraId="7F74B1DC" w14:textId="619C1C55" w:rsidR="00992AB8" w:rsidRPr="00F6526C" w:rsidRDefault="00992AB8" w:rsidP="00992AB8">
      <w:pPr>
        <w:spacing w:line="240" w:lineRule="auto"/>
        <w:rPr>
          <w:lang w:val="hu-HU"/>
        </w:rPr>
      </w:pPr>
      <w:r w:rsidRPr="00F6526C">
        <w:rPr>
          <w:lang w:val="hu-HU"/>
        </w:rPr>
        <w:t>Az ibuprofén veleszületett porfirinanyagcsere</w:t>
      </w:r>
      <w:r w:rsidR="0047658F">
        <w:rPr>
          <w:lang w:val="hu-HU"/>
        </w:rPr>
        <w:t>-</w:t>
      </w:r>
      <w:r w:rsidRPr="00F6526C">
        <w:rPr>
          <w:lang w:val="hu-HU"/>
        </w:rPr>
        <w:t>zavarban (például akut intermittáló porphyria) szenvedő betegeknél csak az előny/kockázat mérleg alapos értékelését követően alkalmazható.</w:t>
      </w:r>
    </w:p>
    <w:p w14:paraId="3AD84B7E" w14:textId="77777777" w:rsidR="00992AB8" w:rsidRPr="00F6526C" w:rsidRDefault="00992AB8" w:rsidP="00992AB8">
      <w:pPr>
        <w:spacing w:line="240" w:lineRule="auto"/>
        <w:rPr>
          <w:lang w:val="hu-HU"/>
        </w:rPr>
      </w:pPr>
    </w:p>
    <w:p w14:paraId="2B1D1821" w14:textId="3CF7C232" w:rsidR="004921DA" w:rsidRPr="00F6526C" w:rsidRDefault="00263A86" w:rsidP="00057F8D">
      <w:pPr>
        <w:spacing w:line="240" w:lineRule="auto"/>
        <w:rPr>
          <w:lang w:val="hu-HU"/>
        </w:rPr>
      </w:pPr>
      <w:r w:rsidRPr="00F6526C">
        <w:rPr>
          <w:lang w:val="hu-HU"/>
        </w:rPr>
        <w:t>Alkohol egyidejű fogyasztása fokozhatja az NSAID</w:t>
      </w:r>
      <w:r w:rsidR="009864B7">
        <w:rPr>
          <w:rFonts w:eastAsia="Calibri"/>
          <w:lang w:val="hu-HU"/>
        </w:rPr>
        <w:t>-</w:t>
      </w:r>
      <w:r w:rsidRPr="00F6526C">
        <w:rPr>
          <w:lang w:val="hu-HU"/>
        </w:rPr>
        <w:t>ok alkalmazása alatt a hatóanyaggal összefüggő nemkívánatos mellékhatásokat, különösen azokat, amelyek a gastrointestinalis tractust vagy a központi idegrendszert érintik.</w:t>
      </w:r>
    </w:p>
    <w:p w14:paraId="72E1BBCF" w14:textId="77777777" w:rsidR="00263A86" w:rsidRPr="00F6526C" w:rsidRDefault="00263A86" w:rsidP="00057F8D">
      <w:pPr>
        <w:spacing w:line="240" w:lineRule="auto"/>
        <w:rPr>
          <w:lang w:val="hu-HU"/>
        </w:rPr>
      </w:pPr>
    </w:p>
    <w:p w14:paraId="58EEEEC8" w14:textId="3A9E72ED" w:rsidR="00263A86" w:rsidRPr="00F6526C" w:rsidRDefault="001D1562" w:rsidP="00057F8D">
      <w:pPr>
        <w:spacing w:line="240" w:lineRule="auto"/>
        <w:rPr>
          <w:lang w:val="hu-HU"/>
        </w:rPr>
      </w:pPr>
      <w:r w:rsidRPr="00F6526C">
        <w:rPr>
          <w:lang w:val="hu-HU"/>
        </w:rPr>
        <w:t>A</w:t>
      </w:r>
      <w:r w:rsidR="00F95340" w:rsidRPr="00F6526C">
        <w:rPr>
          <w:lang w:val="hu-HU"/>
        </w:rPr>
        <w:t>z alábbi állapotokban</w:t>
      </w:r>
      <w:r w:rsidRPr="00F6526C">
        <w:rPr>
          <w:lang w:val="hu-HU"/>
        </w:rPr>
        <w:t xml:space="preserve"> </w:t>
      </w:r>
      <w:r w:rsidR="00CB6C6A" w:rsidRPr="00F6526C">
        <w:rPr>
          <w:lang w:val="hu-HU"/>
        </w:rPr>
        <w:t xml:space="preserve">a </w:t>
      </w:r>
      <w:r w:rsidRPr="00F6526C">
        <w:rPr>
          <w:lang w:val="hu-HU"/>
        </w:rPr>
        <w:t>készítményt óvatosan kell alkalmazni,</w:t>
      </w:r>
      <w:r w:rsidR="00F95340" w:rsidRPr="00F6526C">
        <w:rPr>
          <w:lang w:val="hu-HU"/>
        </w:rPr>
        <w:t xml:space="preserve"> mert</w:t>
      </w:r>
      <w:r w:rsidRPr="00F6526C">
        <w:rPr>
          <w:lang w:val="hu-HU"/>
        </w:rPr>
        <w:t xml:space="preserve"> állapotrosszabbodást okozhat:</w:t>
      </w:r>
    </w:p>
    <w:p w14:paraId="0E9815F0" w14:textId="314AEB82" w:rsidR="001D1562" w:rsidRPr="00F6526C" w:rsidRDefault="00423827" w:rsidP="00C97896">
      <w:pPr>
        <w:pStyle w:val="Listaszerbekezds"/>
        <w:numPr>
          <w:ilvl w:val="0"/>
          <w:numId w:val="15"/>
        </w:numPr>
        <w:spacing w:line="240" w:lineRule="auto"/>
        <w:ind w:left="567" w:hanging="207"/>
        <w:rPr>
          <w:lang w:val="hu-HU"/>
        </w:rPr>
      </w:pPr>
      <w:r w:rsidRPr="00F6526C">
        <w:rPr>
          <w:szCs w:val="22"/>
          <w:lang w:val="hu-HU"/>
        </w:rPr>
        <w:t>Azoknál a betegeknél, akiknél egyéb anyagokkal szembeni allergiás reakció fordult elő, mivel ennek a gyógyszernek az alkalmazása esetén is fennáll a túlérzékenységi reakciók fellépésének fokozott kockázata.</w:t>
      </w:r>
    </w:p>
    <w:p w14:paraId="2239A24F" w14:textId="07E1CAE3" w:rsidR="00423827" w:rsidRPr="00F6526C" w:rsidRDefault="00BA55ED" w:rsidP="00C97896">
      <w:pPr>
        <w:pStyle w:val="Listaszerbekezds"/>
        <w:numPr>
          <w:ilvl w:val="0"/>
          <w:numId w:val="15"/>
        </w:numPr>
        <w:spacing w:line="240" w:lineRule="auto"/>
        <w:ind w:left="567" w:hanging="207"/>
        <w:rPr>
          <w:lang w:val="hu-HU"/>
        </w:rPr>
      </w:pPr>
      <w:r w:rsidRPr="00F6526C">
        <w:rPr>
          <w:lang w:val="hu-HU"/>
        </w:rPr>
        <w:t xml:space="preserve">Szénanáthában, orrpolipban vagy krónikus obstructiv légúti betegségekben szenvedő betegeknél, mivel fokozott az allergiás reakciók </w:t>
      </w:r>
      <w:r w:rsidR="00A229E0" w:rsidRPr="00F6526C">
        <w:rPr>
          <w:lang w:val="hu-HU"/>
        </w:rPr>
        <w:t xml:space="preserve">előfordulásának kockázata. Ezek </w:t>
      </w:r>
      <w:r w:rsidRPr="00F6526C">
        <w:rPr>
          <w:lang w:val="hu-HU"/>
        </w:rPr>
        <w:t>megnyilvánulhatnak asthmás rohamok (úgynevezett analgeticum asthma), Quincke</w:t>
      </w:r>
      <w:r w:rsidR="009864B7">
        <w:rPr>
          <w:rFonts w:eastAsia="Calibri"/>
          <w:lang w:val="hu-HU"/>
        </w:rPr>
        <w:t>-</w:t>
      </w:r>
      <w:r w:rsidRPr="00F6526C">
        <w:rPr>
          <w:lang w:val="hu-HU"/>
        </w:rPr>
        <w:t>oedema vagy urticaria formájában.</w:t>
      </w:r>
    </w:p>
    <w:p w14:paraId="217A6F9F" w14:textId="77777777" w:rsidR="00A36C54" w:rsidRPr="00F6526C" w:rsidRDefault="00A36C54" w:rsidP="00A36C54">
      <w:pPr>
        <w:spacing w:line="240" w:lineRule="auto"/>
        <w:rPr>
          <w:lang w:val="hu-HU"/>
        </w:rPr>
      </w:pPr>
    </w:p>
    <w:p w14:paraId="5DAC41C8" w14:textId="3ECF5984" w:rsidR="00A36C54" w:rsidRPr="00F6526C" w:rsidRDefault="00E61C18" w:rsidP="00A36C54">
      <w:pPr>
        <w:spacing w:line="240" w:lineRule="auto"/>
        <w:rPr>
          <w:lang w:val="hu-HU"/>
        </w:rPr>
      </w:pPr>
      <w:r w:rsidRPr="00F6526C">
        <w:rPr>
          <w:lang w:val="hu-HU"/>
        </w:rPr>
        <w:t>A készítmény 35,06 mg nátriumot tartalmaz</w:t>
      </w:r>
      <w:r w:rsidR="00E415F2" w:rsidRPr="00F6526C">
        <w:rPr>
          <w:lang w:val="hu-HU"/>
        </w:rPr>
        <w:t xml:space="preserve"> 100 ml-es</w:t>
      </w:r>
      <w:r w:rsidRPr="00F6526C">
        <w:rPr>
          <w:lang w:val="hu-HU"/>
        </w:rPr>
        <w:t xml:space="preserve"> injekciós üvegenként, mely a WHO által felnőtteknek ajánlott napi 2 g-os nátriumbevitel 1,75%-ának felel meg.</w:t>
      </w:r>
    </w:p>
    <w:p w14:paraId="140A39B2" w14:textId="77777777" w:rsidR="00F45C51" w:rsidRPr="00F6526C" w:rsidRDefault="00F45C51" w:rsidP="00082A8E">
      <w:pPr>
        <w:spacing w:line="240" w:lineRule="auto"/>
        <w:rPr>
          <w:lang w:val="hu-HU"/>
        </w:rPr>
      </w:pPr>
    </w:p>
    <w:p w14:paraId="67542685" w14:textId="77777777" w:rsidR="00F45C51" w:rsidRPr="00F6526C" w:rsidRDefault="00FC0857" w:rsidP="00B4150A">
      <w:pPr>
        <w:spacing w:before="240" w:after="120" w:line="240" w:lineRule="auto"/>
        <w:ind w:left="567" w:hanging="567"/>
        <w:outlineLvl w:val="0"/>
        <w:rPr>
          <w:rFonts w:eastAsia="Times New Roman"/>
          <w:b/>
          <w:noProof/>
          <w:snapToGrid/>
          <w:szCs w:val="22"/>
          <w:lang w:val="hu-HU" w:eastAsia="en-US"/>
        </w:rPr>
      </w:pPr>
      <w:r w:rsidRPr="00F6526C">
        <w:rPr>
          <w:rFonts w:eastAsia="Times New Roman"/>
          <w:b/>
          <w:noProof/>
          <w:snapToGrid/>
          <w:szCs w:val="22"/>
          <w:lang w:val="hu-HU" w:eastAsia="en-US"/>
        </w:rPr>
        <w:t>4.5</w:t>
      </w:r>
      <w:r w:rsidRPr="00F6526C">
        <w:rPr>
          <w:rFonts w:eastAsia="Times New Roman"/>
          <w:b/>
          <w:noProof/>
          <w:snapToGrid/>
          <w:szCs w:val="22"/>
          <w:lang w:val="hu-HU" w:eastAsia="en-US"/>
        </w:rPr>
        <w:tab/>
        <w:t>Gyógyszerkölcsönhatások és egyéb interakciók</w:t>
      </w:r>
    </w:p>
    <w:p w14:paraId="2256B9C0" w14:textId="77777777" w:rsidR="00F45C51" w:rsidRPr="00F6526C" w:rsidRDefault="00F45C51" w:rsidP="00082A8E">
      <w:pPr>
        <w:spacing w:line="240" w:lineRule="auto"/>
        <w:rPr>
          <w:rFonts w:eastAsia="Times New Roman"/>
          <w:noProof/>
          <w:snapToGrid/>
          <w:szCs w:val="22"/>
          <w:lang w:val="hu-HU" w:eastAsia="en-US"/>
        </w:rPr>
      </w:pPr>
    </w:p>
    <w:p w14:paraId="0E5F79B7" w14:textId="7CF3FC1C" w:rsidR="009E6CED" w:rsidRPr="00F6526C" w:rsidRDefault="00C15616" w:rsidP="00082A8E">
      <w:pPr>
        <w:spacing w:line="240" w:lineRule="auto"/>
        <w:rPr>
          <w:rFonts w:eastAsia="Times New Roman"/>
          <w:noProof/>
          <w:snapToGrid/>
          <w:szCs w:val="22"/>
          <w:lang w:val="hu-HU" w:eastAsia="en-US"/>
        </w:rPr>
      </w:pPr>
      <w:r w:rsidRPr="00F6526C">
        <w:rPr>
          <w:rFonts w:eastAsia="Times New Roman"/>
          <w:noProof/>
          <w:snapToGrid/>
          <w:szCs w:val="22"/>
          <w:lang w:val="hu-HU" w:eastAsia="en-US"/>
        </w:rPr>
        <w:t>Ez a gyógyszer egyéb p</w:t>
      </w:r>
      <w:r w:rsidR="00FB29FC" w:rsidRPr="00F6526C">
        <w:rPr>
          <w:rFonts w:eastAsia="Times New Roman"/>
          <w:noProof/>
          <w:snapToGrid/>
          <w:szCs w:val="22"/>
          <w:lang w:val="hu-HU" w:eastAsia="en-US"/>
        </w:rPr>
        <w:t>aracetamolt, ibuprofént, acetil</w:t>
      </w:r>
      <w:r w:rsidRPr="00F6526C">
        <w:rPr>
          <w:rFonts w:eastAsia="Times New Roman"/>
          <w:noProof/>
          <w:snapToGrid/>
          <w:szCs w:val="22"/>
          <w:lang w:val="hu-HU" w:eastAsia="en-US"/>
        </w:rPr>
        <w:t>szalicilsavat, szalicilátokat vagy más gyulladáscsökkentőt (NSAID-ok) tartalmazó készítményekkel együtt kizáról</w:t>
      </w:r>
      <w:r w:rsidR="00D90582" w:rsidRPr="00F6526C">
        <w:rPr>
          <w:rFonts w:eastAsia="Times New Roman"/>
          <w:noProof/>
          <w:snapToGrid/>
          <w:szCs w:val="22"/>
          <w:lang w:val="hu-HU" w:eastAsia="en-US"/>
        </w:rPr>
        <w:t>ag orvosi utasításra alkalmazható</w:t>
      </w:r>
      <w:r w:rsidRPr="00F6526C">
        <w:rPr>
          <w:rFonts w:eastAsia="Times New Roman"/>
          <w:noProof/>
          <w:snapToGrid/>
          <w:szCs w:val="22"/>
          <w:lang w:val="hu-HU" w:eastAsia="en-US"/>
        </w:rPr>
        <w:t>.</w:t>
      </w:r>
    </w:p>
    <w:p w14:paraId="7085ED18" w14:textId="77777777" w:rsidR="00C614DF" w:rsidRPr="00F6526C" w:rsidRDefault="00C614DF" w:rsidP="00082A8E">
      <w:pPr>
        <w:spacing w:line="240" w:lineRule="auto"/>
        <w:rPr>
          <w:rFonts w:eastAsia="Times New Roman"/>
          <w:noProof/>
          <w:snapToGrid/>
          <w:szCs w:val="22"/>
          <w:lang w:val="hu-HU" w:eastAsia="en-US"/>
        </w:rPr>
      </w:pPr>
    </w:p>
    <w:p w14:paraId="5CE5972C" w14:textId="3064B281" w:rsidR="00C614DF" w:rsidRPr="00F6526C" w:rsidRDefault="000F0C5B" w:rsidP="00082A8E">
      <w:pPr>
        <w:spacing w:line="240" w:lineRule="auto"/>
        <w:rPr>
          <w:rFonts w:eastAsia="Times New Roman"/>
          <w:noProof/>
          <w:snapToGrid/>
          <w:szCs w:val="22"/>
          <w:u w:val="single"/>
          <w:lang w:val="hu-HU" w:eastAsia="en-US"/>
        </w:rPr>
      </w:pPr>
      <w:r w:rsidRPr="00F6526C">
        <w:rPr>
          <w:rFonts w:eastAsia="Times New Roman"/>
          <w:noProof/>
          <w:snapToGrid/>
          <w:szCs w:val="22"/>
          <w:u w:val="single"/>
          <w:lang w:val="hu-HU" w:eastAsia="en-US"/>
        </w:rPr>
        <w:t>Ibuprofén</w:t>
      </w:r>
    </w:p>
    <w:p w14:paraId="2220D508" w14:textId="18CE1EC8" w:rsidR="000F0C5B" w:rsidRPr="00F6526C" w:rsidRDefault="002F2527" w:rsidP="00082A8E">
      <w:pPr>
        <w:spacing w:line="240" w:lineRule="auto"/>
        <w:rPr>
          <w:rFonts w:eastAsia="Times New Roman"/>
          <w:noProof/>
          <w:snapToGrid/>
          <w:szCs w:val="22"/>
          <w:lang w:val="hu-HU" w:eastAsia="en-US"/>
        </w:rPr>
      </w:pPr>
      <w:r>
        <w:rPr>
          <w:rFonts w:eastAsia="Times New Roman"/>
          <w:noProof/>
          <w:snapToGrid/>
          <w:szCs w:val="22"/>
          <w:lang w:val="hu-HU" w:eastAsia="en-US"/>
        </w:rPr>
        <w:t>M</w:t>
      </w:r>
      <w:r w:rsidR="00E84644" w:rsidRPr="00F6526C">
        <w:rPr>
          <w:rFonts w:eastAsia="Times New Roman"/>
          <w:noProof/>
          <w:snapToGrid/>
          <w:szCs w:val="22"/>
          <w:lang w:val="hu-HU" w:eastAsia="en-US"/>
        </w:rPr>
        <w:t>int bármely más ibuprofén-tartalmú készítmény</w:t>
      </w:r>
      <w:r>
        <w:rPr>
          <w:rFonts w:eastAsia="Times New Roman"/>
          <w:noProof/>
          <w:snapToGrid/>
          <w:szCs w:val="22"/>
          <w:lang w:val="hu-HU" w:eastAsia="en-US"/>
        </w:rPr>
        <w:t>,</w:t>
      </w:r>
      <w:r w:rsidR="00E84644" w:rsidRPr="00F6526C">
        <w:rPr>
          <w:rFonts w:eastAsia="Times New Roman"/>
          <w:noProof/>
          <w:snapToGrid/>
          <w:szCs w:val="22"/>
          <w:lang w:val="hu-HU" w:eastAsia="en-US"/>
        </w:rPr>
        <w:t xml:space="preserve"> </w:t>
      </w:r>
      <w:r>
        <w:rPr>
          <w:rFonts w:eastAsia="Times New Roman"/>
          <w:noProof/>
          <w:snapToGrid/>
          <w:szCs w:val="22"/>
          <w:lang w:val="hu-HU" w:eastAsia="en-US"/>
        </w:rPr>
        <w:t>az</w:t>
      </w:r>
      <w:r w:rsidRPr="00F6526C">
        <w:rPr>
          <w:rFonts w:eastAsia="Times New Roman"/>
          <w:noProof/>
          <w:snapToGrid/>
          <w:szCs w:val="22"/>
          <w:lang w:val="hu-HU" w:eastAsia="en-US"/>
        </w:rPr>
        <w:t xml:space="preserve"> </w:t>
      </w:r>
      <w:r w:rsidR="006D4655">
        <w:rPr>
          <w:rFonts w:eastAsia="Times New Roman"/>
          <w:noProof/>
          <w:snapToGrid/>
          <w:szCs w:val="22"/>
          <w:lang w:val="hu-HU" w:eastAsia="en-US"/>
        </w:rPr>
        <w:t>Elomen</w:t>
      </w:r>
      <w:r w:rsidRPr="00F6526C">
        <w:rPr>
          <w:rFonts w:eastAsia="Times New Roman"/>
          <w:noProof/>
          <w:snapToGrid/>
          <w:szCs w:val="22"/>
          <w:lang w:val="hu-HU" w:eastAsia="en-US"/>
        </w:rPr>
        <w:t xml:space="preserve"> 1000 mg/300 mg oldatos infúzió </w:t>
      </w:r>
      <w:r w:rsidR="00E84644" w:rsidRPr="00F6526C">
        <w:rPr>
          <w:rFonts w:eastAsia="Times New Roman"/>
          <w:noProof/>
          <w:snapToGrid/>
          <w:szCs w:val="22"/>
          <w:lang w:val="hu-HU" w:eastAsia="en-US"/>
        </w:rPr>
        <w:t>kerülendő az alábbi gyógyszerekkel való kombinációban:</w:t>
      </w:r>
    </w:p>
    <w:p w14:paraId="51570F9D" w14:textId="32E394BC" w:rsidR="00E84644" w:rsidRPr="00F6526C" w:rsidRDefault="00DE7B3F" w:rsidP="00C97896">
      <w:pPr>
        <w:pStyle w:val="Listaszerbekezds"/>
        <w:numPr>
          <w:ilvl w:val="0"/>
          <w:numId w:val="16"/>
        </w:numPr>
        <w:spacing w:line="240" w:lineRule="auto"/>
        <w:ind w:left="567" w:hanging="207"/>
        <w:rPr>
          <w:rFonts w:eastAsia="Times New Roman"/>
          <w:noProof/>
          <w:snapToGrid/>
          <w:szCs w:val="22"/>
          <w:lang w:val="hu-HU" w:eastAsia="en-US"/>
        </w:rPr>
      </w:pPr>
      <w:r w:rsidRPr="00F6526C">
        <w:rPr>
          <w:rFonts w:eastAsia="Times New Roman"/>
          <w:i/>
          <w:noProof/>
          <w:snapToGrid/>
          <w:szCs w:val="22"/>
          <w:lang w:val="hu-HU" w:eastAsia="en-US"/>
        </w:rPr>
        <w:t>Kumarinok:</w:t>
      </w:r>
      <w:r w:rsidRPr="00F6526C">
        <w:rPr>
          <w:rFonts w:eastAsia="Times New Roman"/>
          <w:noProof/>
          <w:snapToGrid/>
          <w:szCs w:val="22"/>
          <w:lang w:val="hu-HU" w:eastAsia="en-US"/>
        </w:rPr>
        <w:t xml:space="preserve"> az NSAID-ok fokozhatják az antikoagulánsok (pl. a warfarin) hatásait. Kísérleti vizsgálatok azt mutatják, hogy az ibuprofén tovább erősíti a w</w:t>
      </w:r>
      <w:r w:rsidR="006D75DF" w:rsidRPr="00F6526C">
        <w:rPr>
          <w:rFonts w:eastAsia="Times New Roman"/>
          <w:noProof/>
          <w:snapToGrid/>
          <w:szCs w:val="22"/>
          <w:lang w:val="hu-HU" w:eastAsia="en-US"/>
        </w:rPr>
        <w:t>arfarin hatását a vérzés idején</w:t>
      </w:r>
      <w:r w:rsidRPr="00F6526C">
        <w:rPr>
          <w:rFonts w:eastAsia="Times New Roman"/>
          <w:noProof/>
          <w:snapToGrid/>
          <w:szCs w:val="22"/>
          <w:lang w:val="hu-HU" w:eastAsia="en-US"/>
        </w:rPr>
        <w:t>.</w:t>
      </w:r>
      <w:r w:rsidR="00243A74" w:rsidRPr="00F6526C">
        <w:rPr>
          <w:rFonts w:eastAsia="Times New Roman"/>
          <w:noProof/>
          <w:snapToGrid/>
          <w:szCs w:val="22"/>
          <w:lang w:val="hu-HU" w:eastAsia="en-US"/>
        </w:rPr>
        <w:t xml:space="preserve"> Az NSAID-okat és a kumarinokat ugyanaz a enzim, a CYP2C9 metabolizálja.</w:t>
      </w:r>
    </w:p>
    <w:p w14:paraId="15216BE6" w14:textId="53285A82" w:rsidR="006D75DF" w:rsidRPr="00F6526C" w:rsidRDefault="0096749F" w:rsidP="00C97896">
      <w:pPr>
        <w:pStyle w:val="Listaszerbekezds"/>
        <w:numPr>
          <w:ilvl w:val="0"/>
          <w:numId w:val="16"/>
        </w:numPr>
        <w:spacing w:line="240" w:lineRule="auto"/>
        <w:ind w:left="567" w:hanging="207"/>
        <w:rPr>
          <w:rFonts w:eastAsia="Times New Roman"/>
          <w:noProof/>
          <w:snapToGrid/>
          <w:szCs w:val="22"/>
          <w:lang w:val="hu-HU" w:eastAsia="en-US"/>
        </w:rPr>
      </w:pPr>
      <w:r w:rsidRPr="00F6526C">
        <w:rPr>
          <w:rFonts w:eastAsia="Times New Roman"/>
          <w:i/>
          <w:noProof/>
          <w:snapToGrid/>
          <w:szCs w:val="22"/>
          <w:lang w:val="hu-HU" w:eastAsia="en-US"/>
        </w:rPr>
        <w:t>Vérlemezke-aggregációt gátló gyógyszerek:</w:t>
      </w:r>
      <w:r w:rsidRPr="00F6526C">
        <w:rPr>
          <w:rFonts w:eastAsia="Times New Roman"/>
          <w:noProof/>
          <w:snapToGrid/>
          <w:szCs w:val="22"/>
          <w:lang w:val="hu-HU" w:eastAsia="en-US"/>
        </w:rPr>
        <w:t xml:space="preserve"> az NSAID-okat nem szabad kombinálni olyan vérlemezke-aggregáció</w:t>
      </w:r>
      <w:r w:rsidR="00B229E5">
        <w:rPr>
          <w:rFonts w:eastAsia="Times New Roman"/>
          <w:noProof/>
          <w:snapToGrid/>
          <w:szCs w:val="22"/>
          <w:lang w:val="hu-HU" w:eastAsia="en-US"/>
        </w:rPr>
        <w:t>-</w:t>
      </w:r>
      <w:r w:rsidRPr="00F6526C">
        <w:rPr>
          <w:rFonts w:eastAsia="Times New Roman"/>
          <w:noProof/>
          <w:snapToGrid/>
          <w:szCs w:val="22"/>
          <w:lang w:val="hu-HU" w:eastAsia="en-US"/>
        </w:rPr>
        <w:t>gátlókkal, mint például a tiklopidin, a vérlemezke-funkció additív gátlása miatt (lásd alább).</w:t>
      </w:r>
    </w:p>
    <w:p w14:paraId="4A79CD8C" w14:textId="2BEBAC14" w:rsidR="00220ED9" w:rsidRPr="00F6526C" w:rsidRDefault="00220ED9" w:rsidP="00C97896">
      <w:pPr>
        <w:pStyle w:val="Listaszerbekezds"/>
        <w:numPr>
          <w:ilvl w:val="0"/>
          <w:numId w:val="16"/>
        </w:numPr>
        <w:spacing w:line="240" w:lineRule="auto"/>
        <w:ind w:left="567" w:hanging="207"/>
        <w:rPr>
          <w:rFonts w:eastAsia="Times New Roman"/>
          <w:noProof/>
          <w:snapToGrid/>
          <w:szCs w:val="22"/>
          <w:lang w:val="hu-HU" w:eastAsia="en-US"/>
        </w:rPr>
      </w:pPr>
      <w:r w:rsidRPr="00F6526C">
        <w:rPr>
          <w:rFonts w:eastAsia="Times New Roman"/>
          <w:i/>
          <w:noProof/>
          <w:snapToGrid/>
          <w:szCs w:val="22"/>
          <w:lang w:val="hu-HU" w:eastAsia="en-US"/>
        </w:rPr>
        <w:t>Metotrexát:</w:t>
      </w:r>
      <w:r w:rsidRPr="00F6526C">
        <w:rPr>
          <w:rFonts w:eastAsia="Times New Roman"/>
          <w:noProof/>
          <w:snapToGrid/>
          <w:szCs w:val="22"/>
          <w:lang w:val="hu-HU" w:eastAsia="en-US"/>
        </w:rPr>
        <w:t xml:space="preserve"> </w:t>
      </w:r>
      <w:r w:rsidR="00F07E9D" w:rsidRPr="00F6526C">
        <w:rPr>
          <w:rFonts w:eastAsia="Times New Roman"/>
          <w:noProof/>
          <w:snapToGrid/>
          <w:szCs w:val="22"/>
          <w:lang w:val="hu-HU" w:eastAsia="en-US"/>
        </w:rPr>
        <w:t>Az NSAID</w:t>
      </w:r>
      <w:r w:rsidR="009864B7">
        <w:rPr>
          <w:rFonts w:eastAsia="Calibri"/>
          <w:noProof/>
          <w:snapToGrid/>
          <w:szCs w:val="22"/>
          <w:lang w:val="hu-HU" w:eastAsia="en-US"/>
        </w:rPr>
        <w:t>-</w:t>
      </w:r>
      <w:r w:rsidR="00F07E9D" w:rsidRPr="00F6526C">
        <w:rPr>
          <w:rFonts w:eastAsia="Times New Roman"/>
          <w:noProof/>
          <w:snapToGrid/>
          <w:szCs w:val="22"/>
          <w:lang w:val="hu-HU" w:eastAsia="en-US"/>
        </w:rPr>
        <w:t>ok gátolják a metotrexát tubularis szekrécióját, és bizonyos metabolikus kölcsönhatások léphetnek fel a metotrexát csökkent clearance</w:t>
      </w:r>
      <w:r w:rsidR="009864B7">
        <w:rPr>
          <w:rFonts w:eastAsia="Calibri"/>
          <w:noProof/>
          <w:snapToGrid/>
          <w:szCs w:val="22"/>
          <w:lang w:val="hu-HU" w:eastAsia="en-US"/>
        </w:rPr>
        <w:t>-</w:t>
      </w:r>
      <w:r w:rsidR="00F07E9D" w:rsidRPr="00F6526C">
        <w:rPr>
          <w:rFonts w:eastAsia="Times New Roman"/>
          <w:noProof/>
          <w:snapToGrid/>
          <w:szCs w:val="22"/>
          <w:lang w:val="hu-HU" w:eastAsia="en-US"/>
        </w:rPr>
        <w:t xml:space="preserve">ét eredményezve. </w:t>
      </w:r>
      <w:r w:rsidR="002634CC" w:rsidRPr="00F6526C">
        <w:rPr>
          <w:rFonts w:eastAsia="Times New Roman"/>
          <w:noProof/>
          <w:snapToGrid/>
          <w:szCs w:val="22"/>
          <w:lang w:val="hu-HU" w:eastAsia="en-US"/>
        </w:rPr>
        <w:t xml:space="preserve">Kis dózisú metotrexáttal végzett kezelés esetén is figyelembe kell venni az interakciók potenciális kockázatát, különösen károsodott veseműködésű betegek esetében. </w:t>
      </w:r>
      <w:r w:rsidR="00396FBF" w:rsidRPr="00F6526C">
        <w:rPr>
          <w:rFonts w:eastAsia="Times New Roman"/>
          <w:noProof/>
          <w:snapToGrid/>
          <w:szCs w:val="22"/>
          <w:lang w:val="hu-HU" w:eastAsia="en-US"/>
        </w:rPr>
        <w:t xml:space="preserve">Kombinált kezelés esetén a veseműködést ellenőrizni kell. </w:t>
      </w:r>
      <w:r w:rsidR="00F9639B" w:rsidRPr="00F6526C">
        <w:rPr>
          <w:rFonts w:eastAsia="Times New Roman"/>
          <w:noProof/>
          <w:snapToGrid/>
          <w:szCs w:val="22"/>
          <w:lang w:val="hu-HU" w:eastAsia="en-US"/>
        </w:rPr>
        <w:t>Óvatosan kell eljárni, ha mind az NSAID, mind a metotrexát 24 órán be</w:t>
      </w:r>
      <w:r w:rsidR="00422D26" w:rsidRPr="00F6526C">
        <w:rPr>
          <w:rFonts w:eastAsia="Times New Roman"/>
          <w:noProof/>
          <w:snapToGrid/>
          <w:szCs w:val="22"/>
          <w:lang w:val="hu-HU" w:eastAsia="en-US"/>
        </w:rPr>
        <w:t xml:space="preserve">lül beadásra kerül, mivel az a </w:t>
      </w:r>
      <w:r w:rsidR="00F9639B" w:rsidRPr="00F6526C">
        <w:rPr>
          <w:rFonts w:eastAsia="Times New Roman"/>
          <w:noProof/>
          <w:snapToGrid/>
          <w:szCs w:val="22"/>
          <w:lang w:val="hu-HU" w:eastAsia="en-US"/>
        </w:rPr>
        <w:t xml:space="preserve">metotrexát koncentrációjának emelkedéséhez, és toxikus hatásainak fokozódásához vezethet. </w:t>
      </w:r>
      <w:r w:rsidR="00C22953" w:rsidRPr="00F6526C">
        <w:rPr>
          <w:rFonts w:eastAsia="Times New Roman"/>
          <w:noProof/>
          <w:snapToGrid/>
          <w:szCs w:val="22"/>
          <w:lang w:val="hu-HU" w:eastAsia="en-US"/>
        </w:rPr>
        <w:t>Ezért NSAID</w:t>
      </w:r>
      <w:r w:rsidR="009864B7">
        <w:rPr>
          <w:rFonts w:eastAsia="Calibri"/>
          <w:noProof/>
          <w:snapToGrid/>
          <w:szCs w:val="22"/>
          <w:lang w:val="hu-HU" w:eastAsia="en-US"/>
        </w:rPr>
        <w:t>-</w:t>
      </w:r>
      <w:r w:rsidR="00C22953" w:rsidRPr="00F6526C">
        <w:rPr>
          <w:rFonts w:eastAsia="Times New Roman"/>
          <w:noProof/>
          <w:snapToGrid/>
          <w:szCs w:val="22"/>
          <w:lang w:val="hu-HU" w:eastAsia="en-US"/>
        </w:rPr>
        <w:t>ok és metotrexát nagy adagjainak egyidejű alkalmazása kerülendő.</w:t>
      </w:r>
    </w:p>
    <w:p w14:paraId="25E7E1A4" w14:textId="0B353989" w:rsidR="00C22953" w:rsidRPr="00F6526C" w:rsidRDefault="00011404" w:rsidP="00C97896">
      <w:pPr>
        <w:pStyle w:val="Listaszerbekezds"/>
        <w:numPr>
          <w:ilvl w:val="0"/>
          <w:numId w:val="16"/>
        </w:numPr>
        <w:spacing w:line="240" w:lineRule="auto"/>
        <w:ind w:left="567" w:hanging="207"/>
        <w:rPr>
          <w:rFonts w:eastAsia="Times New Roman"/>
          <w:i/>
          <w:noProof/>
          <w:snapToGrid/>
          <w:szCs w:val="22"/>
          <w:lang w:val="hu-HU" w:eastAsia="en-US"/>
        </w:rPr>
      </w:pPr>
      <w:r w:rsidRPr="00F6526C">
        <w:rPr>
          <w:rFonts w:eastAsia="Times New Roman"/>
          <w:i/>
          <w:noProof/>
          <w:snapToGrid/>
          <w:szCs w:val="22"/>
          <w:lang w:val="hu-HU" w:eastAsia="en-US"/>
        </w:rPr>
        <w:t>Acetilszalicilsav:</w:t>
      </w:r>
      <w:r w:rsidR="0079634E" w:rsidRPr="00F6526C">
        <w:rPr>
          <w:rFonts w:eastAsia="Times New Roman"/>
          <w:noProof/>
          <w:snapToGrid/>
          <w:szCs w:val="22"/>
          <w:lang w:val="hu-HU" w:eastAsia="en-US"/>
        </w:rPr>
        <w:t xml:space="preserve"> </w:t>
      </w:r>
      <w:r w:rsidR="00FB29FC" w:rsidRPr="00F6526C">
        <w:rPr>
          <w:rFonts w:eastAsia="Times New Roman"/>
          <w:noProof/>
          <w:snapToGrid/>
          <w:szCs w:val="22"/>
          <w:lang w:val="hu-HU" w:eastAsia="en-US"/>
        </w:rPr>
        <w:t>Az ibuprofén és az acetil</w:t>
      </w:r>
      <w:r w:rsidR="00682A76" w:rsidRPr="00F6526C">
        <w:rPr>
          <w:rFonts w:eastAsia="Times New Roman"/>
          <w:noProof/>
          <w:snapToGrid/>
          <w:szCs w:val="22"/>
          <w:lang w:val="hu-HU" w:eastAsia="en-US"/>
        </w:rPr>
        <w:t>szalicilsav egyidejű alkalmazása a mellékhatások fokozódása miatt általában nem javasolt.</w:t>
      </w:r>
      <w:r w:rsidR="006B0532" w:rsidRPr="00F6526C">
        <w:rPr>
          <w:rFonts w:eastAsia="Times New Roman"/>
          <w:noProof/>
          <w:snapToGrid/>
          <w:szCs w:val="22"/>
          <w:lang w:val="hu-HU" w:eastAsia="en-US"/>
        </w:rPr>
        <w:t xml:space="preserve"> </w:t>
      </w:r>
      <w:r w:rsidR="00865A0F" w:rsidRPr="00F6526C">
        <w:rPr>
          <w:rFonts w:eastAsia="Times New Roman"/>
          <w:noProof/>
          <w:snapToGrid/>
          <w:szCs w:val="22"/>
          <w:lang w:val="hu-HU" w:eastAsia="en-US"/>
        </w:rPr>
        <w:t>Kísérletes adatok utalnak arra, hogy egyidejű alkalmazás esetén az ibuprofén kompetitív módon gátolja az alacsony dózisú acetilszalic</w:t>
      </w:r>
      <w:r w:rsidR="003908FA" w:rsidRPr="00F6526C">
        <w:rPr>
          <w:rFonts w:eastAsia="Times New Roman"/>
          <w:noProof/>
          <w:snapToGrid/>
          <w:szCs w:val="22"/>
          <w:lang w:val="hu-HU" w:eastAsia="en-US"/>
        </w:rPr>
        <w:t>ilsav hatását a vérlemezke-aggre</w:t>
      </w:r>
      <w:r w:rsidR="00865A0F" w:rsidRPr="00F6526C">
        <w:rPr>
          <w:rFonts w:eastAsia="Times New Roman"/>
          <w:noProof/>
          <w:snapToGrid/>
          <w:szCs w:val="22"/>
          <w:lang w:val="hu-HU" w:eastAsia="en-US"/>
        </w:rPr>
        <w:t xml:space="preserve">gációra. </w:t>
      </w:r>
      <w:r w:rsidR="006432EA" w:rsidRPr="00F6526C">
        <w:rPr>
          <w:rFonts w:eastAsia="Times New Roman"/>
          <w:noProof/>
          <w:snapToGrid/>
          <w:szCs w:val="22"/>
          <w:lang w:val="hu-HU" w:eastAsia="en-US"/>
        </w:rPr>
        <w:t xml:space="preserve">Bár bizonytalanságok vannak ezen adatok klinikai helyzetekre történő extrapolációjával kapcsolatban, nem zárható ki az, hogy az ibuprofén rendszeres, hosszú időtartamú alkalmazása csökkentheti az alacsony dózisú acetilszalicilsav cardioprotektív hatását. </w:t>
      </w:r>
      <w:r w:rsidR="00180A4B" w:rsidRPr="00F6526C">
        <w:rPr>
          <w:rFonts w:eastAsia="Times New Roman"/>
          <w:noProof/>
          <w:snapToGrid/>
          <w:szCs w:val="22"/>
          <w:lang w:val="hu-HU" w:eastAsia="en-US"/>
        </w:rPr>
        <w:t>Az alkalmankénti ibuprofén</w:t>
      </w:r>
      <w:r w:rsidR="00B229E5">
        <w:rPr>
          <w:rFonts w:eastAsia="Times New Roman"/>
          <w:noProof/>
          <w:snapToGrid/>
          <w:szCs w:val="22"/>
          <w:lang w:val="hu-HU" w:eastAsia="en-US"/>
        </w:rPr>
        <w:t>-</w:t>
      </w:r>
      <w:r w:rsidR="00180A4B" w:rsidRPr="00F6526C">
        <w:rPr>
          <w:rFonts w:eastAsia="Times New Roman"/>
          <w:noProof/>
          <w:snapToGrid/>
          <w:szCs w:val="22"/>
          <w:lang w:val="hu-HU" w:eastAsia="en-US"/>
        </w:rPr>
        <w:t>használat kapcsán semmilyen klinikailag releváns hatást nem tekintenek valószínűnek (lásd 5.1 pont).</w:t>
      </w:r>
    </w:p>
    <w:p w14:paraId="6D33ABD5" w14:textId="03761650" w:rsidR="00180A4B" w:rsidRPr="00F6526C" w:rsidRDefault="00965C36" w:rsidP="00C97896">
      <w:pPr>
        <w:pStyle w:val="Listaszerbekezds"/>
        <w:numPr>
          <w:ilvl w:val="0"/>
          <w:numId w:val="16"/>
        </w:numPr>
        <w:spacing w:line="240" w:lineRule="auto"/>
        <w:ind w:left="567" w:hanging="207"/>
        <w:rPr>
          <w:rFonts w:eastAsia="Times New Roman"/>
          <w:i/>
          <w:noProof/>
          <w:snapToGrid/>
          <w:szCs w:val="22"/>
          <w:lang w:val="hu-HU" w:eastAsia="en-US"/>
        </w:rPr>
      </w:pPr>
      <w:r w:rsidRPr="00F6526C">
        <w:rPr>
          <w:rFonts w:eastAsia="Times New Roman"/>
          <w:i/>
          <w:noProof/>
          <w:snapToGrid/>
          <w:szCs w:val="22"/>
          <w:lang w:val="hu-HU" w:eastAsia="en-US"/>
        </w:rPr>
        <w:t xml:space="preserve">Lítium: </w:t>
      </w:r>
      <w:r w:rsidR="003431AF" w:rsidRPr="00F6526C">
        <w:rPr>
          <w:rFonts w:eastAsia="Times New Roman"/>
          <w:noProof/>
          <w:snapToGrid/>
          <w:szCs w:val="22"/>
          <w:lang w:val="hu-HU" w:eastAsia="en-US"/>
        </w:rPr>
        <w:t>Az ibuprofén csökkenti a lítium renális clearance-ét, amelynek eredményeként a szérumlítiumszint emelkedhet. A kombinációt kerülni kell, kivéve ha a szérumlítium gyakori ellenőrzése és a lítium dózisának szükséges csökkentése kivitelezhető.</w:t>
      </w:r>
    </w:p>
    <w:p w14:paraId="015E3585" w14:textId="6442B282" w:rsidR="003431AF" w:rsidRPr="00F6526C" w:rsidRDefault="00F41CC9" w:rsidP="00C97896">
      <w:pPr>
        <w:pStyle w:val="Listaszerbekezds"/>
        <w:numPr>
          <w:ilvl w:val="0"/>
          <w:numId w:val="16"/>
        </w:numPr>
        <w:spacing w:line="240" w:lineRule="auto"/>
        <w:ind w:left="567" w:hanging="207"/>
        <w:rPr>
          <w:rFonts w:eastAsia="Times New Roman"/>
          <w:i/>
          <w:noProof/>
          <w:snapToGrid/>
          <w:szCs w:val="22"/>
          <w:lang w:val="hu-HU" w:eastAsia="en-US"/>
        </w:rPr>
      </w:pPr>
      <w:r w:rsidRPr="00F6526C">
        <w:rPr>
          <w:rFonts w:eastAsia="Times New Roman"/>
          <w:i/>
          <w:noProof/>
          <w:snapToGrid/>
          <w:szCs w:val="22"/>
          <w:lang w:val="hu-HU" w:eastAsia="en-US"/>
        </w:rPr>
        <w:t xml:space="preserve">Szívglikozidok: </w:t>
      </w:r>
      <w:r w:rsidRPr="00F6526C">
        <w:rPr>
          <w:rFonts w:eastAsia="Times New Roman"/>
          <w:noProof/>
          <w:snapToGrid/>
          <w:szCs w:val="22"/>
          <w:lang w:val="hu-HU" w:eastAsia="en-US"/>
        </w:rPr>
        <w:t xml:space="preserve">az NSAID-ok súlyosbíthatják a szívelégtelenséget, csökkenthetik a </w:t>
      </w:r>
      <w:r w:rsidR="00F95340" w:rsidRPr="00F6526C">
        <w:rPr>
          <w:rFonts w:eastAsia="Times New Roman"/>
          <w:noProof/>
          <w:snapToGrid/>
          <w:szCs w:val="22"/>
          <w:lang w:val="hu-HU" w:eastAsia="en-US"/>
        </w:rPr>
        <w:t>glomeruláris filtráció</w:t>
      </w:r>
      <w:r w:rsidRPr="00F6526C">
        <w:rPr>
          <w:rFonts w:eastAsia="Times New Roman"/>
          <w:noProof/>
          <w:snapToGrid/>
          <w:szCs w:val="22"/>
          <w:lang w:val="hu-HU" w:eastAsia="en-US"/>
        </w:rPr>
        <w:t>t és növelhetik a plazmaglikozidszintet (pl. digoxin).</w:t>
      </w:r>
    </w:p>
    <w:p w14:paraId="6FEC1463" w14:textId="2CC99096" w:rsidR="003C16DE" w:rsidRPr="00F6526C" w:rsidRDefault="00A84F73" w:rsidP="00C97896">
      <w:pPr>
        <w:pStyle w:val="Listaszerbekezds"/>
        <w:numPr>
          <w:ilvl w:val="0"/>
          <w:numId w:val="16"/>
        </w:numPr>
        <w:spacing w:line="240" w:lineRule="auto"/>
        <w:ind w:left="567" w:hanging="207"/>
        <w:rPr>
          <w:rFonts w:eastAsia="Times New Roman"/>
          <w:i/>
          <w:noProof/>
          <w:snapToGrid/>
          <w:szCs w:val="22"/>
          <w:lang w:val="hu-HU" w:eastAsia="en-US"/>
        </w:rPr>
      </w:pPr>
      <w:r w:rsidRPr="00F6526C">
        <w:rPr>
          <w:rFonts w:eastAsia="Times New Roman"/>
          <w:i/>
          <w:noProof/>
          <w:snapToGrid/>
          <w:szCs w:val="22"/>
          <w:lang w:val="hu-HU" w:eastAsia="en-US"/>
        </w:rPr>
        <w:t xml:space="preserve">Mifepriszton: </w:t>
      </w:r>
      <w:r w:rsidR="006A5928" w:rsidRPr="00F6526C">
        <w:rPr>
          <w:rFonts w:eastAsia="Times New Roman"/>
          <w:noProof/>
          <w:snapToGrid/>
          <w:szCs w:val="22"/>
          <w:lang w:val="hu-HU" w:eastAsia="en-US"/>
        </w:rPr>
        <w:t>A gyógyszer hat</w:t>
      </w:r>
      <w:r w:rsidR="00DB0F17">
        <w:rPr>
          <w:rFonts w:eastAsia="Times New Roman"/>
          <w:noProof/>
          <w:snapToGrid/>
          <w:szCs w:val="22"/>
          <w:lang w:val="hu-HU" w:eastAsia="en-US"/>
        </w:rPr>
        <w:t>ásos</w:t>
      </w:r>
      <w:r w:rsidR="006A5928" w:rsidRPr="00F6526C">
        <w:rPr>
          <w:rFonts w:eastAsia="Times New Roman"/>
          <w:noProof/>
          <w:snapToGrid/>
          <w:szCs w:val="22"/>
          <w:lang w:val="hu-HU" w:eastAsia="en-US"/>
        </w:rPr>
        <w:t>ságának csökkenése elméletileg a nem szteroid gyulladáscsökkentő</w:t>
      </w:r>
      <w:r w:rsidR="007F1901" w:rsidRPr="00F6526C">
        <w:rPr>
          <w:rFonts w:eastAsia="Times New Roman"/>
          <w:noProof/>
          <w:snapToGrid/>
          <w:szCs w:val="22"/>
          <w:lang w:val="hu-HU" w:eastAsia="en-US"/>
        </w:rPr>
        <w:t>k</w:t>
      </w:r>
      <w:r w:rsidR="006A5928" w:rsidRPr="00F6526C">
        <w:rPr>
          <w:rFonts w:eastAsia="Times New Roman"/>
          <w:noProof/>
          <w:snapToGrid/>
          <w:szCs w:val="22"/>
          <w:lang w:val="hu-HU" w:eastAsia="en-US"/>
        </w:rPr>
        <w:t xml:space="preserve"> </w:t>
      </w:r>
      <w:r w:rsidR="00FB29FC" w:rsidRPr="00F6526C">
        <w:rPr>
          <w:rFonts w:eastAsia="Times New Roman"/>
          <w:noProof/>
          <w:snapToGrid/>
          <w:szCs w:val="22"/>
          <w:lang w:val="hu-HU" w:eastAsia="en-US"/>
        </w:rPr>
        <w:t>(NSAID-ok), beleértve az acetil</w:t>
      </w:r>
      <w:r w:rsidR="006A5928" w:rsidRPr="00F6526C">
        <w:rPr>
          <w:rFonts w:eastAsia="Times New Roman"/>
          <w:noProof/>
          <w:snapToGrid/>
          <w:szCs w:val="22"/>
          <w:lang w:val="hu-HU" w:eastAsia="en-US"/>
        </w:rPr>
        <w:t xml:space="preserve">szalicilsavat, antiprosztaglandin tulajdonságai miatt is előfordulhat. Korlátozott </w:t>
      </w:r>
      <w:r w:rsidR="00DB0F17">
        <w:rPr>
          <w:rFonts w:eastAsia="Times New Roman"/>
          <w:noProof/>
          <w:snapToGrid/>
          <w:szCs w:val="22"/>
          <w:lang w:val="hu-HU" w:eastAsia="en-US"/>
        </w:rPr>
        <w:t>mennyiségű</w:t>
      </w:r>
      <w:r w:rsidR="006A5928" w:rsidRPr="00F6526C">
        <w:rPr>
          <w:rFonts w:eastAsia="Times New Roman"/>
          <w:noProof/>
          <w:snapToGrid/>
          <w:szCs w:val="22"/>
          <w:lang w:val="hu-HU" w:eastAsia="en-US"/>
        </w:rPr>
        <w:t xml:space="preserve"> bizonyíték arra utal, hogy az NSAID-ok egyidejű, azo</w:t>
      </w:r>
      <w:r w:rsidR="00D30325" w:rsidRPr="00F6526C">
        <w:rPr>
          <w:rFonts w:eastAsia="Times New Roman"/>
          <w:noProof/>
          <w:snapToGrid/>
          <w:szCs w:val="22"/>
          <w:lang w:val="hu-HU" w:eastAsia="en-US"/>
        </w:rPr>
        <w:t>nos napon történő alkalmazása</w:t>
      </w:r>
      <w:r w:rsidR="00D2783F" w:rsidRPr="00F6526C">
        <w:rPr>
          <w:rFonts w:eastAsia="Times New Roman"/>
          <w:noProof/>
          <w:snapToGrid/>
          <w:szCs w:val="22"/>
          <w:lang w:val="hu-HU" w:eastAsia="en-US"/>
        </w:rPr>
        <w:t xml:space="preserve"> prosztaglandinnal</w:t>
      </w:r>
      <w:r w:rsidR="00D30325" w:rsidRPr="00F6526C">
        <w:rPr>
          <w:rFonts w:eastAsia="Times New Roman"/>
          <w:noProof/>
          <w:snapToGrid/>
          <w:szCs w:val="22"/>
          <w:lang w:val="hu-HU" w:eastAsia="en-US"/>
        </w:rPr>
        <w:t xml:space="preserve"> </w:t>
      </w:r>
      <w:r w:rsidR="006A5928" w:rsidRPr="00F6526C">
        <w:rPr>
          <w:rFonts w:eastAsia="Times New Roman"/>
          <w:noProof/>
          <w:snapToGrid/>
          <w:szCs w:val="22"/>
          <w:lang w:val="hu-HU" w:eastAsia="en-US"/>
        </w:rPr>
        <w:t>nem befolyásolja hátrányosan a mifepris</w:t>
      </w:r>
      <w:r w:rsidR="00CC5B0F" w:rsidRPr="00F6526C">
        <w:rPr>
          <w:rFonts w:eastAsia="Times New Roman"/>
          <w:noProof/>
          <w:snapToGrid/>
          <w:szCs w:val="22"/>
          <w:lang w:val="hu-HU" w:eastAsia="en-US"/>
        </w:rPr>
        <w:t>zton</w:t>
      </w:r>
      <w:r w:rsidR="006A5928" w:rsidRPr="00F6526C">
        <w:rPr>
          <w:rFonts w:eastAsia="Times New Roman"/>
          <w:noProof/>
          <w:snapToGrid/>
          <w:szCs w:val="22"/>
          <w:lang w:val="hu-HU" w:eastAsia="en-US"/>
        </w:rPr>
        <w:t xml:space="preserve"> vagy a prosztaglandin hatását a nyaki érésre vagy a méh kontraktilitására, és nem csökkenti a terhesség orvosi befejezésének klinikai hatékonyságát.</w:t>
      </w:r>
      <w:r w:rsidR="006A5928" w:rsidRPr="00F6526C">
        <w:rPr>
          <w:rFonts w:eastAsia="Times New Roman"/>
          <w:i/>
          <w:noProof/>
          <w:snapToGrid/>
          <w:szCs w:val="22"/>
          <w:lang w:val="hu-HU" w:eastAsia="en-US"/>
        </w:rPr>
        <w:t xml:space="preserve"> </w:t>
      </w:r>
    </w:p>
    <w:p w14:paraId="312C4EE2" w14:textId="4BBC9C50" w:rsidR="00F41CC9" w:rsidRPr="00F6526C" w:rsidRDefault="003C16DE" w:rsidP="00C97896">
      <w:pPr>
        <w:pStyle w:val="Listaszerbekezds"/>
        <w:numPr>
          <w:ilvl w:val="0"/>
          <w:numId w:val="16"/>
        </w:numPr>
        <w:spacing w:line="240" w:lineRule="auto"/>
        <w:ind w:left="567" w:hanging="207"/>
        <w:rPr>
          <w:rFonts w:eastAsia="Times New Roman"/>
          <w:noProof/>
          <w:snapToGrid/>
          <w:szCs w:val="22"/>
          <w:lang w:val="hu-HU" w:eastAsia="en-US"/>
        </w:rPr>
      </w:pPr>
      <w:r w:rsidRPr="00F6526C">
        <w:rPr>
          <w:i/>
          <w:szCs w:val="22"/>
          <w:lang w:val="hu-HU"/>
        </w:rPr>
        <w:lastRenderedPageBreak/>
        <w:t>ACE</w:t>
      </w:r>
      <w:r w:rsidRPr="00F6526C">
        <w:rPr>
          <w:i/>
          <w:szCs w:val="22"/>
          <w:lang w:val="hu-HU"/>
        </w:rPr>
        <w:noBreakHyphen/>
        <w:t>gátlók és angiotenzin</w:t>
      </w:r>
      <w:r w:rsidRPr="00F6526C">
        <w:rPr>
          <w:i/>
          <w:szCs w:val="22"/>
          <w:lang w:val="hu-HU"/>
        </w:rPr>
        <w:noBreakHyphen/>
        <w:t>II</w:t>
      </w:r>
      <w:r w:rsidRPr="00F6526C">
        <w:rPr>
          <w:i/>
          <w:szCs w:val="22"/>
          <w:lang w:val="hu-HU"/>
        </w:rPr>
        <w:noBreakHyphen/>
        <w:t>antagonisták</w:t>
      </w:r>
      <w:r w:rsidRPr="00F6526C">
        <w:rPr>
          <w:rFonts w:eastAsia="Times New Roman"/>
          <w:i/>
          <w:noProof/>
          <w:snapToGrid/>
          <w:szCs w:val="22"/>
          <w:lang w:val="hu-HU" w:eastAsia="en-US"/>
        </w:rPr>
        <w:t xml:space="preserve">: </w:t>
      </w:r>
      <w:r w:rsidR="00493D3E" w:rsidRPr="00F6526C">
        <w:rPr>
          <w:rFonts w:eastAsia="Times New Roman"/>
          <w:noProof/>
          <w:snapToGrid/>
          <w:szCs w:val="22"/>
          <w:lang w:val="hu-HU" w:eastAsia="en-US"/>
        </w:rPr>
        <w:t>Néhány vesekárosodásban szenvedő beteg</w:t>
      </w:r>
      <w:r w:rsidR="004155F0" w:rsidRPr="00F6526C">
        <w:rPr>
          <w:rFonts w:eastAsia="Times New Roman"/>
          <w:noProof/>
          <w:snapToGrid/>
          <w:szCs w:val="22"/>
          <w:lang w:val="hu-HU" w:eastAsia="en-US"/>
        </w:rPr>
        <w:t>nél</w:t>
      </w:r>
      <w:r w:rsidR="00493D3E" w:rsidRPr="00F6526C">
        <w:rPr>
          <w:rFonts w:eastAsia="Times New Roman"/>
          <w:noProof/>
          <w:snapToGrid/>
          <w:szCs w:val="22"/>
          <w:lang w:val="hu-HU" w:eastAsia="en-US"/>
        </w:rPr>
        <w:t xml:space="preserve"> (pl. dehidrált vagy idős) az ACE-gátlók vagy az  angiotenz</w:t>
      </w:r>
      <w:r w:rsidR="003B6473" w:rsidRPr="00F6526C">
        <w:rPr>
          <w:rFonts w:eastAsia="Times New Roman"/>
          <w:noProof/>
          <w:snapToGrid/>
          <w:szCs w:val="22"/>
          <w:lang w:val="hu-HU" w:eastAsia="en-US"/>
        </w:rPr>
        <w:t>in II antagonisták NSAID-okkal (</w:t>
      </w:r>
      <w:r w:rsidR="00493D3E" w:rsidRPr="00F6526C">
        <w:rPr>
          <w:rFonts w:eastAsia="Times New Roman"/>
          <w:noProof/>
          <w:snapToGrid/>
          <w:szCs w:val="22"/>
          <w:lang w:val="hu-HU" w:eastAsia="en-US"/>
        </w:rPr>
        <w:t xml:space="preserve">ideértve a </w:t>
      </w:r>
      <w:r w:rsidR="00D2783F" w:rsidRPr="00F6526C">
        <w:rPr>
          <w:rFonts w:eastAsia="Times New Roman"/>
          <w:noProof/>
          <w:snapToGrid/>
          <w:szCs w:val="22"/>
          <w:lang w:val="hu-HU" w:eastAsia="en-US"/>
        </w:rPr>
        <w:t xml:space="preserve">szelektív </w:t>
      </w:r>
      <w:r w:rsidR="00493D3E" w:rsidRPr="00F6526C">
        <w:rPr>
          <w:rFonts w:eastAsia="Times New Roman"/>
          <w:noProof/>
          <w:snapToGrid/>
          <w:szCs w:val="22"/>
          <w:lang w:val="hu-HU" w:eastAsia="en-US"/>
        </w:rPr>
        <w:t>ciklooxige</w:t>
      </w:r>
      <w:r w:rsidR="003B6473" w:rsidRPr="00F6526C">
        <w:rPr>
          <w:rFonts w:eastAsia="Times New Roman"/>
          <w:noProof/>
          <w:snapToGrid/>
          <w:szCs w:val="22"/>
          <w:lang w:val="hu-HU" w:eastAsia="en-US"/>
        </w:rPr>
        <w:t>náz</w:t>
      </w:r>
      <w:r w:rsidR="00D2783F" w:rsidRPr="00F6526C">
        <w:rPr>
          <w:rFonts w:eastAsia="Times New Roman"/>
          <w:noProof/>
          <w:snapToGrid/>
          <w:szCs w:val="22"/>
          <w:lang w:val="hu-HU" w:eastAsia="en-US"/>
        </w:rPr>
        <w:t xml:space="preserve"> 2</w:t>
      </w:r>
      <w:r w:rsidR="003B6473" w:rsidRPr="00F6526C">
        <w:rPr>
          <w:rFonts w:eastAsia="Times New Roman"/>
          <w:noProof/>
          <w:snapToGrid/>
          <w:szCs w:val="22"/>
          <w:lang w:val="hu-HU" w:eastAsia="en-US"/>
        </w:rPr>
        <w:t xml:space="preserve"> enzimet gátló gyógyszereket is)</w:t>
      </w:r>
      <w:r w:rsidR="00493D3E" w:rsidRPr="00F6526C">
        <w:rPr>
          <w:rFonts w:eastAsia="Times New Roman"/>
          <w:noProof/>
          <w:snapToGrid/>
          <w:szCs w:val="22"/>
          <w:lang w:val="hu-HU" w:eastAsia="en-US"/>
        </w:rPr>
        <w:t xml:space="preserve"> történő együttadása akut veseelégtelenség</w:t>
      </w:r>
      <w:r w:rsidR="00D2783F" w:rsidRPr="00F6526C">
        <w:rPr>
          <w:rFonts w:eastAsia="Times New Roman"/>
          <w:noProof/>
          <w:snapToGrid/>
          <w:szCs w:val="22"/>
          <w:lang w:val="hu-HU" w:eastAsia="en-US"/>
        </w:rPr>
        <w:t xml:space="preserve"> kockázatának fokozódását eredményezheti</w:t>
      </w:r>
      <w:r w:rsidR="00493D3E" w:rsidRPr="00F6526C">
        <w:rPr>
          <w:rFonts w:eastAsia="Times New Roman"/>
          <w:noProof/>
          <w:snapToGrid/>
          <w:szCs w:val="22"/>
          <w:lang w:val="hu-HU" w:eastAsia="en-US"/>
        </w:rPr>
        <w:t>, amely rendszerint reverzíbilis.</w:t>
      </w:r>
      <w:r w:rsidR="003B6473" w:rsidRPr="00F6526C">
        <w:rPr>
          <w:rFonts w:eastAsia="Times New Roman"/>
          <w:noProof/>
          <w:snapToGrid/>
          <w:szCs w:val="22"/>
          <w:lang w:val="hu-HU" w:eastAsia="en-US"/>
        </w:rPr>
        <w:t xml:space="preserve"> </w:t>
      </w:r>
      <w:r w:rsidR="00AD25EE" w:rsidRPr="00F6526C">
        <w:rPr>
          <w:rFonts w:eastAsia="Times New Roman"/>
          <w:noProof/>
          <w:snapToGrid/>
          <w:szCs w:val="22"/>
          <w:lang w:val="hu-HU" w:eastAsia="en-US"/>
        </w:rPr>
        <w:t xml:space="preserve">Ezért az ilyen kombinációt veseelégtelenségben szenvedőknél óvatosan kell adni, különösen idősek esetén. A betegeket megfelelően kell hidrálni és figyelmet kell fordítani a vesefunkció monitorozására az egyidejű kezelés megkezdése után, majd azt követően rendszeresen. </w:t>
      </w:r>
      <w:r w:rsidR="009C1FE7" w:rsidRPr="00F6526C">
        <w:rPr>
          <w:rFonts w:eastAsia="Times New Roman"/>
          <w:noProof/>
          <w:snapToGrid/>
          <w:szCs w:val="22"/>
          <w:lang w:val="hu-HU" w:eastAsia="en-US"/>
        </w:rPr>
        <w:t>(lásd 4.4 pont)</w:t>
      </w:r>
    </w:p>
    <w:p w14:paraId="2BBD1F40" w14:textId="3E685391" w:rsidR="009C1FE7" w:rsidRPr="00F6526C" w:rsidRDefault="002806D2" w:rsidP="00C97896">
      <w:pPr>
        <w:pStyle w:val="Listaszerbekezds"/>
        <w:numPr>
          <w:ilvl w:val="0"/>
          <w:numId w:val="16"/>
        </w:numPr>
        <w:spacing w:line="240" w:lineRule="auto"/>
        <w:ind w:left="567" w:hanging="207"/>
        <w:rPr>
          <w:rFonts w:eastAsia="Times New Roman"/>
          <w:noProof/>
          <w:snapToGrid/>
          <w:szCs w:val="22"/>
          <w:lang w:val="hu-HU" w:eastAsia="en-US"/>
        </w:rPr>
      </w:pPr>
      <w:r w:rsidRPr="00F6526C">
        <w:rPr>
          <w:i/>
          <w:szCs w:val="22"/>
          <w:lang w:val="hu-HU"/>
        </w:rPr>
        <w:t>Béta</w:t>
      </w:r>
      <w:r w:rsidRPr="00F6526C">
        <w:rPr>
          <w:i/>
          <w:szCs w:val="22"/>
          <w:lang w:val="hu-HU"/>
        </w:rPr>
        <w:noBreakHyphen/>
        <w:t>blokkolók</w:t>
      </w:r>
      <w:r w:rsidR="00A9328C" w:rsidRPr="00F6526C">
        <w:rPr>
          <w:rFonts w:eastAsia="Times New Roman"/>
          <w:noProof/>
          <w:snapToGrid/>
          <w:szCs w:val="22"/>
          <w:lang w:val="hu-HU" w:eastAsia="en-US"/>
        </w:rPr>
        <w:t>: Az NSAID</w:t>
      </w:r>
      <w:r w:rsidR="009864B7">
        <w:rPr>
          <w:rFonts w:eastAsia="Calibri"/>
          <w:noProof/>
          <w:snapToGrid/>
          <w:szCs w:val="22"/>
          <w:lang w:val="hu-HU" w:eastAsia="en-US"/>
        </w:rPr>
        <w:t>-</w:t>
      </w:r>
      <w:r w:rsidR="00A9328C" w:rsidRPr="00F6526C">
        <w:rPr>
          <w:rFonts w:eastAsia="Times New Roman"/>
          <w:noProof/>
          <w:snapToGrid/>
          <w:szCs w:val="22"/>
          <w:lang w:val="hu-HU" w:eastAsia="en-US"/>
        </w:rPr>
        <w:t>ok ronthatják a béta</w:t>
      </w:r>
      <w:r w:rsidR="009864B7">
        <w:rPr>
          <w:rFonts w:eastAsia="Calibri"/>
          <w:noProof/>
          <w:snapToGrid/>
          <w:szCs w:val="22"/>
          <w:lang w:val="hu-HU" w:eastAsia="en-US"/>
        </w:rPr>
        <w:t>-</w:t>
      </w:r>
      <w:r w:rsidR="00A9328C" w:rsidRPr="00F6526C">
        <w:rPr>
          <w:rFonts w:eastAsia="Times New Roman"/>
          <w:noProof/>
          <w:snapToGrid/>
          <w:szCs w:val="22"/>
          <w:lang w:val="hu-HU" w:eastAsia="en-US"/>
        </w:rPr>
        <w:t>blokkolók vérnyomáscsökkentő hatását.</w:t>
      </w:r>
    </w:p>
    <w:p w14:paraId="0A545CCD" w14:textId="379F36EC" w:rsidR="0059059C" w:rsidRPr="00F6526C" w:rsidRDefault="0059059C" w:rsidP="00C97896">
      <w:pPr>
        <w:pStyle w:val="Listaszerbekezds"/>
        <w:numPr>
          <w:ilvl w:val="0"/>
          <w:numId w:val="16"/>
        </w:numPr>
        <w:autoSpaceDE w:val="0"/>
        <w:autoSpaceDN w:val="0"/>
        <w:adjustRightInd w:val="0"/>
        <w:spacing w:line="240" w:lineRule="auto"/>
        <w:ind w:left="567" w:hanging="207"/>
        <w:rPr>
          <w:i/>
          <w:szCs w:val="22"/>
          <w:lang w:val="hu-HU"/>
        </w:rPr>
      </w:pPr>
      <w:r w:rsidRPr="00F6526C">
        <w:rPr>
          <w:i/>
          <w:szCs w:val="22"/>
          <w:lang w:val="hu-HU"/>
        </w:rPr>
        <w:t>Szulfanilureák:</w:t>
      </w:r>
      <w:r w:rsidR="00254685" w:rsidRPr="00F6526C">
        <w:rPr>
          <w:lang w:val="hu-HU"/>
        </w:rPr>
        <w:t xml:space="preserve"> </w:t>
      </w:r>
      <w:r w:rsidR="00254685" w:rsidRPr="00F6526C">
        <w:rPr>
          <w:szCs w:val="22"/>
          <w:lang w:val="hu-HU"/>
        </w:rPr>
        <w:t>A szulfanilurea terápiában részesülő betegek ibuprofén kezelés</w:t>
      </w:r>
      <w:r w:rsidR="00884251" w:rsidRPr="00F6526C">
        <w:rPr>
          <w:szCs w:val="22"/>
          <w:lang w:val="hu-HU"/>
        </w:rPr>
        <w:t>e</w:t>
      </w:r>
      <w:r w:rsidR="00254685" w:rsidRPr="00F6526C">
        <w:rPr>
          <w:szCs w:val="22"/>
          <w:lang w:val="hu-HU"/>
        </w:rPr>
        <w:t xml:space="preserve"> </w:t>
      </w:r>
      <w:r w:rsidR="00884251" w:rsidRPr="00F6526C">
        <w:rPr>
          <w:szCs w:val="22"/>
          <w:lang w:val="hu-HU"/>
        </w:rPr>
        <w:t xml:space="preserve">esetén </w:t>
      </w:r>
      <w:r w:rsidR="00254685" w:rsidRPr="00F6526C">
        <w:rPr>
          <w:szCs w:val="22"/>
          <w:lang w:val="hu-HU"/>
        </w:rPr>
        <w:t xml:space="preserve">ritkán </w:t>
      </w:r>
      <w:r w:rsidR="00884251" w:rsidRPr="00F6526C">
        <w:rPr>
          <w:szCs w:val="22"/>
          <w:lang w:val="hu-HU"/>
        </w:rPr>
        <w:t>be</w:t>
      </w:r>
      <w:r w:rsidR="00254685" w:rsidRPr="00F6526C">
        <w:rPr>
          <w:szCs w:val="22"/>
          <w:lang w:val="hu-HU"/>
        </w:rPr>
        <w:t>számoltak hypoglikémiáról</w:t>
      </w:r>
      <w:r w:rsidR="00254685" w:rsidRPr="00F6526C">
        <w:rPr>
          <w:i/>
          <w:szCs w:val="22"/>
          <w:lang w:val="hu-HU"/>
        </w:rPr>
        <w:t>.</w:t>
      </w:r>
    </w:p>
    <w:p w14:paraId="70D72FDE" w14:textId="4AB6DAFD" w:rsidR="0059059C" w:rsidRPr="00F6526C" w:rsidRDefault="00EC270D" w:rsidP="00C97896">
      <w:pPr>
        <w:pStyle w:val="Listaszerbekezds"/>
        <w:numPr>
          <w:ilvl w:val="0"/>
          <w:numId w:val="16"/>
        </w:numPr>
        <w:spacing w:line="240" w:lineRule="auto"/>
        <w:ind w:left="567" w:hanging="207"/>
        <w:rPr>
          <w:rFonts w:eastAsia="Times New Roman"/>
          <w:noProof/>
          <w:snapToGrid/>
          <w:szCs w:val="22"/>
          <w:lang w:val="hu-HU" w:eastAsia="en-US"/>
        </w:rPr>
      </w:pPr>
      <w:r w:rsidRPr="00F6526C">
        <w:rPr>
          <w:i/>
          <w:iCs/>
          <w:lang w:val="hu-HU"/>
        </w:rPr>
        <w:t xml:space="preserve">Zidovudin: </w:t>
      </w:r>
      <w:r w:rsidR="00CF4F90" w:rsidRPr="00F6526C">
        <w:rPr>
          <w:iCs/>
          <w:lang w:val="hu-HU"/>
        </w:rPr>
        <w:t>HIV</w:t>
      </w:r>
      <w:r w:rsidR="00F33AC1" w:rsidRPr="00F6526C">
        <w:rPr>
          <w:iCs/>
          <w:lang w:val="hu-HU"/>
        </w:rPr>
        <w:t xml:space="preserve">(+) haemophiliásoknál bizonyíték áll rendelkezésre arról, hogy a zidovudin és az ibuprofén egyidejű alkalmazása fokozza a haemarthrosisok és a haematoma </w:t>
      </w:r>
      <w:r w:rsidR="00DC53E9" w:rsidRPr="00F6526C">
        <w:rPr>
          <w:iCs/>
          <w:lang w:val="hu-HU"/>
        </w:rPr>
        <w:t xml:space="preserve">kialakulásának </w:t>
      </w:r>
      <w:r w:rsidR="00F33AC1" w:rsidRPr="00F6526C">
        <w:rPr>
          <w:iCs/>
          <w:lang w:val="hu-HU"/>
        </w:rPr>
        <w:t>kockázatát.</w:t>
      </w:r>
    </w:p>
    <w:p w14:paraId="5ED42D73" w14:textId="4F670D28" w:rsidR="005512F1" w:rsidRPr="00F6526C" w:rsidRDefault="005512F1" w:rsidP="00C97896">
      <w:pPr>
        <w:pStyle w:val="Listaszerbekezds"/>
        <w:numPr>
          <w:ilvl w:val="0"/>
          <w:numId w:val="16"/>
        </w:numPr>
        <w:autoSpaceDE w:val="0"/>
        <w:autoSpaceDN w:val="0"/>
        <w:adjustRightInd w:val="0"/>
        <w:spacing w:line="240" w:lineRule="auto"/>
        <w:ind w:left="567" w:hanging="207"/>
        <w:rPr>
          <w:i/>
          <w:szCs w:val="22"/>
          <w:lang w:val="hu-HU"/>
        </w:rPr>
      </w:pPr>
      <w:r w:rsidRPr="00F6526C">
        <w:rPr>
          <w:i/>
          <w:szCs w:val="22"/>
          <w:lang w:val="hu-HU"/>
        </w:rPr>
        <w:t xml:space="preserve">Kinolon antibiotikumok: </w:t>
      </w:r>
      <w:r w:rsidR="00992650" w:rsidRPr="00F6526C">
        <w:rPr>
          <w:iCs/>
          <w:lang w:val="hu-HU"/>
        </w:rPr>
        <w:t>Állatkísérletes ada</w:t>
      </w:r>
      <w:r w:rsidR="00CF4F90" w:rsidRPr="00F6526C">
        <w:rPr>
          <w:iCs/>
          <w:lang w:val="hu-HU"/>
        </w:rPr>
        <w:t>tok azt mutatják, hogy az NSAID-</w:t>
      </w:r>
      <w:r w:rsidR="00992650" w:rsidRPr="00F6526C">
        <w:rPr>
          <w:iCs/>
          <w:lang w:val="hu-HU"/>
        </w:rPr>
        <w:t>ok fokozhatják a kinolon antibiotikumok alkalmazása kapcsán előfordu</w:t>
      </w:r>
      <w:r w:rsidR="00CF4F90" w:rsidRPr="00F6526C">
        <w:rPr>
          <w:iCs/>
          <w:lang w:val="hu-HU"/>
        </w:rPr>
        <w:t>ló convulsiók kockázatát. NSAID-</w:t>
      </w:r>
      <w:r w:rsidR="00992650" w:rsidRPr="00F6526C">
        <w:rPr>
          <w:iCs/>
          <w:lang w:val="hu-HU"/>
        </w:rPr>
        <w:t>okat és kinolo</w:t>
      </w:r>
      <w:r w:rsidR="00EC1EAB" w:rsidRPr="00F6526C">
        <w:rPr>
          <w:iCs/>
          <w:lang w:val="hu-HU"/>
        </w:rPr>
        <w:t>no</w:t>
      </w:r>
      <w:r w:rsidR="00992650" w:rsidRPr="00F6526C">
        <w:rPr>
          <w:iCs/>
          <w:lang w:val="hu-HU"/>
        </w:rPr>
        <w:t>kat szedő betegeknél magasabb lehet a convulsiók kialakulásának kockázata.</w:t>
      </w:r>
    </w:p>
    <w:p w14:paraId="5752ABD9" w14:textId="123CDF2B" w:rsidR="00F33AC1" w:rsidRPr="00F6526C" w:rsidRDefault="00C17931" w:rsidP="00C97896">
      <w:pPr>
        <w:pStyle w:val="Listaszerbekezds"/>
        <w:numPr>
          <w:ilvl w:val="0"/>
          <w:numId w:val="16"/>
        </w:numPr>
        <w:spacing w:line="240" w:lineRule="auto"/>
        <w:ind w:left="567" w:hanging="207"/>
        <w:rPr>
          <w:rFonts w:eastAsia="Times New Roman"/>
          <w:i/>
          <w:noProof/>
          <w:snapToGrid/>
          <w:szCs w:val="22"/>
          <w:lang w:val="hu-HU" w:eastAsia="en-US"/>
        </w:rPr>
      </w:pPr>
      <w:r w:rsidRPr="00F6526C">
        <w:rPr>
          <w:rFonts w:eastAsia="Times New Roman"/>
          <w:i/>
          <w:noProof/>
          <w:snapToGrid/>
          <w:szCs w:val="22"/>
          <w:lang w:val="hu-HU" w:eastAsia="en-US"/>
        </w:rPr>
        <w:t xml:space="preserve">Thiazidok, thiazid típusú </w:t>
      </w:r>
      <w:r w:rsidR="00B81236" w:rsidRPr="00F6526C">
        <w:rPr>
          <w:rFonts w:eastAsia="Times New Roman"/>
          <w:i/>
          <w:noProof/>
          <w:snapToGrid/>
          <w:szCs w:val="22"/>
          <w:lang w:val="hu-HU" w:eastAsia="en-US"/>
        </w:rPr>
        <w:t>diuretikumo</w:t>
      </w:r>
      <w:r w:rsidR="00174F99" w:rsidRPr="00F6526C">
        <w:rPr>
          <w:rFonts w:eastAsia="Times New Roman"/>
          <w:i/>
          <w:noProof/>
          <w:snapToGrid/>
          <w:szCs w:val="22"/>
          <w:lang w:val="hu-HU" w:eastAsia="en-US"/>
        </w:rPr>
        <w:t>k és kacsdiuretikumok:</w:t>
      </w:r>
      <w:r w:rsidR="00174F99" w:rsidRPr="00F6526C">
        <w:rPr>
          <w:rFonts w:eastAsia="Times New Roman"/>
          <w:noProof/>
          <w:snapToGrid/>
          <w:szCs w:val="22"/>
          <w:lang w:val="hu-HU" w:eastAsia="en-US"/>
        </w:rPr>
        <w:t xml:space="preserve"> </w:t>
      </w:r>
      <w:r w:rsidR="0068277F" w:rsidRPr="00F6526C">
        <w:rPr>
          <w:rFonts w:eastAsia="Times New Roman"/>
          <w:noProof/>
          <w:snapToGrid/>
          <w:szCs w:val="22"/>
          <w:lang w:val="hu-HU" w:eastAsia="en-US"/>
        </w:rPr>
        <w:t>Az NSAID-ok csökkenthetik a furosemid és a bumetanid vizelethajtó hatását, valószínűleg a prosztaglandin szintézis gátlásával. Ezenkívül ellensúlyozhatják a tiazidok vérnyomáscsökkentő hatását.</w:t>
      </w:r>
    </w:p>
    <w:p w14:paraId="1D406B88" w14:textId="77777777" w:rsidR="00215E74" w:rsidRPr="00F6526C" w:rsidRDefault="00E6734A" w:rsidP="00C97896">
      <w:pPr>
        <w:pStyle w:val="Listaszerbekezds"/>
        <w:numPr>
          <w:ilvl w:val="0"/>
          <w:numId w:val="16"/>
        </w:numPr>
        <w:spacing w:line="240" w:lineRule="auto"/>
        <w:ind w:left="567" w:hanging="207"/>
        <w:rPr>
          <w:rFonts w:eastAsia="Times New Roman"/>
          <w:i/>
          <w:noProof/>
          <w:snapToGrid/>
          <w:szCs w:val="22"/>
          <w:lang w:val="hu-HU" w:eastAsia="en-US"/>
        </w:rPr>
      </w:pPr>
      <w:r w:rsidRPr="00F6526C">
        <w:rPr>
          <w:i/>
          <w:szCs w:val="22"/>
          <w:lang w:val="hu-HU"/>
        </w:rPr>
        <w:t>Káliumspóroló diuretikumok</w:t>
      </w:r>
      <w:r w:rsidRPr="00F6526C">
        <w:rPr>
          <w:szCs w:val="22"/>
          <w:lang w:val="hu-HU"/>
        </w:rPr>
        <w:t>: Egyidejű alkalmazásuk hyperkalaemiához vezethet.</w:t>
      </w:r>
    </w:p>
    <w:p w14:paraId="5BF01781" w14:textId="6E7F0586" w:rsidR="00E6734A" w:rsidRPr="00F6526C" w:rsidRDefault="00215E74" w:rsidP="00C97896">
      <w:pPr>
        <w:pStyle w:val="Listaszerbekezds"/>
        <w:numPr>
          <w:ilvl w:val="0"/>
          <w:numId w:val="16"/>
        </w:numPr>
        <w:spacing w:line="240" w:lineRule="auto"/>
        <w:ind w:left="567" w:hanging="207"/>
        <w:rPr>
          <w:rFonts w:eastAsia="Times New Roman"/>
          <w:i/>
          <w:noProof/>
          <w:snapToGrid/>
          <w:szCs w:val="22"/>
          <w:lang w:val="hu-HU" w:eastAsia="en-US"/>
        </w:rPr>
      </w:pPr>
      <w:r w:rsidRPr="00F6526C">
        <w:rPr>
          <w:i/>
          <w:szCs w:val="22"/>
          <w:lang w:val="hu-HU"/>
        </w:rPr>
        <w:t>Aminoglikozidok:</w:t>
      </w:r>
      <w:r w:rsidRPr="00F6526C">
        <w:rPr>
          <w:i/>
          <w:szCs w:val="22"/>
          <w:u w:val="single"/>
          <w:lang w:val="hu-HU"/>
        </w:rPr>
        <w:t xml:space="preserve"> </w:t>
      </w:r>
      <w:r w:rsidRPr="00F6526C">
        <w:rPr>
          <w:rFonts w:eastAsia="Times New Roman"/>
          <w:noProof/>
          <w:snapToGrid/>
          <w:szCs w:val="22"/>
          <w:lang w:val="hu-HU" w:eastAsia="en-US"/>
        </w:rPr>
        <w:t>Az NSAID</w:t>
      </w:r>
      <w:r w:rsidRPr="00F6526C">
        <w:rPr>
          <w:rFonts w:eastAsia="Times New Roman"/>
          <w:noProof/>
          <w:snapToGrid/>
          <w:szCs w:val="22"/>
          <w:lang w:val="hu-HU" w:eastAsia="en-US"/>
        </w:rPr>
        <w:noBreakHyphen/>
        <w:t>ok csökkenthetik az aminoglikozidok kiválasztódását</w:t>
      </w:r>
      <w:r w:rsidRPr="00F6526C">
        <w:rPr>
          <w:rFonts w:eastAsia="Times New Roman"/>
          <w:i/>
          <w:noProof/>
          <w:snapToGrid/>
          <w:szCs w:val="22"/>
          <w:lang w:val="hu-HU" w:eastAsia="en-US"/>
        </w:rPr>
        <w:t>.</w:t>
      </w:r>
    </w:p>
    <w:p w14:paraId="5696B103" w14:textId="435AA69C" w:rsidR="00215E74" w:rsidRPr="00F6526C" w:rsidRDefault="00596319" w:rsidP="00C97896">
      <w:pPr>
        <w:pStyle w:val="Listaszerbekezds"/>
        <w:numPr>
          <w:ilvl w:val="0"/>
          <w:numId w:val="16"/>
        </w:numPr>
        <w:spacing w:line="240" w:lineRule="auto"/>
        <w:ind w:left="567" w:hanging="207"/>
        <w:rPr>
          <w:rFonts w:eastAsia="Times New Roman"/>
          <w:i/>
          <w:noProof/>
          <w:snapToGrid/>
          <w:szCs w:val="22"/>
          <w:lang w:val="hu-HU" w:eastAsia="en-US"/>
        </w:rPr>
      </w:pPr>
      <w:r w:rsidRPr="00F6526C">
        <w:rPr>
          <w:i/>
          <w:szCs w:val="22"/>
          <w:lang w:val="hu-HU"/>
        </w:rPr>
        <w:t>Szelektív szerotoninvisszavétel</w:t>
      </w:r>
      <w:r w:rsidRPr="00F6526C">
        <w:rPr>
          <w:i/>
          <w:szCs w:val="22"/>
          <w:lang w:val="hu-HU"/>
        </w:rPr>
        <w:noBreakHyphen/>
        <w:t>gátlók (SSRI</w:t>
      </w:r>
      <w:r w:rsidRPr="00F6526C">
        <w:rPr>
          <w:i/>
          <w:szCs w:val="22"/>
          <w:lang w:val="hu-HU"/>
        </w:rPr>
        <w:noBreakHyphen/>
        <w:t xml:space="preserve">k): </w:t>
      </w:r>
      <w:r w:rsidR="00A11692" w:rsidRPr="00F6526C">
        <w:rPr>
          <w:szCs w:val="22"/>
          <w:lang w:val="hu-HU"/>
        </w:rPr>
        <w:t>Az SSRI-k és az NSAID-ok mindegyike önmagában is megnövekedett vérzési kockázatot jelent, pl. a gyomor-bél</w:t>
      </w:r>
      <w:r w:rsidR="00DB0F17">
        <w:rPr>
          <w:szCs w:val="22"/>
          <w:lang w:val="hu-HU"/>
        </w:rPr>
        <w:t xml:space="preserve"> </w:t>
      </w:r>
      <w:r w:rsidR="00A11692" w:rsidRPr="00F6526C">
        <w:rPr>
          <w:szCs w:val="22"/>
          <w:lang w:val="hu-HU"/>
        </w:rPr>
        <w:t>rendszerből, mely kockázatot a kombinált kezelés fokozza. A hatásmechanizmus vélhetően a vérlemezkékben bekövetk</w:t>
      </w:r>
      <w:r w:rsidR="006B66AA" w:rsidRPr="00F6526C">
        <w:rPr>
          <w:szCs w:val="22"/>
          <w:lang w:val="hu-HU"/>
        </w:rPr>
        <w:t>ező csökkent szerotoninfelvétell</w:t>
      </w:r>
      <w:r w:rsidR="00A11692" w:rsidRPr="00F6526C">
        <w:rPr>
          <w:szCs w:val="22"/>
          <w:lang w:val="hu-HU"/>
        </w:rPr>
        <w:t>el magyarázható (lásd 4.4 pont).</w:t>
      </w:r>
      <w:r w:rsidR="00FE0472" w:rsidRPr="00F6526C">
        <w:rPr>
          <w:szCs w:val="22"/>
          <w:lang w:val="hu-HU"/>
        </w:rPr>
        <w:t xml:space="preserve"> </w:t>
      </w:r>
    </w:p>
    <w:p w14:paraId="7F0E9C35" w14:textId="54FDF209" w:rsidR="00251CC3" w:rsidRPr="00F6526C" w:rsidRDefault="00251CC3" w:rsidP="00C97896">
      <w:pPr>
        <w:pStyle w:val="Listaszerbekezds"/>
        <w:numPr>
          <w:ilvl w:val="0"/>
          <w:numId w:val="16"/>
        </w:numPr>
        <w:spacing w:line="240" w:lineRule="auto"/>
        <w:ind w:left="567" w:hanging="207"/>
        <w:rPr>
          <w:rFonts w:eastAsia="Times New Roman"/>
          <w:i/>
          <w:noProof/>
          <w:snapToGrid/>
          <w:szCs w:val="22"/>
          <w:lang w:val="hu-HU" w:eastAsia="en-US"/>
        </w:rPr>
      </w:pPr>
      <w:r w:rsidRPr="00F6526C">
        <w:rPr>
          <w:i/>
          <w:szCs w:val="22"/>
          <w:lang w:val="hu-HU"/>
        </w:rPr>
        <w:t>Ciklispo</w:t>
      </w:r>
      <w:r w:rsidR="00673B8A" w:rsidRPr="00F6526C">
        <w:rPr>
          <w:i/>
          <w:szCs w:val="22"/>
          <w:lang w:val="hu-HU"/>
        </w:rPr>
        <w:t>r</w:t>
      </w:r>
      <w:r w:rsidRPr="00F6526C">
        <w:rPr>
          <w:i/>
          <w:szCs w:val="22"/>
          <w:lang w:val="hu-HU"/>
        </w:rPr>
        <w:t>in</w:t>
      </w:r>
      <w:r w:rsidR="00673B8A" w:rsidRPr="00F6526C">
        <w:rPr>
          <w:i/>
          <w:szCs w:val="22"/>
          <w:lang w:val="hu-HU"/>
        </w:rPr>
        <w:t>:</w:t>
      </w:r>
      <w:r w:rsidR="00D61B70" w:rsidRPr="00F6526C">
        <w:rPr>
          <w:lang w:val="hu-HU"/>
        </w:rPr>
        <w:t xml:space="preserve"> </w:t>
      </w:r>
      <w:r w:rsidR="00D61B70" w:rsidRPr="00F6526C">
        <w:rPr>
          <w:szCs w:val="22"/>
          <w:lang w:val="hu-HU"/>
        </w:rPr>
        <w:t>Az NSAID-ok és a ciklosporin egy</w:t>
      </w:r>
      <w:r w:rsidR="003A1C42" w:rsidRPr="00F6526C">
        <w:rPr>
          <w:szCs w:val="22"/>
          <w:lang w:val="hu-HU"/>
        </w:rPr>
        <w:t>idejű alkalmazása valószínű</w:t>
      </w:r>
      <w:r w:rsidR="00D61B70" w:rsidRPr="00F6526C">
        <w:rPr>
          <w:szCs w:val="22"/>
          <w:lang w:val="hu-HU"/>
        </w:rPr>
        <w:t>leg növeli a nefrotoxicitás kockázatát, mivel a vesében a prosztaciklin szintézise csökken. Ezért kombinált kezelés esetén a vesefunkciót szorosan ellenőrizni kell</w:t>
      </w:r>
      <w:r w:rsidR="00D61B70" w:rsidRPr="00F6526C">
        <w:rPr>
          <w:i/>
          <w:szCs w:val="22"/>
          <w:lang w:val="hu-HU"/>
        </w:rPr>
        <w:t>.</w:t>
      </w:r>
    </w:p>
    <w:p w14:paraId="4E884FE2" w14:textId="77777777" w:rsidR="002E0410" w:rsidRPr="00F6526C" w:rsidRDefault="00A56D3D" w:rsidP="00C97896">
      <w:pPr>
        <w:pStyle w:val="Listaszerbekezds"/>
        <w:numPr>
          <w:ilvl w:val="0"/>
          <w:numId w:val="16"/>
        </w:numPr>
        <w:autoSpaceDE w:val="0"/>
        <w:autoSpaceDN w:val="0"/>
        <w:adjustRightInd w:val="0"/>
        <w:spacing w:line="240" w:lineRule="auto"/>
        <w:ind w:left="567" w:hanging="207"/>
        <w:rPr>
          <w:i/>
          <w:szCs w:val="22"/>
          <w:u w:val="single"/>
          <w:lang w:val="hu-HU"/>
        </w:rPr>
      </w:pPr>
      <w:r w:rsidRPr="00F6526C">
        <w:rPr>
          <w:i/>
          <w:szCs w:val="22"/>
          <w:lang w:val="hu-HU"/>
        </w:rPr>
        <w:t>Kaptopril:</w:t>
      </w:r>
      <w:r w:rsidRPr="00F6526C">
        <w:rPr>
          <w:szCs w:val="22"/>
          <w:lang w:val="hu-HU"/>
        </w:rPr>
        <w:t xml:space="preserve"> Kísérletes vizsgálatok eredményei azt mutatják, hogy az ibuprofén ellensúlyozza a kaptopril fokozott nátriumürítést kiváltó hatását.</w:t>
      </w:r>
    </w:p>
    <w:p w14:paraId="15084B9A" w14:textId="35AA656D" w:rsidR="002E0410" w:rsidRPr="00F6526C" w:rsidRDefault="002E0410" w:rsidP="00C97896">
      <w:pPr>
        <w:pStyle w:val="Listaszerbekezds"/>
        <w:numPr>
          <w:ilvl w:val="0"/>
          <w:numId w:val="16"/>
        </w:numPr>
        <w:autoSpaceDE w:val="0"/>
        <w:autoSpaceDN w:val="0"/>
        <w:adjustRightInd w:val="0"/>
        <w:spacing w:line="240" w:lineRule="auto"/>
        <w:ind w:left="567" w:hanging="207"/>
        <w:rPr>
          <w:i/>
          <w:szCs w:val="22"/>
          <w:u w:val="single"/>
          <w:lang w:val="hu-HU"/>
        </w:rPr>
      </w:pPr>
      <w:r w:rsidRPr="00F6526C">
        <w:rPr>
          <w:i/>
          <w:iCs/>
          <w:lang w:val="hu-HU"/>
        </w:rPr>
        <w:t>Tacrolimus</w:t>
      </w:r>
      <w:r w:rsidRPr="00F6526C">
        <w:rPr>
          <w:iCs/>
          <w:lang w:val="hu-HU"/>
        </w:rPr>
        <w:t>:</w:t>
      </w:r>
      <w:r w:rsidR="006B66AA" w:rsidRPr="00F6526C">
        <w:rPr>
          <w:iCs/>
          <w:lang w:val="hu-HU"/>
        </w:rPr>
        <w:t xml:space="preserve"> Az NSAID-ok és a takrolimus</w:t>
      </w:r>
      <w:r w:rsidR="003A1C42" w:rsidRPr="00F6526C">
        <w:rPr>
          <w:iCs/>
          <w:lang w:val="hu-HU"/>
        </w:rPr>
        <w:t xml:space="preserve"> egyidejű alkalmazása valószínűleg növeli a nefrotoxicitás kockázatát, mivel a vesében a prosztaciklin szintézise csökken. Ezért kombinált kezelés esetén a veseműködést szorosan ellenőrizni kell.</w:t>
      </w:r>
      <w:r w:rsidRPr="00F6526C">
        <w:rPr>
          <w:iCs/>
          <w:lang w:val="hu-HU"/>
        </w:rPr>
        <w:t xml:space="preserve"> </w:t>
      </w:r>
    </w:p>
    <w:p w14:paraId="25F3CFC9" w14:textId="58D70922" w:rsidR="002C68A4" w:rsidRPr="00F6526C" w:rsidRDefault="002C68A4" w:rsidP="00C97896">
      <w:pPr>
        <w:pStyle w:val="Listaszerbekezds"/>
        <w:numPr>
          <w:ilvl w:val="0"/>
          <w:numId w:val="16"/>
        </w:numPr>
        <w:autoSpaceDE w:val="0"/>
        <w:autoSpaceDN w:val="0"/>
        <w:adjustRightInd w:val="0"/>
        <w:spacing w:line="240" w:lineRule="auto"/>
        <w:ind w:left="567" w:hanging="207"/>
        <w:rPr>
          <w:i/>
          <w:szCs w:val="22"/>
          <w:lang w:val="hu-HU"/>
        </w:rPr>
      </w:pPr>
      <w:r w:rsidRPr="00F6526C">
        <w:rPr>
          <w:i/>
          <w:szCs w:val="22"/>
          <w:lang w:val="hu-HU"/>
        </w:rPr>
        <w:t>Kortikoszteroidok:</w:t>
      </w:r>
      <w:r w:rsidRPr="00F6526C">
        <w:rPr>
          <w:lang w:val="hu-HU"/>
        </w:rPr>
        <w:t xml:space="preserve"> </w:t>
      </w:r>
      <w:r w:rsidRPr="00F6526C">
        <w:rPr>
          <w:szCs w:val="22"/>
          <w:lang w:val="hu-HU"/>
        </w:rPr>
        <w:t>Az egyidejű kezelés növeli a gastrointestinalis fekély vagy vérzés kockázatát.</w:t>
      </w:r>
    </w:p>
    <w:p w14:paraId="328EAF55" w14:textId="23302C4A" w:rsidR="00745E52" w:rsidRPr="00F6526C" w:rsidRDefault="00745E52" w:rsidP="00C97896">
      <w:pPr>
        <w:pStyle w:val="Listaszerbekezds"/>
        <w:numPr>
          <w:ilvl w:val="0"/>
          <w:numId w:val="16"/>
        </w:numPr>
        <w:autoSpaceDE w:val="0"/>
        <w:autoSpaceDN w:val="0"/>
        <w:adjustRightInd w:val="0"/>
        <w:spacing w:line="240" w:lineRule="auto"/>
        <w:ind w:left="567" w:hanging="207"/>
        <w:rPr>
          <w:szCs w:val="22"/>
          <w:lang w:val="hu-HU"/>
        </w:rPr>
      </w:pPr>
      <w:r w:rsidRPr="00F6526C">
        <w:rPr>
          <w:i/>
          <w:szCs w:val="22"/>
          <w:lang w:val="hu-HU"/>
        </w:rPr>
        <w:t>CYP2C9</w:t>
      </w:r>
      <w:r w:rsidRPr="00F6526C">
        <w:rPr>
          <w:i/>
          <w:szCs w:val="22"/>
          <w:lang w:val="hu-HU"/>
        </w:rPr>
        <w:noBreakHyphen/>
        <w:t>gátlók:</w:t>
      </w:r>
      <w:r w:rsidR="00740DC8" w:rsidRPr="00F6526C">
        <w:rPr>
          <w:lang w:val="hu-HU"/>
        </w:rPr>
        <w:t xml:space="preserve"> </w:t>
      </w:r>
      <w:r w:rsidR="00740DC8" w:rsidRPr="00F6526C">
        <w:rPr>
          <w:iCs/>
          <w:lang w:val="hu-HU"/>
        </w:rPr>
        <w:t>Az ibuprofén CYP2C9-gátlókkal történő egyidejű alkalmazása fokozhatja az ibuprofén-expozíciót (CYP2C9-szubsztrát). Egy vorikonazollal és flukonazonnal (CYP2C9-gátlók) végzett vizsgálatban az S(+)-ibuprofén-expozíció körülbelül 80-100%-os növekedése volt tapasztalható. Erős hatású CYP2C9-gátlók egyidejű alkalmazása esetén megfontolandó az ibuprofén dózisának csökkentése, különösen nagy dózisú ibuprofén vorikonazollal vagy flukonazollal együtt történő alkalmazásakor.</w:t>
      </w:r>
    </w:p>
    <w:p w14:paraId="49D63C60" w14:textId="77777777" w:rsidR="000114E5" w:rsidRPr="00F6526C" w:rsidRDefault="00AE6830" w:rsidP="00C97896">
      <w:pPr>
        <w:pStyle w:val="Listaszerbekezds"/>
        <w:numPr>
          <w:ilvl w:val="0"/>
          <w:numId w:val="16"/>
        </w:numPr>
        <w:autoSpaceDE w:val="0"/>
        <w:autoSpaceDN w:val="0"/>
        <w:adjustRightInd w:val="0"/>
        <w:spacing w:line="240" w:lineRule="auto"/>
        <w:ind w:left="567" w:hanging="207"/>
        <w:rPr>
          <w:i/>
          <w:szCs w:val="22"/>
          <w:u w:val="single"/>
          <w:lang w:val="hu-HU"/>
        </w:rPr>
      </w:pPr>
      <w:r w:rsidRPr="00F6526C">
        <w:rPr>
          <w:i/>
          <w:szCs w:val="22"/>
          <w:lang w:val="hu-HU"/>
        </w:rPr>
        <w:t xml:space="preserve">Fenitoin: </w:t>
      </w:r>
      <w:r w:rsidRPr="00F6526C">
        <w:rPr>
          <w:szCs w:val="22"/>
          <w:lang w:val="hu-HU"/>
        </w:rPr>
        <w:t>Ibuprofénnel végzett egyidejű kezelés esetén növekedhet a fenitoin plazmaszintje, ezáltal fokozódhat a toxicitás kockázata.</w:t>
      </w:r>
    </w:p>
    <w:p w14:paraId="5F747F4D" w14:textId="77777777" w:rsidR="00E664B1" w:rsidRPr="00F6526C" w:rsidRDefault="000114E5" w:rsidP="00C97896">
      <w:pPr>
        <w:pStyle w:val="Listaszerbekezds"/>
        <w:numPr>
          <w:ilvl w:val="0"/>
          <w:numId w:val="16"/>
        </w:numPr>
        <w:autoSpaceDE w:val="0"/>
        <w:autoSpaceDN w:val="0"/>
        <w:adjustRightInd w:val="0"/>
        <w:spacing w:line="240" w:lineRule="auto"/>
        <w:ind w:left="567" w:hanging="207"/>
        <w:rPr>
          <w:i/>
          <w:szCs w:val="22"/>
          <w:u w:val="single"/>
          <w:lang w:val="hu-HU"/>
        </w:rPr>
      </w:pPr>
      <w:r w:rsidRPr="00F6526C">
        <w:rPr>
          <w:i/>
          <w:szCs w:val="22"/>
          <w:lang w:val="hu-HU"/>
        </w:rPr>
        <w:t>Probenecid és szulfinpirazon</w:t>
      </w:r>
      <w:r w:rsidRPr="00F6526C">
        <w:rPr>
          <w:szCs w:val="22"/>
          <w:lang w:val="hu-HU"/>
        </w:rPr>
        <w:t>: Probenecidet vagy szulfinpirazont tartalmazó gyógyszerek késleltethetik az ibuprofén kiürülését.</w:t>
      </w:r>
    </w:p>
    <w:p w14:paraId="3E7D9203" w14:textId="4A5B87F5" w:rsidR="000114E5" w:rsidRPr="00F6526C" w:rsidRDefault="00E664B1" w:rsidP="00C97896">
      <w:pPr>
        <w:pStyle w:val="Listaszerbekezds"/>
        <w:numPr>
          <w:ilvl w:val="0"/>
          <w:numId w:val="16"/>
        </w:numPr>
        <w:autoSpaceDE w:val="0"/>
        <w:autoSpaceDN w:val="0"/>
        <w:adjustRightInd w:val="0"/>
        <w:spacing w:line="240" w:lineRule="auto"/>
        <w:ind w:left="567" w:hanging="207"/>
        <w:rPr>
          <w:i/>
          <w:szCs w:val="22"/>
          <w:u w:val="single"/>
          <w:lang w:val="hu-HU"/>
        </w:rPr>
      </w:pPr>
      <w:r w:rsidRPr="00F6526C">
        <w:rPr>
          <w:i/>
          <w:szCs w:val="22"/>
          <w:lang w:val="hu-HU"/>
        </w:rPr>
        <w:t>Gyógynövénykivonatok:</w:t>
      </w:r>
      <w:r w:rsidRPr="004017C1">
        <w:rPr>
          <w:szCs w:val="22"/>
          <w:lang w:val="hu-HU"/>
        </w:rPr>
        <w:t xml:space="preserve"> </w:t>
      </w:r>
      <w:r w:rsidRPr="00F6526C">
        <w:rPr>
          <w:szCs w:val="22"/>
          <w:lang w:val="hu-HU"/>
        </w:rPr>
        <w:t>A Ginkgo biloba fokozhatja az NSAID</w:t>
      </w:r>
      <w:r w:rsidRPr="00F6526C">
        <w:rPr>
          <w:szCs w:val="22"/>
          <w:lang w:val="hu-HU"/>
        </w:rPr>
        <w:noBreakHyphen/>
        <w:t>ok alkalmazása mellett fennálló vérzési kockázatot.</w:t>
      </w:r>
    </w:p>
    <w:p w14:paraId="7E36F06A" w14:textId="77777777" w:rsidR="00293E0B" w:rsidRPr="00F6526C" w:rsidRDefault="00293E0B" w:rsidP="00293E0B">
      <w:pPr>
        <w:autoSpaceDE w:val="0"/>
        <w:autoSpaceDN w:val="0"/>
        <w:adjustRightInd w:val="0"/>
        <w:spacing w:line="240" w:lineRule="auto"/>
        <w:rPr>
          <w:i/>
          <w:szCs w:val="22"/>
          <w:u w:val="single"/>
          <w:lang w:val="hu-HU"/>
        </w:rPr>
      </w:pPr>
    </w:p>
    <w:p w14:paraId="354AFFD4" w14:textId="38E520EA" w:rsidR="00293E0B" w:rsidRPr="00F6526C" w:rsidRDefault="00293E0B" w:rsidP="00293E0B">
      <w:pPr>
        <w:autoSpaceDE w:val="0"/>
        <w:autoSpaceDN w:val="0"/>
        <w:adjustRightInd w:val="0"/>
        <w:spacing w:line="240" w:lineRule="auto"/>
        <w:rPr>
          <w:szCs w:val="22"/>
          <w:u w:val="single"/>
          <w:lang w:val="hu-HU"/>
        </w:rPr>
      </w:pPr>
      <w:r w:rsidRPr="00F6526C">
        <w:rPr>
          <w:szCs w:val="22"/>
          <w:u w:val="single"/>
          <w:lang w:val="hu-HU"/>
        </w:rPr>
        <w:t>Paracetamol:</w:t>
      </w:r>
    </w:p>
    <w:p w14:paraId="4DFE8946" w14:textId="2D46E60A" w:rsidR="00293E0B" w:rsidRPr="00F6526C" w:rsidRDefault="00F904E6" w:rsidP="00F904E6">
      <w:pPr>
        <w:pStyle w:val="Listaszerbekezds"/>
        <w:numPr>
          <w:ilvl w:val="0"/>
          <w:numId w:val="16"/>
        </w:numPr>
        <w:autoSpaceDE w:val="0"/>
        <w:autoSpaceDN w:val="0"/>
        <w:adjustRightInd w:val="0"/>
        <w:spacing w:line="240" w:lineRule="auto"/>
        <w:ind w:left="567" w:hanging="207"/>
        <w:rPr>
          <w:szCs w:val="22"/>
          <w:lang w:val="hu-HU"/>
        </w:rPr>
      </w:pPr>
      <w:r w:rsidRPr="00F6526C">
        <w:rPr>
          <w:szCs w:val="22"/>
          <w:lang w:val="hu-HU"/>
        </w:rPr>
        <w:t>A probenecid majdnem felére cs</w:t>
      </w:r>
      <w:r w:rsidR="00CE6690" w:rsidRPr="00F6526C">
        <w:rPr>
          <w:szCs w:val="22"/>
          <w:lang w:val="hu-HU"/>
        </w:rPr>
        <w:t>ökkenti a paracetamol clearence-</w:t>
      </w:r>
      <w:r w:rsidRPr="00F6526C">
        <w:rPr>
          <w:szCs w:val="22"/>
          <w:lang w:val="hu-HU"/>
        </w:rPr>
        <w:t>ét azáltal, hogy meggátolja a glükuronsavval való konjugációt. Probenecid egyidejű alkalmazása esetén meg kell fontolni a paracetamol dózisának csökkentését.</w:t>
      </w:r>
    </w:p>
    <w:p w14:paraId="4B26FA14" w14:textId="3B73AB1D" w:rsidR="003D593A" w:rsidRPr="00F6526C" w:rsidRDefault="009B421B" w:rsidP="00F904E6">
      <w:pPr>
        <w:pStyle w:val="Listaszerbekezds"/>
        <w:numPr>
          <w:ilvl w:val="0"/>
          <w:numId w:val="16"/>
        </w:numPr>
        <w:autoSpaceDE w:val="0"/>
        <w:autoSpaceDN w:val="0"/>
        <w:adjustRightInd w:val="0"/>
        <w:spacing w:line="240" w:lineRule="auto"/>
        <w:ind w:left="567" w:hanging="207"/>
        <w:rPr>
          <w:szCs w:val="22"/>
          <w:lang w:val="hu-HU"/>
        </w:rPr>
      </w:pPr>
      <w:r w:rsidRPr="00F6526C">
        <w:rPr>
          <w:szCs w:val="22"/>
          <w:lang w:val="hu-HU"/>
        </w:rPr>
        <w:t>Az enzimindukáló gyógyszerek, például egyes antiepileptikumok</w:t>
      </w:r>
      <w:r w:rsidR="006D3E87" w:rsidRPr="00F6526C">
        <w:rPr>
          <w:szCs w:val="22"/>
          <w:lang w:val="hu-HU"/>
        </w:rPr>
        <w:t xml:space="preserve"> </w:t>
      </w:r>
      <w:r w:rsidRPr="00F6526C">
        <w:rPr>
          <w:szCs w:val="22"/>
          <w:lang w:val="hu-HU"/>
        </w:rPr>
        <w:t xml:space="preserve">(fenitoin, fenobarbitál, karbamazepin) a farmakokinetikai vizsgálatokban körülbelül 60%-ra csökkentették a paracetamol plazma AUC-jét. Más típusú enzimindukáló tulajdonságokkal rendelkező anyagok </w:t>
      </w:r>
      <w:r w:rsidRPr="00F6526C">
        <w:rPr>
          <w:szCs w:val="22"/>
          <w:lang w:val="hu-HU"/>
        </w:rPr>
        <w:lastRenderedPageBreak/>
        <w:t>(azaz rifampicin, Hypericum) szintén csökkent paracetamol-szérumszintet eredményezhetnek. Ezenkívül a májkárosodás kockázata valószínűleg nagyobb a kezelés során azoknál a betegeknél, akik a paracetamol maximális ajánlott dózisa mellett enzimindukáló gyógyszereket kapnak.</w:t>
      </w:r>
    </w:p>
    <w:p w14:paraId="6A5C3342" w14:textId="2CB6AE6E" w:rsidR="006D3E87" w:rsidRPr="00F6526C" w:rsidRDefault="00526DFD" w:rsidP="00F904E6">
      <w:pPr>
        <w:pStyle w:val="Listaszerbekezds"/>
        <w:numPr>
          <w:ilvl w:val="0"/>
          <w:numId w:val="16"/>
        </w:numPr>
        <w:autoSpaceDE w:val="0"/>
        <w:autoSpaceDN w:val="0"/>
        <w:adjustRightInd w:val="0"/>
        <w:spacing w:line="240" w:lineRule="auto"/>
        <w:ind w:left="567" w:hanging="207"/>
        <w:rPr>
          <w:szCs w:val="22"/>
          <w:lang w:val="hu-HU"/>
        </w:rPr>
      </w:pPr>
      <w:r w:rsidRPr="00F6526C">
        <w:rPr>
          <w:szCs w:val="22"/>
          <w:lang w:val="hu-HU"/>
        </w:rPr>
        <w:t>A zidovudin befolyásolhatja a paracetamol metabolizmusát és viszont, ami mindkét szer toxocitását fokozhatja.</w:t>
      </w:r>
    </w:p>
    <w:p w14:paraId="774E808F" w14:textId="129B2A65" w:rsidR="00526DFD" w:rsidRPr="00F6526C" w:rsidRDefault="00EF2BFA" w:rsidP="00F904E6">
      <w:pPr>
        <w:pStyle w:val="Listaszerbekezds"/>
        <w:numPr>
          <w:ilvl w:val="0"/>
          <w:numId w:val="16"/>
        </w:numPr>
        <w:autoSpaceDE w:val="0"/>
        <w:autoSpaceDN w:val="0"/>
        <w:adjustRightInd w:val="0"/>
        <w:spacing w:line="240" w:lineRule="auto"/>
        <w:ind w:left="567" w:hanging="207"/>
        <w:rPr>
          <w:szCs w:val="22"/>
          <w:lang w:val="hu-HU"/>
        </w:rPr>
      </w:pPr>
      <w:r w:rsidRPr="00F6526C">
        <w:rPr>
          <w:szCs w:val="22"/>
          <w:lang w:val="hu-HU"/>
        </w:rPr>
        <w:t>Antikoagulánsok (warfarin) dózisának csökkentése lehet szükséges, ha a paracetamolt és az antikoagulánsokat hosszabb ideig együttesen alkalmazzák.</w:t>
      </w:r>
    </w:p>
    <w:p w14:paraId="65B62AE6" w14:textId="0C3AFEB5" w:rsidR="00EF2BFA" w:rsidRPr="00F6526C" w:rsidRDefault="00D80E43" w:rsidP="00F904E6">
      <w:pPr>
        <w:pStyle w:val="Listaszerbekezds"/>
        <w:numPr>
          <w:ilvl w:val="0"/>
          <w:numId w:val="16"/>
        </w:numPr>
        <w:autoSpaceDE w:val="0"/>
        <w:autoSpaceDN w:val="0"/>
        <w:adjustRightInd w:val="0"/>
        <w:spacing w:line="240" w:lineRule="auto"/>
        <w:ind w:left="567" w:hanging="207"/>
        <w:rPr>
          <w:szCs w:val="22"/>
          <w:lang w:val="hu-HU"/>
        </w:rPr>
      </w:pPr>
      <w:r w:rsidRPr="00F6526C">
        <w:rPr>
          <w:szCs w:val="22"/>
          <w:lang w:val="hu-HU"/>
        </w:rPr>
        <w:t>Súlyos hepatotoxicitást jelentettek terápiás dózisokba</w:t>
      </w:r>
      <w:r w:rsidR="00CE6690" w:rsidRPr="00F6526C">
        <w:rPr>
          <w:szCs w:val="22"/>
          <w:lang w:val="hu-HU"/>
        </w:rPr>
        <w:t xml:space="preserve">n alkalmazott vagy mérsékelten </w:t>
      </w:r>
      <w:r w:rsidRPr="00F6526C">
        <w:rPr>
          <w:szCs w:val="22"/>
          <w:lang w:val="hu-HU"/>
        </w:rPr>
        <w:t xml:space="preserve">túladagolt paracetamol mellett olyan betegeknél, akik izoniazidot vagy izoniazidot egyéb tuberkulózis elleni gyógyszerrel kombinálva kaptak. </w:t>
      </w:r>
    </w:p>
    <w:p w14:paraId="7A180B88" w14:textId="720AD738" w:rsidR="00F04AD4" w:rsidRPr="00F6526C" w:rsidRDefault="00F04AD4" w:rsidP="00F904E6">
      <w:pPr>
        <w:pStyle w:val="Listaszerbekezds"/>
        <w:numPr>
          <w:ilvl w:val="0"/>
          <w:numId w:val="16"/>
        </w:numPr>
        <w:autoSpaceDE w:val="0"/>
        <w:autoSpaceDN w:val="0"/>
        <w:adjustRightInd w:val="0"/>
        <w:spacing w:line="240" w:lineRule="auto"/>
        <w:ind w:left="567" w:hanging="207"/>
        <w:rPr>
          <w:szCs w:val="22"/>
          <w:lang w:val="hu-HU"/>
        </w:rPr>
      </w:pPr>
      <w:r w:rsidRPr="00F6526C">
        <w:rPr>
          <w:szCs w:val="22"/>
          <w:lang w:val="hu-HU"/>
        </w:rPr>
        <w:t xml:space="preserve">A paracetamol befolyásolhatja a kloramfenikol farmakokinetikáját. Javasolt a kloramfenikol plazmaszintjének ellenőrzése, </w:t>
      </w:r>
      <w:r w:rsidR="00D772FA" w:rsidRPr="00F6526C">
        <w:rPr>
          <w:szCs w:val="22"/>
          <w:lang w:val="hu-HU"/>
        </w:rPr>
        <w:t>ha a paracetamol és in</w:t>
      </w:r>
      <w:r w:rsidR="00884251" w:rsidRPr="00F6526C">
        <w:rPr>
          <w:szCs w:val="22"/>
          <w:lang w:val="hu-HU"/>
        </w:rPr>
        <w:t>jekciós</w:t>
      </w:r>
      <w:r w:rsidR="00D772FA" w:rsidRPr="00F6526C">
        <w:rPr>
          <w:szCs w:val="22"/>
          <w:lang w:val="hu-HU"/>
        </w:rPr>
        <w:t xml:space="preserve"> </w:t>
      </w:r>
      <w:r w:rsidR="00797990" w:rsidRPr="00F6526C">
        <w:rPr>
          <w:szCs w:val="22"/>
          <w:lang w:val="hu-HU"/>
        </w:rPr>
        <w:t>kloramfenikol kezelést</w:t>
      </w:r>
      <w:r w:rsidRPr="00F6526C">
        <w:rPr>
          <w:szCs w:val="22"/>
          <w:lang w:val="hu-HU"/>
        </w:rPr>
        <w:t xml:space="preserve"> kombinálják.</w:t>
      </w:r>
    </w:p>
    <w:p w14:paraId="111FC56F" w14:textId="7FE505BD" w:rsidR="00F04AD4" w:rsidRDefault="0039135F" w:rsidP="00F904E6">
      <w:pPr>
        <w:pStyle w:val="Listaszerbekezds"/>
        <w:numPr>
          <w:ilvl w:val="0"/>
          <w:numId w:val="16"/>
        </w:numPr>
        <w:autoSpaceDE w:val="0"/>
        <w:autoSpaceDN w:val="0"/>
        <w:adjustRightInd w:val="0"/>
        <w:spacing w:line="240" w:lineRule="auto"/>
        <w:ind w:left="567" w:hanging="207"/>
        <w:rPr>
          <w:szCs w:val="22"/>
          <w:lang w:val="hu-HU"/>
        </w:rPr>
      </w:pPr>
      <w:r w:rsidRPr="00F6526C">
        <w:rPr>
          <w:szCs w:val="22"/>
          <w:lang w:val="hu-HU"/>
        </w:rPr>
        <w:t>Az etil-alkohol fokozza a paracetamol</w:t>
      </w:r>
      <w:r w:rsidR="00CE6690" w:rsidRPr="00F6526C">
        <w:rPr>
          <w:szCs w:val="22"/>
          <w:lang w:val="hu-HU"/>
        </w:rPr>
        <w:t xml:space="preserve"> toxicitását, valószínűleg azáltal</w:t>
      </w:r>
      <w:r w:rsidRPr="00F6526C">
        <w:rPr>
          <w:szCs w:val="22"/>
          <w:lang w:val="hu-HU"/>
        </w:rPr>
        <w:t>, hogy indukálja a májtoxikus paracetamolszármazékok termelését.</w:t>
      </w:r>
    </w:p>
    <w:p w14:paraId="101A1D7F" w14:textId="10634B26" w:rsidR="00822A6C" w:rsidRPr="00F6526C" w:rsidRDefault="00822A6C" w:rsidP="00F904E6">
      <w:pPr>
        <w:pStyle w:val="Listaszerbekezds"/>
        <w:numPr>
          <w:ilvl w:val="0"/>
          <w:numId w:val="16"/>
        </w:numPr>
        <w:autoSpaceDE w:val="0"/>
        <w:autoSpaceDN w:val="0"/>
        <w:adjustRightInd w:val="0"/>
        <w:spacing w:line="240" w:lineRule="auto"/>
        <w:ind w:left="567" w:hanging="207"/>
        <w:rPr>
          <w:szCs w:val="22"/>
          <w:lang w:val="hu-HU"/>
        </w:rPr>
      </w:pPr>
      <w:r w:rsidRPr="000C575F">
        <w:rPr>
          <w:rFonts w:eastAsia="Times New Roman"/>
          <w:snapToGrid/>
          <w:szCs w:val="22"/>
          <w:lang w:val="hu-HU" w:eastAsia="en-US"/>
        </w:rPr>
        <w:t xml:space="preserve">Elővigyázatossággal kell eljárni olyankor, amikor a paracetamolt flukloxacillinnel párhuzamosan alkalmazzák, mivel egyidejű </w:t>
      </w:r>
      <w:r w:rsidRPr="009B4019">
        <w:rPr>
          <w:rFonts w:eastAsia="Times New Roman"/>
          <w:snapToGrid/>
          <w:szCs w:val="22"/>
          <w:lang w:val="hu-HU" w:eastAsia="en-US"/>
        </w:rPr>
        <w:t xml:space="preserve">alkalmazásukkor </w:t>
      </w:r>
      <w:r w:rsidR="009B4019" w:rsidRPr="009B4019">
        <w:t>piroglutamát-acidózis miatt kialakuló</w:t>
      </w:r>
      <w:r w:rsidR="009B4019">
        <w:t xml:space="preserve"> </w:t>
      </w:r>
      <w:r w:rsidRPr="000C575F">
        <w:rPr>
          <w:rFonts w:eastAsia="Times New Roman"/>
          <w:snapToGrid/>
          <w:szCs w:val="22"/>
          <w:lang w:val="hu-HU" w:eastAsia="en-US"/>
        </w:rPr>
        <w:t>emelkedett anionréssel járó metabolikus acidózis alakulhat ki, különösen olyan betegeknél, akiknél ennek kockázati tényezői fennállnak (lásd 4.4 pont).</w:t>
      </w:r>
    </w:p>
    <w:p w14:paraId="2400D888" w14:textId="77777777" w:rsidR="0039135F" w:rsidRPr="00F6526C" w:rsidRDefault="0039135F" w:rsidP="007F421C">
      <w:pPr>
        <w:pStyle w:val="Listaszerbekezds"/>
        <w:autoSpaceDE w:val="0"/>
        <w:autoSpaceDN w:val="0"/>
        <w:adjustRightInd w:val="0"/>
        <w:spacing w:line="240" w:lineRule="auto"/>
        <w:ind w:left="567"/>
        <w:rPr>
          <w:szCs w:val="22"/>
          <w:lang w:val="hu-HU"/>
        </w:rPr>
      </w:pPr>
    </w:p>
    <w:p w14:paraId="77385163" w14:textId="1F5CE8B9" w:rsidR="007F421C" w:rsidRPr="00F6526C" w:rsidRDefault="006B6D6E" w:rsidP="006B6D6E">
      <w:pPr>
        <w:autoSpaceDE w:val="0"/>
        <w:autoSpaceDN w:val="0"/>
        <w:adjustRightInd w:val="0"/>
        <w:spacing w:line="240" w:lineRule="auto"/>
        <w:rPr>
          <w:szCs w:val="22"/>
          <w:u w:val="single"/>
          <w:lang w:val="hu-HU"/>
        </w:rPr>
      </w:pPr>
      <w:r w:rsidRPr="00F6526C">
        <w:rPr>
          <w:szCs w:val="22"/>
          <w:u w:val="single"/>
          <w:lang w:val="hu-HU"/>
        </w:rPr>
        <w:t>Laboratóriumi vizsgálatokra gyakorolt hatás</w:t>
      </w:r>
    </w:p>
    <w:p w14:paraId="5E7000C4" w14:textId="2F129C9C" w:rsidR="0068277F" w:rsidRPr="00F6526C" w:rsidRDefault="00F14B71" w:rsidP="0068277F">
      <w:pPr>
        <w:spacing w:line="240" w:lineRule="auto"/>
        <w:rPr>
          <w:rFonts w:eastAsia="Times New Roman"/>
          <w:noProof/>
          <w:snapToGrid/>
          <w:szCs w:val="22"/>
          <w:lang w:val="hu-HU" w:eastAsia="en-US"/>
        </w:rPr>
      </w:pPr>
      <w:r w:rsidRPr="00F6526C">
        <w:rPr>
          <w:rFonts w:eastAsia="Times New Roman"/>
          <w:noProof/>
          <w:snapToGrid/>
          <w:szCs w:val="22"/>
          <w:lang w:val="hu-HU" w:eastAsia="en-US"/>
        </w:rPr>
        <w:t>A paracetamol</w:t>
      </w:r>
      <w:r w:rsidR="00D83549">
        <w:rPr>
          <w:rFonts w:eastAsia="Times New Roman"/>
          <w:noProof/>
          <w:snapToGrid/>
          <w:szCs w:val="22"/>
          <w:lang w:val="hu-HU" w:eastAsia="en-US"/>
        </w:rPr>
        <w:t>-</w:t>
      </w:r>
      <w:r w:rsidRPr="00F6526C">
        <w:rPr>
          <w:rFonts w:eastAsia="Times New Roman"/>
          <w:noProof/>
          <w:snapToGrid/>
          <w:szCs w:val="22"/>
          <w:lang w:val="hu-HU" w:eastAsia="en-US"/>
        </w:rPr>
        <w:t xml:space="preserve">kezelés befolyásolhatja a </w:t>
      </w:r>
      <w:r w:rsidR="00CE6690" w:rsidRPr="00F6526C">
        <w:rPr>
          <w:rFonts w:eastAsia="Times New Roman"/>
          <w:noProof/>
          <w:snapToGrid/>
          <w:szCs w:val="22"/>
          <w:lang w:val="hu-HU" w:eastAsia="en-US"/>
        </w:rPr>
        <w:t>foszfor</w:t>
      </w:r>
      <w:r w:rsidR="00E32E0B" w:rsidRPr="00F6526C">
        <w:rPr>
          <w:rFonts w:eastAsia="Times New Roman"/>
          <w:noProof/>
          <w:snapToGrid/>
          <w:szCs w:val="22"/>
          <w:lang w:val="hu-HU" w:eastAsia="en-US"/>
        </w:rPr>
        <w:t>v</w:t>
      </w:r>
      <w:r w:rsidR="00CE6690" w:rsidRPr="00F6526C">
        <w:rPr>
          <w:rFonts w:eastAsia="Times New Roman"/>
          <w:noProof/>
          <w:snapToGrid/>
          <w:szCs w:val="22"/>
          <w:lang w:val="hu-HU" w:eastAsia="en-US"/>
        </w:rPr>
        <w:t>olfr</w:t>
      </w:r>
      <w:r w:rsidR="00E32E0B" w:rsidRPr="00F6526C">
        <w:rPr>
          <w:rFonts w:eastAsia="Times New Roman"/>
          <w:noProof/>
          <w:snapToGrid/>
          <w:szCs w:val="22"/>
          <w:lang w:val="hu-HU" w:eastAsia="en-US"/>
        </w:rPr>
        <w:t>á</w:t>
      </w:r>
      <w:r w:rsidR="00CE6690" w:rsidRPr="00F6526C">
        <w:rPr>
          <w:rFonts w:eastAsia="Times New Roman"/>
          <w:noProof/>
          <w:snapToGrid/>
          <w:szCs w:val="22"/>
          <w:lang w:val="hu-HU" w:eastAsia="en-US"/>
        </w:rPr>
        <w:t xml:space="preserve">msavat alkalmazó </w:t>
      </w:r>
      <w:r w:rsidRPr="00F6526C">
        <w:rPr>
          <w:rFonts w:eastAsia="Times New Roman"/>
          <w:noProof/>
          <w:snapToGrid/>
          <w:szCs w:val="22"/>
          <w:lang w:val="hu-HU" w:eastAsia="en-US"/>
        </w:rPr>
        <w:t>húgysav- és a glükóz-oxidáz-peroxidáz felhasználásáva</w:t>
      </w:r>
      <w:r w:rsidR="00CE6690" w:rsidRPr="00F6526C">
        <w:rPr>
          <w:rFonts w:eastAsia="Times New Roman"/>
          <w:noProof/>
          <w:snapToGrid/>
          <w:szCs w:val="22"/>
          <w:lang w:val="hu-HU" w:eastAsia="en-US"/>
        </w:rPr>
        <w:t>l végzett vércukorszint</w:t>
      </w:r>
      <w:r w:rsidR="00D83549">
        <w:rPr>
          <w:rFonts w:eastAsia="Times New Roman"/>
          <w:noProof/>
          <w:snapToGrid/>
          <w:szCs w:val="22"/>
          <w:lang w:val="hu-HU" w:eastAsia="en-US"/>
        </w:rPr>
        <w:t>-</w:t>
      </w:r>
      <w:r w:rsidR="00CE6690" w:rsidRPr="00F6526C">
        <w:rPr>
          <w:rFonts w:eastAsia="Times New Roman"/>
          <w:noProof/>
          <w:snapToGrid/>
          <w:szCs w:val="22"/>
          <w:lang w:val="hu-HU" w:eastAsia="en-US"/>
        </w:rPr>
        <w:t>vizsgát</w:t>
      </w:r>
      <w:r w:rsidRPr="00F6526C">
        <w:rPr>
          <w:rFonts w:eastAsia="Times New Roman"/>
          <w:noProof/>
          <w:snapToGrid/>
          <w:szCs w:val="22"/>
          <w:lang w:val="hu-HU" w:eastAsia="en-US"/>
        </w:rPr>
        <w:t>okat.</w:t>
      </w:r>
    </w:p>
    <w:p w14:paraId="418168F9" w14:textId="77777777" w:rsidR="006A7964" w:rsidRPr="00F6526C" w:rsidRDefault="006A7964" w:rsidP="0068277F">
      <w:pPr>
        <w:spacing w:line="240" w:lineRule="auto"/>
        <w:rPr>
          <w:rFonts w:eastAsia="Times New Roman"/>
          <w:noProof/>
          <w:snapToGrid/>
          <w:szCs w:val="22"/>
          <w:lang w:val="hu-HU" w:eastAsia="en-US"/>
        </w:rPr>
      </w:pPr>
    </w:p>
    <w:p w14:paraId="1CA4FE96" w14:textId="3BF623EF" w:rsidR="006A7964" w:rsidRPr="00F6526C" w:rsidRDefault="00DD7AEF" w:rsidP="0068277F">
      <w:pPr>
        <w:spacing w:line="240" w:lineRule="auto"/>
        <w:rPr>
          <w:rFonts w:eastAsia="Times New Roman"/>
          <w:noProof/>
          <w:snapToGrid/>
          <w:szCs w:val="22"/>
          <w:u w:val="single"/>
          <w:lang w:val="hu-HU" w:eastAsia="en-US"/>
        </w:rPr>
      </w:pPr>
      <w:r w:rsidRPr="00F6526C">
        <w:rPr>
          <w:rFonts w:eastAsia="Times New Roman"/>
          <w:noProof/>
          <w:snapToGrid/>
          <w:szCs w:val="22"/>
          <w:u w:val="single"/>
          <w:lang w:val="hu-HU" w:eastAsia="en-US"/>
        </w:rPr>
        <w:t>Gyermek</w:t>
      </w:r>
      <w:r w:rsidR="00E96CDE" w:rsidRPr="00F6526C">
        <w:rPr>
          <w:rFonts w:eastAsia="Times New Roman"/>
          <w:noProof/>
          <w:snapToGrid/>
          <w:szCs w:val="22"/>
          <w:u w:val="single"/>
          <w:lang w:val="hu-HU" w:eastAsia="en-US"/>
        </w:rPr>
        <w:t xml:space="preserve"> és ser</w:t>
      </w:r>
      <w:r w:rsidR="00884251" w:rsidRPr="00F6526C">
        <w:rPr>
          <w:rFonts w:eastAsia="Times New Roman"/>
          <w:noProof/>
          <w:snapToGrid/>
          <w:szCs w:val="22"/>
          <w:u w:val="single"/>
          <w:lang w:val="hu-HU" w:eastAsia="en-US"/>
        </w:rPr>
        <w:t>d</w:t>
      </w:r>
      <w:r w:rsidR="00E96CDE" w:rsidRPr="00F6526C">
        <w:rPr>
          <w:rFonts w:eastAsia="Times New Roman"/>
          <w:noProof/>
          <w:snapToGrid/>
          <w:szCs w:val="22"/>
          <w:u w:val="single"/>
          <w:lang w:val="hu-HU" w:eastAsia="en-US"/>
        </w:rPr>
        <w:t>ülők</w:t>
      </w:r>
    </w:p>
    <w:p w14:paraId="4AB87C98" w14:textId="699877E7" w:rsidR="00F45C51" w:rsidRPr="00F6526C" w:rsidRDefault="00FC0857" w:rsidP="00082A8E">
      <w:pPr>
        <w:spacing w:line="240" w:lineRule="auto"/>
        <w:rPr>
          <w:u w:val="single"/>
          <w:lang w:val="hu-HU"/>
        </w:rPr>
      </w:pPr>
      <w:r w:rsidRPr="00F6526C">
        <w:rPr>
          <w:rFonts w:eastAsia="Times New Roman"/>
          <w:noProof/>
          <w:snapToGrid/>
          <w:szCs w:val="22"/>
          <w:lang w:val="hu-HU" w:eastAsia="en-US"/>
        </w:rPr>
        <w:t>Interakciós vizsgálatokat c</w:t>
      </w:r>
      <w:r w:rsidR="0028032D" w:rsidRPr="00F6526C">
        <w:rPr>
          <w:rFonts w:eastAsia="Times New Roman"/>
          <w:noProof/>
          <w:snapToGrid/>
          <w:szCs w:val="22"/>
          <w:lang w:val="hu-HU" w:eastAsia="en-US"/>
        </w:rPr>
        <w:t>sak felnőttek körében végeztek.</w:t>
      </w:r>
    </w:p>
    <w:p w14:paraId="2290BB85" w14:textId="77777777" w:rsidR="00F45C51" w:rsidRPr="00F6526C" w:rsidRDefault="00F45C51" w:rsidP="00082A8E">
      <w:pPr>
        <w:spacing w:line="240" w:lineRule="auto"/>
        <w:rPr>
          <w:rFonts w:eastAsia="Times New Roman"/>
          <w:noProof/>
          <w:snapToGrid/>
          <w:szCs w:val="22"/>
          <w:lang w:val="hu-HU" w:eastAsia="en-US"/>
        </w:rPr>
      </w:pPr>
    </w:p>
    <w:p w14:paraId="2576B12A" w14:textId="77777777" w:rsidR="00F45C51" w:rsidRPr="00F6526C" w:rsidRDefault="00FC0857" w:rsidP="00B67C09">
      <w:pPr>
        <w:spacing w:before="240" w:after="120" w:line="240" w:lineRule="auto"/>
        <w:ind w:left="567" w:hanging="567"/>
        <w:outlineLvl w:val="0"/>
        <w:rPr>
          <w:rFonts w:eastAsia="Times New Roman"/>
          <w:b/>
          <w:noProof/>
          <w:snapToGrid/>
          <w:szCs w:val="22"/>
          <w:lang w:val="hu-HU" w:eastAsia="en-US"/>
        </w:rPr>
      </w:pPr>
      <w:r w:rsidRPr="00F6526C">
        <w:rPr>
          <w:rFonts w:eastAsia="Times New Roman"/>
          <w:b/>
          <w:noProof/>
          <w:snapToGrid/>
          <w:szCs w:val="22"/>
          <w:lang w:val="hu-HU" w:eastAsia="en-US"/>
        </w:rPr>
        <w:t>4.6</w:t>
      </w:r>
      <w:r w:rsidRPr="00F6526C">
        <w:rPr>
          <w:rFonts w:eastAsia="Times New Roman"/>
          <w:b/>
          <w:noProof/>
          <w:snapToGrid/>
          <w:szCs w:val="22"/>
          <w:lang w:val="hu-HU" w:eastAsia="en-US"/>
        </w:rPr>
        <w:tab/>
        <w:t>Termékenység, terhesség és szoptatás</w:t>
      </w:r>
    </w:p>
    <w:p w14:paraId="60FC9E54" w14:textId="77777777" w:rsidR="00F82EE2" w:rsidRPr="00F6526C" w:rsidRDefault="00F82EE2" w:rsidP="00CA6136">
      <w:pPr>
        <w:spacing w:line="240" w:lineRule="auto"/>
        <w:rPr>
          <w:lang w:val="hu-HU"/>
        </w:rPr>
      </w:pPr>
    </w:p>
    <w:p w14:paraId="5E19CC07" w14:textId="5C44AD8D" w:rsidR="00F45C51" w:rsidRPr="00F6526C" w:rsidRDefault="00F82EE2" w:rsidP="00082A8E">
      <w:pPr>
        <w:spacing w:line="240" w:lineRule="auto"/>
        <w:rPr>
          <w:u w:val="single"/>
          <w:lang w:val="hu-HU"/>
        </w:rPr>
      </w:pPr>
      <w:r w:rsidRPr="00F6526C">
        <w:rPr>
          <w:u w:val="single"/>
          <w:lang w:val="hu-HU"/>
        </w:rPr>
        <w:t>Terhesség</w:t>
      </w:r>
    </w:p>
    <w:p w14:paraId="580D6CE5" w14:textId="367F9C19" w:rsidR="00005B98" w:rsidRPr="00F6526C" w:rsidRDefault="00005B98" w:rsidP="00005B98">
      <w:pPr>
        <w:spacing w:line="240" w:lineRule="auto"/>
        <w:rPr>
          <w:szCs w:val="22"/>
          <w:lang w:val="hu-HU"/>
        </w:rPr>
      </w:pPr>
      <w:r w:rsidRPr="00F6526C">
        <w:rPr>
          <w:szCs w:val="22"/>
          <w:lang w:val="hu-HU"/>
        </w:rPr>
        <w:t>A készítmény humán terhesség alatti a</w:t>
      </w:r>
      <w:r w:rsidR="00AC647A" w:rsidRPr="00F6526C">
        <w:rPr>
          <w:szCs w:val="22"/>
          <w:lang w:val="hu-HU"/>
        </w:rPr>
        <w:t>lkalmazásáról nincs tapasztalat, mert az</w:t>
      </w:r>
      <w:r w:rsidR="008C1DB2" w:rsidRPr="00F6526C">
        <w:rPr>
          <w:szCs w:val="22"/>
          <w:lang w:val="hu-HU"/>
        </w:rPr>
        <w:t xml:space="preserve"> ibuprofén-komponens miatt a</w:t>
      </w:r>
      <w:r w:rsidR="00DD2DF7">
        <w:rPr>
          <w:szCs w:val="22"/>
          <w:lang w:val="hu-HU"/>
        </w:rPr>
        <w:t>z</w:t>
      </w:r>
      <w:r w:rsidR="008C1DB2" w:rsidRPr="00F6526C">
        <w:rPr>
          <w:szCs w:val="22"/>
          <w:lang w:val="hu-HU"/>
        </w:rPr>
        <w:t xml:space="preserve"> </w:t>
      </w:r>
      <w:r w:rsidR="006D4655">
        <w:rPr>
          <w:rFonts w:eastAsia="Times New Roman"/>
          <w:noProof/>
          <w:snapToGrid/>
          <w:szCs w:val="22"/>
          <w:lang w:val="hu-HU" w:eastAsia="en-US"/>
        </w:rPr>
        <w:t>Elomen</w:t>
      </w:r>
      <w:r w:rsidR="008C1DB2" w:rsidRPr="00F6526C">
        <w:rPr>
          <w:rFonts w:eastAsia="Times New Roman"/>
          <w:noProof/>
          <w:snapToGrid/>
          <w:szCs w:val="22"/>
          <w:lang w:val="hu-HU" w:eastAsia="en-US"/>
        </w:rPr>
        <w:t xml:space="preserve"> 1000 mg/300 mg oldatos infúzió</w:t>
      </w:r>
      <w:r w:rsidR="00AC647A" w:rsidRPr="00F6526C">
        <w:rPr>
          <w:szCs w:val="22"/>
          <w:lang w:val="hu-HU"/>
        </w:rPr>
        <w:t xml:space="preserve"> ellenjavallt a terhesség harmadik trimeszterében (lásd alább).</w:t>
      </w:r>
    </w:p>
    <w:p w14:paraId="59882C04" w14:textId="77777777" w:rsidR="00005B98" w:rsidRPr="00F6526C" w:rsidRDefault="00005B98" w:rsidP="00082A8E">
      <w:pPr>
        <w:spacing w:line="240" w:lineRule="auto"/>
        <w:rPr>
          <w:u w:val="single"/>
          <w:lang w:val="hu-HU"/>
        </w:rPr>
      </w:pPr>
    </w:p>
    <w:p w14:paraId="41FB5897" w14:textId="2C4986A8" w:rsidR="009872F0" w:rsidRPr="00F6526C" w:rsidRDefault="009872F0" w:rsidP="009872F0">
      <w:pPr>
        <w:spacing w:line="240" w:lineRule="auto"/>
        <w:rPr>
          <w:b/>
          <w:szCs w:val="22"/>
          <w:lang w:val="hu-HU"/>
        </w:rPr>
      </w:pPr>
      <w:r w:rsidRPr="00F6526C">
        <w:rPr>
          <w:b/>
          <w:szCs w:val="22"/>
          <w:lang w:val="hu-HU"/>
        </w:rPr>
        <w:t>Az ibuprofén-tartalom miatt:</w:t>
      </w:r>
      <w:r w:rsidR="00CA5BB5" w:rsidRPr="00F6526C">
        <w:rPr>
          <w:b/>
          <w:szCs w:val="22"/>
          <w:lang w:val="hu-HU"/>
        </w:rPr>
        <w:t xml:space="preserve"> </w:t>
      </w:r>
    </w:p>
    <w:p w14:paraId="0B916F9D" w14:textId="77777777" w:rsidR="006D10E3" w:rsidRDefault="00CA5BB5" w:rsidP="0016231F">
      <w:pPr>
        <w:spacing w:line="240" w:lineRule="auto"/>
        <w:rPr>
          <w:szCs w:val="22"/>
          <w:lang w:val="hu-HU"/>
        </w:rPr>
      </w:pPr>
      <w:r w:rsidRPr="00F6526C">
        <w:rPr>
          <w:szCs w:val="22"/>
          <w:lang w:val="hu-HU"/>
        </w:rPr>
        <w:t xml:space="preserve">A prosztaglandinszintézis gátlása károsan befolyásolja a terhességet és/vagy az embryo/magzat fejlődését. </w:t>
      </w:r>
      <w:r w:rsidR="00BE6067" w:rsidRPr="00F6526C">
        <w:rPr>
          <w:szCs w:val="22"/>
          <w:lang w:val="hu-HU"/>
        </w:rPr>
        <w:t>Epidemiológiai vizsgálatokból származó adatok a vetélés és a cardialis malformatiók, valamint a gastroschisis fokozott kockázatára utalnak a prosztaglandinszintézis</w:t>
      </w:r>
      <w:r w:rsidR="00D83549">
        <w:rPr>
          <w:szCs w:val="22"/>
          <w:lang w:val="hu-HU"/>
        </w:rPr>
        <w:t>-</w:t>
      </w:r>
      <w:r w:rsidR="00BE6067" w:rsidRPr="00F6526C">
        <w:rPr>
          <w:szCs w:val="22"/>
          <w:lang w:val="hu-HU"/>
        </w:rPr>
        <w:t xml:space="preserve">gátló terhesség korai szakaszában történő alkalmazása esetén. </w:t>
      </w:r>
      <w:r w:rsidR="00E77A2D" w:rsidRPr="00F6526C">
        <w:rPr>
          <w:szCs w:val="22"/>
          <w:lang w:val="hu-HU"/>
        </w:rPr>
        <w:t xml:space="preserve">A cardiovascularis malformatio abszolút kockázata kevesebb, mint 1%-ról kb. 1,5%-ra emelkedett. </w:t>
      </w:r>
      <w:r w:rsidR="00355BAB" w:rsidRPr="00F6526C">
        <w:rPr>
          <w:szCs w:val="22"/>
          <w:lang w:val="hu-HU"/>
        </w:rPr>
        <w:t>Úgy tűnik, hogy a kockázat a dózis és a kezelés időtartamának emelkedésével fokozódik. Állatkísérletekben a prosztaglandinszintézis</w:t>
      </w:r>
      <w:r w:rsidR="00D83549">
        <w:rPr>
          <w:szCs w:val="22"/>
          <w:lang w:val="hu-HU"/>
        </w:rPr>
        <w:t>-</w:t>
      </w:r>
      <w:r w:rsidR="00355BAB" w:rsidRPr="00F6526C">
        <w:rPr>
          <w:szCs w:val="22"/>
          <w:lang w:val="hu-HU"/>
        </w:rPr>
        <w:t xml:space="preserve">gátló alkalmazása emelkedett pre- és postimplantációs veszteséget, valamint embryo-foetalis toxicitást eredményezett. </w:t>
      </w:r>
      <w:r w:rsidR="00D27D71" w:rsidRPr="00F6526C">
        <w:rPr>
          <w:szCs w:val="22"/>
          <w:lang w:val="hu-HU"/>
        </w:rPr>
        <w:t>Ezen felül a különböző malformatiók (köztük a cardiovascularis malformatiók) előfordulási gyakoriságának emelkedését jelentették olyan állatokban, amelyeknek az organogenesis időszakában prosztaglandinszintézis</w:t>
      </w:r>
      <w:r w:rsidR="00D83549">
        <w:rPr>
          <w:szCs w:val="22"/>
          <w:lang w:val="hu-HU"/>
        </w:rPr>
        <w:t>-</w:t>
      </w:r>
      <w:r w:rsidR="00D27D71" w:rsidRPr="00F6526C">
        <w:rPr>
          <w:szCs w:val="22"/>
          <w:lang w:val="hu-HU"/>
        </w:rPr>
        <w:t xml:space="preserve">gátlót adtak. </w:t>
      </w:r>
    </w:p>
    <w:p w14:paraId="5411EFEB" w14:textId="1F81B9DA" w:rsidR="00CA5BB5" w:rsidRPr="00F6526C" w:rsidRDefault="000E3AA6" w:rsidP="0016231F">
      <w:pPr>
        <w:spacing w:line="240" w:lineRule="auto"/>
        <w:rPr>
          <w:szCs w:val="22"/>
          <w:lang w:val="hu-HU"/>
        </w:rPr>
      </w:pPr>
      <w:r w:rsidRPr="000E3AA6">
        <w:rPr>
          <w:szCs w:val="22"/>
          <w:lang w:val="hu-HU"/>
        </w:rPr>
        <w:t>A terhesség 20. hetétől kezdődően a dexketoprofén alkalmazása a magzati veseműködési</w:t>
      </w:r>
      <w:r>
        <w:rPr>
          <w:szCs w:val="22"/>
          <w:lang w:val="hu-HU"/>
        </w:rPr>
        <w:t xml:space="preserve"> </w:t>
      </w:r>
      <w:r w:rsidRPr="000E3AA6">
        <w:rPr>
          <w:szCs w:val="22"/>
          <w:lang w:val="hu-HU"/>
        </w:rPr>
        <w:t>zavarból eredő oligohydramniont okozhat. Ez röviddel a kezelés megkezdése</w:t>
      </w:r>
      <w:r>
        <w:rPr>
          <w:szCs w:val="22"/>
          <w:lang w:val="hu-HU"/>
        </w:rPr>
        <w:t xml:space="preserve"> </w:t>
      </w:r>
      <w:r w:rsidRPr="000E3AA6">
        <w:rPr>
          <w:szCs w:val="22"/>
          <w:lang w:val="hu-HU"/>
        </w:rPr>
        <w:t>után</w:t>
      </w:r>
      <w:r>
        <w:rPr>
          <w:szCs w:val="22"/>
          <w:lang w:val="hu-HU"/>
        </w:rPr>
        <w:t xml:space="preserve"> </w:t>
      </w:r>
      <w:r w:rsidRPr="000E3AA6">
        <w:rPr>
          <w:szCs w:val="22"/>
          <w:lang w:val="hu-HU"/>
        </w:rPr>
        <w:t>jelentkezhet, és a kezelés abbahagyása után általában reverzibilis.</w:t>
      </w:r>
      <w:r>
        <w:rPr>
          <w:szCs w:val="22"/>
          <w:lang w:val="hu-HU"/>
        </w:rPr>
        <w:t xml:space="preserve"> </w:t>
      </w:r>
      <w:r w:rsidR="00585401" w:rsidRPr="00585401">
        <w:rPr>
          <w:szCs w:val="22"/>
          <w:lang w:val="hu-HU"/>
        </w:rPr>
        <w:t xml:space="preserve">Ezen felül – a második trimeszterben végzett kezelést követően – ductus arteriosus-szűkületről is beszámoltak, mely a legtöbb esetben a kezelés leállítása után helyreállt. </w:t>
      </w:r>
      <w:r w:rsidR="0016231F">
        <w:rPr>
          <w:szCs w:val="22"/>
          <w:lang w:val="hu-HU"/>
        </w:rPr>
        <w:t>Ezért a</w:t>
      </w:r>
      <w:r w:rsidR="00F917CD" w:rsidRPr="00F6526C">
        <w:rPr>
          <w:szCs w:val="22"/>
          <w:lang w:val="hu-HU"/>
        </w:rPr>
        <w:t xml:space="preserve"> terhesség első és második trimesztere alatt csak akkor adható ibuprofén, ha az egyértelműen szükséges. Ha gyermeket </w:t>
      </w:r>
      <w:r w:rsidR="00C100FB" w:rsidRPr="00F6526C">
        <w:rPr>
          <w:szCs w:val="22"/>
          <w:lang w:val="hu-HU"/>
        </w:rPr>
        <w:t xml:space="preserve">tervező </w:t>
      </w:r>
      <w:r w:rsidR="00F917CD" w:rsidRPr="00F6526C">
        <w:rPr>
          <w:szCs w:val="22"/>
          <w:lang w:val="hu-HU"/>
        </w:rPr>
        <w:t>vagy a terhesség első, illetve más</w:t>
      </w:r>
      <w:r w:rsidR="009B5344" w:rsidRPr="00F6526C">
        <w:rPr>
          <w:szCs w:val="22"/>
          <w:lang w:val="hu-HU"/>
        </w:rPr>
        <w:t>odik trimeszterében lévő nő kap</w:t>
      </w:r>
      <w:r w:rsidR="00F917CD" w:rsidRPr="00F6526C">
        <w:rPr>
          <w:szCs w:val="22"/>
          <w:lang w:val="hu-HU"/>
        </w:rPr>
        <w:t xml:space="preserve"> ibuprofént, a dózisnak a lehető legalacsonyabbnak és a kezelés időtartamának a lehető legrövidebbnek kell lennie.</w:t>
      </w:r>
      <w:r w:rsidR="0016231F">
        <w:rPr>
          <w:szCs w:val="22"/>
          <w:lang w:val="hu-HU"/>
        </w:rPr>
        <w:t xml:space="preserve"> </w:t>
      </w:r>
      <w:r w:rsidR="0016231F" w:rsidRPr="0016231F">
        <w:rPr>
          <w:szCs w:val="22"/>
          <w:lang w:val="hu-HU"/>
        </w:rPr>
        <w:t>Megfontolandó az</w:t>
      </w:r>
      <w:r w:rsidR="0016231F">
        <w:rPr>
          <w:szCs w:val="22"/>
          <w:lang w:val="hu-HU"/>
        </w:rPr>
        <w:t xml:space="preserve"> </w:t>
      </w:r>
      <w:r w:rsidR="0016231F" w:rsidRPr="0016231F">
        <w:rPr>
          <w:szCs w:val="22"/>
          <w:lang w:val="hu-HU"/>
        </w:rPr>
        <w:t>oligohydramnion</w:t>
      </w:r>
      <w:r w:rsidR="002122B6">
        <w:rPr>
          <w:szCs w:val="22"/>
          <w:lang w:val="hu-HU"/>
        </w:rPr>
        <w:t xml:space="preserve"> </w:t>
      </w:r>
      <w:r w:rsidR="005D6328" w:rsidRPr="005D6328">
        <w:rPr>
          <w:szCs w:val="22"/>
          <w:lang w:val="hu-HU"/>
        </w:rPr>
        <w:t>és a ductus arteriosus</w:t>
      </w:r>
      <w:r w:rsidR="005D6328">
        <w:rPr>
          <w:szCs w:val="22"/>
          <w:lang w:val="hu-HU"/>
        </w:rPr>
        <w:t>-</w:t>
      </w:r>
      <w:r w:rsidR="005D6328" w:rsidRPr="005D6328">
        <w:rPr>
          <w:szCs w:val="22"/>
          <w:lang w:val="hu-HU"/>
        </w:rPr>
        <w:t>szűkület</w:t>
      </w:r>
      <w:r w:rsidR="005D6328">
        <w:rPr>
          <w:szCs w:val="22"/>
          <w:lang w:val="hu-HU"/>
        </w:rPr>
        <w:t xml:space="preserve"> </w:t>
      </w:r>
      <w:r w:rsidR="002122B6">
        <w:rPr>
          <w:szCs w:val="22"/>
          <w:lang w:val="hu-HU"/>
        </w:rPr>
        <w:t>antenatalis monitorozása, ha a</w:t>
      </w:r>
      <w:r w:rsidR="0016231F" w:rsidRPr="0016231F">
        <w:rPr>
          <w:szCs w:val="22"/>
          <w:lang w:val="hu-HU"/>
        </w:rPr>
        <w:t>z</w:t>
      </w:r>
      <w:r w:rsidR="002122B6" w:rsidRPr="002122B6">
        <w:rPr>
          <w:rFonts w:eastAsia="Times New Roman"/>
          <w:noProof/>
          <w:snapToGrid/>
          <w:szCs w:val="22"/>
          <w:lang w:val="hu-HU" w:eastAsia="en-US"/>
        </w:rPr>
        <w:t xml:space="preserve"> </w:t>
      </w:r>
      <w:r w:rsidR="002122B6">
        <w:rPr>
          <w:rFonts w:eastAsia="Times New Roman"/>
          <w:noProof/>
          <w:snapToGrid/>
          <w:szCs w:val="22"/>
          <w:lang w:val="hu-HU" w:eastAsia="en-US"/>
        </w:rPr>
        <w:t>Elomen</w:t>
      </w:r>
      <w:r w:rsidR="002122B6" w:rsidRPr="00F6526C">
        <w:rPr>
          <w:rFonts w:eastAsia="Times New Roman"/>
          <w:noProof/>
          <w:snapToGrid/>
          <w:szCs w:val="22"/>
          <w:lang w:val="hu-HU" w:eastAsia="en-US"/>
        </w:rPr>
        <w:t xml:space="preserve"> 1000 mg/300 mg oldatos infúzió</w:t>
      </w:r>
      <w:r w:rsidR="002122B6">
        <w:rPr>
          <w:rFonts w:eastAsia="Times New Roman"/>
          <w:noProof/>
          <w:snapToGrid/>
          <w:szCs w:val="22"/>
          <w:lang w:val="hu-HU" w:eastAsia="en-US"/>
        </w:rPr>
        <w:t>-</w:t>
      </w:r>
      <w:r w:rsidR="0016231F" w:rsidRPr="0016231F">
        <w:rPr>
          <w:szCs w:val="22"/>
          <w:lang w:val="hu-HU"/>
        </w:rPr>
        <w:t xml:space="preserve">kezelés a 20. terhességi </w:t>
      </w:r>
      <w:r w:rsidR="0016231F" w:rsidRPr="0016231F">
        <w:rPr>
          <w:szCs w:val="22"/>
          <w:lang w:val="hu-HU"/>
        </w:rPr>
        <w:lastRenderedPageBreak/>
        <w:t>héttől több napon át történt. A</w:t>
      </w:r>
      <w:r w:rsidR="0016231F">
        <w:rPr>
          <w:szCs w:val="22"/>
          <w:lang w:val="hu-HU"/>
        </w:rPr>
        <w:t>z</w:t>
      </w:r>
      <w:r w:rsidR="002122B6">
        <w:rPr>
          <w:szCs w:val="22"/>
          <w:lang w:val="hu-HU"/>
        </w:rPr>
        <w:t xml:space="preserve"> </w:t>
      </w:r>
      <w:r w:rsidR="0016231F">
        <w:rPr>
          <w:rFonts w:eastAsia="Times New Roman"/>
          <w:noProof/>
          <w:snapToGrid/>
          <w:szCs w:val="22"/>
          <w:lang w:val="hu-HU" w:eastAsia="en-US"/>
        </w:rPr>
        <w:t>Elomen</w:t>
      </w:r>
      <w:r w:rsidR="0016231F" w:rsidRPr="00F6526C">
        <w:rPr>
          <w:rFonts w:eastAsia="Times New Roman"/>
          <w:noProof/>
          <w:snapToGrid/>
          <w:szCs w:val="22"/>
          <w:lang w:val="hu-HU" w:eastAsia="en-US"/>
        </w:rPr>
        <w:t xml:space="preserve"> 1000 mg/300 mg oldatos infúzió </w:t>
      </w:r>
      <w:r w:rsidR="0016231F" w:rsidRPr="0016231F">
        <w:rPr>
          <w:szCs w:val="22"/>
          <w:lang w:val="hu-HU"/>
        </w:rPr>
        <w:t xml:space="preserve">alkalmazását abba kell hagyni oligohydramnion </w:t>
      </w:r>
      <w:r w:rsidR="005D6328" w:rsidRPr="005D6328">
        <w:rPr>
          <w:szCs w:val="22"/>
          <w:lang w:val="hu-HU"/>
        </w:rPr>
        <w:t xml:space="preserve">vagy ductus arteriosus-szűkület </w:t>
      </w:r>
      <w:r w:rsidR="0016231F" w:rsidRPr="0016231F">
        <w:rPr>
          <w:szCs w:val="22"/>
          <w:lang w:val="hu-HU"/>
        </w:rPr>
        <w:t>észlelése esetén.</w:t>
      </w:r>
    </w:p>
    <w:p w14:paraId="7293AE20" w14:textId="77777777" w:rsidR="00C229FC" w:rsidRPr="00F6526C" w:rsidRDefault="00C229FC" w:rsidP="009872F0">
      <w:pPr>
        <w:spacing w:line="240" w:lineRule="auto"/>
        <w:rPr>
          <w:szCs w:val="22"/>
          <w:lang w:val="hu-HU"/>
        </w:rPr>
      </w:pPr>
    </w:p>
    <w:p w14:paraId="268BFE88" w14:textId="441E2FF4" w:rsidR="00C229FC" w:rsidRPr="00F6526C" w:rsidRDefault="00C229FC" w:rsidP="009872F0">
      <w:pPr>
        <w:spacing w:line="240" w:lineRule="auto"/>
        <w:rPr>
          <w:szCs w:val="22"/>
          <w:lang w:val="hu-HU"/>
        </w:rPr>
      </w:pPr>
      <w:r w:rsidRPr="00F6526C">
        <w:rPr>
          <w:szCs w:val="22"/>
          <w:lang w:val="hu-HU"/>
        </w:rPr>
        <w:t xml:space="preserve">A terhesség harmadik trimeszterében </w:t>
      </w:r>
      <w:r w:rsidR="005D6328" w:rsidRPr="005D6328">
        <w:rPr>
          <w:szCs w:val="22"/>
          <w:lang w:val="hu-HU"/>
        </w:rPr>
        <w:t>alkalmazott bármely</w:t>
      </w:r>
      <w:r w:rsidR="005D6328">
        <w:rPr>
          <w:szCs w:val="22"/>
          <w:lang w:val="hu-HU"/>
        </w:rPr>
        <w:t xml:space="preserve"> </w:t>
      </w:r>
      <w:r w:rsidRPr="00F6526C">
        <w:rPr>
          <w:szCs w:val="22"/>
          <w:lang w:val="hu-HU"/>
        </w:rPr>
        <w:t>prosztaglandinszintézis</w:t>
      </w:r>
      <w:r w:rsidR="00D83549">
        <w:rPr>
          <w:szCs w:val="22"/>
          <w:lang w:val="hu-HU"/>
        </w:rPr>
        <w:t>-</w:t>
      </w:r>
      <w:r w:rsidRPr="00F6526C">
        <w:rPr>
          <w:szCs w:val="22"/>
          <w:lang w:val="hu-HU"/>
        </w:rPr>
        <w:t xml:space="preserve">gátló </w:t>
      </w:r>
      <w:r w:rsidR="005D6328" w:rsidRPr="005D6328">
        <w:rPr>
          <w:szCs w:val="22"/>
          <w:lang w:val="hu-HU"/>
        </w:rPr>
        <w:t>a következő hatásokat fejtheti ki a magzatra:</w:t>
      </w:r>
    </w:p>
    <w:p w14:paraId="5AE817FB" w14:textId="53480980" w:rsidR="00B11400" w:rsidRPr="00F6526C" w:rsidRDefault="00C229FC" w:rsidP="00B11400">
      <w:pPr>
        <w:pStyle w:val="Listaszerbekezds"/>
        <w:numPr>
          <w:ilvl w:val="0"/>
          <w:numId w:val="18"/>
        </w:numPr>
        <w:spacing w:line="240" w:lineRule="auto"/>
        <w:rPr>
          <w:szCs w:val="22"/>
          <w:lang w:val="hu-HU"/>
        </w:rPr>
      </w:pPr>
      <w:r w:rsidRPr="00F6526C">
        <w:rPr>
          <w:szCs w:val="22"/>
          <w:lang w:val="hu-HU"/>
        </w:rPr>
        <w:t xml:space="preserve">cardiopulmonalis toxicitás (a ductus arteriosus idő előtti </w:t>
      </w:r>
      <w:r w:rsidR="00614122">
        <w:rPr>
          <w:szCs w:val="22"/>
          <w:lang w:val="hu-HU"/>
        </w:rPr>
        <w:t>szűkülete/</w:t>
      </w:r>
      <w:r w:rsidRPr="00F6526C">
        <w:rPr>
          <w:szCs w:val="22"/>
          <w:lang w:val="hu-HU"/>
        </w:rPr>
        <w:t>elzáródása és pulmonalis hypertonia);</w:t>
      </w:r>
    </w:p>
    <w:p w14:paraId="593D8E9C" w14:textId="2D936017" w:rsidR="00C229FC" w:rsidRPr="00F6526C" w:rsidRDefault="005D6328" w:rsidP="00B11400">
      <w:pPr>
        <w:pStyle w:val="Listaszerbekezds"/>
        <w:numPr>
          <w:ilvl w:val="0"/>
          <w:numId w:val="18"/>
        </w:numPr>
        <w:spacing w:line="240" w:lineRule="auto"/>
        <w:rPr>
          <w:szCs w:val="22"/>
          <w:lang w:val="hu-HU"/>
        </w:rPr>
      </w:pPr>
      <w:r w:rsidRPr="00F6526C">
        <w:rPr>
          <w:szCs w:val="22"/>
          <w:lang w:val="hu-HU"/>
        </w:rPr>
        <w:t>vese</w:t>
      </w:r>
      <w:r>
        <w:rPr>
          <w:szCs w:val="22"/>
          <w:lang w:val="hu-HU"/>
        </w:rPr>
        <w:t xml:space="preserve">károsodás </w:t>
      </w:r>
      <w:r w:rsidR="00526FA0">
        <w:rPr>
          <w:szCs w:val="22"/>
          <w:lang w:val="hu-HU"/>
        </w:rPr>
        <w:t>(lásd fent)</w:t>
      </w:r>
      <w:r w:rsidR="00C229FC" w:rsidRPr="00F6526C">
        <w:rPr>
          <w:szCs w:val="22"/>
          <w:lang w:val="hu-HU"/>
        </w:rPr>
        <w:t>;</w:t>
      </w:r>
    </w:p>
    <w:p w14:paraId="25AB13A0" w14:textId="77777777" w:rsidR="00590C20" w:rsidRPr="00F6526C" w:rsidRDefault="00590C20" w:rsidP="00590C20">
      <w:pPr>
        <w:spacing w:line="240" w:lineRule="auto"/>
        <w:rPr>
          <w:szCs w:val="22"/>
          <w:lang w:val="hu-HU"/>
        </w:rPr>
      </w:pPr>
    </w:p>
    <w:p w14:paraId="02BBAF15" w14:textId="09DA2C7F" w:rsidR="00590C20" w:rsidRPr="00F6526C" w:rsidRDefault="005D6328" w:rsidP="00590C20">
      <w:pPr>
        <w:tabs>
          <w:tab w:val="clear" w:pos="567"/>
          <w:tab w:val="left" w:pos="284"/>
        </w:tabs>
        <w:spacing w:line="240" w:lineRule="auto"/>
        <w:rPr>
          <w:szCs w:val="22"/>
          <w:lang w:val="hu-HU"/>
        </w:rPr>
      </w:pPr>
      <w:r w:rsidRPr="005D6328">
        <w:rPr>
          <w:szCs w:val="22"/>
          <w:lang w:val="hu-HU"/>
        </w:rPr>
        <w:t>A terhesség végén az anyára és az újszülöttre a következő hatásokat fejtheti ki:</w:t>
      </w:r>
    </w:p>
    <w:p w14:paraId="23FDD635" w14:textId="77777777" w:rsidR="00071F65" w:rsidRPr="00F6526C" w:rsidRDefault="00071F65" w:rsidP="00071F65">
      <w:pPr>
        <w:pStyle w:val="Listaszerbekezds"/>
        <w:numPr>
          <w:ilvl w:val="0"/>
          <w:numId w:val="22"/>
        </w:numPr>
        <w:tabs>
          <w:tab w:val="clear" w:pos="567"/>
          <w:tab w:val="left" w:pos="284"/>
        </w:tabs>
        <w:spacing w:line="240" w:lineRule="auto"/>
        <w:ind w:left="567" w:hanging="207"/>
        <w:rPr>
          <w:szCs w:val="22"/>
          <w:lang w:val="hu-HU"/>
        </w:rPr>
      </w:pPr>
      <w:r w:rsidRPr="00F6526C">
        <w:rPr>
          <w:szCs w:val="22"/>
          <w:lang w:val="hu-HU"/>
        </w:rPr>
        <w:t>a vérzési időtartam esetleges megnyúlása, aggregációgátló hatás, amely még nagyon alacsony dózisoknál is előfordul;</w:t>
      </w:r>
    </w:p>
    <w:p w14:paraId="76505437" w14:textId="55627092" w:rsidR="00590C20" w:rsidRPr="00F6526C" w:rsidRDefault="00071F65" w:rsidP="00590C20">
      <w:pPr>
        <w:pStyle w:val="Listaszerbekezds"/>
        <w:numPr>
          <w:ilvl w:val="0"/>
          <w:numId w:val="21"/>
        </w:numPr>
        <w:spacing w:line="240" w:lineRule="auto"/>
        <w:rPr>
          <w:szCs w:val="22"/>
          <w:lang w:val="hu-HU"/>
        </w:rPr>
      </w:pPr>
      <w:r w:rsidRPr="00F6526C">
        <w:rPr>
          <w:szCs w:val="22"/>
          <w:lang w:val="hu-HU"/>
        </w:rPr>
        <w:t>a méhösszehúzódások gátlása, amely a vajúdás késését vagy elhúzódását eredményezi.</w:t>
      </w:r>
    </w:p>
    <w:p w14:paraId="575B25EE" w14:textId="77777777" w:rsidR="00680191" w:rsidRPr="00F6526C" w:rsidRDefault="00680191" w:rsidP="00680191">
      <w:pPr>
        <w:spacing w:line="240" w:lineRule="auto"/>
        <w:rPr>
          <w:szCs w:val="22"/>
          <w:lang w:val="hu-HU"/>
        </w:rPr>
      </w:pPr>
    </w:p>
    <w:p w14:paraId="670BCFB2" w14:textId="7E9FA59A" w:rsidR="00680191" w:rsidRPr="00F6526C" w:rsidRDefault="00680191" w:rsidP="00680191">
      <w:pPr>
        <w:spacing w:line="240" w:lineRule="auto"/>
        <w:rPr>
          <w:szCs w:val="22"/>
          <w:lang w:val="hu-HU"/>
        </w:rPr>
      </w:pPr>
      <w:r w:rsidRPr="00F6526C">
        <w:rPr>
          <w:szCs w:val="22"/>
          <w:lang w:val="hu-HU"/>
        </w:rPr>
        <w:t>Következésképpen a</w:t>
      </w:r>
      <w:r w:rsidR="00DD2DF7">
        <w:rPr>
          <w:szCs w:val="22"/>
          <w:lang w:val="hu-HU"/>
        </w:rPr>
        <w:t>z</w:t>
      </w:r>
      <w:r w:rsidRPr="00F6526C">
        <w:rPr>
          <w:szCs w:val="22"/>
          <w:lang w:val="hu-HU"/>
        </w:rPr>
        <w:t xml:space="preserve"> </w:t>
      </w:r>
      <w:r w:rsidR="006D4655">
        <w:rPr>
          <w:rFonts w:eastAsia="Times New Roman"/>
          <w:noProof/>
          <w:snapToGrid/>
          <w:szCs w:val="22"/>
          <w:lang w:val="hu-HU" w:eastAsia="en-US"/>
        </w:rPr>
        <w:t>Elomen</w:t>
      </w:r>
      <w:r w:rsidR="008C1DB2" w:rsidRPr="00F6526C">
        <w:rPr>
          <w:rFonts w:eastAsia="Times New Roman"/>
          <w:noProof/>
          <w:snapToGrid/>
          <w:szCs w:val="22"/>
          <w:lang w:val="hu-HU" w:eastAsia="en-US"/>
        </w:rPr>
        <w:t xml:space="preserve"> 1000 mg/300 mg oldatos infúzió</w:t>
      </w:r>
      <w:r w:rsidR="000B32FD" w:rsidRPr="00F6526C">
        <w:rPr>
          <w:szCs w:val="22"/>
          <w:lang w:val="hu-HU"/>
        </w:rPr>
        <w:t xml:space="preserve"> ellenjavall</w:t>
      </w:r>
      <w:r w:rsidRPr="00F6526C">
        <w:rPr>
          <w:szCs w:val="22"/>
          <w:lang w:val="hu-HU"/>
        </w:rPr>
        <w:t xml:space="preserve">t a terhesség harmadik trimeszterében (lásd 4.3 </w:t>
      </w:r>
      <w:r w:rsidR="00614122">
        <w:rPr>
          <w:szCs w:val="22"/>
          <w:lang w:val="hu-HU"/>
        </w:rPr>
        <w:t xml:space="preserve">és 5.3 </w:t>
      </w:r>
      <w:r w:rsidRPr="00F6526C">
        <w:rPr>
          <w:szCs w:val="22"/>
          <w:lang w:val="hu-HU"/>
        </w:rPr>
        <w:t>pont).</w:t>
      </w:r>
    </w:p>
    <w:p w14:paraId="541A1107" w14:textId="77777777" w:rsidR="00680191" w:rsidRPr="00F6526C" w:rsidRDefault="00680191" w:rsidP="00680191">
      <w:pPr>
        <w:spacing w:line="240" w:lineRule="auto"/>
        <w:rPr>
          <w:szCs w:val="22"/>
          <w:lang w:val="hu-HU"/>
        </w:rPr>
      </w:pPr>
    </w:p>
    <w:p w14:paraId="0B9B67D6" w14:textId="77777777" w:rsidR="00C651B0" w:rsidRPr="00F6526C" w:rsidRDefault="00C651B0" w:rsidP="00C651B0">
      <w:pPr>
        <w:spacing w:line="240" w:lineRule="auto"/>
        <w:rPr>
          <w:b/>
          <w:szCs w:val="22"/>
          <w:lang w:val="hu-HU"/>
        </w:rPr>
      </w:pPr>
      <w:r w:rsidRPr="00F6526C">
        <w:rPr>
          <w:b/>
          <w:szCs w:val="22"/>
          <w:lang w:val="hu-HU"/>
        </w:rPr>
        <w:t>A paracetamol-tartalom miatt:</w:t>
      </w:r>
    </w:p>
    <w:p w14:paraId="67C4E747" w14:textId="304BC6AD" w:rsidR="00901E73" w:rsidRPr="00F6526C" w:rsidRDefault="00901E73" w:rsidP="00F07A38">
      <w:pPr>
        <w:spacing w:line="240" w:lineRule="auto"/>
        <w:rPr>
          <w:szCs w:val="22"/>
          <w:lang w:val="hu-HU"/>
        </w:rPr>
      </w:pPr>
      <w:r w:rsidRPr="00F6526C">
        <w:rPr>
          <w:szCs w:val="22"/>
          <w:lang w:val="hu-HU"/>
        </w:rPr>
        <w:t>Terhes nőkkel kapcsolatos nagymennyiségű adat nem utal sem malformatiót okozó hatásra, sem magzati/újszülöttkori toxicitásra. A méhben a paracetamol</w:t>
      </w:r>
      <w:r w:rsidR="00C0308C">
        <w:rPr>
          <w:szCs w:val="22"/>
          <w:lang w:val="hu-HU"/>
        </w:rPr>
        <w:t>-</w:t>
      </w:r>
      <w:r w:rsidRPr="00F6526C">
        <w:rPr>
          <w:szCs w:val="22"/>
          <w:lang w:val="hu-HU"/>
        </w:rPr>
        <w:t>expozícióban részesült gyermekek neurológiai fejlődését vizsgáló epidemiológiai tanu</w:t>
      </w:r>
      <w:r w:rsidR="00F07A38" w:rsidRPr="00F6526C">
        <w:rPr>
          <w:szCs w:val="22"/>
          <w:lang w:val="hu-HU"/>
        </w:rPr>
        <w:t xml:space="preserve">lmányok nem vezettek egyértelmű </w:t>
      </w:r>
      <w:r w:rsidRPr="00F6526C">
        <w:rPr>
          <w:szCs w:val="22"/>
          <w:lang w:val="hu-HU"/>
        </w:rPr>
        <w:t xml:space="preserve">következtetésekre. </w:t>
      </w:r>
      <w:r w:rsidR="00333647" w:rsidRPr="00F6526C">
        <w:rPr>
          <w:szCs w:val="22"/>
          <w:lang w:val="hu-HU"/>
        </w:rPr>
        <w:t>Ha klinikailag szükséges, a paracetamol alkalmazható a terhesség során, azonban a lehető legkisebb dózist kell adni a lehető legrövidebb ideig és a legkisebb gyakorisággal.</w:t>
      </w:r>
    </w:p>
    <w:p w14:paraId="0582F08A" w14:textId="77777777" w:rsidR="004B6D68" w:rsidRPr="00F6526C" w:rsidRDefault="004B6D68" w:rsidP="00C651B0">
      <w:pPr>
        <w:spacing w:line="240" w:lineRule="auto"/>
        <w:rPr>
          <w:szCs w:val="22"/>
          <w:lang w:val="hu-HU"/>
        </w:rPr>
      </w:pPr>
    </w:p>
    <w:p w14:paraId="0B52961C" w14:textId="7A555795" w:rsidR="004B6D68" w:rsidRPr="00F6526C" w:rsidRDefault="004B6D68" w:rsidP="00C651B0">
      <w:pPr>
        <w:spacing w:line="240" w:lineRule="auto"/>
        <w:rPr>
          <w:szCs w:val="22"/>
          <w:u w:val="single"/>
          <w:lang w:val="hu-HU"/>
        </w:rPr>
      </w:pPr>
      <w:r w:rsidRPr="00F6526C">
        <w:rPr>
          <w:szCs w:val="22"/>
          <w:u w:val="single"/>
          <w:lang w:val="hu-HU"/>
        </w:rPr>
        <w:t>Szoptatás</w:t>
      </w:r>
    </w:p>
    <w:p w14:paraId="1F0BE39C" w14:textId="0A8DC6BC" w:rsidR="00DB77C7" w:rsidRPr="00F6526C" w:rsidRDefault="0004787C" w:rsidP="00C651B0">
      <w:pPr>
        <w:spacing w:line="240" w:lineRule="auto"/>
        <w:rPr>
          <w:szCs w:val="22"/>
          <w:lang w:val="hu-HU"/>
        </w:rPr>
      </w:pPr>
      <w:r w:rsidRPr="00F6526C">
        <w:rPr>
          <w:szCs w:val="22"/>
          <w:lang w:val="hu-HU"/>
        </w:rPr>
        <w:t xml:space="preserve">A paracetamol klinikailag nem jelentős mennyiségben választódik ki az anyatejbe. A rendelkezésre </w:t>
      </w:r>
      <w:r w:rsidR="00924AF4" w:rsidRPr="00F6526C">
        <w:rPr>
          <w:szCs w:val="22"/>
          <w:lang w:val="hu-HU"/>
        </w:rPr>
        <w:t>álló közzétett adatok alapján a</w:t>
      </w:r>
      <w:r w:rsidRPr="00F6526C">
        <w:rPr>
          <w:szCs w:val="22"/>
          <w:lang w:val="hu-HU"/>
        </w:rPr>
        <w:t xml:space="preserve"> szoptatás nem kontraindikált, amennyiben a paracetamol ajánlott adagját nem lépik túl.</w:t>
      </w:r>
    </w:p>
    <w:p w14:paraId="0757F39A" w14:textId="77777777" w:rsidR="00AE4DA5" w:rsidRPr="00F6526C" w:rsidRDefault="00AE4DA5" w:rsidP="00C651B0">
      <w:pPr>
        <w:spacing w:line="240" w:lineRule="auto"/>
        <w:rPr>
          <w:szCs w:val="22"/>
          <w:lang w:val="hu-HU"/>
        </w:rPr>
      </w:pPr>
    </w:p>
    <w:p w14:paraId="54290A60" w14:textId="6611B43C" w:rsidR="00AE4DA5" w:rsidRPr="00F6526C" w:rsidRDefault="00AE4DA5" w:rsidP="00C651B0">
      <w:pPr>
        <w:spacing w:line="240" w:lineRule="auto"/>
        <w:rPr>
          <w:szCs w:val="22"/>
          <w:lang w:val="hu-HU"/>
        </w:rPr>
      </w:pPr>
      <w:r w:rsidRPr="00F6526C">
        <w:rPr>
          <w:szCs w:val="22"/>
          <w:lang w:val="hu-HU"/>
        </w:rPr>
        <w:t xml:space="preserve">Az ibuprofén és metabolitjai nagyon kis mennyiségben átjuthatnak az anyatejbe. </w:t>
      </w:r>
      <w:r w:rsidR="0064492A" w:rsidRPr="00F6526C">
        <w:rPr>
          <w:szCs w:val="22"/>
          <w:lang w:val="hu-HU"/>
        </w:rPr>
        <w:t>Terápiás dózisban alkalmazott rövid távú kezelés esetén elhanyagolhatónak tűnik a csecsemőkre gyakorolt hatás.</w:t>
      </w:r>
    </w:p>
    <w:p w14:paraId="7D2C8713" w14:textId="77777777" w:rsidR="0064492A" w:rsidRPr="00F6526C" w:rsidRDefault="0064492A" w:rsidP="00C651B0">
      <w:pPr>
        <w:spacing w:line="240" w:lineRule="auto"/>
        <w:rPr>
          <w:szCs w:val="22"/>
          <w:lang w:val="hu-HU"/>
        </w:rPr>
      </w:pPr>
    </w:p>
    <w:p w14:paraId="271A7AA1" w14:textId="2E811344" w:rsidR="0064492A" w:rsidRPr="00F6526C" w:rsidRDefault="00CF5C15" w:rsidP="00CF5C15">
      <w:pPr>
        <w:spacing w:line="240" w:lineRule="auto"/>
        <w:rPr>
          <w:szCs w:val="22"/>
          <w:lang w:val="hu-HU"/>
        </w:rPr>
      </w:pPr>
      <w:r w:rsidRPr="00F6526C">
        <w:rPr>
          <w:szCs w:val="22"/>
          <w:lang w:val="hu-HU"/>
        </w:rPr>
        <w:t>A fenti bizonyítékok alapján a szoptatás megszakítása nem szükséges, amennyiben a</w:t>
      </w:r>
      <w:r w:rsidR="00884251" w:rsidRPr="00F6526C">
        <w:rPr>
          <w:szCs w:val="22"/>
          <w:lang w:val="hu-HU"/>
        </w:rPr>
        <w:t xml:space="preserve"> gyógyszerrel</w:t>
      </w:r>
      <w:r w:rsidRPr="00F6526C">
        <w:rPr>
          <w:szCs w:val="22"/>
          <w:lang w:val="hu-HU"/>
        </w:rPr>
        <w:t xml:space="preserve"> </w:t>
      </w:r>
      <w:r w:rsidR="00884251" w:rsidRPr="00F6526C">
        <w:rPr>
          <w:szCs w:val="22"/>
          <w:lang w:val="hu-HU"/>
        </w:rPr>
        <w:t>történő</w:t>
      </w:r>
      <w:r w:rsidR="00884251" w:rsidRPr="00F6526C">
        <w:rPr>
          <w:rFonts w:eastAsia="Calibri"/>
          <w:szCs w:val="22"/>
          <w:lang w:val="hu-HU"/>
        </w:rPr>
        <w:t xml:space="preserve"> </w:t>
      </w:r>
      <w:r w:rsidRPr="00F6526C">
        <w:rPr>
          <w:szCs w:val="22"/>
          <w:lang w:val="hu-HU"/>
        </w:rPr>
        <w:t>kezelést rövid ideig, az ajánlott adagokkal végzik.</w:t>
      </w:r>
    </w:p>
    <w:p w14:paraId="482DACF7" w14:textId="77777777" w:rsidR="00167B3C" w:rsidRPr="00F6526C" w:rsidRDefault="00167B3C" w:rsidP="00CF5C15">
      <w:pPr>
        <w:spacing w:line="240" w:lineRule="auto"/>
        <w:rPr>
          <w:szCs w:val="22"/>
          <w:lang w:val="hu-HU"/>
        </w:rPr>
      </w:pPr>
    </w:p>
    <w:p w14:paraId="1B5169C2" w14:textId="6BBDE498" w:rsidR="00167B3C" w:rsidRPr="00F6526C" w:rsidRDefault="00167B3C" w:rsidP="00CF5C15">
      <w:pPr>
        <w:spacing w:line="240" w:lineRule="auto"/>
        <w:rPr>
          <w:szCs w:val="22"/>
          <w:u w:val="single"/>
          <w:lang w:val="hu-HU"/>
        </w:rPr>
      </w:pPr>
      <w:r w:rsidRPr="00F6526C">
        <w:rPr>
          <w:szCs w:val="22"/>
          <w:u w:val="single"/>
          <w:lang w:val="hu-HU"/>
        </w:rPr>
        <w:t>Termékenység</w:t>
      </w:r>
    </w:p>
    <w:p w14:paraId="6EF78CF5" w14:textId="7B46D72F" w:rsidR="002B6076" w:rsidRPr="00F6526C" w:rsidRDefault="00C7352F" w:rsidP="00CF5C15">
      <w:pPr>
        <w:spacing w:line="240" w:lineRule="auto"/>
        <w:rPr>
          <w:szCs w:val="22"/>
          <w:lang w:val="hu-HU"/>
        </w:rPr>
      </w:pPr>
      <w:r w:rsidRPr="00F6526C">
        <w:rPr>
          <w:szCs w:val="22"/>
          <w:lang w:val="hu-HU"/>
        </w:rPr>
        <w:t>A készítmény alkalmazása hátrányosan befolyásolhatja a női termékenységet, és nem javasolt azoknak a nőknek, akik terhességet terveznek. Azoknál a nőknél, akiknek nehézséget okoz a teherbeesés, és meddőségi kivizsgáláson vesznek részt, a gyógyszer megvonását fontolóra kell venni.</w:t>
      </w:r>
    </w:p>
    <w:p w14:paraId="3FFFFC85" w14:textId="77777777" w:rsidR="00F45C51" w:rsidRPr="00F6526C" w:rsidRDefault="00F45C51" w:rsidP="00082A8E">
      <w:pPr>
        <w:spacing w:line="240" w:lineRule="auto"/>
        <w:rPr>
          <w:lang w:val="hu-HU"/>
        </w:rPr>
      </w:pPr>
    </w:p>
    <w:p w14:paraId="5A875ECB" w14:textId="77777777" w:rsidR="00F45C51" w:rsidRPr="00F6526C" w:rsidRDefault="00FC0857" w:rsidP="00110E9B">
      <w:pPr>
        <w:spacing w:before="240" w:after="120" w:line="240" w:lineRule="auto"/>
        <w:ind w:left="567" w:hanging="567"/>
        <w:outlineLvl w:val="0"/>
        <w:rPr>
          <w:rFonts w:eastAsia="Times New Roman"/>
          <w:b/>
          <w:noProof/>
          <w:snapToGrid/>
          <w:szCs w:val="22"/>
          <w:lang w:val="hu-HU" w:eastAsia="en-US"/>
        </w:rPr>
      </w:pPr>
      <w:r w:rsidRPr="00F6526C">
        <w:rPr>
          <w:rFonts w:eastAsia="Times New Roman"/>
          <w:b/>
          <w:noProof/>
          <w:snapToGrid/>
          <w:szCs w:val="22"/>
          <w:lang w:val="hu-HU" w:eastAsia="en-US"/>
        </w:rPr>
        <w:t>4.7</w:t>
      </w:r>
      <w:r w:rsidRPr="00F6526C">
        <w:rPr>
          <w:rFonts w:eastAsia="Times New Roman"/>
          <w:b/>
          <w:noProof/>
          <w:snapToGrid/>
          <w:szCs w:val="22"/>
          <w:lang w:val="hu-HU" w:eastAsia="en-US"/>
        </w:rPr>
        <w:tab/>
        <w:t xml:space="preserve">A készítmény hatásai a gépjárművezetéshez és </w:t>
      </w:r>
      <w:r w:rsidR="00F5194B" w:rsidRPr="00F6526C">
        <w:rPr>
          <w:rFonts w:eastAsia="Times New Roman"/>
          <w:b/>
          <w:noProof/>
          <w:snapToGrid/>
          <w:szCs w:val="22"/>
          <w:lang w:val="hu-HU" w:eastAsia="en-US"/>
        </w:rPr>
        <w:t xml:space="preserve">a </w:t>
      </w:r>
      <w:r w:rsidRPr="00F6526C">
        <w:rPr>
          <w:rFonts w:eastAsia="Times New Roman"/>
          <w:b/>
          <w:noProof/>
          <w:snapToGrid/>
          <w:szCs w:val="22"/>
          <w:lang w:val="hu-HU" w:eastAsia="en-US"/>
        </w:rPr>
        <w:t>gépek kezeléséhez szükséges képességekre</w:t>
      </w:r>
    </w:p>
    <w:p w14:paraId="164C81D7" w14:textId="2E863CDE" w:rsidR="00F45C51" w:rsidRPr="00F6526C" w:rsidRDefault="00BF2DC2" w:rsidP="00BF2DC2">
      <w:pPr>
        <w:spacing w:line="240" w:lineRule="auto"/>
        <w:outlineLvl w:val="0"/>
        <w:rPr>
          <w:lang w:val="hu-HU"/>
        </w:rPr>
      </w:pPr>
      <w:r w:rsidRPr="00F6526C">
        <w:rPr>
          <w:lang w:val="hu-HU"/>
        </w:rPr>
        <w:t>Az NSAID-</w:t>
      </w:r>
      <w:r w:rsidR="006A5297" w:rsidRPr="00F6526C">
        <w:rPr>
          <w:lang w:val="hu-HU"/>
        </w:rPr>
        <w:t>o</w:t>
      </w:r>
      <w:r w:rsidRPr="00F6526C">
        <w:rPr>
          <w:lang w:val="hu-HU"/>
        </w:rPr>
        <w:t>k bevétele után előfordulhatnak mellékhatások, mint pl. szédülés, álmosság, fáradtság és látászavarok. Az ilyen mellékhatásokat észlelő betegek nem vezethetnek gépjárművet és nem kezelhetnek gépeket.</w:t>
      </w:r>
    </w:p>
    <w:p w14:paraId="01E391C1" w14:textId="77777777" w:rsidR="00F45C51" w:rsidRPr="00F6526C" w:rsidRDefault="00F45C51" w:rsidP="00082A8E">
      <w:pPr>
        <w:spacing w:line="240" w:lineRule="auto"/>
        <w:rPr>
          <w:rFonts w:eastAsia="Times New Roman"/>
          <w:noProof/>
          <w:snapToGrid/>
          <w:szCs w:val="22"/>
          <w:lang w:val="hu-HU" w:eastAsia="en-US"/>
        </w:rPr>
      </w:pPr>
    </w:p>
    <w:p w14:paraId="125B5AC1" w14:textId="77777777" w:rsidR="00F45C51" w:rsidRPr="00F6526C" w:rsidRDefault="00FC0857" w:rsidP="0090771B">
      <w:pPr>
        <w:spacing w:before="240" w:after="120" w:line="240" w:lineRule="auto"/>
        <w:ind w:left="567" w:hanging="567"/>
        <w:outlineLvl w:val="0"/>
        <w:rPr>
          <w:rFonts w:eastAsia="Times New Roman"/>
          <w:b/>
          <w:noProof/>
          <w:snapToGrid/>
          <w:szCs w:val="22"/>
          <w:lang w:val="hu-HU" w:eastAsia="en-US"/>
        </w:rPr>
      </w:pPr>
      <w:r w:rsidRPr="00F6526C">
        <w:rPr>
          <w:rFonts w:eastAsia="Times New Roman"/>
          <w:b/>
          <w:noProof/>
          <w:snapToGrid/>
          <w:szCs w:val="22"/>
          <w:lang w:val="hu-HU" w:eastAsia="en-US"/>
        </w:rPr>
        <w:t>4.8</w:t>
      </w:r>
      <w:r w:rsidRPr="00F6526C">
        <w:rPr>
          <w:rFonts w:eastAsia="Times New Roman"/>
          <w:b/>
          <w:noProof/>
          <w:snapToGrid/>
          <w:szCs w:val="22"/>
          <w:lang w:val="hu-HU" w:eastAsia="en-US"/>
        </w:rPr>
        <w:tab/>
        <w:t>Nemkívánatos hatások, mellékhatások</w:t>
      </w:r>
    </w:p>
    <w:p w14:paraId="74EE18E2" w14:textId="5181513B" w:rsidR="009E1CF4" w:rsidRPr="00F6526C" w:rsidRDefault="00F07A38" w:rsidP="009E1CF4">
      <w:pPr>
        <w:tabs>
          <w:tab w:val="clear" w:pos="567"/>
          <w:tab w:val="left" w:pos="0"/>
        </w:tabs>
        <w:spacing w:before="240" w:after="120" w:line="240" w:lineRule="auto"/>
        <w:outlineLvl w:val="0"/>
        <w:rPr>
          <w:rFonts w:eastAsia="Times New Roman"/>
          <w:noProof/>
          <w:snapToGrid/>
          <w:szCs w:val="22"/>
          <w:lang w:val="hu-HU" w:eastAsia="en-US"/>
        </w:rPr>
      </w:pPr>
      <w:r w:rsidRPr="00F6526C">
        <w:rPr>
          <w:rFonts w:eastAsia="Times New Roman"/>
          <w:noProof/>
          <w:snapToGrid/>
          <w:szCs w:val="22"/>
          <w:lang w:val="hu-HU" w:eastAsia="en-US"/>
        </w:rPr>
        <w:t>A</w:t>
      </w:r>
      <w:r w:rsidR="00DD2DF7">
        <w:rPr>
          <w:rFonts w:eastAsia="Times New Roman"/>
          <w:noProof/>
          <w:snapToGrid/>
          <w:szCs w:val="22"/>
          <w:lang w:val="hu-HU" w:eastAsia="en-US"/>
        </w:rPr>
        <w:t>z</w:t>
      </w:r>
      <w:r w:rsidRPr="00F6526C">
        <w:rPr>
          <w:rFonts w:eastAsia="Times New Roman"/>
          <w:noProof/>
          <w:snapToGrid/>
          <w:szCs w:val="22"/>
          <w:lang w:val="hu-HU" w:eastAsia="en-US"/>
        </w:rPr>
        <w:t xml:space="preserve"> </w:t>
      </w:r>
      <w:r w:rsidR="006D4655">
        <w:rPr>
          <w:rFonts w:eastAsia="Times New Roman"/>
          <w:noProof/>
          <w:snapToGrid/>
          <w:szCs w:val="22"/>
          <w:lang w:val="hu-HU" w:eastAsia="en-US"/>
        </w:rPr>
        <w:t>Elomen</w:t>
      </w:r>
      <w:r w:rsidRPr="00F6526C">
        <w:rPr>
          <w:rFonts w:eastAsia="Times New Roman"/>
          <w:noProof/>
          <w:snapToGrid/>
          <w:szCs w:val="22"/>
          <w:lang w:val="hu-HU" w:eastAsia="en-US"/>
        </w:rPr>
        <w:t xml:space="preserve"> 1000 mg/300 mg oldatos infúzióval</w:t>
      </w:r>
      <w:r w:rsidR="009E1CF4" w:rsidRPr="00F6526C">
        <w:rPr>
          <w:rFonts w:eastAsia="Times New Roman"/>
          <w:noProof/>
          <w:snapToGrid/>
          <w:szCs w:val="22"/>
          <w:lang w:val="hu-HU" w:eastAsia="en-US"/>
        </w:rPr>
        <w:t xml:space="preserve"> és az 500 </w:t>
      </w:r>
      <w:r w:rsidR="009B369C" w:rsidRPr="00F6526C">
        <w:rPr>
          <w:rFonts w:eastAsia="Times New Roman"/>
          <w:noProof/>
          <w:snapToGrid/>
          <w:szCs w:val="22"/>
          <w:lang w:val="hu-HU" w:eastAsia="en-US"/>
        </w:rPr>
        <w:t>mg paracetamol/</w:t>
      </w:r>
      <w:r w:rsidR="009E1CF4" w:rsidRPr="00F6526C">
        <w:rPr>
          <w:rFonts w:eastAsia="Times New Roman"/>
          <w:noProof/>
          <w:snapToGrid/>
          <w:szCs w:val="22"/>
          <w:lang w:val="hu-HU" w:eastAsia="en-US"/>
        </w:rPr>
        <w:t>150 mg ibuprofén filmtablettával végzett klinikai vizsgálatok nem mutattak egyéb mellékhatásokat, mint amelyek a paracetamol vagy az ibuprofén monoterápiában történő alkalmazásakor is előfordulnak.</w:t>
      </w:r>
    </w:p>
    <w:p w14:paraId="26F98A7F" w14:textId="4E42E09C" w:rsidR="002A1D35" w:rsidRPr="00F6526C" w:rsidRDefault="007135D7" w:rsidP="002A1D35">
      <w:pPr>
        <w:tabs>
          <w:tab w:val="clear" w:pos="567"/>
          <w:tab w:val="left" w:pos="0"/>
        </w:tabs>
        <w:spacing w:line="240" w:lineRule="auto"/>
        <w:outlineLvl w:val="0"/>
        <w:rPr>
          <w:rFonts w:eastAsia="Times New Roman"/>
          <w:noProof/>
          <w:snapToGrid/>
          <w:szCs w:val="22"/>
          <w:lang w:val="hu-HU" w:eastAsia="en-US"/>
        </w:rPr>
      </w:pPr>
      <w:r w:rsidRPr="00F6526C">
        <w:rPr>
          <w:rFonts w:eastAsia="Times New Roman"/>
          <w:noProof/>
          <w:snapToGrid/>
          <w:szCs w:val="22"/>
          <w:lang w:val="hu-HU" w:eastAsia="en-US"/>
        </w:rPr>
        <w:t>A mellékhatások felsorolása szervrendszer (MedDRA terminológia alapján) és gyakoriság szerinti csoporto</w:t>
      </w:r>
      <w:r w:rsidR="00BD69BB" w:rsidRPr="00F6526C">
        <w:rPr>
          <w:rFonts w:eastAsia="Times New Roman"/>
          <w:noProof/>
          <w:snapToGrid/>
          <w:szCs w:val="22"/>
          <w:lang w:val="hu-HU" w:eastAsia="en-US"/>
        </w:rPr>
        <w:t xml:space="preserve">sításban az alábbiakban látható: </w:t>
      </w:r>
    </w:p>
    <w:p w14:paraId="4A1501C5" w14:textId="46EF15C8" w:rsidR="002A1D35" w:rsidRPr="00F6526C" w:rsidRDefault="00450DD7" w:rsidP="002A1D35">
      <w:pPr>
        <w:tabs>
          <w:tab w:val="clear" w:pos="567"/>
          <w:tab w:val="left" w:pos="0"/>
        </w:tabs>
        <w:spacing w:line="240" w:lineRule="auto"/>
        <w:outlineLvl w:val="0"/>
        <w:rPr>
          <w:szCs w:val="22"/>
          <w:lang w:val="hu-HU"/>
        </w:rPr>
      </w:pPr>
      <w:r w:rsidRPr="00F6526C">
        <w:rPr>
          <w:szCs w:val="22"/>
          <w:lang w:val="hu-HU"/>
        </w:rPr>
        <w:lastRenderedPageBreak/>
        <w:t>Nagyon gyakori (≥ 1/10); gyakori (≥ 1/100</w:t>
      </w:r>
      <w:r w:rsidR="00E96CDE" w:rsidRPr="00F6526C">
        <w:rPr>
          <w:szCs w:val="22"/>
          <w:lang w:val="hu-HU"/>
        </w:rPr>
        <w:t xml:space="preserve"> </w:t>
      </w:r>
      <w:r w:rsidR="00E96CDE" w:rsidRPr="00F6526C">
        <w:rPr>
          <w:rStyle w:val="st"/>
          <w:lang w:val="hu-HU"/>
        </w:rPr>
        <w:t>–</w:t>
      </w:r>
      <w:r w:rsidRPr="00F6526C">
        <w:rPr>
          <w:szCs w:val="22"/>
          <w:lang w:val="hu-HU"/>
        </w:rPr>
        <w:t xml:space="preserve"> &lt; 1/10); nem gyakori (≥ 1/1000</w:t>
      </w:r>
      <w:r w:rsidR="00E96CDE" w:rsidRPr="00F6526C">
        <w:rPr>
          <w:szCs w:val="22"/>
          <w:lang w:val="hu-HU"/>
        </w:rPr>
        <w:t xml:space="preserve"> </w:t>
      </w:r>
      <w:r w:rsidR="00E96CDE" w:rsidRPr="00F6526C">
        <w:rPr>
          <w:rStyle w:val="st"/>
          <w:lang w:val="hu-HU"/>
        </w:rPr>
        <w:t>–</w:t>
      </w:r>
      <w:r w:rsidRPr="00F6526C">
        <w:rPr>
          <w:szCs w:val="22"/>
          <w:lang w:val="hu-HU"/>
        </w:rPr>
        <w:t xml:space="preserve"> &lt; 1/100); ritka (≥ 1/10 000</w:t>
      </w:r>
      <w:r w:rsidR="00E96CDE" w:rsidRPr="00F6526C">
        <w:rPr>
          <w:szCs w:val="22"/>
          <w:lang w:val="hu-HU"/>
        </w:rPr>
        <w:t xml:space="preserve"> </w:t>
      </w:r>
      <w:r w:rsidR="00E96CDE" w:rsidRPr="00F6526C">
        <w:rPr>
          <w:rStyle w:val="st"/>
          <w:lang w:val="hu-HU"/>
        </w:rPr>
        <w:t>–</w:t>
      </w:r>
      <w:r w:rsidRPr="00F6526C">
        <w:rPr>
          <w:szCs w:val="22"/>
          <w:lang w:val="hu-HU"/>
        </w:rPr>
        <w:t xml:space="preserve"> &lt; 1/1000); nagyon ritka (&lt; 1/10 000) és nem ismert (a </w:t>
      </w:r>
      <w:r w:rsidR="00F700B1">
        <w:rPr>
          <w:szCs w:val="22"/>
          <w:lang w:val="hu-HU"/>
        </w:rPr>
        <w:t xml:space="preserve">gyakoriság a </w:t>
      </w:r>
      <w:r w:rsidRPr="00F6526C">
        <w:rPr>
          <w:szCs w:val="22"/>
          <w:lang w:val="hu-HU"/>
        </w:rPr>
        <w:t>rendelkezésre álló adatokból nem állapítható meg).</w:t>
      </w:r>
    </w:p>
    <w:p w14:paraId="2B36DD1B" w14:textId="77777777" w:rsidR="00086472" w:rsidRPr="00F6526C" w:rsidRDefault="00086472" w:rsidP="002A1D35">
      <w:pPr>
        <w:tabs>
          <w:tab w:val="clear" w:pos="567"/>
          <w:tab w:val="left" w:pos="0"/>
        </w:tabs>
        <w:spacing w:line="240" w:lineRule="auto"/>
        <w:outlineLvl w:val="0"/>
        <w:rPr>
          <w:szCs w:val="22"/>
          <w:lang w:val="hu-HU"/>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78"/>
        <w:gridCol w:w="6594"/>
      </w:tblGrid>
      <w:tr w:rsidR="00086472" w:rsidRPr="006A48F0" w14:paraId="79627BA9" w14:textId="77777777" w:rsidTr="00B03A26">
        <w:tc>
          <w:tcPr>
            <w:tcW w:w="2478" w:type="dxa"/>
          </w:tcPr>
          <w:p w14:paraId="4158CC72" w14:textId="129BBF4B" w:rsidR="00086472" w:rsidRPr="00F6526C" w:rsidRDefault="00D73044" w:rsidP="00B03A26">
            <w:pPr>
              <w:spacing w:before="40" w:after="40"/>
              <w:rPr>
                <w:b/>
                <w:lang w:val="hu-HU"/>
              </w:rPr>
            </w:pPr>
            <w:r w:rsidRPr="00F6526C">
              <w:rPr>
                <w:b/>
                <w:iCs/>
                <w:szCs w:val="22"/>
                <w:lang w:val="hu-HU"/>
              </w:rPr>
              <w:t>Fertőző betegségek és parazitafertőzések</w:t>
            </w:r>
          </w:p>
        </w:tc>
        <w:tc>
          <w:tcPr>
            <w:tcW w:w="6594" w:type="dxa"/>
          </w:tcPr>
          <w:p w14:paraId="06A8160C" w14:textId="335A2C6D" w:rsidR="00086472" w:rsidRPr="00F6526C" w:rsidRDefault="00A11CD0" w:rsidP="00B03A26">
            <w:pPr>
              <w:spacing w:before="40" w:after="40"/>
              <w:rPr>
                <w:lang w:val="hu-HU"/>
              </w:rPr>
            </w:pPr>
            <w:r w:rsidRPr="00F6526C">
              <w:rPr>
                <w:b/>
                <w:bCs/>
                <w:szCs w:val="22"/>
                <w:lang w:val="hu-HU"/>
              </w:rPr>
              <w:t>Nagyon ritka</w:t>
            </w:r>
            <w:r w:rsidRPr="00F6526C">
              <w:rPr>
                <w:b/>
                <w:lang w:val="hu-HU"/>
              </w:rPr>
              <w:t>:</w:t>
            </w:r>
            <w:r w:rsidRPr="00F6526C">
              <w:rPr>
                <w:lang w:val="hu-HU"/>
              </w:rPr>
              <w:t xml:space="preserve"> Beszámoltak fertőzésekhez társuló gyulladások súlyosbodásáról (például necrotisaló fasciitis kialakulása), ami egybeesett az NSAID-ok alkalmazásával.</w:t>
            </w:r>
          </w:p>
        </w:tc>
      </w:tr>
      <w:tr w:rsidR="00086472" w:rsidRPr="006A48F0" w14:paraId="3E2C2899" w14:textId="77777777" w:rsidTr="00B03A26">
        <w:tc>
          <w:tcPr>
            <w:tcW w:w="2478" w:type="dxa"/>
          </w:tcPr>
          <w:p w14:paraId="522EF02A" w14:textId="6ED29D62" w:rsidR="00086472" w:rsidRPr="00F6526C" w:rsidRDefault="003719DB" w:rsidP="00B03A26">
            <w:pPr>
              <w:spacing w:before="40" w:after="40"/>
              <w:rPr>
                <w:b/>
                <w:lang w:val="hu-HU"/>
              </w:rPr>
            </w:pPr>
            <w:r w:rsidRPr="00F6526C">
              <w:rPr>
                <w:b/>
                <w:bCs/>
                <w:szCs w:val="22"/>
                <w:lang w:val="hu-HU"/>
              </w:rPr>
              <w:t>Vérképzőszervi és nyirokrendszeri betegségek és tünetek</w:t>
            </w:r>
          </w:p>
        </w:tc>
        <w:tc>
          <w:tcPr>
            <w:tcW w:w="6594" w:type="dxa"/>
          </w:tcPr>
          <w:p w14:paraId="3962FF1F" w14:textId="77777777" w:rsidR="00154164" w:rsidRPr="00F6526C" w:rsidRDefault="003719DB" w:rsidP="00B03A26">
            <w:pPr>
              <w:spacing w:before="40" w:after="40"/>
              <w:rPr>
                <w:lang w:val="hu-HU"/>
              </w:rPr>
            </w:pPr>
            <w:r w:rsidRPr="00F6526C">
              <w:rPr>
                <w:b/>
                <w:bCs/>
                <w:szCs w:val="22"/>
                <w:lang w:val="hu-HU"/>
              </w:rPr>
              <w:t>Nem ismert</w:t>
            </w:r>
            <w:r w:rsidR="00086472" w:rsidRPr="00F6526C">
              <w:rPr>
                <w:b/>
                <w:lang w:val="hu-HU"/>
              </w:rPr>
              <w:t>:</w:t>
            </w:r>
            <w:r w:rsidR="00086472" w:rsidRPr="00F6526C">
              <w:rPr>
                <w:lang w:val="hu-HU"/>
              </w:rPr>
              <w:t xml:space="preserve"> </w:t>
            </w:r>
            <w:r w:rsidR="00154164" w:rsidRPr="00F6526C">
              <w:rPr>
                <w:lang w:val="hu-HU"/>
              </w:rPr>
              <w:t>A hemoglobin és a hematokrit értékek csökkenése. Bár az ok-okozati összefüggést nem igazolták, vérzéses epizódokról (pl. orrvérzés, menorrhagia) számoltak be a gyógyszerrel végzett kezelés során.</w:t>
            </w:r>
          </w:p>
          <w:p w14:paraId="0728AAC6" w14:textId="25E219F0" w:rsidR="00086472" w:rsidRPr="00F6526C" w:rsidRDefault="003719DB" w:rsidP="00B03A26">
            <w:pPr>
              <w:spacing w:before="40" w:after="40"/>
              <w:rPr>
                <w:lang w:val="hu-HU"/>
              </w:rPr>
            </w:pPr>
            <w:r w:rsidRPr="00F6526C">
              <w:rPr>
                <w:b/>
                <w:bCs/>
                <w:szCs w:val="22"/>
                <w:lang w:val="hu-HU"/>
              </w:rPr>
              <w:t>Nagyon ritka</w:t>
            </w:r>
            <w:r w:rsidR="00086472" w:rsidRPr="00F6526C">
              <w:rPr>
                <w:b/>
                <w:lang w:val="hu-HU"/>
              </w:rPr>
              <w:t>:</w:t>
            </w:r>
            <w:r w:rsidR="00086472" w:rsidRPr="00F6526C">
              <w:rPr>
                <w:lang w:val="hu-HU"/>
              </w:rPr>
              <w:t xml:space="preserve"> </w:t>
            </w:r>
            <w:r w:rsidR="007902A5" w:rsidRPr="00F6526C">
              <w:rPr>
                <w:lang w:val="hu-HU"/>
              </w:rPr>
              <w:t>Jelentettek haematopoetikus betegségeket (agranulocytosis, anaemia, aplasztikus anaemia, haemolitikus anaemia, leucopenia, neutropenia, pancytopenia és thrombocytopenia purpurával vagy anélkül) az ibuprofén kezelést követően, melyek azonban nem voltak biztosan ok-okozati összefüggésben a gyógyszerhasználattal.</w:t>
            </w:r>
          </w:p>
        </w:tc>
      </w:tr>
      <w:tr w:rsidR="00086472" w:rsidRPr="006A48F0" w14:paraId="411D3007" w14:textId="77777777" w:rsidTr="00B03A26">
        <w:tc>
          <w:tcPr>
            <w:tcW w:w="2478" w:type="dxa"/>
          </w:tcPr>
          <w:p w14:paraId="3F1E580A" w14:textId="631821D6" w:rsidR="00086472" w:rsidRPr="00F6526C" w:rsidRDefault="00E64F64" w:rsidP="00B03A26">
            <w:pPr>
              <w:spacing w:before="40" w:after="40"/>
              <w:rPr>
                <w:b/>
                <w:lang w:val="hu-HU"/>
              </w:rPr>
            </w:pPr>
            <w:r w:rsidRPr="00F6526C">
              <w:rPr>
                <w:b/>
                <w:bCs/>
                <w:szCs w:val="22"/>
                <w:lang w:val="hu-HU"/>
              </w:rPr>
              <w:t>Immunrendszeri betegségek és tünetek</w:t>
            </w:r>
          </w:p>
        </w:tc>
        <w:tc>
          <w:tcPr>
            <w:tcW w:w="6594" w:type="dxa"/>
          </w:tcPr>
          <w:p w14:paraId="0A24450A" w14:textId="559F27C4" w:rsidR="00086472" w:rsidRPr="00F6526C" w:rsidRDefault="00E64F64" w:rsidP="00B03A26">
            <w:pPr>
              <w:spacing w:before="40" w:after="40"/>
              <w:rPr>
                <w:lang w:val="hu-HU"/>
              </w:rPr>
            </w:pPr>
            <w:r w:rsidRPr="00F6526C">
              <w:rPr>
                <w:b/>
                <w:bCs/>
                <w:szCs w:val="22"/>
                <w:lang w:val="hu-HU"/>
              </w:rPr>
              <w:t>Nagyon ritka</w:t>
            </w:r>
            <w:r w:rsidRPr="00F6526C">
              <w:rPr>
                <w:b/>
                <w:lang w:val="hu-HU"/>
              </w:rPr>
              <w:t>:</w:t>
            </w:r>
            <w:r w:rsidRPr="00F6526C">
              <w:rPr>
                <w:lang w:val="hu-HU"/>
              </w:rPr>
              <w:t xml:space="preserve"> </w:t>
            </w:r>
            <w:r w:rsidR="00EC3338" w:rsidRPr="00F6526C">
              <w:rPr>
                <w:lang w:val="hu-HU"/>
              </w:rPr>
              <w:t>Túlérzékenységi reakciókról számoltak be, ideértve a bőrkiütést és a szimpatomimetikumokkal történő keresztérzékenységet is.</w:t>
            </w:r>
          </w:p>
          <w:p w14:paraId="2C793619" w14:textId="35CADFB8" w:rsidR="00086472" w:rsidRPr="00F6526C" w:rsidRDefault="00E64F64" w:rsidP="00F700B1">
            <w:pPr>
              <w:spacing w:before="40" w:after="40"/>
              <w:rPr>
                <w:lang w:val="hu-HU"/>
              </w:rPr>
            </w:pPr>
            <w:r w:rsidRPr="00F6526C">
              <w:rPr>
                <w:b/>
                <w:bCs/>
                <w:szCs w:val="22"/>
                <w:lang w:val="hu-HU"/>
              </w:rPr>
              <w:t>Nem ismert</w:t>
            </w:r>
            <w:r w:rsidRPr="00F6526C">
              <w:rPr>
                <w:b/>
                <w:lang w:val="hu-HU"/>
              </w:rPr>
              <w:t>:</w:t>
            </w:r>
            <w:r w:rsidRPr="00F6526C">
              <w:rPr>
                <w:lang w:val="hu-HU"/>
              </w:rPr>
              <w:t xml:space="preserve"> </w:t>
            </w:r>
            <w:r w:rsidR="003B1BD0" w:rsidRPr="00F6526C">
              <w:rPr>
                <w:lang w:val="hu-HU"/>
              </w:rPr>
              <w:t>Egyéb allergiás reakciókról is beszámoltak, de okozati összefüggést nem állapítottak meg: szérumbetegség, lupus erythematosus szindróma, Schönlein</w:t>
            </w:r>
            <w:r w:rsidR="00F700B1">
              <w:rPr>
                <w:lang w:val="hu-HU"/>
              </w:rPr>
              <w:t>–</w:t>
            </w:r>
            <w:r w:rsidR="003B1BD0" w:rsidRPr="00F6526C">
              <w:rPr>
                <w:lang w:val="hu-HU"/>
              </w:rPr>
              <w:t>Henoch</w:t>
            </w:r>
            <w:r w:rsidR="00F700B1">
              <w:rPr>
                <w:lang w:val="hu-HU"/>
              </w:rPr>
              <w:t>-</w:t>
            </w:r>
            <w:r w:rsidR="003B1BD0" w:rsidRPr="00F6526C">
              <w:rPr>
                <w:lang w:val="hu-HU"/>
              </w:rPr>
              <w:t>vasculitis, angioödéma.</w:t>
            </w:r>
          </w:p>
        </w:tc>
      </w:tr>
      <w:tr w:rsidR="00086472" w:rsidRPr="006A48F0" w14:paraId="55651218" w14:textId="77777777" w:rsidTr="00B03A26">
        <w:tc>
          <w:tcPr>
            <w:tcW w:w="2478" w:type="dxa"/>
          </w:tcPr>
          <w:p w14:paraId="17C8594F" w14:textId="50788577" w:rsidR="00086472" w:rsidRPr="00F6526C" w:rsidRDefault="00B03A26" w:rsidP="00B03A26">
            <w:pPr>
              <w:spacing w:before="40" w:after="40"/>
              <w:rPr>
                <w:b/>
                <w:lang w:val="hu-HU"/>
              </w:rPr>
            </w:pPr>
            <w:r w:rsidRPr="00F6526C">
              <w:rPr>
                <w:b/>
                <w:lang w:val="hu-HU"/>
              </w:rPr>
              <w:t>Anyagcsere- és táplálkozási betegségek és tünetek</w:t>
            </w:r>
          </w:p>
        </w:tc>
        <w:tc>
          <w:tcPr>
            <w:tcW w:w="6594" w:type="dxa"/>
          </w:tcPr>
          <w:p w14:paraId="52E210E9" w14:textId="7409D8F6" w:rsidR="00E758CF" w:rsidRPr="00F6526C" w:rsidRDefault="00B03A26" w:rsidP="00B03A26">
            <w:pPr>
              <w:spacing w:before="40" w:after="40"/>
              <w:rPr>
                <w:lang w:val="hu-HU"/>
              </w:rPr>
            </w:pPr>
            <w:r w:rsidRPr="00F6526C">
              <w:rPr>
                <w:b/>
                <w:bCs/>
                <w:szCs w:val="22"/>
                <w:lang w:val="hu-HU"/>
              </w:rPr>
              <w:t>Nagyon ritka</w:t>
            </w:r>
            <w:r w:rsidRPr="00F6526C">
              <w:rPr>
                <w:b/>
                <w:lang w:val="hu-HU"/>
              </w:rPr>
              <w:t>:</w:t>
            </w:r>
            <w:r w:rsidRPr="00F6526C">
              <w:rPr>
                <w:lang w:val="hu-HU"/>
              </w:rPr>
              <w:t xml:space="preserve"> </w:t>
            </w:r>
            <w:r w:rsidR="00E758CF" w:rsidRPr="00F6526C">
              <w:rPr>
                <w:lang w:val="hu-HU"/>
              </w:rPr>
              <w:t xml:space="preserve">A metabolikus mellékhatások közé tartozik a hypokalaemia. </w:t>
            </w:r>
          </w:p>
          <w:p w14:paraId="7E4C468A" w14:textId="38D549E2" w:rsidR="00086472" w:rsidRDefault="0061147A" w:rsidP="00B03A26">
            <w:pPr>
              <w:spacing w:before="40" w:after="40"/>
              <w:rPr>
                <w:lang w:val="hu-HU"/>
              </w:rPr>
            </w:pPr>
            <w:r w:rsidRPr="00F6526C">
              <w:rPr>
                <w:b/>
                <w:lang w:val="hu-HU"/>
              </w:rPr>
              <w:t xml:space="preserve">Nem gyakori: </w:t>
            </w:r>
            <w:r w:rsidR="006A48F0">
              <w:rPr>
                <w:lang w:val="hu-HU"/>
              </w:rPr>
              <w:t>G</w:t>
            </w:r>
            <w:r w:rsidRPr="00F6526C">
              <w:rPr>
                <w:lang w:val="hu-HU"/>
              </w:rPr>
              <w:t>ynaecomastia, hypoglykaemiás reakció.</w:t>
            </w:r>
          </w:p>
          <w:p w14:paraId="1BF9B36D" w14:textId="2D474986" w:rsidR="006A48F0" w:rsidRPr="00F6526C" w:rsidRDefault="006A48F0" w:rsidP="00B03A26">
            <w:pPr>
              <w:spacing w:before="40" w:after="40"/>
              <w:rPr>
                <w:lang w:val="hu-HU"/>
              </w:rPr>
            </w:pPr>
            <w:r w:rsidRPr="00654B96">
              <w:rPr>
                <w:b/>
                <w:bCs/>
                <w:lang w:val="hu-HU"/>
              </w:rPr>
              <w:t>Nem ismert:</w:t>
            </w:r>
            <w:r>
              <w:rPr>
                <w:lang w:val="hu-HU"/>
              </w:rPr>
              <w:t xml:space="preserve"> E</w:t>
            </w:r>
            <w:r>
              <w:t>melkedett anionréssel járó metabolikus acidózis.</w:t>
            </w:r>
          </w:p>
        </w:tc>
      </w:tr>
      <w:tr w:rsidR="00086472" w:rsidRPr="006A48F0" w14:paraId="07199809" w14:textId="77777777" w:rsidTr="00B03A26">
        <w:tc>
          <w:tcPr>
            <w:tcW w:w="2478" w:type="dxa"/>
          </w:tcPr>
          <w:p w14:paraId="21741716" w14:textId="2425C802" w:rsidR="00086472" w:rsidRPr="00F6526C" w:rsidRDefault="00B47D31" w:rsidP="00B03A26">
            <w:pPr>
              <w:spacing w:before="40" w:after="40"/>
              <w:rPr>
                <w:b/>
                <w:lang w:val="hu-HU"/>
              </w:rPr>
            </w:pPr>
            <w:r w:rsidRPr="00F6526C">
              <w:rPr>
                <w:b/>
                <w:bCs/>
                <w:szCs w:val="22"/>
                <w:lang w:val="hu-HU"/>
              </w:rPr>
              <w:t>Idegrendszeri betegségek és tünetek</w:t>
            </w:r>
          </w:p>
        </w:tc>
        <w:tc>
          <w:tcPr>
            <w:tcW w:w="6594" w:type="dxa"/>
          </w:tcPr>
          <w:p w14:paraId="0BF289D2" w14:textId="226F4850" w:rsidR="00CA37C9" w:rsidRPr="00F6526C" w:rsidRDefault="00CA37C9" w:rsidP="00B03A26">
            <w:pPr>
              <w:spacing w:before="40" w:after="40"/>
              <w:rPr>
                <w:b/>
                <w:lang w:val="hu-HU"/>
              </w:rPr>
            </w:pPr>
            <w:r w:rsidRPr="00F6526C">
              <w:rPr>
                <w:b/>
                <w:lang w:val="hu-HU"/>
              </w:rPr>
              <w:t xml:space="preserve">Gyakori: </w:t>
            </w:r>
            <w:r w:rsidR="00F04F84" w:rsidRPr="00F6526C">
              <w:rPr>
                <w:lang w:val="hu-HU"/>
              </w:rPr>
              <w:t>S</w:t>
            </w:r>
            <w:r w:rsidRPr="00F6526C">
              <w:rPr>
                <w:lang w:val="hu-HU"/>
              </w:rPr>
              <w:t>zédülés, fejfájás, idegesség.</w:t>
            </w:r>
          </w:p>
          <w:p w14:paraId="38B55008" w14:textId="77777777" w:rsidR="009D23C5" w:rsidRPr="00F6526C" w:rsidRDefault="009D23C5" w:rsidP="00B03A26">
            <w:pPr>
              <w:spacing w:before="40" w:after="40"/>
              <w:rPr>
                <w:b/>
                <w:lang w:val="hu-HU"/>
              </w:rPr>
            </w:pPr>
            <w:r w:rsidRPr="00F6526C">
              <w:rPr>
                <w:b/>
                <w:lang w:val="hu-HU"/>
              </w:rPr>
              <w:t xml:space="preserve">Nem gyakori: </w:t>
            </w:r>
            <w:r w:rsidRPr="00F6526C">
              <w:rPr>
                <w:lang w:val="hu-HU"/>
              </w:rPr>
              <w:t>Depresszió, álmatlanság, zavartság, érzelmi labilitás, aluszékonyság, aszeptikus meningitis, láz és kóma.</w:t>
            </w:r>
          </w:p>
          <w:p w14:paraId="1E3A5A01" w14:textId="77777777" w:rsidR="00661853" w:rsidRPr="00F6526C" w:rsidRDefault="00661853" w:rsidP="00B03A26">
            <w:pPr>
              <w:spacing w:before="40" w:after="40"/>
              <w:rPr>
                <w:b/>
                <w:lang w:val="hu-HU"/>
              </w:rPr>
            </w:pPr>
            <w:r w:rsidRPr="00F6526C">
              <w:rPr>
                <w:b/>
                <w:lang w:val="hu-HU"/>
              </w:rPr>
              <w:t xml:space="preserve">Ritka: </w:t>
            </w:r>
            <w:r w:rsidRPr="00F6526C">
              <w:rPr>
                <w:lang w:val="hu-HU"/>
              </w:rPr>
              <w:t>Paraesthesia, hallucinációk, alvászavarok.</w:t>
            </w:r>
          </w:p>
          <w:p w14:paraId="066FB905" w14:textId="62476A29" w:rsidR="00086472" w:rsidRPr="00F6526C" w:rsidRDefault="00A91C3C" w:rsidP="00B03A26">
            <w:pPr>
              <w:spacing w:before="40" w:after="40"/>
              <w:rPr>
                <w:lang w:val="hu-HU"/>
              </w:rPr>
            </w:pPr>
            <w:r w:rsidRPr="00F6526C">
              <w:rPr>
                <w:b/>
                <w:lang w:val="hu-HU"/>
              </w:rPr>
              <w:t xml:space="preserve">Nagyon ritka: </w:t>
            </w:r>
            <w:r w:rsidRPr="00F6526C">
              <w:rPr>
                <w:lang w:val="hu-HU"/>
              </w:rPr>
              <w:t>P</w:t>
            </w:r>
            <w:r w:rsidR="002D6A18" w:rsidRPr="00F6526C">
              <w:rPr>
                <w:lang w:val="hu-HU"/>
              </w:rPr>
              <w:t xml:space="preserve">aradox </w:t>
            </w:r>
            <w:r w:rsidRPr="00F6526C">
              <w:rPr>
                <w:lang w:val="hu-HU"/>
              </w:rPr>
              <w:t>stimuláció, látóideg</w:t>
            </w:r>
            <w:r w:rsidR="00F700B1">
              <w:rPr>
                <w:lang w:val="hu-HU"/>
              </w:rPr>
              <w:t>-</w:t>
            </w:r>
            <w:r w:rsidRPr="00F6526C">
              <w:rPr>
                <w:lang w:val="hu-HU"/>
              </w:rPr>
              <w:t>gyulladás, pszichomotoros károsodás, extrapiramidális hatások, tremor és görcsök.</w:t>
            </w:r>
          </w:p>
        </w:tc>
      </w:tr>
      <w:tr w:rsidR="00086472" w:rsidRPr="006A48F0" w14:paraId="73492110" w14:textId="77777777" w:rsidTr="00B03A26">
        <w:tc>
          <w:tcPr>
            <w:tcW w:w="2478" w:type="dxa"/>
          </w:tcPr>
          <w:p w14:paraId="7BEA52FA" w14:textId="2B455960" w:rsidR="00086472" w:rsidRPr="00F6526C" w:rsidRDefault="00464634" w:rsidP="00B03A26">
            <w:pPr>
              <w:spacing w:before="40" w:after="40"/>
              <w:rPr>
                <w:b/>
                <w:lang w:val="hu-HU"/>
              </w:rPr>
            </w:pPr>
            <w:r w:rsidRPr="00F6526C">
              <w:rPr>
                <w:b/>
                <w:bCs/>
                <w:szCs w:val="22"/>
                <w:lang w:val="hu-HU"/>
              </w:rPr>
              <w:t>Szembetegségek és szemészeti tünetek</w:t>
            </w:r>
          </w:p>
        </w:tc>
        <w:tc>
          <w:tcPr>
            <w:tcW w:w="6594" w:type="dxa"/>
          </w:tcPr>
          <w:p w14:paraId="677E4C7C" w14:textId="3FBAA734" w:rsidR="00086472" w:rsidRPr="00F6526C" w:rsidRDefault="00C2176F" w:rsidP="00B03A26">
            <w:pPr>
              <w:spacing w:before="40" w:after="40"/>
              <w:rPr>
                <w:lang w:val="hu-HU"/>
              </w:rPr>
            </w:pPr>
            <w:r w:rsidRPr="00F6526C">
              <w:rPr>
                <w:b/>
                <w:lang w:val="hu-HU"/>
              </w:rPr>
              <w:t xml:space="preserve">Nem gyakori: </w:t>
            </w:r>
            <w:r w:rsidR="009D0E36" w:rsidRPr="00F6526C">
              <w:rPr>
                <w:lang w:val="hu-HU"/>
              </w:rPr>
              <w:t>Amblyopia (homályos és/</w:t>
            </w:r>
            <w:r w:rsidRPr="00F6526C">
              <w:rPr>
                <w:lang w:val="hu-HU"/>
              </w:rPr>
              <w:t>va</w:t>
            </w:r>
            <w:r w:rsidR="009D0E36" w:rsidRPr="00F6526C">
              <w:rPr>
                <w:lang w:val="hu-HU"/>
              </w:rPr>
              <w:t>gy csökkent látás, scotomata és/</w:t>
            </w:r>
            <w:r w:rsidRPr="00F6526C">
              <w:rPr>
                <w:lang w:val="hu-HU"/>
              </w:rPr>
              <w:t>vagy a színlátás zavara) fordult elő, de általában a k</w:t>
            </w:r>
            <w:r w:rsidR="00DD6B32" w:rsidRPr="00F6526C">
              <w:rPr>
                <w:lang w:val="hu-HU"/>
              </w:rPr>
              <w:t>ezelés elhagyása után rendeződött</w:t>
            </w:r>
            <w:r w:rsidRPr="00F6526C">
              <w:rPr>
                <w:lang w:val="hu-HU"/>
              </w:rPr>
              <w:t>. Minden olyan betegnél, akinek szemészeti panasza jelentkezik, szemészeti szakvizsgálatot kell végezni, amely magában foglalja a központi látótér vizsgálatát.</w:t>
            </w:r>
          </w:p>
        </w:tc>
      </w:tr>
      <w:tr w:rsidR="00086472" w:rsidRPr="006A48F0" w14:paraId="3EBD6007" w14:textId="77777777" w:rsidTr="00B03A26">
        <w:tc>
          <w:tcPr>
            <w:tcW w:w="2478" w:type="dxa"/>
          </w:tcPr>
          <w:p w14:paraId="578651DB" w14:textId="615FD37D" w:rsidR="00086472" w:rsidRPr="00F6526C" w:rsidRDefault="00FE3FC0" w:rsidP="00B03A26">
            <w:pPr>
              <w:spacing w:before="40" w:after="40"/>
              <w:rPr>
                <w:b/>
                <w:lang w:val="hu-HU"/>
              </w:rPr>
            </w:pPr>
            <w:r w:rsidRPr="00F6526C">
              <w:rPr>
                <w:b/>
                <w:iCs/>
                <w:szCs w:val="22"/>
                <w:lang w:val="hu-HU"/>
              </w:rPr>
              <w:t>A fül és az egyensúly</w:t>
            </w:r>
            <w:r w:rsidRPr="00F6526C">
              <w:rPr>
                <w:b/>
                <w:iCs/>
                <w:szCs w:val="22"/>
                <w:lang w:val="hu-HU"/>
              </w:rPr>
              <w:noBreakHyphen/>
              <w:t>érzékelő szerv betegségei és tünetei</w:t>
            </w:r>
          </w:p>
        </w:tc>
        <w:tc>
          <w:tcPr>
            <w:tcW w:w="6594" w:type="dxa"/>
          </w:tcPr>
          <w:p w14:paraId="0152F842" w14:textId="7048FC94" w:rsidR="00FE3FC0" w:rsidRPr="00F6526C" w:rsidRDefault="00FE3FC0" w:rsidP="00B03A26">
            <w:pPr>
              <w:spacing w:before="40" w:after="40"/>
              <w:rPr>
                <w:b/>
                <w:lang w:val="hu-HU"/>
              </w:rPr>
            </w:pPr>
            <w:r w:rsidRPr="00F6526C">
              <w:rPr>
                <w:b/>
                <w:lang w:val="hu-HU"/>
              </w:rPr>
              <w:t xml:space="preserve">Nagyon ritka: </w:t>
            </w:r>
            <w:r w:rsidR="00DD6B32" w:rsidRPr="00F6526C">
              <w:rPr>
                <w:lang w:val="hu-HU"/>
              </w:rPr>
              <w:t>V</w:t>
            </w:r>
            <w:r w:rsidRPr="00F6526C">
              <w:rPr>
                <w:lang w:val="hu-HU"/>
              </w:rPr>
              <w:t>ertigo.</w:t>
            </w:r>
          </w:p>
          <w:p w14:paraId="147745CC" w14:textId="3E8E3604" w:rsidR="00086472" w:rsidRPr="00F6526C" w:rsidRDefault="00FE3FC0" w:rsidP="00B03A26">
            <w:pPr>
              <w:spacing w:before="40" w:after="40"/>
              <w:rPr>
                <w:lang w:val="hu-HU"/>
              </w:rPr>
            </w:pPr>
            <w:r w:rsidRPr="00F6526C">
              <w:rPr>
                <w:b/>
                <w:lang w:val="hu-HU"/>
              </w:rPr>
              <w:t xml:space="preserve">Gyakori: </w:t>
            </w:r>
            <w:r w:rsidR="00DD6B32" w:rsidRPr="00F6526C">
              <w:rPr>
                <w:lang w:val="hu-HU"/>
              </w:rPr>
              <w:t>F</w:t>
            </w:r>
            <w:r w:rsidRPr="00F6526C">
              <w:rPr>
                <w:lang w:val="hu-HU"/>
              </w:rPr>
              <w:t>ülzúgás (ibuprofént tartalmazó gyógyszereknél).</w:t>
            </w:r>
          </w:p>
        </w:tc>
      </w:tr>
      <w:tr w:rsidR="00086472" w:rsidRPr="00F6526C" w14:paraId="77A870A7" w14:textId="77777777" w:rsidTr="00B03A26">
        <w:tc>
          <w:tcPr>
            <w:tcW w:w="2478" w:type="dxa"/>
          </w:tcPr>
          <w:p w14:paraId="0219B9E0" w14:textId="38F3DED9" w:rsidR="00086472" w:rsidRPr="00F6526C" w:rsidRDefault="005D23C2" w:rsidP="00B03A26">
            <w:pPr>
              <w:spacing w:before="40" w:after="40"/>
              <w:rPr>
                <w:b/>
                <w:lang w:val="hu-HU"/>
              </w:rPr>
            </w:pPr>
            <w:r w:rsidRPr="00F6526C">
              <w:rPr>
                <w:b/>
                <w:iCs/>
                <w:szCs w:val="22"/>
                <w:lang w:val="hu-HU"/>
              </w:rPr>
              <w:t>Szívbetegségek és a szívvel kapcsolatos tünetek</w:t>
            </w:r>
          </w:p>
        </w:tc>
        <w:tc>
          <w:tcPr>
            <w:tcW w:w="6594" w:type="dxa"/>
          </w:tcPr>
          <w:p w14:paraId="2FFC64DF" w14:textId="705517BB" w:rsidR="00086472" w:rsidRPr="00F6526C" w:rsidRDefault="006E2DBF" w:rsidP="00B03A26">
            <w:pPr>
              <w:spacing w:before="40" w:after="40"/>
              <w:rPr>
                <w:lang w:val="hu-HU"/>
              </w:rPr>
            </w:pPr>
            <w:r w:rsidRPr="00F6526C">
              <w:rPr>
                <w:b/>
                <w:lang w:val="hu-HU"/>
              </w:rPr>
              <w:t xml:space="preserve">Gyakori: </w:t>
            </w:r>
            <w:r w:rsidR="00986862" w:rsidRPr="00F6526C">
              <w:rPr>
                <w:lang w:val="hu-HU"/>
              </w:rPr>
              <w:t>O</w:t>
            </w:r>
            <w:r w:rsidR="006F09AB" w:rsidRPr="00F6526C">
              <w:rPr>
                <w:lang w:val="hu-HU"/>
              </w:rPr>
              <w:t>e</w:t>
            </w:r>
            <w:r w:rsidRPr="00F6526C">
              <w:rPr>
                <w:lang w:val="hu-HU"/>
              </w:rPr>
              <w:t>déma, folyadékretenció; a folyadékretenció általában azonnal reagál a gyógyszer elhagyására.</w:t>
            </w:r>
          </w:p>
          <w:p w14:paraId="00B69616" w14:textId="44BC1538" w:rsidR="00086472" w:rsidRPr="00F6526C" w:rsidRDefault="00AA0072" w:rsidP="00B03A26">
            <w:pPr>
              <w:spacing w:before="40" w:after="40"/>
              <w:rPr>
                <w:lang w:val="hu-HU"/>
              </w:rPr>
            </w:pPr>
            <w:r w:rsidRPr="00F6526C">
              <w:rPr>
                <w:b/>
                <w:lang w:val="hu-HU"/>
              </w:rPr>
              <w:t xml:space="preserve">Nagyon ritka: </w:t>
            </w:r>
            <w:r w:rsidRPr="00F6526C">
              <w:rPr>
                <w:lang w:val="hu-HU"/>
              </w:rPr>
              <w:t>Palpitáció; tachycardia; és egyéb szívritmuszavarokról számoltak be. Az NSAID-kezelés</w:t>
            </w:r>
            <w:r w:rsidR="00021AAB" w:rsidRPr="00F6526C">
              <w:rPr>
                <w:lang w:val="hu-HU"/>
              </w:rPr>
              <w:t>sel kapcsolatban hypertoniát</w:t>
            </w:r>
            <w:r w:rsidRPr="00F6526C">
              <w:rPr>
                <w:lang w:val="hu-HU"/>
              </w:rPr>
              <w:t xml:space="preserve"> és szívelégtelenséget jelentettek.</w:t>
            </w:r>
          </w:p>
        </w:tc>
      </w:tr>
      <w:tr w:rsidR="00086472" w:rsidRPr="006A48F0" w14:paraId="1D9046A0" w14:textId="77777777" w:rsidTr="00B03A26">
        <w:tc>
          <w:tcPr>
            <w:tcW w:w="2478" w:type="dxa"/>
          </w:tcPr>
          <w:p w14:paraId="13F6AC62" w14:textId="719498BD" w:rsidR="00086472" w:rsidRPr="00F6526C" w:rsidRDefault="005D020C" w:rsidP="00B03A26">
            <w:pPr>
              <w:spacing w:before="40" w:after="40"/>
              <w:rPr>
                <w:b/>
                <w:lang w:val="hu-HU"/>
              </w:rPr>
            </w:pPr>
            <w:r w:rsidRPr="00F6526C">
              <w:rPr>
                <w:b/>
                <w:iCs/>
                <w:szCs w:val="22"/>
                <w:lang w:val="hu-HU"/>
              </w:rPr>
              <w:t>Légzőrendszeri, mellkasi és mediastinalis betegségek és tünetek</w:t>
            </w:r>
          </w:p>
        </w:tc>
        <w:tc>
          <w:tcPr>
            <w:tcW w:w="6594" w:type="dxa"/>
          </w:tcPr>
          <w:p w14:paraId="35C9FFC7" w14:textId="3CA4BD62" w:rsidR="00D02347" w:rsidRPr="00F6526C" w:rsidRDefault="00D02347" w:rsidP="00B03A26">
            <w:pPr>
              <w:spacing w:before="40" w:after="40"/>
              <w:rPr>
                <w:lang w:val="hu-HU"/>
              </w:rPr>
            </w:pPr>
            <w:r w:rsidRPr="00F6526C">
              <w:rPr>
                <w:b/>
                <w:lang w:val="hu-HU"/>
              </w:rPr>
              <w:t xml:space="preserve">Nem gyakori: </w:t>
            </w:r>
            <w:r w:rsidR="00A20BEF" w:rsidRPr="00F6526C">
              <w:rPr>
                <w:lang w:val="hu-HU"/>
              </w:rPr>
              <w:t>B</w:t>
            </w:r>
            <w:r w:rsidRPr="00F6526C">
              <w:rPr>
                <w:lang w:val="hu-HU"/>
              </w:rPr>
              <w:t>őségesebb légúti szekréció. A tonsillectomián átesett gyermekeknél stridort jelentettek. Beszámoltak h</w:t>
            </w:r>
            <w:r w:rsidR="00E56060" w:rsidRPr="00F6526C">
              <w:rPr>
                <w:lang w:val="hu-HU"/>
              </w:rPr>
              <w:t>ypox</w:t>
            </w:r>
            <w:r w:rsidRPr="00F6526C">
              <w:rPr>
                <w:lang w:val="hu-HU"/>
              </w:rPr>
              <w:t>iáról.</w:t>
            </w:r>
          </w:p>
          <w:p w14:paraId="2629683A" w14:textId="47C68835" w:rsidR="00086472" w:rsidRPr="00F6526C" w:rsidRDefault="005A4918" w:rsidP="00B03A26">
            <w:pPr>
              <w:spacing w:before="40" w:after="40"/>
              <w:rPr>
                <w:lang w:val="hu-HU"/>
              </w:rPr>
            </w:pPr>
            <w:r w:rsidRPr="00F6526C">
              <w:rPr>
                <w:b/>
                <w:lang w:val="hu-HU"/>
              </w:rPr>
              <w:t>Nagyon ritka:</w:t>
            </w:r>
            <w:r w:rsidR="00086472" w:rsidRPr="00F6526C">
              <w:rPr>
                <w:lang w:val="hu-HU"/>
              </w:rPr>
              <w:t xml:space="preserve"> </w:t>
            </w:r>
            <w:r w:rsidRPr="00F6526C">
              <w:rPr>
                <w:lang w:val="hu-HU"/>
              </w:rPr>
              <w:t>Légzőrendszeri reaktivitás, beleértve: asthma, asthma exacerb</w:t>
            </w:r>
            <w:r w:rsidR="00A20BEF" w:rsidRPr="00F6526C">
              <w:rPr>
                <w:lang w:val="hu-HU"/>
              </w:rPr>
              <w:t>atio, bronchospasmus és dyspnoe</w:t>
            </w:r>
            <w:r w:rsidRPr="00F6526C">
              <w:rPr>
                <w:lang w:val="hu-HU"/>
              </w:rPr>
              <w:t>.</w:t>
            </w:r>
          </w:p>
        </w:tc>
      </w:tr>
      <w:tr w:rsidR="00086472" w:rsidRPr="006A48F0" w14:paraId="5AB6F60E" w14:textId="77777777" w:rsidTr="00B03A26">
        <w:tc>
          <w:tcPr>
            <w:tcW w:w="2478" w:type="dxa"/>
          </w:tcPr>
          <w:p w14:paraId="42F21B87" w14:textId="5933C625" w:rsidR="00086472" w:rsidRPr="00F6526C" w:rsidRDefault="0073684E" w:rsidP="00B03A26">
            <w:pPr>
              <w:spacing w:before="40" w:after="40"/>
              <w:rPr>
                <w:b/>
                <w:lang w:val="hu-HU"/>
              </w:rPr>
            </w:pPr>
            <w:r w:rsidRPr="00F6526C">
              <w:rPr>
                <w:b/>
                <w:iCs/>
                <w:szCs w:val="22"/>
                <w:lang w:val="hu-HU"/>
              </w:rPr>
              <w:lastRenderedPageBreak/>
              <w:t>Emésztőrendszeri betegségek és tünetek</w:t>
            </w:r>
          </w:p>
        </w:tc>
        <w:tc>
          <w:tcPr>
            <w:tcW w:w="6594" w:type="dxa"/>
          </w:tcPr>
          <w:p w14:paraId="78691951" w14:textId="5AB6962C" w:rsidR="000B6E55" w:rsidRPr="00F6526C" w:rsidRDefault="00852789" w:rsidP="00852789">
            <w:pPr>
              <w:spacing w:before="40" w:after="40"/>
              <w:rPr>
                <w:lang w:val="hu-HU"/>
              </w:rPr>
            </w:pPr>
            <w:r w:rsidRPr="00F6526C">
              <w:rPr>
                <w:b/>
                <w:lang w:val="hu-HU"/>
              </w:rPr>
              <w:t>Gyakori:</w:t>
            </w:r>
            <w:r w:rsidR="000B6E55" w:rsidRPr="00F6526C">
              <w:rPr>
                <w:b/>
                <w:lang w:val="hu-HU"/>
              </w:rPr>
              <w:t xml:space="preserve"> </w:t>
            </w:r>
            <w:r w:rsidRPr="00F6526C">
              <w:rPr>
                <w:lang w:val="hu-HU"/>
              </w:rPr>
              <w:t xml:space="preserve">Hasi fájdalom, hasmenés, dyspepsia, hányinger, diszkomfortérzés a gyomorban és hányás, flatulentia, székrekedés, kismértékű gastrointestinalis vérvesztés, amely kivételes esetekben vérszegénységet okozhat. </w:t>
            </w:r>
          </w:p>
          <w:p w14:paraId="33C40FDA" w14:textId="4739270A" w:rsidR="0008436E" w:rsidRPr="00F6526C" w:rsidRDefault="0008436E" w:rsidP="00B03A26">
            <w:pPr>
              <w:spacing w:before="40" w:after="40"/>
              <w:rPr>
                <w:b/>
                <w:lang w:val="hu-HU"/>
              </w:rPr>
            </w:pPr>
            <w:r w:rsidRPr="00F6526C">
              <w:rPr>
                <w:b/>
                <w:lang w:val="hu-HU"/>
              </w:rPr>
              <w:t xml:space="preserve">Nem gyakori: </w:t>
            </w:r>
            <w:r w:rsidR="00FE5ABF" w:rsidRPr="00F6526C">
              <w:rPr>
                <w:lang w:val="hu-HU"/>
              </w:rPr>
              <w:t>P</w:t>
            </w:r>
            <w:r w:rsidRPr="00F6526C">
              <w:rPr>
                <w:lang w:val="hu-HU"/>
              </w:rPr>
              <w:t>eptikus/gastrointestinalis fekély, perforatio vagy gastrointestialis v</w:t>
            </w:r>
            <w:r w:rsidR="00B57559" w:rsidRPr="00F6526C">
              <w:rPr>
                <w:lang w:val="hu-HU"/>
              </w:rPr>
              <w:t xml:space="preserve">érzés, melaena és haematemesis </w:t>
            </w:r>
            <w:r w:rsidRPr="00F6526C">
              <w:rPr>
                <w:lang w:val="hu-HU"/>
              </w:rPr>
              <w:t>tüneteivel, mel</w:t>
            </w:r>
            <w:r w:rsidR="00B57559" w:rsidRPr="00F6526C">
              <w:rPr>
                <w:lang w:val="hu-HU"/>
              </w:rPr>
              <w:t xml:space="preserve">y esetenként halálos is lehet, </w:t>
            </w:r>
            <w:r w:rsidRPr="00F6526C">
              <w:rPr>
                <w:lang w:val="hu-HU"/>
              </w:rPr>
              <w:t>különösen az időseknél.</w:t>
            </w:r>
            <w:r w:rsidR="00AC3515" w:rsidRPr="00F6526C">
              <w:rPr>
                <w:lang w:val="hu-HU"/>
              </w:rPr>
              <w:t xml:space="preserve"> A beadás után stomatitis ulcerosát, colitis és Crohn-betegség súlyosbodását jelentették. Ritkábban gastritist figyeltek meg, és pancreatitisről számoltak be. Beszámoltak </w:t>
            </w:r>
            <w:r w:rsidR="00383C3D" w:rsidRPr="00F6526C">
              <w:rPr>
                <w:lang w:val="hu-HU"/>
              </w:rPr>
              <w:t xml:space="preserve">savas </w:t>
            </w:r>
            <w:r w:rsidR="00AC3515" w:rsidRPr="00F6526C">
              <w:rPr>
                <w:lang w:val="hu-HU"/>
              </w:rPr>
              <w:t>peptikus betegségről.</w:t>
            </w:r>
          </w:p>
          <w:p w14:paraId="3F19C568" w14:textId="6F69BAF3" w:rsidR="00086472" w:rsidRPr="00F6526C" w:rsidRDefault="002C18E6" w:rsidP="002C18E6">
            <w:pPr>
              <w:spacing w:before="40" w:after="40"/>
              <w:rPr>
                <w:b/>
                <w:lang w:val="hu-HU"/>
              </w:rPr>
            </w:pPr>
            <w:r w:rsidRPr="00F6526C">
              <w:rPr>
                <w:b/>
                <w:lang w:val="hu-HU"/>
              </w:rPr>
              <w:t xml:space="preserve">Nagyon ritka: </w:t>
            </w:r>
            <w:r w:rsidRPr="00F6526C">
              <w:rPr>
                <w:lang w:val="hu-HU"/>
              </w:rPr>
              <w:t>Oesophagitis, diaphragmaszerű intestinalis stricturák kialakulása.</w:t>
            </w:r>
          </w:p>
        </w:tc>
      </w:tr>
      <w:tr w:rsidR="00086472" w:rsidRPr="006A48F0" w14:paraId="3A414A1E" w14:textId="77777777" w:rsidTr="00B03A26">
        <w:tc>
          <w:tcPr>
            <w:tcW w:w="2478" w:type="dxa"/>
          </w:tcPr>
          <w:p w14:paraId="380A57AB" w14:textId="4E6A59B7" w:rsidR="00086472" w:rsidRPr="00F6526C" w:rsidRDefault="008F2596" w:rsidP="00B03A26">
            <w:pPr>
              <w:spacing w:before="40" w:after="40"/>
              <w:rPr>
                <w:b/>
                <w:lang w:val="hu-HU"/>
              </w:rPr>
            </w:pPr>
            <w:r w:rsidRPr="00F6526C">
              <w:rPr>
                <w:b/>
                <w:iCs/>
                <w:szCs w:val="22"/>
                <w:lang w:val="hu-HU"/>
              </w:rPr>
              <w:t>Máj</w:t>
            </w:r>
            <w:r w:rsidRPr="00F6526C">
              <w:rPr>
                <w:b/>
                <w:iCs/>
                <w:szCs w:val="22"/>
                <w:lang w:val="hu-HU"/>
              </w:rPr>
              <w:noBreakHyphen/>
              <w:t xml:space="preserve"> és epebetegségek, illetve tünetek</w:t>
            </w:r>
          </w:p>
        </w:tc>
        <w:tc>
          <w:tcPr>
            <w:tcW w:w="6594" w:type="dxa"/>
          </w:tcPr>
          <w:p w14:paraId="7FD21A20" w14:textId="769B7A94" w:rsidR="00086472" w:rsidRPr="00F6526C" w:rsidRDefault="002C5419" w:rsidP="00B03A26">
            <w:pPr>
              <w:spacing w:before="40" w:after="40"/>
              <w:rPr>
                <w:lang w:val="hu-HU"/>
              </w:rPr>
            </w:pPr>
            <w:r w:rsidRPr="00F6526C">
              <w:rPr>
                <w:b/>
                <w:lang w:val="hu-HU"/>
              </w:rPr>
              <w:t xml:space="preserve">Nagyon ritka: </w:t>
            </w:r>
            <w:r w:rsidRPr="00F6526C">
              <w:rPr>
                <w:lang w:val="hu-HU"/>
              </w:rPr>
              <w:t>M</w:t>
            </w:r>
            <w:r w:rsidR="00FE5ABF" w:rsidRPr="00F6526C">
              <w:rPr>
                <w:lang w:val="hu-HU"/>
              </w:rPr>
              <w:t>ájkárosodás, különösen a hosszú</w:t>
            </w:r>
            <w:r w:rsidRPr="00F6526C">
              <w:rPr>
                <w:lang w:val="hu-HU"/>
              </w:rPr>
              <w:t>távú kezelés során, májelégtelenség. Májműködési zavar, hepatitis és sárgaság. Túladagolás esetén a paracetamol akut májelégtelenséget, májelégtelenséget, májnekrózist és máj</w:t>
            </w:r>
            <w:r w:rsidR="00383C3D" w:rsidRPr="00F6526C">
              <w:rPr>
                <w:lang w:val="hu-HU"/>
              </w:rPr>
              <w:t>károsodás</w:t>
            </w:r>
            <w:r w:rsidRPr="00F6526C">
              <w:rPr>
                <w:lang w:val="hu-HU"/>
              </w:rPr>
              <w:t>t okozhat.</w:t>
            </w:r>
          </w:p>
        </w:tc>
      </w:tr>
      <w:tr w:rsidR="00086472" w:rsidRPr="006A48F0" w14:paraId="53F26A13" w14:textId="77777777" w:rsidTr="00B03A26">
        <w:tc>
          <w:tcPr>
            <w:tcW w:w="2478" w:type="dxa"/>
          </w:tcPr>
          <w:p w14:paraId="75C52A8D" w14:textId="507646E5" w:rsidR="00086472" w:rsidRPr="00F6526C" w:rsidRDefault="00741D41" w:rsidP="00B03A26">
            <w:pPr>
              <w:spacing w:before="40" w:after="40"/>
              <w:rPr>
                <w:b/>
                <w:lang w:val="hu-HU"/>
              </w:rPr>
            </w:pPr>
            <w:r w:rsidRPr="00F6526C">
              <w:rPr>
                <w:b/>
                <w:iCs/>
                <w:szCs w:val="22"/>
                <w:lang w:val="hu-HU"/>
              </w:rPr>
              <w:t>A bőr és a bőr alatti szövet betegségei és tünetei</w:t>
            </w:r>
          </w:p>
        </w:tc>
        <w:tc>
          <w:tcPr>
            <w:tcW w:w="6594" w:type="dxa"/>
          </w:tcPr>
          <w:p w14:paraId="6B5F7BE1" w14:textId="4D30061D" w:rsidR="007842C8" w:rsidRPr="00F6526C" w:rsidRDefault="007842C8" w:rsidP="00B03A26">
            <w:pPr>
              <w:spacing w:before="40" w:after="40"/>
              <w:rPr>
                <w:b/>
                <w:lang w:val="hu-HU"/>
              </w:rPr>
            </w:pPr>
            <w:r w:rsidRPr="00F6526C">
              <w:rPr>
                <w:b/>
                <w:lang w:val="hu-HU"/>
              </w:rPr>
              <w:t xml:space="preserve">Gyakori: </w:t>
            </w:r>
            <w:r w:rsidR="00E07C2C" w:rsidRPr="00F6526C">
              <w:rPr>
                <w:lang w:val="hu-HU"/>
              </w:rPr>
              <w:t>B</w:t>
            </w:r>
            <w:r w:rsidRPr="00F6526C">
              <w:rPr>
                <w:lang w:val="hu-HU"/>
              </w:rPr>
              <w:t>őrkiütés (beleértve a macul</w:t>
            </w:r>
            <w:r w:rsidR="00B35D4C" w:rsidRPr="00F6526C">
              <w:rPr>
                <w:lang w:val="hu-HU"/>
              </w:rPr>
              <w:t>opapuláris típust is), pruritus</w:t>
            </w:r>
            <w:r w:rsidRPr="00F6526C">
              <w:rPr>
                <w:lang w:val="hu-HU"/>
              </w:rPr>
              <w:t>.</w:t>
            </w:r>
          </w:p>
          <w:p w14:paraId="1B38645F" w14:textId="29ABEA81" w:rsidR="002F7D1A" w:rsidRPr="00F6526C" w:rsidRDefault="00E07C2C" w:rsidP="002F7D1A">
            <w:pPr>
              <w:spacing w:before="40" w:after="40"/>
              <w:rPr>
                <w:bCs/>
                <w:lang w:val="hu-HU"/>
              </w:rPr>
            </w:pPr>
            <w:r w:rsidRPr="00F6526C">
              <w:rPr>
                <w:b/>
                <w:lang w:val="hu-HU"/>
              </w:rPr>
              <w:t xml:space="preserve">Nagyon ritka: </w:t>
            </w:r>
            <w:r w:rsidRPr="00F6526C">
              <w:rPr>
                <w:lang w:val="hu-HU"/>
              </w:rPr>
              <w:t>A</w:t>
            </w:r>
            <w:r w:rsidR="00FE5ABF" w:rsidRPr="00F6526C">
              <w:rPr>
                <w:lang w:val="hu-HU"/>
              </w:rPr>
              <w:t>lopecia. Hyperhy</w:t>
            </w:r>
            <w:r w:rsidRPr="00F6526C">
              <w:rPr>
                <w:lang w:val="hu-HU"/>
              </w:rPr>
              <w:t xml:space="preserve">drosis, purpura és fényérzékenység. </w:t>
            </w:r>
            <w:r w:rsidR="00DA2862" w:rsidRPr="00F6526C">
              <w:rPr>
                <w:bCs/>
                <w:szCs w:val="22"/>
                <w:lang w:val="hu-HU"/>
              </w:rPr>
              <w:t>Exfoliativ dermatózisok</w:t>
            </w:r>
            <w:r w:rsidR="00086472" w:rsidRPr="00F6526C">
              <w:rPr>
                <w:lang w:val="hu-HU"/>
              </w:rPr>
              <w:t xml:space="preserve">. </w:t>
            </w:r>
            <w:r w:rsidR="00DB742C" w:rsidRPr="00F6526C">
              <w:rPr>
                <w:lang w:val="hu-HU"/>
              </w:rPr>
              <w:t xml:space="preserve">Bullosus rekciók, köztük erythema multiforme, </w:t>
            </w:r>
            <w:r w:rsidR="000D0A30" w:rsidRPr="00F6526C">
              <w:rPr>
                <w:lang w:val="hu-HU"/>
              </w:rPr>
              <w:t>Stevens</w:t>
            </w:r>
            <w:r w:rsidR="000D0A30" w:rsidRPr="00F6526C">
              <w:rPr>
                <w:rStyle w:val="st"/>
                <w:lang w:val="hu-HU"/>
              </w:rPr>
              <w:t>–</w:t>
            </w:r>
            <w:r w:rsidR="000D0A30" w:rsidRPr="00F6526C">
              <w:rPr>
                <w:lang w:val="hu-HU"/>
              </w:rPr>
              <w:t>Johnson</w:t>
            </w:r>
            <w:r w:rsidR="009864B7">
              <w:rPr>
                <w:rFonts w:eastAsia="Calibri"/>
                <w:lang w:val="hu-HU"/>
              </w:rPr>
              <w:t>-</w:t>
            </w:r>
            <w:r w:rsidR="000D0A30" w:rsidRPr="00F6526C">
              <w:rPr>
                <w:lang w:val="hu-HU"/>
              </w:rPr>
              <w:t xml:space="preserve">szindróma </w:t>
            </w:r>
            <w:r w:rsidR="00DB742C" w:rsidRPr="00F6526C">
              <w:rPr>
                <w:lang w:val="hu-HU"/>
              </w:rPr>
              <w:t xml:space="preserve">és toxikus epidermalis necrolysis. </w:t>
            </w:r>
            <w:r w:rsidR="002F7D1A" w:rsidRPr="00F6526C">
              <w:rPr>
                <w:bCs/>
                <w:lang w:val="hu-HU"/>
              </w:rPr>
              <w:t xml:space="preserve">Nagyon ritka esetekben súlyos bőrreakciókról számoltak be. </w:t>
            </w:r>
          </w:p>
          <w:p w14:paraId="352D5B92" w14:textId="43502C82" w:rsidR="002F7D1A" w:rsidRPr="00F6526C" w:rsidRDefault="002F7D1A" w:rsidP="002F7D1A">
            <w:pPr>
              <w:spacing w:before="40" w:after="40"/>
              <w:rPr>
                <w:b/>
                <w:bCs/>
                <w:lang w:val="hu-HU"/>
              </w:rPr>
            </w:pPr>
            <w:r w:rsidRPr="00F6526C">
              <w:rPr>
                <w:bCs/>
                <w:lang w:val="hu-HU"/>
              </w:rPr>
              <w:t>Varicella</w:t>
            </w:r>
            <w:r w:rsidR="009864B7">
              <w:rPr>
                <w:rFonts w:eastAsia="Calibri"/>
                <w:bCs/>
                <w:lang w:val="hu-HU"/>
              </w:rPr>
              <w:t>-</w:t>
            </w:r>
            <w:r w:rsidRPr="00F6526C">
              <w:rPr>
                <w:bCs/>
                <w:lang w:val="hu-HU"/>
              </w:rPr>
              <w:t>fertőzés során kivételes esetekben súlyos bőrfertőzések és a lágyrészeket érintő szövődmények alakulhatnak ki.</w:t>
            </w:r>
            <w:r w:rsidRPr="00F6526C">
              <w:rPr>
                <w:b/>
                <w:bCs/>
                <w:lang w:val="hu-HU"/>
              </w:rPr>
              <w:t xml:space="preserve"> </w:t>
            </w:r>
          </w:p>
          <w:p w14:paraId="36541D3C" w14:textId="33B144E1" w:rsidR="00086472" w:rsidRPr="00F6526C" w:rsidRDefault="00652A38" w:rsidP="00652A38">
            <w:pPr>
              <w:spacing w:before="40" w:after="40"/>
              <w:rPr>
                <w:b/>
                <w:lang w:val="hu-HU"/>
              </w:rPr>
            </w:pPr>
            <w:r w:rsidRPr="00F6526C">
              <w:rPr>
                <w:b/>
                <w:lang w:val="hu-HU"/>
              </w:rPr>
              <w:t xml:space="preserve">Nem ismert: </w:t>
            </w:r>
            <w:r w:rsidRPr="00F6526C">
              <w:rPr>
                <w:lang w:val="hu-HU"/>
              </w:rPr>
              <w:t>Eozinofíliával és szisztémás tünetekkel járó gyógyszerreakció (DRESS szindróma), akut generalizált exanthemás pustulosis (AGEP).</w:t>
            </w:r>
          </w:p>
        </w:tc>
      </w:tr>
      <w:tr w:rsidR="00086472" w:rsidRPr="006A48F0" w14:paraId="0E672D9E" w14:textId="77777777" w:rsidTr="00B03A26">
        <w:tc>
          <w:tcPr>
            <w:tcW w:w="2478" w:type="dxa"/>
          </w:tcPr>
          <w:p w14:paraId="15DC4E98" w14:textId="4E7E41D3" w:rsidR="00086472" w:rsidRPr="00F6526C" w:rsidRDefault="00126A10" w:rsidP="00B03A26">
            <w:pPr>
              <w:spacing w:before="40" w:after="40"/>
              <w:rPr>
                <w:b/>
                <w:lang w:val="hu-HU"/>
              </w:rPr>
            </w:pPr>
            <w:r w:rsidRPr="00F6526C">
              <w:rPr>
                <w:b/>
                <w:bCs/>
                <w:szCs w:val="22"/>
                <w:lang w:val="hu-HU"/>
              </w:rPr>
              <w:t>Vese- és húgyúti betegségek és tünetek</w:t>
            </w:r>
          </w:p>
        </w:tc>
        <w:tc>
          <w:tcPr>
            <w:tcW w:w="6594" w:type="dxa"/>
          </w:tcPr>
          <w:p w14:paraId="3FBFE214" w14:textId="77B0576B" w:rsidR="00086472" w:rsidRPr="00F6526C" w:rsidRDefault="00EC56B0" w:rsidP="00B03A26">
            <w:pPr>
              <w:spacing w:before="40" w:after="40"/>
              <w:rPr>
                <w:lang w:val="hu-HU"/>
              </w:rPr>
            </w:pPr>
            <w:r w:rsidRPr="00F6526C">
              <w:rPr>
                <w:b/>
                <w:lang w:val="hu-HU"/>
              </w:rPr>
              <w:t xml:space="preserve">Nem gyakori: </w:t>
            </w:r>
            <w:r w:rsidRPr="00F6526C">
              <w:rPr>
                <w:lang w:val="hu-HU"/>
              </w:rPr>
              <w:t>V</w:t>
            </w:r>
            <w:r w:rsidR="00625735" w:rsidRPr="00F6526C">
              <w:rPr>
                <w:lang w:val="hu-HU"/>
              </w:rPr>
              <w:t>izelet</w:t>
            </w:r>
            <w:r w:rsidRPr="00F6526C">
              <w:rPr>
                <w:lang w:val="hu-HU"/>
              </w:rPr>
              <w:t>retenció.</w:t>
            </w:r>
          </w:p>
          <w:p w14:paraId="42D2D7DC" w14:textId="5EEC1697" w:rsidR="00623C61" w:rsidRPr="00F6526C" w:rsidRDefault="00623C61" w:rsidP="00B03A26">
            <w:pPr>
              <w:spacing w:before="40" w:after="40"/>
              <w:rPr>
                <w:b/>
                <w:lang w:val="hu-HU"/>
              </w:rPr>
            </w:pPr>
            <w:r w:rsidRPr="00F6526C">
              <w:rPr>
                <w:b/>
                <w:lang w:val="hu-HU"/>
              </w:rPr>
              <w:t xml:space="preserve">Ritka: </w:t>
            </w:r>
            <w:r w:rsidR="000C2B54" w:rsidRPr="00F6526C">
              <w:rPr>
                <w:lang w:val="hu-HU"/>
              </w:rPr>
              <w:t xml:space="preserve">Veseszövet </w:t>
            </w:r>
            <w:r w:rsidRPr="00F6526C">
              <w:rPr>
                <w:lang w:val="hu-HU"/>
              </w:rPr>
              <w:t>károsodás (papilláris nekrózis), különösen a hosszú távú kezelés során.</w:t>
            </w:r>
          </w:p>
          <w:p w14:paraId="6EB1924E" w14:textId="735C6A86" w:rsidR="00DF19EA" w:rsidRPr="00F6526C" w:rsidRDefault="00815A82" w:rsidP="00B03A26">
            <w:pPr>
              <w:spacing w:before="40" w:after="40"/>
              <w:rPr>
                <w:lang w:val="hu-HU"/>
              </w:rPr>
            </w:pPr>
            <w:r w:rsidRPr="00F6526C">
              <w:rPr>
                <w:b/>
                <w:lang w:val="hu-HU"/>
              </w:rPr>
              <w:t xml:space="preserve">Nagyon ritka: </w:t>
            </w:r>
            <w:r w:rsidRPr="00F6526C">
              <w:rPr>
                <w:lang w:val="hu-HU"/>
              </w:rPr>
              <w:t xml:space="preserve">Nephrotoxicitás különböző formái, köztük interstitialis nephritis, nephrotikus szindróma és akut, illetve krónikus veseelégtelenség. </w:t>
            </w:r>
            <w:r w:rsidR="00DF19EA" w:rsidRPr="00F6526C">
              <w:rPr>
                <w:lang w:val="hu-HU"/>
              </w:rPr>
              <w:t>A vesét érintő mellékhatásokat leggyakrabban túladagolás, krónikus visszaélés során (gyakran több fájdalomcsillapító együttes használata mellett) vagy a paracetamol okozta hepatotoxicitással összefüggésben lehet megfigyelni.</w:t>
            </w:r>
          </w:p>
          <w:p w14:paraId="79E87B9F" w14:textId="4179F794" w:rsidR="00086472" w:rsidRPr="00F6526C" w:rsidRDefault="00F636AB" w:rsidP="00B03A26">
            <w:pPr>
              <w:spacing w:before="40" w:after="40"/>
              <w:rPr>
                <w:lang w:val="hu-HU"/>
              </w:rPr>
            </w:pPr>
            <w:r w:rsidRPr="00F6526C">
              <w:rPr>
                <w:lang w:val="hu-HU"/>
              </w:rPr>
              <w:t>Az akut tubuláris nekrózis általában májelégtelenséggel összefüggésben jelentkezik, de ritka esetekben izoláltan is megfigyelték. A vesesejtes karcinóma kockázatának esetleges növekedését a krónikus paracetamol használattal is összefüggésbe hozták.</w:t>
            </w:r>
          </w:p>
          <w:p w14:paraId="66DB8416" w14:textId="0DCF2639" w:rsidR="00086472" w:rsidRPr="00F6526C" w:rsidRDefault="008257E5" w:rsidP="00B03A26">
            <w:pPr>
              <w:spacing w:before="40" w:after="40"/>
              <w:rPr>
                <w:lang w:val="hu-HU"/>
              </w:rPr>
            </w:pPr>
            <w:r w:rsidRPr="00F6526C">
              <w:rPr>
                <w:lang w:val="hu-HU"/>
              </w:rPr>
              <w:t>Egy végstádiumú vesebetegségben szenvedő betegek körében végzett eset-kontroll vizsgálat alapján a hosszú távú paracetamol kezelés jelentősen növelheti a végstádiumú vesebetegség kockázatát, különösen a napi 1000 mg-ot meghaladó dózisok esetén.</w:t>
            </w:r>
          </w:p>
        </w:tc>
      </w:tr>
      <w:tr w:rsidR="00086472" w:rsidRPr="006A48F0" w14:paraId="50E33202" w14:textId="77777777" w:rsidTr="00B03A26">
        <w:tc>
          <w:tcPr>
            <w:tcW w:w="2478" w:type="dxa"/>
          </w:tcPr>
          <w:p w14:paraId="274DAFE9" w14:textId="18027EFC" w:rsidR="00086472" w:rsidRPr="00F6526C" w:rsidRDefault="00C46485" w:rsidP="00B03A26">
            <w:pPr>
              <w:spacing w:before="40" w:after="40"/>
              <w:rPr>
                <w:b/>
                <w:lang w:val="hu-HU"/>
              </w:rPr>
            </w:pPr>
            <w:r w:rsidRPr="00F6526C">
              <w:rPr>
                <w:b/>
                <w:bCs/>
                <w:szCs w:val="22"/>
                <w:lang w:val="hu-HU"/>
              </w:rPr>
              <w:t>Általános tünetek, az alkalmazás helyén</w:t>
            </w:r>
            <w:r w:rsidRPr="00F6526C">
              <w:rPr>
                <w:b/>
                <w:bCs/>
                <w:color w:val="000000"/>
                <w:szCs w:val="22"/>
                <w:lang w:val="hu-HU"/>
              </w:rPr>
              <w:t xml:space="preserve"> fellépő reakciók</w:t>
            </w:r>
          </w:p>
        </w:tc>
        <w:tc>
          <w:tcPr>
            <w:tcW w:w="6594" w:type="dxa"/>
          </w:tcPr>
          <w:p w14:paraId="6A62493F" w14:textId="152138EF" w:rsidR="00086472" w:rsidRPr="00F6526C" w:rsidRDefault="00416C9B" w:rsidP="00B03A26">
            <w:pPr>
              <w:spacing w:before="40" w:after="40"/>
              <w:rPr>
                <w:lang w:val="hu-HU"/>
              </w:rPr>
            </w:pPr>
            <w:r w:rsidRPr="00F6526C">
              <w:rPr>
                <w:b/>
                <w:lang w:val="hu-HU"/>
              </w:rPr>
              <w:t>Nem gyakori:</w:t>
            </w:r>
            <w:r w:rsidRPr="00F6526C">
              <w:rPr>
                <w:lang w:val="hu-HU"/>
              </w:rPr>
              <w:t xml:space="preserve"> Láz.</w:t>
            </w:r>
          </w:p>
          <w:p w14:paraId="57A0DA4A" w14:textId="6194E4B1" w:rsidR="00086472" w:rsidRPr="00F6526C" w:rsidRDefault="00CB75A4" w:rsidP="00B03A26">
            <w:pPr>
              <w:spacing w:before="40" w:after="40"/>
              <w:rPr>
                <w:b/>
                <w:lang w:val="hu-HU"/>
              </w:rPr>
            </w:pPr>
            <w:r w:rsidRPr="00F6526C">
              <w:rPr>
                <w:b/>
                <w:lang w:val="hu-HU"/>
              </w:rPr>
              <w:t xml:space="preserve">Nagyon ritka: </w:t>
            </w:r>
            <w:r w:rsidRPr="00F6526C">
              <w:rPr>
                <w:lang w:val="hu-HU"/>
              </w:rPr>
              <w:t>Fáradtság és rossz közérzet.</w:t>
            </w:r>
          </w:p>
        </w:tc>
      </w:tr>
      <w:tr w:rsidR="00086472" w:rsidRPr="006A48F0" w14:paraId="49085A94" w14:textId="77777777" w:rsidTr="00B03A26">
        <w:tc>
          <w:tcPr>
            <w:tcW w:w="2478" w:type="dxa"/>
          </w:tcPr>
          <w:p w14:paraId="37024A7F" w14:textId="0326B940" w:rsidR="00086472" w:rsidRPr="00F6526C" w:rsidRDefault="00B0447F" w:rsidP="00B03A26">
            <w:pPr>
              <w:spacing w:before="40" w:after="40"/>
              <w:rPr>
                <w:b/>
                <w:lang w:val="hu-HU"/>
              </w:rPr>
            </w:pPr>
            <w:r w:rsidRPr="00F6526C">
              <w:rPr>
                <w:b/>
                <w:lang w:val="hu-HU"/>
              </w:rPr>
              <w:t>Sérülés, mérgezés és a beavatkozással kapcsolatos szövődmények</w:t>
            </w:r>
          </w:p>
        </w:tc>
        <w:tc>
          <w:tcPr>
            <w:tcW w:w="6594" w:type="dxa"/>
          </w:tcPr>
          <w:p w14:paraId="6DF0C6D2" w14:textId="15BC8CA3" w:rsidR="00086472" w:rsidRPr="00F6526C" w:rsidRDefault="00885F53" w:rsidP="00B03A26">
            <w:pPr>
              <w:spacing w:before="40" w:after="40"/>
              <w:rPr>
                <w:lang w:val="hu-HU"/>
              </w:rPr>
            </w:pPr>
            <w:r w:rsidRPr="00F6526C">
              <w:rPr>
                <w:b/>
                <w:lang w:val="hu-HU"/>
              </w:rPr>
              <w:t xml:space="preserve">Nem gyakori: </w:t>
            </w:r>
            <w:r w:rsidRPr="00F6526C">
              <w:rPr>
                <w:lang w:val="hu-HU"/>
              </w:rPr>
              <w:t>Postoperatív vérzésről számoltak be tonsillectomia után.</w:t>
            </w:r>
          </w:p>
        </w:tc>
      </w:tr>
      <w:tr w:rsidR="00086472" w:rsidRPr="00F6526C" w14:paraId="567E11FE" w14:textId="77777777" w:rsidTr="00B03A26">
        <w:tc>
          <w:tcPr>
            <w:tcW w:w="2478" w:type="dxa"/>
          </w:tcPr>
          <w:p w14:paraId="6087B602" w14:textId="568DA550" w:rsidR="00086472" w:rsidRPr="00F6526C" w:rsidRDefault="008A267B" w:rsidP="00B03A26">
            <w:pPr>
              <w:spacing w:before="40" w:after="40"/>
              <w:rPr>
                <w:b/>
                <w:lang w:val="hu-HU"/>
              </w:rPr>
            </w:pPr>
            <w:r w:rsidRPr="00F6526C">
              <w:rPr>
                <w:b/>
                <w:lang w:val="hu-HU"/>
              </w:rPr>
              <w:lastRenderedPageBreak/>
              <w:t>Laboratóriumi és egyéb vizsgálatok eredményei</w:t>
            </w:r>
          </w:p>
        </w:tc>
        <w:tc>
          <w:tcPr>
            <w:tcW w:w="6594" w:type="dxa"/>
          </w:tcPr>
          <w:p w14:paraId="182E4461" w14:textId="7B03B45F" w:rsidR="00DB308C" w:rsidRPr="00F6526C" w:rsidRDefault="00DB308C" w:rsidP="00B03A26">
            <w:pPr>
              <w:spacing w:before="40" w:after="40"/>
              <w:rPr>
                <w:b/>
                <w:lang w:val="hu-HU"/>
              </w:rPr>
            </w:pPr>
            <w:r w:rsidRPr="00F6526C">
              <w:rPr>
                <w:b/>
                <w:lang w:val="hu-HU"/>
              </w:rPr>
              <w:t xml:space="preserve">Gyakori: </w:t>
            </w:r>
            <w:r w:rsidRPr="00F6526C">
              <w:rPr>
                <w:lang w:val="hu-HU"/>
              </w:rPr>
              <w:t>Emelkedett alanin-aminotranszferáz</w:t>
            </w:r>
            <w:r w:rsidR="007F7261">
              <w:rPr>
                <w:lang w:val="hu-HU"/>
              </w:rPr>
              <w:t>-</w:t>
            </w:r>
            <w:r w:rsidRPr="00F6526C">
              <w:rPr>
                <w:lang w:val="hu-HU"/>
              </w:rPr>
              <w:t>szint, emelkedett gamma-glutamiltranszferázszint és kóros májfunkció vizsgálati értékek paracetamollal.</w:t>
            </w:r>
          </w:p>
          <w:p w14:paraId="32A739FD" w14:textId="75C8424D" w:rsidR="00761D06" w:rsidRPr="00F6526C" w:rsidRDefault="00761D06" w:rsidP="00B03A26">
            <w:pPr>
              <w:spacing w:before="40" w:after="40"/>
              <w:rPr>
                <w:bCs/>
                <w:szCs w:val="22"/>
                <w:lang w:val="hu-HU"/>
              </w:rPr>
            </w:pPr>
            <w:r w:rsidRPr="00F6526C">
              <w:rPr>
                <w:bCs/>
                <w:szCs w:val="22"/>
                <w:lang w:val="hu-HU"/>
              </w:rPr>
              <w:t>Emelkedett kreatinin vérszint, emelkedett karbamidvérszint.</w:t>
            </w:r>
          </w:p>
          <w:p w14:paraId="6246E9E5" w14:textId="35B840DC" w:rsidR="00086472" w:rsidRPr="00F6526C" w:rsidRDefault="00C81181" w:rsidP="00B03A26">
            <w:pPr>
              <w:spacing w:before="40" w:after="40"/>
              <w:rPr>
                <w:lang w:val="hu-HU"/>
              </w:rPr>
            </w:pPr>
            <w:r w:rsidRPr="00F6526C">
              <w:rPr>
                <w:b/>
                <w:lang w:val="hu-HU"/>
              </w:rPr>
              <w:t xml:space="preserve">Nem gyakori: </w:t>
            </w:r>
            <w:r w:rsidRPr="00F6526C">
              <w:rPr>
                <w:lang w:val="hu-HU"/>
              </w:rPr>
              <w:t>Emelkedett aszpartát-aminotranszferáz</w:t>
            </w:r>
            <w:r w:rsidR="007F7261">
              <w:rPr>
                <w:lang w:val="hu-HU"/>
              </w:rPr>
              <w:t>-</w:t>
            </w:r>
            <w:r w:rsidRPr="00F6526C">
              <w:rPr>
                <w:lang w:val="hu-HU"/>
              </w:rPr>
              <w:t>szint, emelkedett alkalikusfoszfatáz</w:t>
            </w:r>
            <w:r w:rsidR="007F7261">
              <w:rPr>
                <w:lang w:val="hu-HU"/>
              </w:rPr>
              <w:t>-</w:t>
            </w:r>
            <w:r w:rsidR="00C24A9A" w:rsidRPr="00F6526C">
              <w:rPr>
                <w:lang w:val="hu-HU"/>
              </w:rPr>
              <w:t>vér</w:t>
            </w:r>
            <w:r w:rsidRPr="00F6526C">
              <w:rPr>
                <w:lang w:val="hu-HU"/>
              </w:rPr>
              <w:t>szint, emelkedett kreatin-foszfokináz</w:t>
            </w:r>
            <w:r w:rsidR="007F7261">
              <w:rPr>
                <w:lang w:val="hu-HU"/>
              </w:rPr>
              <w:t>-</w:t>
            </w:r>
            <w:r w:rsidR="00C24A9A" w:rsidRPr="00F6526C">
              <w:rPr>
                <w:lang w:val="hu-HU"/>
              </w:rPr>
              <w:t>vér</w:t>
            </w:r>
            <w:r w:rsidRPr="00F6526C">
              <w:rPr>
                <w:lang w:val="hu-HU"/>
              </w:rPr>
              <w:t>szint, csökkent hemoglobin</w:t>
            </w:r>
            <w:r w:rsidR="007F7261">
              <w:rPr>
                <w:lang w:val="hu-HU"/>
              </w:rPr>
              <w:t>-</w:t>
            </w:r>
            <w:r w:rsidRPr="00F6526C">
              <w:rPr>
                <w:lang w:val="hu-HU"/>
              </w:rPr>
              <w:t xml:space="preserve"> és emelkedett vérlemezkeszám.</w:t>
            </w:r>
          </w:p>
          <w:p w14:paraId="5587D187" w14:textId="4FF29BB3" w:rsidR="00086472" w:rsidRPr="00F6526C" w:rsidRDefault="007E6886" w:rsidP="00B03A26">
            <w:pPr>
              <w:spacing w:before="40" w:after="40"/>
              <w:rPr>
                <w:lang w:val="hu-HU"/>
              </w:rPr>
            </w:pPr>
            <w:r w:rsidRPr="00F6526C">
              <w:rPr>
                <w:b/>
                <w:lang w:val="hu-HU"/>
              </w:rPr>
              <w:t xml:space="preserve">Ritka: </w:t>
            </w:r>
            <w:r w:rsidRPr="00F6526C">
              <w:rPr>
                <w:lang w:val="hu-HU"/>
              </w:rPr>
              <w:t>Emelkedett húgysav-koncentráció a vérben.</w:t>
            </w:r>
          </w:p>
        </w:tc>
      </w:tr>
    </w:tbl>
    <w:p w14:paraId="72CD1984" w14:textId="77777777" w:rsidR="00086472" w:rsidRDefault="00086472" w:rsidP="002A1D35">
      <w:pPr>
        <w:tabs>
          <w:tab w:val="clear" w:pos="567"/>
          <w:tab w:val="left" w:pos="0"/>
        </w:tabs>
        <w:spacing w:line="240" w:lineRule="auto"/>
        <w:outlineLvl w:val="0"/>
        <w:rPr>
          <w:rFonts w:eastAsia="Times New Roman"/>
          <w:noProof/>
          <w:snapToGrid/>
          <w:szCs w:val="22"/>
          <w:lang w:val="hu-HU" w:eastAsia="en-US"/>
        </w:rPr>
      </w:pPr>
    </w:p>
    <w:p w14:paraId="3791DC46" w14:textId="7489DF6E" w:rsidR="006A48F0" w:rsidRPr="00545A77" w:rsidRDefault="009B4019" w:rsidP="006A48F0">
      <w:pPr>
        <w:tabs>
          <w:tab w:val="clear" w:pos="567"/>
          <w:tab w:val="left" w:pos="0"/>
        </w:tabs>
        <w:spacing w:line="240" w:lineRule="auto"/>
        <w:outlineLvl w:val="0"/>
        <w:rPr>
          <w:rFonts w:eastAsia="Times New Roman"/>
          <w:noProof/>
          <w:snapToGrid/>
          <w:szCs w:val="22"/>
          <w:u w:val="single"/>
          <w:lang w:val="hu-HU" w:eastAsia="en-US"/>
        </w:rPr>
      </w:pPr>
      <w:r w:rsidRPr="00545A77">
        <w:rPr>
          <w:rFonts w:eastAsia="Times New Roman"/>
          <w:noProof/>
          <w:snapToGrid/>
          <w:szCs w:val="22"/>
          <w:u w:val="single"/>
          <w:lang w:eastAsia="en-US"/>
        </w:rPr>
        <w:t>Néhány kiválasztott</w:t>
      </w:r>
      <w:r w:rsidR="006A48F0" w:rsidRPr="00545A77">
        <w:rPr>
          <w:rFonts w:eastAsia="Times New Roman"/>
          <w:noProof/>
          <w:snapToGrid/>
          <w:szCs w:val="22"/>
          <w:u w:val="single"/>
          <w:lang w:eastAsia="en-US"/>
        </w:rPr>
        <w:t xml:space="preserve"> mellékhatás leírása</w:t>
      </w:r>
    </w:p>
    <w:p w14:paraId="40E48D40" w14:textId="77777777" w:rsidR="006A48F0" w:rsidRPr="00F6526C" w:rsidRDefault="006A48F0" w:rsidP="002A1D35">
      <w:pPr>
        <w:tabs>
          <w:tab w:val="clear" w:pos="567"/>
          <w:tab w:val="left" w:pos="0"/>
        </w:tabs>
        <w:spacing w:line="240" w:lineRule="auto"/>
        <w:outlineLvl w:val="0"/>
        <w:rPr>
          <w:rFonts w:eastAsia="Times New Roman"/>
          <w:noProof/>
          <w:snapToGrid/>
          <w:szCs w:val="22"/>
          <w:lang w:val="hu-HU" w:eastAsia="en-US"/>
        </w:rPr>
      </w:pPr>
    </w:p>
    <w:p w14:paraId="67F2F010" w14:textId="0198E40F" w:rsidR="009248BC" w:rsidRPr="00F6526C" w:rsidRDefault="009248BC" w:rsidP="009248BC">
      <w:pPr>
        <w:tabs>
          <w:tab w:val="clear" w:pos="567"/>
          <w:tab w:val="left" w:pos="0"/>
        </w:tabs>
        <w:spacing w:line="240" w:lineRule="auto"/>
        <w:outlineLvl w:val="0"/>
        <w:rPr>
          <w:rFonts w:eastAsia="Times New Roman"/>
          <w:noProof/>
          <w:snapToGrid/>
          <w:szCs w:val="22"/>
          <w:lang w:val="hu-HU" w:eastAsia="en-US"/>
        </w:rPr>
      </w:pPr>
      <w:r w:rsidRPr="00F6526C">
        <w:rPr>
          <w:rFonts w:eastAsia="Times New Roman"/>
          <w:noProof/>
          <w:snapToGrid/>
          <w:szCs w:val="22"/>
          <w:lang w:val="hu-HU" w:eastAsia="en-US"/>
        </w:rPr>
        <w:t>A klinikai vizsgálatok arra utalnak, hogy az ibuprofén, különösen nagy adagban (2400 mg/nap) történő használata az artériás thr</w:t>
      </w:r>
      <w:r w:rsidR="00FD1941" w:rsidRPr="00F6526C">
        <w:rPr>
          <w:rFonts w:eastAsia="Times New Roman"/>
          <w:noProof/>
          <w:snapToGrid/>
          <w:szCs w:val="22"/>
          <w:lang w:val="hu-HU" w:eastAsia="en-US"/>
        </w:rPr>
        <w:t>ombotikus események (például my</w:t>
      </w:r>
      <w:r w:rsidRPr="00F6526C">
        <w:rPr>
          <w:rFonts w:eastAsia="Times New Roman"/>
          <w:noProof/>
          <w:snapToGrid/>
          <w:szCs w:val="22"/>
          <w:lang w:val="hu-HU" w:eastAsia="en-US"/>
        </w:rPr>
        <w:t>okardiális infarktus vagy stroke) kismértékben megnövekedett kockázatával járhat (lásd 4.4 pont).</w:t>
      </w:r>
    </w:p>
    <w:p w14:paraId="2D0A612C" w14:textId="77777777" w:rsidR="00F5194B" w:rsidRDefault="00F5194B" w:rsidP="00082A8E">
      <w:pPr>
        <w:spacing w:line="240" w:lineRule="auto"/>
        <w:rPr>
          <w:u w:val="single"/>
          <w:lang w:val="hu-HU"/>
        </w:rPr>
      </w:pPr>
    </w:p>
    <w:p w14:paraId="1B956216" w14:textId="684D81B5" w:rsidR="009B4019" w:rsidRDefault="006A48F0" w:rsidP="006A48F0">
      <w:pPr>
        <w:spacing w:line="240" w:lineRule="auto"/>
        <w:rPr>
          <w:lang w:val="hu-HU"/>
        </w:rPr>
      </w:pPr>
      <w:r w:rsidRPr="00545A77">
        <w:rPr>
          <w:i/>
          <w:lang w:val="hu-HU"/>
        </w:rPr>
        <w:t>Emelkedett anionréssel járó metabolikus acidózis</w:t>
      </w:r>
    </w:p>
    <w:p w14:paraId="608DD3FF" w14:textId="77777777" w:rsidR="009B4019" w:rsidRDefault="009B4019" w:rsidP="00082A8E">
      <w:pPr>
        <w:spacing w:line="240" w:lineRule="auto"/>
      </w:pPr>
      <w:r>
        <w:t>Piroglutamát-acidózis miatt kialakuló emelkedett anionréssel járó metabolikus acidózist figyeltek meg egyes olyan, paracetamolt alkalmazó betegek esetében, akiknél kockázati tényezők álltak fenn (lásd 4.4 pont). Ezeknél a betegeknél az alacsony glutationszint következtében piroglutamát-acidózis léphet fel.</w:t>
      </w:r>
    </w:p>
    <w:p w14:paraId="22CA6F4B" w14:textId="77777777" w:rsidR="006A48F0" w:rsidRPr="00F6526C" w:rsidRDefault="006A48F0" w:rsidP="00082A8E">
      <w:pPr>
        <w:spacing w:line="240" w:lineRule="auto"/>
        <w:rPr>
          <w:u w:val="single"/>
          <w:lang w:val="hu-HU"/>
        </w:rPr>
      </w:pPr>
    </w:p>
    <w:p w14:paraId="023E9427" w14:textId="77777777" w:rsidR="00F5194B" w:rsidRPr="00F6526C" w:rsidRDefault="00FC0857" w:rsidP="00497F75">
      <w:pPr>
        <w:spacing w:line="240" w:lineRule="auto"/>
        <w:rPr>
          <w:u w:val="single"/>
          <w:lang w:val="hu-HU"/>
        </w:rPr>
      </w:pPr>
      <w:r w:rsidRPr="00F6526C">
        <w:rPr>
          <w:u w:val="single"/>
          <w:lang w:val="hu-HU"/>
        </w:rPr>
        <w:t>Feltételezett mellékhatások bejelentése</w:t>
      </w:r>
    </w:p>
    <w:p w14:paraId="149F5679" w14:textId="6A21BC5D" w:rsidR="00F5194B" w:rsidRPr="00F6526C" w:rsidRDefault="00FC0857" w:rsidP="00082A8E">
      <w:pPr>
        <w:spacing w:line="240" w:lineRule="auto"/>
        <w:rPr>
          <w:lang w:val="hu-HU"/>
        </w:rPr>
      </w:pPr>
      <w:r w:rsidRPr="00F6526C">
        <w:rPr>
          <w:lang w:val="hu-HU"/>
        </w:rPr>
        <w:t>A gyógyszer engedélyezését követően lényeges a feltételezett mellékhatások bejelentése, mert ez fontos eszköze annak, hogy a gyógyszer előny/kockázat profilját folyamatosa</w:t>
      </w:r>
      <w:r w:rsidR="00D503F9" w:rsidRPr="00F6526C">
        <w:rPr>
          <w:lang w:val="hu-HU"/>
        </w:rPr>
        <w:t xml:space="preserve">n figyelemmel lehessen kísérni. </w:t>
      </w:r>
      <w:r w:rsidRPr="00F6526C">
        <w:rPr>
          <w:lang w:val="hu-HU"/>
        </w:rPr>
        <w:t xml:space="preserve">Az egészségügyi szakembereket kérjük, hogy jelentsék be a feltételezett mellékhatásokat a hatóság részére az </w:t>
      </w:r>
      <w:hyperlink r:id="rId8" w:history="1">
        <w:r w:rsidRPr="00F6526C">
          <w:rPr>
            <w:rStyle w:val="Hiperhivatkozs"/>
            <w:highlight w:val="lightGray"/>
            <w:lang w:val="hu-HU"/>
          </w:rPr>
          <w:t>V. füg</w:t>
        </w:r>
        <w:bookmarkStart w:id="0" w:name="_Hlt352075914"/>
        <w:bookmarkStart w:id="1" w:name="_Hlt352075915"/>
        <w:r w:rsidRPr="00F6526C">
          <w:rPr>
            <w:rStyle w:val="Hiperhivatkozs"/>
            <w:highlight w:val="lightGray"/>
            <w:lang w:val="hu-HU"/>
          </w:rPr>
          <w:t>g</w:t>
        </w:r>
        <w:bookmarkEnd w:id="0"/>
        <w:bookmarkEnd w:id="1"/>
        <w:r w:rsidRPr="00F6526C">
          <w:rPr>
            <w:rStyle w:val="Hiperhivatkozs"/>
            <w:highlight w:val="lightGray"/>
            <w:lang w:val="hu-HU"/>
          </w:rPr>
          <w:t>elékben</w:t>
        </w:r>
      </w:hyperlink>
      <w:r w:rsidRPr="00F6526C">
        <w:rPr>
          <w:highlight w:val="lightGray"/>
          <w:lang w:val="hu-HU"/>
        </w:rPr>
        <w:t xml:space="preserve"> található elérhetőségek valamelyikén keresztül</w:t>
      </w:r>
      <w:r w:rsidR="00790636" w:rsidRPr="00F6526C">
        <w:rPr>
          <w:lang w:val="hu-HU"/>
        </w:rPr>
        <w:t>.</w:t>
      </w:r>
    </w:p>
    <w:p w14:paraId="1AB21C64" w14:textId="77777777" w:rsidR="00682BCE" w:rsidRPr="00F6526C" w:rsidRDefault="00682BCE" w:rsidP="00682BCE">
      <w:pPr>
        <w:spacing w:line="240" w:lineRule="auto"/>
        <w:rPr>
          <w:rFonts w:eastAsia="Times New Roman"/>
          <w:b/>
          <w:noProof/>
          <w:snapToGrid/>
          <w:szCs w:val="22"/>
          <w:lang w:val="hu-HU" w:eastAsia="en-US"/>
        </w:rPr>
      </w:pPr>
    </w:p>
    <w:p w14:paraId="00C66B61" w14:textId="65BCE535" w:rsidR="00F45C51" w:rsidRPr="00F6526C" w:rsidRDefault="00FC0857" w:rsidP="006F7031">
      <w:pPr>
        <w:spacing w:line="240" w:lineRule="auto"/>
        <w:rPr>
          <w:rFonts w:eastAsia="Times New Roman"/>
          <w:b/>
          <w:noProof/>
          <w:snapToGrid/>
          <w:szCs w:val="22"/>
          <w:lang w:val="hu-HU" w:eastAsia="en-US"/>
        </w:rPr>
      </w:pPr>
      <w:r w:rsidRPr="00F6526C">
        <w:rPr>
          <w:rFonts w:eastAsia="Times New Roman"/>
          <w:b/>
          <w:noProof/>
          <w:snapToGrid/>
          <w:szCs w:val="22"/>
          <w:lang w:val="hu-HU" w:eastAsia="en-US"/>
        </w:rPr>
        <w:t>4.9</w:t>
      </w:r>
      <w:r w:rsidRPr="00F6526C">
        <w:rPr>
          <w:rFonts w:eastAsia="Times New Roman"/>
          <w:b/>
          <w:noProof/>
          <w:snapToGrid/>
          <w:szCs w:val="22"/>
          <w:lang w:val="hu-HU" w:eastAsia="en-US"/>
        </w:rPr>
        <w:tab/>
        <w:t>Túladagolás</w:t>
      </w:r>
    </w:p>
    <w:p w14:paraId="57120FE0" w14:textId="77777777" w:rsidR="00F45C51" w:rsidRPr="00F6526C" w:rsidRDefault="00F45C51" w:rsidP="00082A8E">
      <w:pPr>
        <w:spacing w:line="240" w:lineRule="auto"/>
        <w:ind w:left="567" w:hanging="567"/>
        <w:outlineLvl w:val="0"/>
        <w:rPr>
          <w:b/>
          <w:lang w:val="hu-HU"/>
        </w:rPr>
      </w:pPr>
    </w:p>
    <w:p w14:paraId="618EDC46" w14:textId="56070993" w:rsidR="00F21972" w:rsidRPr="00F6526C" w:rsidRDefault="00703141" w:rsidP="00082A8E">
      <w:pPr>
        <w:spacing w:line="240" w:lineRule="auto"/>
        <w:ind w:left="567" w:hanging="567"/>
        <w:outlineLvl w:val="0"/>
        <w:rPr>
          <w:u w:val="single"/>
          <w:lang w:val="hu-HU"/>
        </w:rPr>
      </w:pPr>
      <w:r w:rsidRPr="00F6526C">
        <w:rPr>
          <w:u w:val="single"/>
          <w:lang w:val="hu-HU"/>
        </w:rPr>
        <w:t>Tünetek</w:t>
      </w:r>
    </w:p>
    <w:p w14:paraId="6E5D7FBC" w14:textId="7FC8BBEC" w:rsidR="00121D73" w:rsidRPr="00F6526C" w:rsidRDefault="00121D73" w:rsidP="00082A8E">
      <w:pPr>
        <w:spacing w:line="240" w:lineRule="auto"/>
        <w:ind w:left="567" w:hanging="567"/>
        <w:outlineLvl w:val="0"/>
        <w:rPr>
          <w:b/>
          <w:i/>
          <w:lang w:val="hu-HU"/>
        </w:rPr>
      </w:pPr>
      <w:r w:rsidRPr="00F6526C">
        <w:rPr>
          <w:b/>
          <w:i/>
          <w:lang w:val="hu-HU"/>
        </w:rPr>
        <w:t>Paracetamol</w:t>
      </w:r>
    </w:p>
    <w:p w14:paraId="43AA083F" w14:textId="3A805161" w:rsidR="00F21972" w:rsidRPr="00F6526C" w:rsidRDefault="009A5C87" w:rsidP="00DF7EDE">
      <w:pPr>
        <w:spacing w:line="240" w:lineRule="auto"/>
        <w:outlineLvl w:val="0"/>
        <w:rPr>
          <w:lang w:val="hu-HU"/>
        </w:rPr>
      </w:pPr>
      <w:r w:rsidRPr="00F6526C">
        <w:rPr>
          <w:lang w:val="hu-HU"/>
        </w:rPr>
        <w:t xml:space="preserve">A paracetamol túladagolása májkárosodást, sőt akár </w:t>
      </w:r>
      <w:r w:rsidR="001812A5" w:rsidRPr="00F6526C">
        <w:rPr>
          <w:lang w:val="hu-HU"/>
        </w:rPr>
        <w:t>máj</w:t>
      </w:r>
      <w:r w:rsidRPr="00F6526C">
        <w:rPr>
          <w:lang w:val="hu-HU"/>
        </w:rPr>
        <w:t xml:space="preserve">elégtelenséget is okozhat. </w:t>
      </w:r>
      <w:r w:rsidR="001812A5" w:rsidRPr="00F6526C">
        <w:rPr>
          <w:lang w:val="hu-HU"/>
        </w:rPr>
        <w:t>A paracetamol</w:t>
      </w:r>
      <w:r w:rsidR="00A275FD">
        <w:rPr>
          <w:lang w:val="hu-HU"/>
        </w:rPr>
        <w:t>-</w:t>
      </w:r>
      <w:r w:rsidR="001812A5" w:rsidRPr="00F6526C">
        <w:rPr>
          <w:lang w:val="hu-HU"/>
        </w:rPr>
        <w:t>túladagolás tünetei közé az első 24 órában az alábbiak tartoznak: sápadtság, hányinger, hányás, étvágytalanság és hasi fájdalmak.</w:t>
      </w:r>
      <w:r w:rsidR="00CF60E3" w:rsidRPr="00F6526C">
        <w:rPr>
          <w:lang w:val="hu-HU"/>
        </w:rPr>
        <w:t xml:space="preserve"> A</w:t>
      </w:r>
      <w:r w:rsidR="008F6217" w:rsidRPr="00F6526C">
        <w:rPr>
          <w:lang w:val="hu-HU"/>
        </w:rPr>
        <w:t xml:space="preserve"> májkárosodás a bevétel után 12-</w:t>
      </w:r>
      <w:r w:rsidR="00CF60E3" w:rsidRPr="00F6526C">
        <w:rPr>
          <w:lang w:val="hu-HU"/>
        </w:rPr>
        <w:t xml:space="preserve">48 órával jelenik meg. </w:t>
      </w:r>
      <w:r w:rsidR="00DF7EDE" w:rsidRPr="00F6526C">
        <w:rPr>
          <w:lang w:val="hu-HU"/>
        </w:rPr>
        <w:t>Glükózanyagcsere</w:t>
      </w:r>
      <w:r w:rsidR="00A275FD">
        <w:rPr>
          <w:lang w:val="hu-HU"/>
        </w:rPr>
        <w:t>-</w:t>
      </w:r>
      <w:r w:rsidR="00DF7EDE" w:rsidRPr="00F6526C">
        <w:rPr>
          <w:lang w:val="hu-HU"/>
        </w:rPr>
        <w:t>rendellenességek és metabolikus acidózis fordulhat elő.</w:t>
      </w:r>
      <w:r w:rsidR="007373E4" w:rsidRPr="00F6526C">
        <w:rPr>
          <w:lang w:val="hu-HU"/>
        </w:rPr>
        <w:t xml:space="preserve"> </w:t>
      </w:r>
      <w:r w:rsidR="00820FAF" w:rsidRPr="00F6526C">
        <w:rPr>
          <w:lang w:val="hu-HU"/>
        </w:rPr>
        <w:t>Súlyos mérgezés esetén a májelégtelenség encephalopathiához, kómához és halálhoz vezethet.</w:t>
      </w:r>
      <w:r w:rsidR="00DF7EDE" w:rsidRPr="00F6526C">
        <w:rPr>
          <w:lang w:val="hu-HU"/>
        </w:rPr>
        <w:t xml:space="preserve"> </w:t>
      </w:r>
      <w:r w:rsidR="008F6217" w:rsidRPr="00F6526C">
        <w:rPr>
          <w:lang w:val="hu-HU"/>
        </w:rPr>
        <w:t>Tubuláris nekrózissal társuló a</w:t>
      </w:r>
      <w:r w:rsidR="00B0212C" w:rsidRPr="00F6526C">
        <w:rPr>
          <w:lang w:val="hu-HU"/>
        </w:rPr>
        <w:t>ku</w:t>
      </w:r>
      <w:r w:rsidR="001F04A6" w:rsidRPr="00F6526C">
        <w:rPr>
          <w:lang w:val="hu-HU"/>
        </w:rPr>
        <w:t xml:space="preserve">t veseelégtelenség </w:t>
      </w:r>
      <w:r w:rsidR="00B0212C" w:rsidRPr="00F6526C">
        <w:rPr>
          <w:lang w:val="hu-HU"/>
        </w:rPr>
        <w:t xml:space="preserve">alakulhat ki, akár </w:t>
      </w:r>
      <w:r w:rsidR="00163CBC" w:rsidRPr="00F6526C">
        <w:rPr>
          <w:lang w:val="hu-HU"/>
        </w:rPr>
        <w:t xml:space="preserve">súlyos </w:t>
      </w:r>
      <w:r w:rsidR="00B0212C" w:rsidRPr="00F6526C">
        <w:rPr>
          <w:lang w:val="hu-HU"/>
        </w:rPr>
        <w:t xml:space="preserve">májkárosodás hiányában is. </w:t>
      </w:r>
      <w:r w:rsidR="001D23D9" w:rsidRPr="00F6526C">
        <w:rPr>
          <w:lang w:val="hu-HU"/>
        </w:rPr>
        <w:t xml:space="preserve">Szívritmuszavarokat jelentettek. </w:t>
      </w:r>
      <w:r w:rsidR="006844D2" w:rsidRPr="00F6526C">
        <w:rPr>
          <w:lang w:val="hu-HU"/>
        </w:rPr>
        <w:t>A toxikus metabolitok felhalmozódása miatt májkárosodás lehetséges felnőtteknél olyan esetben, amikor 10 g vagy több paracetamol bevételére kerül sor.</w:t>
      </w:r>
    </w:p>
    <w:p w14:paraId="4BE68079" w14:textId="77777777" w:rsidR="00326B5E" w:rsidRPr="00F6526C" w:rsidRDefault="00326B5E" w:rsidP="00DF7EDE">
      <w:pPr>
        <w:spacing w:line="240" w:lineRule="auto"/>
        <w:outlineLvl w:val="0"/>
        <w:rPr>
          <w:lang w:val="hu-HU"/>
        </w:rPr>
      </w:pPr>
    </w:p>
    <w:p w14:paraId="64DB7C65" w14:textId="7EEDA832" w:rsidR="00326B5E" w:rsidRPr="00F6526C" w:rsidRDefault="00326B5E" w:rsidP="00DF7EDE">
      <w:pPr>
        <w:spacing w:line="240" w:lineRule="auto"/>
        <w:outlineLvl w:val="0"/>
        <w:rPr>
          <w:b/>
          <w:i/>
          <w:lang w:val="hu-HU"/>
        </w:rPr>
      </w:pPr>
      <w:r w:rsidRPr="00F6526C">
        <w:rPr>
          <w:b/>
          <w:i/>
          <w:lang w:val="hu-HU"/>
        </w:rPr>
        <w:t>Ibuprofén</w:t>
      </w:r>
    </w:p>
    <w:p w14:paraId="1FF8A31C" w14:textId="77777777" w:rsidR="00067111" w:rsidRPr="00F6526C" w:rsidRDefault="00EB07AA" w:rsidP="00DF7EDE">
      <w:pPr>
        <w:spacing w:line="240" w:lineRule="auto"/>
        <w:outlineLvl w:val="0"/>
        <w:rPr>
          <w:lang w:val="hu-HU"/>
        </w:rPr>
      </w:pPr>
      <w:r w:rsidRPr="00F6526C">
        <w:rPr>
          <w:lang w:val="hu-HU"/>
        </w:rPr>
        <w:t xml:space="preserve">A tünetek között szerepel hányinger, hasi fájdalom és hányás, szédülés, görcsök és ritkán eszméletvesztés. </w:t>
      </w:r>
      <w:r w:rsidR="000F45AA" w:rsidRPr="00F6526C">
        <w:rPr>
          <w:lang w:val="hu-HU"/>
        </w:rPr>
        <w:t>Az ibuprofén túladagolás klinikailag a központi idegrendszer és a légzőrendszer depressziójáh</w:t>
      </w:r>
      <w:r w:rsidR="00F729E0" w:rsidRPr="00F6526C">
        <w:rPr>
          <w:lang w:val="hu-HU"/>
        </w:rPr>
        <w:t>oz vezethet</w:t>
      </w:r>
      <w:r w:rsidR="000F45AA" w:rsidRPr="00F6526C">
        <w:rPr>
          <w:lang w:val="hu-HU"/>
        </w:rPr>
        <w:t>.</w:t>
      </w:r>
    </w:p>
    <w:p w14:paraId="3CF4FA06" w14:textId="77777777" w:rsidR="00067111" w:rsidRPr="00F6526C" w:rsidRDefault="00067111" w:rsidP="00DF7EDE">
      <w:pPr>
        <w:spacing w:line="240" w:lineRule="auto"/>
        <w:outlineLvl w:val="0"/>
        <w:rPr>
          <w:lang w:val="hu-HU"/>
        </w:rPr>
      </w:pPr>
    </w:p>
    <w:p w14:paraId="4AD25CCD" w14:textId="77777777" w:rsidR="00067111" w:rsidRPr="00F6526C" w:rsidRDefault="00067111" w:rsidP="00DF7EDE">
      <w:pPr>
        <w:spacing w:line="240" w:lineRule="auto"/>
        <w:outlineLvl w:val="0"/>
        <w:rPr>
          <w:lang w:val="hu-HU"/>
        </w:rPr>
      </w:pPr>
      <w:r w:rsidRPr="00F6526C">
        <w:rPr>
          <w:lang w:val="hu-HU"/>
        </w:rPr>
        <w:t>Súlyos mérgezés esetén metabolikus acidózis fordulhat elő.</w:t>
      </w:r>
    </w:p>
    <w:p w14:paraId="24895F66" w14:textId="77777777" w:rsidR="00067111" w:rsidRDefault="00067111" w:rsidP="00DF7EDE">
      <w:pPr>
        <w:spacing w:line="240" w:lineRule="auto"/>
        <w:outlineLvl w:val="0"/>
        <w:rPr>
          <w:lang w:val="hu-HU"/>
        </w:rPr>
      </w:pPr>
    </w:p>
    <w:p w14:paraId="3E52D494" w14:textId="0F5BE7FF" w:rsidR="00C30F10" w:rsidRPr="00C30F10" w:rsidRDefault="00C30F10" w:rsidP="00DF7EDE">
      <w:pPr>
        <w:spacing w:line="240" w:lineRule="auto"/>
        <w:outlineLvl w:val="0"/>
        <w:rPr>
          <w:lang w:val="hu-HU"/>
        </w:rPr>
      </w:pPr>
      <w:r w:rsidRPr="00126B66">
        <w:rPr>
          <w:lang w:val="hu-HU"/>
        </w:rPr>
        <w:t xml:space="preserve">Az ajánlottnál nagyobb adagok hosszan tartó alkalmazása vagy túladagolása </w:t>
      </w:r>
      <w:r w:rsidR="002310C7">
        <w:rPr>
          <w:lang w:val="hu-HU"/>
        </w:rPr>
        <w:t xml:space="preserve">renalis </w:t>
      </w:r>
      <w:r w:rsidRPr="00126B66">
        <w:rPr>
          <w:lang w:val="hu-HU"/>
        </w:rPr>
        <w:t>tubul</w:t>
      </w:r>
      <w:r w:rsidR="002310C7">
        <w:rPr>
          <w:lang w:val="hu-HU"/>
        </w:rPr>
        <w:t>a</w:t>
      </w:r>
      <w:r w:rsidRPr="00126B66">
        <w:rPr>
          <w:lang w:val="hu-HU"/>
        </w:rPr>
        <w:t>ris acid</w:t>
      </w:r>
      <w:r w:rsidR="002310C7">
        <w:rPr>
          <w:lang w:val="hu-HU"/>
        </w:rPr>
        <w:t>osi</w:t>
      </w:r>
      <w:r w:rsidRPr="00126B66">
        <w:rPr>
          <w:lang w:val="hu-HU"/>
        </w:rPr>
        <w:t>st és hypokalaemiát okozhat.</w:t>
      </w:r>
    </w:p>
    <w:p w14:paraId="7F177DA6" w14:textId="77777777" w:rsidR="00C30F10" w:rsidRPr="00F6526C" w:rsidRDefault="00C30F10" w:rsidP="00DF7EDE">
      <w:pPr>
        <w:spacing w:line="240" w:lineRule="auto"/>
        <w:outlineLvl w:val="0"/>
        <w:rPr>
          <w:lang w:val="hu-HU"/>
        </w:rPr>
      </w:pPr>
    </w:p>
    <w:p w14:paraId="04B6672E" w14:textId="67BEBBFF" w:rsidR="00250C35" w:rsidRPr="00F6526C" w:rsidRDefault="00D5081A" w:rsidP="00DF7EDE">
      <w:pPr>
        <w:spacing w:line="240" w:lineRule="auto"/>
        <w:outlineLvl w:val="0"/>
        <w:rPr>
          <w:u w:val="single"/>
          <w:lang w:val="hu-HU"/>
        </w:rPr>
      </w:pPr>
      <w:r w:rsidRPr="00F6526C">
        <w:rPr>
          <w:u w:val="single"/>
          <w:lang w:val="hu-HU"/>
        </w:rPr>
        <w:t>Kezelés</w:t>
      </w:r>
    </w:p>
    <w:p w14:paraId="570DE0BD" w14:textId="77777777" w:rsidR="0052577C" w:rsidRPr="00F6526C" w:rsidRDefault="0052577C" w:rsidP="0052577C">
      <w:pPr>
        <w:spacing w:line="240" w:lineRule="auto"/>
        <w:ind w:left="567" w:hanging="567"/>
        <w:outlineLvl w:val="0"/>
        <w:rPr>
          <w:b/>
          <w:i/>
          <w:lang w:val="hu-HU"/>
        </w:rPr>
      </w:pPr>
      <w:r w:rsidRPr="00F6526C">
        <w:rPr>
          <w:b/>
          <w:i/>
          <w:lang w:val="hu-HU"/>
        </w:rPr>
        <w:t>Paracetamol</w:t>
      </w:r>
    </w:p>
    <w:p w14:paraId="5A6205D0" w14:textId="5B79D5E1" w:rsidR="002B3C5C" w:rsidRPr="00F6526C" w:rsidRDefault="00674B9B" w:rsidP="00DF7EDE">
      <w:pPr>
        <w:spacing w:line="240" w:lineRule="auto"/>
        <w:outlineLvl w:val="0"/>
        <w:rPr>
          <w:lang w:val="hu-HU"/>
        </w:rPr>
      </w:pPr>
      <w:r w:rsidRPr="00F6526C">
        <w:rPr>
          <w:lang w:val="hu-HU"/>
        </w:rPr>
        <w:t>Paracetamol</w:t>
      </w:r>
      <w:r w:rsidR="003206B3">
        <w:rPr>
          <w:lang w:val="hu-HU"/>
        </w:rPr>
        <w:t>-</w:t>
      </w:r>
      <w:r w:rsidRPr="00F6526C">
        <w:rPr>
          <w:lang w:val="hu-HU"/>
        </w:rPr>
        <w:t xml:space="preserve">túladagolás esetén nélkülözhetetlen az azonnali kezelés, még a </w:t>
      </w:r>
      <w:r w:rsidR="00E37F69" w:rsidRPr="00F6526C">
        <w:rPr>
          <w:lang w:val="hu-HU"/>
        </w:rPr>
        <w:t>nyilvánvaló</w:t>
      </w:r>
      <w:r w:rsidRPr="00F6526C">
        <w:rPr>
          <w:lang w:val="hu-HU"/>
        </w:rPr>
        <w:t xml:space="preserve"> tünetek hiánya esetén is, mert májkárosodás akár néhány óráva</w:t>
      </w:r>
      <w:r w:rsidR="00F74483" w:rsidRPr="00F6526C">
        <w:rPr>
          <w:lang w:val="hu-HU"/>
        </w:rPr>
        <w:t>l vagy nappal később is megjelenhet</w:t>
      </w:r>
      <w:r w:rsidRPr="00F6526C">
        <w:rPr>
          <w:lang w:val="hu-HU"/>
        </w:rPr>
        <w:t>.</w:t>
      </w:r>
      <w:r w:rsidR="00B67EF4" w:rsidRPr="00F6526C">
        <w:rPr>
          <w:lang w:val="hu-HU"/>
        </w:rPr>
        <w:t xml:space="preserve"> Az orvosi kezelés megkezdése haladéktalanul tanácsos minden olyan beteg esetében, aki az elmúlt 4 órában 7,5</w:t>
      </w:r>
      <w:r w:rsidR="003206B3">
        <w:rPr>
          <w:lang w:val="hu-HU"/>
        </w:rPr>
        <w:t> </w:t>
      </w:r>
      <w:r w:rsidR="00B67EF4" w:rsidRPr="00F6526C">
        <w:rPr>
          <w:lang w:val="hu-HU"/>
        </w:rPr>
        <w:t xml:space="preserve">g vagy annál több paracetamolt kapott. </w:t>
      </w:r>
      <w:r w:rsidR="00B11E34" w:rsidRPr="00F6526C">
        <w:rPr>
          <w:lang w:val="hu-HU"/>
        </w:rPr>
        <w:t>A gyomormosást mérlegelni kell.</w:t>
      </w:r>
      <w:r w:rsidR="00F92B3C" w:rsidRPr="00F6526C">
        <w:rPr>
          <w:lang w:val="hu-HU"/>
        </w:rPr>
        <w:t xml:space="preserve"> A májkárosodás </w:t>
      </w:r>
      <w:r w:rsidR="00F92B3C" w:rsidRPr="00F6526C">
        <w:rPr>
          <w:lang w:val="hu-HU"/>
        </w:rPr>
        <w:lastRenderedPageBreak/>
        <w:t xml:space="preserve">elkerülése végett a célzott terápiát mielőbb meg kell kezdeni, olyan antidotummal, mint például az acetilcisztein (intravénás) vagy metionin (orális). </w:t>
      </w:r>
    </w:p>
    <w:p w14:paraId="13BE10BD" w14:textId="77777777" w:rsidR="002B3C5C" w:rsidRPr="00F6526C" w:rsidRDefault="002B3C5C" w:rsidP="00DF7EDE">
      <w:pPr>
        <w:spacing w:line="240" w:lineRule="auto"/>
        <w:outlineLvl w:val="0"/>
        <w:rPr>
          <w:lang w:val="hu-HU"/>
        </w:rPr>
      </w:pPr>
    </w:p>
    <w:p w14:paraId="097E8DAD" w14:textId="006C7B7B" w:rsidR="0052577C" w:rsidRPr="00F6526C" w:rsidRDefault="00574B81" w:rsidP="00DF7EDE">
      <w:pPr>
        <w:spacing w:line="240" w:lineRule="auto"/>
        <w:outlineLvl w:val="0"/>
        <w:rPr>
          <w:lang w:val="hu-HU"/>
        </w:rPr>
      </w:pPr>
      <w:r w:rsidRPr="00F6526C">
        <w:rPr>
          <w:lang w:val="hu-HU"/>
        </w:rPr>
        <w:t>Az acetilcisztein a leghatékonyabb, ha a túladagolást követő első 8 órában alkalmazzák, hatásossága a túladagolást k</w:t>
      </w:r>
      <w:r w:rsidR="00787213" w:rsidRPr="00F6526C">
        <w:rPr>
          <w:lang w:val="hu-HU"/>
        </w:rPr>
        <w:t>övető 8 órától 16 óráig terjedő</w:t>
      </w:r>
      <w:r w:rsidRPr="00F6526C">
        <w:rPr>
          <w:lang w:val="hu-HU"/>
        </w:rPr>
        <w:t xml:space="preserve"> időszakban fokozatosan csökken. </w:t>
      </w:r>
      <w:r w:rsidR="00AA1980" w:rsidRPr="00F6526C">
        <w:rPr>
          <w:lang w:val="hu-HU"/>
        </w:rPr>
        <w:t xml:space="preserve">Korábban azt hitték, hogy a túladagolás után több mint 15 órával megkezdett kezelésnek nincs haszna, </w:t>
      </w:r>
      <w:r w:rsidR="00826BB3" w:rsidRPr="00F6526C">
        <w:rPr>
          <w:lang w:val="hu-HU"/>
        </w:rPr>
        <w:t>é</w:t>
      </w:r>
      <w:r w:rsidR="00B17D86" w:rsidRPr="00F6526C">
        <w:rPr>
          <w:lang w:val="hu-HU"/>
        </w:rPr>
        <w:t xml:space="preserve">s </w:t>
      </w:r>
      <w:r w:rsidR="00826BB3" w:rsidRPr="00F6526C">
        <w:rPr>
          <w:lang w:val="hu-HU"/>
        </w:rPr>
        <w:t>fokozhatja a hepatikus encephalopathia</w:t>
      </w:r>
      <w:r w:rsidR="00AA1980" w:rsidRPr="00F6526C">
        <w:rPr>
          <w:lang w:val="hu-HU"/>
        </w:rPr>
        <w:t xml:space="preserve"> kockázatát.</w:t>
      </w:r>
      <w:r w:rsidR="00EF1297" w:rsidRPr="00F6526C">
        <w:rPr>
          <w:lang w:val="hu-HU"/>
        </w:rPr>
        <w:t xml:space="preserve"> </w:t>
      </w:r>
      <w:r w:rsidR="005E69AC" w:rsidRPr="00F6526C">
        <w:rPr>
          <w:lang w:val="hu-HU"/>
        </w:rPr>
        <w:t xml:space="preserve">A késői adagolásról azonban bebizonyosodott, hogy biztonságos, és a túladagolás után 36 órán belül kezelt betegekkel végzett vizsgálatok azt sugallják, hogy a kedvező eredmények 15 órán túl is elérhetők. </w:t>
      </w:r>
      <w:r w:rsidR="001D370B" w:rsidRPr="00F6526C">
        <w:rPr>
          <w:lang w:val="hu-HU"/>
        </w:rPr>
        <w:t>Ezenkívül az intravénás acetilcisztein kezelés olyan betegek esetén is csökkentette a morbiditást és mortalitást, akiknél már kialakult fulmináns májelégtelenség.</w:t>
      </w:r>
    </w:p>
    <w:p w14:paraId="534DB27C" w14:textId="77777777" w:rsidR="000C1B73" w:rsidRPr="00F6526C" w:rsidRDefault="000C1B73" w:rsidP="00DF7EDE">
      <w:pPr>
        <w:spacing w:line="240" w:lineRule="auto"/>
        <w:outlineLvl w:val="0"/>
        <w:rPr>
          <w:lang w:val="hu-HU"/>
        </w:rPr>
      </w:pPr>
    </w:p>
    <w:p w14:paraId="297254C2" w14:textId="47BD744C" w:rsidR="002262A5" w:rsidRPr="00F6526C" w:rsidRDefault="002262A5" w:rsidP="00DF7EDE">
      <w:pPr>
        <w:spacing w:line="240" w:lineRule="auto"/>
        <w:outlineLvl w:val="0"/>
        <w:rPr>
          <w:lang w:val="hu-HU"/>
        </w:rPr>
      </w:pPr>
      <w:r w:rsidRPr="00F6526C">
        <w:rPr>
          <w:lang w:val="hu-HU"/>
        </w:rPr>
        <w:t>Az acetilcisztein kezd</w:t>
      </w:r>
      <w:r w:rsidR="003F3935" w:rsidRPr="00F6526C">
        <w:rPr>
          <w:lang w:val="hu-HU"/>
        </w:rPr>
        <w:t>ő adagja 150 mg/ttkg, 200 ml 5%</w:t>
      </w:r>
      <w:r w:rsidRPr="00F6526C">
        <w:rPr>
          <w:lang w:val="hu-HU"/>
        </w:rPr>
        <w:t>-os glükózoldatban 15 perc alatt, intravénásan. Majd ezt követi 50 mg/ttkg-os adag 500 ml 5%-os glükózoldatban infúzióban 4 óra alatt; végül 100 mg</w:t>
      </w:r>
      <w:r w:rsidR="003F3935" w:rsidRPr="00F6526C">
        <w:rPr>
          <w:lang w:val="hu-HU"/>
        </w:rPr>
        <w:t>/ttkg acetilcisztein 1 liter 5%</w:t>
      </w:r>
      <w:r w:rsidRPr="00F6526C">
        <w:rPr>
          <w:lang w:val="hu-HU"/>
        </w:rPr>
        <w:t>-os glükóz</w:t>
      </w:r>
      <w:r w:rsidR="003F3935" w:rsidRPr="00F6526C">
        <w:rPr>
          <w:lang w:val="hu-HU"/>
        </w:rPr>
        <w:t>oldat</w:t>
      </w:r>
      <w:r w:rsidRPr="00F6526C">
        <w:rPr>
          <w:lang w:val="hu-HU"/>
        </w:rPr>
        <w:t>ban 16 óra alatt intravénásan beadva. Az intravénásan beadott folyadékmennyiségeket gyermekek esetén módosítani kell.</w:t>
      </w:r>
    </w:p>
    <w:p w14:paraId="5497BA16" w14:textId="77777777" w:rsidR="00F67DA7" w:rsidRPr="00F6526C" w:rsidRDefault="00F67DA7" w:rsidP="00DF7EDE">
      <w:pPr>
        <w:spacing w:line="240" w:lineRule="auto"/>
        <w:outlineLvl w:val="0"/>
        <w:rPr>
          <w:lang w:val="hu-HU"/>
        </w:rPr>
      </w:pPr>
    </w:p>
    <w:p w14:paraId="5BCACFA8" w14:textId="6C0EF5A6" w:rsidR="00F67DA7" w:rsidRPr="00F6526C" w:rsidRDefault="007216D5" w:rsidP="00DF7EDE">
      <w:pPr>
        <w:spacing w:line="240" w:lineRule="auto"/>
        <w:outlineLvl w:val="0"/>
        <w:rPr>
          <w:lang w:val="hu-HU"/>
        </w:rPr>
      </w:pPr>
      <w:r w:rsidRPr="00F6526C">
        <w:rPr>
          <w:lang w:val="hu-HU"/>
        </w:rPr>
        <w:t>A metionin kezelés szájon át történik, 2,5 g-onként 4 óránként,10 g összdózis eléréséig. A metionin kezelést el kell kezdeni a paracetamol mérgezést követő 10 órán belül, máskülönben nem hatásos, és súlyosbíthatja a májkárosodást.</w:t>
      </w:r>
      <w:r w:rsidR="009943F4" w:rsidRPr="00F6526C">
        <w:rPr>
          <w:lang w:val="hu-HU"/>
        </w:rPr>
        <w:t xml:space="preserve"> </w:t>
      </w:r>
    </w:p>
    <w:p w14:paraId="4DBE1E31" w14:textId="77777777" w:rsidR="00063E4A" w:rsidRPr="00F6526C" w:rsidRDefault="00063E4A" w:rsidP="00DF7EDE">
      <w:pPr>
        <w:spacing w:line="240" w:lineRule="auto"/>
        <w:outlineLvl w:val="0"/>
        <w:rPr>
          <w:lang w:val="hu-HU"/>
        </w:rPr>
      </w:pPr>
    </w:p>
    <w:p w14:paraId="11992D72" w14:textId="5CC9DF2B" w:rsidR="00063E4A" w:rsidRPr="00F6526C" w:rsidRDefault="00063E4A" w:rsidP="00DF7EDE">
      <w:pPr>
        <w:spacing w:line="240" w:lineRule="auto"/>
        <w:outlineLvl w:val="0"/>
        <w:rPr>
          <w:lang w:val="hu-HU"/>
        </w:rPr>
      </w:pPr>
      <w:r w:rsidRPr="00F6526C">
        <w:rPr>
          <w:lang w:val="hu-HU"/>
        </w:rPr>
        <w:t>Előfordulhat,</w:t>
      </w:r>
      <w:r w:rsidR="00787213" w:rsidRPr="00F6526C">
        <w:rPr>
          <w:lang w:val="hu-HU"/>
        </w:rPr>
        <w:t xml:space="preserve"> </w:t>
      </w:r>
      <w:r w:rsidRPr="00F6526C">
        <w:rPr>
          <w:lang w:val="hu-HU"/>
        </w:rPr>
        <w:t>hogy a súlyos tünetek a túladagolást követően 4-5 napig nem jelentkeznek, és a betegeket hosszabb ideig gondosan meg kell figyelni.</w:t>
      </w:r>
    </w:p>
    <w:p w14:paraId="01CB449D" w14:textId="77777777" w:rsidR="0023571F" w:rsidRPr="00F6526C" w:rsidRDefault="0023571F" w:rsidP="00DF7EDE">
      <w:pPr>
        <w:spacing w:line="240" w:lineRule="auto"/>
        <w:outlineLvl w:val="0"/>
        <w:rPr>
          <w:lang w:val="hu-HU"/>
        </w:rPr>
      </w:pPr>
    </w:p>
    <w:p w14:paraId="6E13FED8" w14:textId="10248D13" w:rsidR="0023571F" w:rsidRPr="00F6526C" w:rsidRDefault="0023571F" w:rsidP="00DF7EDE">
      <w:pPr>
        <w:spacing w:line="240" w:lineRule="auto"/>
        <w:outlineLvl w:val="0"/>
        <w:rPr>
          <w:b/>
          <w:i/>
          <w:lang w:val="hu-HU"/>
        </w:rPr>
      </w:pPr>
      <w:r w:rsidRPr="00F6526C">
        <w:rPr>
          <w:b/>
          <w:i/>
          <w:lang w:val="hu-HU"/>
        </w:rPr>
        <w:t>Ibuprofén</w:t>
      </w:r>
    </w:p>
    <w:p w14:paraId="42961B4C" w14:textId="405B3CAB" w:rsidR="00F45C51" w:rsidRPr="00F6526C" w:rsidRDefault="00F51757" w:rsidP="00DB7FF3">
      <w:pPr>
        <w:spacing w:line="240" w:lineRule="auto"/>
        <w:outlineLvl w:val="0"/>
        <w:rPr>
          <w:lang w:val="hu-HU"/>
        </w:rPr>
      </w:pPr>
      <w:r w:rsidRPr="00F6526C">
        <w:rPr>
          <w:lang w:val="hu-HU"/>
        </w:rPr>
        <w:t>A kezelés tüneti és támogató, magában foglalja a légutak átjárhatóságának biztosítását és a szív- és a vitális paraméterek monitorozását, amíg stabilakká nem válnak.</w:t>
      </w:r>
      <w:r w:rsidR="00AF533A" w:rsidRPr="00F6526C">
        <w:rPr>
          <w:lang w:val="hu-HU"/>
        </w:rPr>
        <w:t xml:space="preserve"> Gyomormosás csak az életet veszélyeztető adag bevétele után 60 percen belül ajánlott. </w:t>
      </w:r>
      <w:r w:rsidR="006B1E3F" w:rsidRPr="00F6526C">
        <w:rPr>
          <w:lang w:val="hu-HU"/>
        </w:rPr>
        <w:t xml:space="preserve">Mivel a gyógyszer savas </w:t>
      </w:r>
      <w:r w:rsidR="003206B3">
        <w:rPr>
          <w:lang w:val="hu-HU"/>
        </w:rPr>
        <w:t>kém</w:t>
      </w:r>
      <w:r w:rsidR="003206B3" w:rsidRPr="00F6526C">
        <w:rPr>
          <w:lang w:val="hu-HU"/>
        </w:rPr>
        <w:t>hatású</w:t>
      </w:r>
      <w:r w:rsidR="006B1E3F" w:rsidRPr="00F6526C">
        <w:rPr>
          <w:lang w:val="hu-HU"/>
        </w:rPr>
        <w:t xml:space="preserve">, és kiválasztódik a vizelettel, elméletileg előnyös lúgos </w:t>
      </w:r>
      <w:r w:rsidR="003206B3">
        <w:rPr>
          <w:lang w:val="hu-HU"/>
        </w:rPr>
        <w:t>kém</w:t>
      </w:r>
      <w:r w:rsidR="003206B3" w:rsidRPr="00F6526C">
        <w:rPr>
          <w:lang w:val="hu-HU"/>
        </w:rPr>
        <w:t xml:space="preserve">hatású </w:t>
      </w:r>
      <w:r w:rsidR="006B1E3F" w:rsidRPr="00F6526C">
        <w:rPr>
          <w:lang w:val="hu-HU"/>
        </w:rPr>
        <w:t>készítmény alkalmazása és a diurézis indukálása.</w:t>
      </w:r>
      <w:r w:rsidR="000B7C56" w:rsidRPr="00F6526C">
        <w:rPr>
          <w:lang w:val="hu-HU"/>
        </w:rPr>
        <w:t xml:space="preserve"> A szupportív terápia mellett az orális aktív szén kezelés csökkentheti az ibuprofén tabletta felszívódását és reabszorpcióját.</w:t>
      </w:r>
    </w:p>
    <w:p w14:paraId="13A20A5A" w14:textId="77777777" w:rsidR="00F45C51" w:rsidRPr="00F6526C" w:rsidRDefault="00F45C51" w:rsidP="00082A8E">
      <w:pPr>
        <w:spacing w:line="240" w:lineRule="auto"/>
        <w:ind w:left="567" w:hanging="567"/>
        <w:outlineLvl w:val="0"/>
        <w:rPr>
          <w:b/>
          <w:lang w:val="hu-HU"/>
        </w:rPr>
      </w:pPr>
    </w:p>
    <w:p w14:paraId="5C5AA53A" w14:textId="50FF1B80" w:rsidR="00F45C51" w:rsidRPr="00F6526C" w:rsidRDefault="00FC0857" w:rsidP="00E8277D">
      <w:pPr>
        <w:spacing w:before="120" w:after="120" w:line="240" w:lineRule="auto"/>
        <w:ind w:left="567" w:hanging="567"/>
        <w:outlineLvl w:val="0"/>
        <w:rPr>
          <w:rFonts w:eastAsia="Times New Roman"/>
          <w:b/>
          <w:noProof/>
          <w:snapToGrid/>
          <w:szCs w:val="22"/>
          <w:lang w:val="hu-HU" w:eastAsia="en-US"/>
        </w:rPr>
      </w:pPr>
      <w:r w:rsidRPr="00F6526C">
        <w:rPr>
          <w:rFonts w:eastAsia="Times New Roman"/>
          <w:b/>
          <w:noProof/>
          <w:snapToGrid/>
          <w:szCs w:val="22"/>
          <w:lang w:val="hu-HU" w:eastAsia="en-US"/>
        </w:rPr>
        <w:t>5.</w:t>
      </w:r>
      <w:r w:rsidRPr="00F6526C">
        <w:rPr>
          <w:rFonts w:eastAsia="Times New Roman"/>
          <w:b/>
          <w:noProof/>
          <w:snapToGrid/>
          <w:szCs w:val="22"/>
          <w:lang w:val="hu-HU" w:eastAsia="en-US"/>
        </w:rPr>
        <w:tab/>
        <w:t>FARMAKOLÓGIAI TULAJDONSÁGOK</w:t>
      </w:r>
    </w:p>
    <w:p w14:paraId="1C818C2C" w14:textId="77777777" w:rsidR="00F45C51" w:rsidRPr="00F6526C" w:rsidRDefault="00FC0857" w:rsidP="00E8277D">
      <w:pPr>
        <w:spacing w:before="240" w:after="120" w:line="240" w:lineRule="auto"/>
        <w:ind w:left="567" w:hanging="567"/>
        <w:outlineLvl w:val="0"/>
        <w:rPr>
          <w:rFonts w:eastAsia="Times New Roman"/>
          <w:b/>
          <w:noProof/>
          <w:snapToGrid/>
          <w:szCs w:val="22"/>
          <w:lang w:val="hu-HU" w:eastAsia="en-US"/>
        </w:rPr>
      </w:pPr>
      <w:r w:rsidRPr="00F6526C">
        <w:rPr>
          <w:rFonts w:eastAsia="Times New Roman"/>
          <w:b/>
          <w:noProof/>
          <w:snapToGrid/>
          <w:szCs w:val="22"/>
          <w:lang w:val="hu-HU" w:eastAsia="en-US"/>
        </w:rPr>
        <w:t>5.1</w:t>
      </w:r>
      <w:r w:rsidRPr="00F6526C">
        <w:rPr>
          <w:rFonts w:eastAsia="Times New Roman"/>
          <w:b/>
          <w:noProof/>
          <w:snapToGrid/>
          <w:szCs w:val="22"/>
          <w:lang w:val="hu-HU" w:eastAsia="en-US"/>
        </w:rPr>
        <w:tab/>
        <w:t>Farmakodinámiás tulajdonságok</w:t>
      </w:r>
    </w:p>
    <w:p w14:paraId="512E973A" w14:textId="77777777" w:rsidR="00A14720" w:rsidRPr="00F6526C" w:rsidRDefault="00A14720" w:rsidP="00E8277D">
      <w:pPr>
        <w:autoSpaceDE w:val="0"/>
        <w:autoSpaceDN w:val="0"/>
        <w:adjustRightInd w:val="0"/>
        <w:spacing w:line="271" w:lineRule="auto"/>
        <w:rPr>
          <w:rFonts w:eastAsia="Times New Roman"/>
          <w:snapToGrid/>
          <w:szCs w:val="22"/>
          <w:lang w:val="hu-HU" w:eastAsia="en-US"/>
        </w:rPr>
      </w:pPr>
    </w:p>
    <w:p w14:paraId="036C6850" w14:textId="77777777" w:rsidR="00A14720" w:rsidRPr="00F6526C" w:rsidRDefault="00A14720" w:rsidP="00E8277D">
      <w:pPr>
        <w:autoSpaceDE w:val="0"/>
        <w:autoSpaceDN w:val="0"/>
        <w:adjustRightInd w:val="0"/>
        <w:spacing w:line="271" w:lineRule="auto"/>
        <w:rPr>
          <w:rFonts w:eastAsia="Times New Roman"/>
          <w:snapToGrid/>
          <w:szCs w:val="22"/>
          <w:lang w:val="hu-HU" w:eastAsia="en-US"/>
        </w:rPr>
      </w:pPr>
      <w:r w:rsidRPr="00F6526C">
        <w:rPr>
          <w:rFonts w:eastAsia="Times New Roman"/>
          <w:snapToGrid/>
          <w:szCs w:val="22"/>
          <w:lang w:val="hu-HU" w:eastAsia="en-US"/>
        </w:rPr>
        <w:t xml:space="preserve">Farmakoterápiás csoport: Egyéb Analgetikumok </w:t>
      </w:r>
      <w:r w:rsidRPr="00F6526C">
        <w:rPr>
          <w:rFonts w:eastAsia="Times New Roman"/>
          <w:bCs/>
          <w:iCs/>
          <w:snapToGrid/>
          <w:szCs w:val="22"/>
          <w:lang w:val="hu-HU" w:eastAsia="en-US"/>
        </w:rPr>
        <w:t>és</w:t>
      </w:r>
      <w:r w:rsidRPr="00F6526C">
        <w:rPr>
          <w:rFonts w:eastAsia="Times New Roman"/>
          <w:snapToGrid/>
          <w:szCs w:val="22"/>
          <w:lang w:val="hu-HU" w:eastAsia="en-US"/>
        </w:rPr>
        <w:t xml:space="preserve"> Antipiretikumok, Anilidek; ATC kód: N02BE51.</w:t>
      </w:r>
    </w:p>
    <w:p w14:paraId="70EA692D" w14:textId="77777777" w:rsidR="00A14720" w:rsidRPr="00F6526C" w:rsidRDefault="00A14720" w:rsidP="00E8277D">
      <w:pPr>
        <w:autoSpaceDE w:val="0"/>
        <w:autoSpaceDN w:val="0"/>
        <w:adjustRightInd w:val="0"/>
        <w:spacing w:line="271" w:lineRule="auto"/>
        <w:rPr>
          <w:rFonts w:eastAsia="Times New Roman"/>
          <w:snapToGrid/>
          <w:szCs w:val="22"/>
          <w:lang w:val="hu-HU" w:eastAsia="en-US"/>
        </w:rPr>
      </w:pPr>
    </w:p>
    <w:p w14:paraId="6BD1D250" w14:textId="77777777" w:rsidR="00A14720" w:rsidRPr="00F6526C" w:rsidRDefault="00A14720" w:rsidP="00E8277D">
      <w:pPr>
        <w:numPr>
          <w:ilvl w:val="0"/>
          <w:numId w:val="3"/>
        </w:numPr>
        <w:tabs>
          <w:tab w:val="clear" w:pos="360"/>
        </w:tabs>
        <w:autoSpaceDE w:val="0"/>
        <w:autoSpaceDN w:val="0"/>
        <w:adjustRightInd w:val="0"/>
        <w:spacing w:line="271" w:lineRule="auto"/>
        <w:ind w:left="0" w:firstLine="0"/>
        <w:outlineLvl w:val="2"/>
        <w:rPr>
          <w:rFonts w:eastAsia="Times New Roman"/>
          <w:snapToGrid/>
          <w:szCs w:val="22"/>
          <w:u w:val="single"/>
          <w:lang w:val="hu-HU" w:eastAsia="en-US"/>
        </w:rPr>
      </w:pPr>
      <w:r w:rsidRPr="00F6526C">
        <w:rPr>
          <w:rFonts w:eastAsia="Times New Roman"/>
          <w:bCs/>
          <w:iCs/>
          <w:snapToGrid/>
          <w:color w:val="000000"/>
          <w:szCs w:val="22"/>
          <w:u w:val="single"/>
          <w:lang w:val="hu-HU" w:eastAsia="en-US"/>
        </w:rPr>
        <w:t>Hatás</w:t>
      </w:r>
      <w:r w:rsidRPr="00F6526C">
        <w:rPr>
          <w:rFonts w:eastAsia="Times New Roman"/>
          <w:bCs/>
          <w:iCs/>
          <w:snapToGrid/>
          <w:szCs w:val="22"/>
          <w:u w:val="single"/>
          <w:lang w:val="hu-HU" w:eastAsia="en-US"/>
        </w:rPr>
        <w:t>mechanizmus</w:t>
      </w:r>
    </w:p>
    <w:p w14:paraId="6B7E47B6" w14:textId="238AA13E" w:rsidR="00A14720" w:rsidRPr="00F6526C" w:rsidRDefault="00A14720" w:rsidP="00E8277D">
      <w:pPr>
        <w:autoSpaceDE w:val="0"/>
        <w:autoSpaceDN w:val="0"/>
        <w:adjustRightInd w:val="0"/>
        <w:spacing w:line="271" w:lineRule="auto"/>
        <w:rPr>
          <w:rFonts w:eastAsia="Times New Roman"/>
          <w:snapToGrid/>
          <w:spacing w:val="-1"/>
          <w:szCs w:val="22"/>
          <w:lang w:val="hu-HU" w:eastAsia="en-US"/>
        </w:rPr>
      </w:pPr>
      <w:r w:rsidRPr="00F6526C">
        <w:rPr>
          <w:rFonts w:eastAsia="Times New Roman"/>
          <w:snapToGrid/>
          <w:spacing w:val="-1"/>
          <w:szCs w:val="22"/>
          <w:lang w:val="hu-HU" w:eastAsia="en-US"/>
        </w:rPr>
        <w:t xml:space="preserve">Bár a paracetamol </w:t>
      </w:r>
      <w:r w:rsidRPr="00F6526C">
        <w:rPr>
          <w:rFonts w:eastAsia="Times New Roman"/>
          <w:snapToGrid/>
          <w:color w:val="000000"/>
          <w:spacing w:val="-1"/>
          <w:szCs w:val="22"/>
          <w:lang w:val="hu-HU" w:eastAsia="en-US"/>
        </w:rPr>
        <w:t xml:space="preserve">fájdalomcsillapító hatásának pontos helye és </w:t>
      </w:r>
      <w:r w:rsidRPr="00F6526C">
        <w:rPr>
          <w:rFonts w:eastAsia="Times New Roman"/>
          <w:bCs/>
          <w:iCs/>
          <w:snapToGrid/>
          <w:color w:val="000000"/>
          <w:spacing w:val="-2"/>
          <w:szCs w:val="22"/>
          <w:lang w:val="hu-HU" w:eastAsia="en-US"/>
        </w:rPr>
        <w:t>mechanizmusa nincs világosan meghatározva, úgy tűnik, hogy a fájdalomcsillapítást a fájdalomküszöb megemelésével indukálja. A potenciális mechanizmus magában foglalhatja a nitrogén</w:t>
      </w:r>
      <w:r w:rsidR="009864B7">
        <w:rPr>
          <w:rFonts w:eastAsia="Times New Roman"/>
          <w:bCs/>
          <w:iCs/>
          <w:snapToGrid/>
          <w:color w:val="000000"/>
          <w:spacing w:val="-2"/>
          <w:szCs w:val="22"/>
          <w:lang w:val="hu-HU" w:eastAsia="en-US"/>
        </w:rPr>
        <w:t>-</w:t>
      </w:r>
      <w:r w:rsidR="00E8277D">
        <w:rPr>
          <w:rFonts w:eastAsia="Times New Roman"/>
          <w:bCs/>
          <w:iCs/>
          <w:snapToGrid/>
          <w:color w:val="000000"/>
          <w:spacing w:val="-2"/>
          <w:szCs w:val="22"/>
          <w:lang w:val="hu-HU" w:eastAsia="en-US"/>
        </w:rPr>
        <w:t>mon</w:t>
      </w:r>
      <w:r w:rsidRPr="00F6526C">
        <w:rPr>
          <w:rFonts w:eastAsia="Times New Roman"/>
          <w:bCs/>
          <w:iCs/>
          <w:snapToGrid/>
          <w:color w:val="000000"/>
          <w:spacing w:val="-2"/>
          <w:szCs w:val="22"/>
          <w:lang w:val="hu-HU" w:eastAsia="en-US"/>
        </w:rPr>
        <w:t>oxid</w:t>
      </w:r>
      <w:r w:rsidR="00E8277D">
        <w:rPr>
          <w:rFonts w:eastAsia="Times New Roman"/>
          <w:bCs/>
          <w:iCs/>
          <w:snapToGrid/>
          <w:color w:val="000000"/>
          <w:spacing w:val="-2"/>
          <w:szCs w:val="22"/>
          <w:lang w:val="hu-HU" w:eastAsia="en-US"/>
        </w:rPr>
        <w:t>-</w:t>
      </w:r>
      <w:r w:rsidRPr="00F6526C">
        <w:rPr>
          <w:rFonts w:eastAsia="Times New Roman"/>
          <w:bCs/>
          <w:iCs/>
          <w:snapToGrid/>
          <w:color w:val="000000"/>
          <w:spacing w:val="-2"/>
          <w:szCs w:val="22"/>
          <w:lang w:val="hu-HU" w:eastAsia="en-US"/>
        </w:rPr>
        <w:t>bioszintézis</w:t>
      </w:r>
      <w:r w:rsidR="00E8277D">
        <w:rPr>
          <w:rFonts w:eastAsia="Times New Roman"/>
          <w:bCs/>
          <w:iCs/>
          <w:snapToGrid/>
          <w:color w:val="000000"/>
          <w:spacing w:val="-2"/>
          <w:szCs w:val="22"/>
          <w:lang w:val="hu-HU" w:eastAsia="en-US"/>
        </w:rPr>
        <w:t>-</w:t>
      </w:r>
      <w:r w:rsidRPr="00F6526C">
        <w:rPr>
          <w:rFonts w:eastAsia="Times New Roman"/>
          <w:bCs/>
          <w:iCs/>
          <w:snapToGrid/>
          <w:color w:val="000000"/>
          <w:spacing w:val="-2"/>
          <w:szCs w:val="22"/>
          <w:lang w:val="hu-HU" w:eastAsia="en-US"/>
        </w:rPr>
        <w:t>út gátlását, amelyet számos különböző neurotranszmitter receptor befolyásol, ide tartozik az N-metil-D-aszpartát és a P</w:t>
      </w:r>
      <w:r w:rsidR="00E8277D">
        <w:rPr>
          <w:rFonts w:eastAsia="Times New Roman"/>
          <w:bCs/>
          <w:iCs/>
          <w:snapToGrid/>
          <w:color w:val="000000"/>
          <w:spacing w:val="-2"/>
          <w:szCs w:val="22"/>
          <w:lang w:val="hu-HU" w:eastAsia="en-US"/>
        </w:rPr>
        <w:t>-anyag</w:t>
      </w:r>
      <w:r w:rsidRPr="00F6526C">
        <w:rPr>
          <w:rFonts w:eastAsia="Times New Roman"/>
          <w:bCs/>
          <w:iCs/>
          <w:snapToGrid/>
          <w:color w:val="000000"/>
          <w:spacing w:val="-2"/>
          <w:szCs w:val="22"/>
          <w:lang w:val="hu-HU" w:eastAsia="en-US"/>
        </w:rPr>
        <w:t>.</w:t>
      </w:r>
    </w:p>
    <w:p w14:paraId="66920CAC" w14:textId="77777777" w:rsidR="00A14720" w:rsidRPr="00F6526C" w:rsidRDefault="00A14720" w:rsidP="00E8277D">
      <w:pPr>
        <w:autoSpaceDE w:val="0"/>
        <w:autoSpaceDN w:val="0"/>
        <w:adjustRightInd w:val="0"/>
        <w:spacing w:line="271" w:lineRule="auto"/>
        <w:rPr>
          <w:rFonts w:eastAsia="Times New Roman"/>
          <w:snapToGrid/>
          <w:spacing w:val="-1"/>
          <w:szCs w:val="22"/>
          <w:lang w:val="hu-HU" w:eastAsia="en-US"/>
        </w:rPr>
      </w:pPr>
    </w:p>
    <w:p w14:paraId="0BFD108F" w14:textId="79962894" w:rsidR="00A14720" w:rsidRPr="00F6526C" w:rsidRDefault="00A14720" w:rsidP="00E8277D">
      <w:pPr>
        <w:autoSpaceDE w:val="0"/>
        <w:autoSpaceDN w:val="0"/>
        <w:adjustRightInd w:val="0"/>
        <w:spacing w:line="271" w:lineRule="auto"/>
        <w:rPr>
          <w:rFonts w:eastAsia="Times New Roman"/>
          <w:snapToGrid/>
          <w:spacing w:val="-1"/>
          <w:szCs w:val="22"/>
          <w:lang w:val="hu-HU" w:eastAsia="en-US"/>
        </w:rPr>
      </w:pPr>
      <w:r w:rsidRPr="00F6526C">
        <w:rPr>
          <w:rFonts w:eastAsia="Times New Roman"/>
          <w:snapToGrid/>
          <w:spacing w:val="-1"/>
          <w:szCs w:val="22"/>
          <w:lang w:val="hu-HU" w:eastAsia="en-US"/>
        </w:rPr>
        <w:t xml:space="preserve">Az ibuprofén egy propionsav </w:t>
      </w:r>
      <w:r w:rsidRPr="00F6526C">
        <w:rPr>
          <w:rFonts w:eastAsia="Times New Roman"/>
          <w:bCs/>
          <w:iCs/>
          <w:snapToGrid/>
          <w:color w:val="000000"/>
          <w:spacing w:val="-2"/>
          <w:szCs w:val="22"/>
          <w:lang w:val="hu-HU" w:eastAsia="en-US"/>
        </w:rPr>
        <w:t>származ</w:t>
      </w:r>
      <w:r w:rsidRPr="00F6526C">
        <w:rPr>
          <w:rFonts w:eastAsia="Times New Roman"/>
          <w:snapToGrid/>
          <w:spacing w:val="-1"/>
          <w:szCs w:val="22"/>
          <w:lang w:val="hu-HU" w:eastAsia="en-US"/>
        </w:rPr>
        <w:t xml:space="preserve">ék, </w:t>
      </w:r>
      <w:r w:rsidRPr="00F6526C">
        <w:rPr>
          <w:rFonts w:eastAsia="Times New Roman"/>
          <w:snapToGrid/>
          <w:color w:val="000000"/>
          <w:spacing w:val="-1"/>
          <w:szCs w:val="22"/>
          <w:lang w:val="hu-HU" w:eastAsia="en-US"/>
        </w:rPr>
        <w:t xml:space="preserve">fájdalomcsillapító, gyulladáscsökkentő és lázcsökkentő hatással. A </w:t>
      </w:r>
      <w:r w:rsidRPr="00F6526C">
        <w:rPr>
          <w:rFonts w:eastAsia="Times New Roman"/>
          <w:bCs/>
          <w:iCs/>
          <w:snapToGrid/>
          <w:color w:val="000000"/>
          <w:spacing w:val="-1"/>
          <w:szCs w:val="22"/>
          <w:lang w:val="hu-HU" w:eastAsia="en-US"/>
        </w:rPr>
        <w:t xml:space="preserve">gyógyszernek, mint NSAID-nek a terápiás hatásai a ciklooxigenáz </w:t>
      </w:r>
      <w:r w:rsidRPr="00F6526C">
        <w:rPr>
          <w:rFonts w:eastAsia="Times New Roman"/>
          <w:bCs/>
          <w:iCs/>
          <w:snapToGrid/>
          <w:color w:val="000000"/>
          <w:spacing w:val="-2"/>
          <w:szCs w:val="22"/>
          <w:lang w:val="hu-HU" w:eastAsia="en-US"/>
        </w:rPr>
        <w:t>enzim</w:t>
      </w:r>
      <w:r w:rsidRPr="00F6526C">
        <w:rPr>
          <w:rFonts w:eastAsia="Times New Roman"/>
          <w:bCs/>
          <w:iCs/>
          <w:snapToGrid/>
          <w:color w:val="000000"/>
          <w:spacing w:val="-1"/>
          <w:szCs w:val="22"/>
          <w:lang w:val="hu-HU" w:eastAsia="en-US"/>
        </w:rPr>
        <w:t xml:space="preserve">re gyakorolt gátló hatásából </w:t>
      </w:r>
      <w:r w:rsidRPr="00F6526C">
        <w:rPr>
          <w:rFonts w:eastAsia="Times New Roman"/>
          <w:bCs/>
          <w:iCs/>
          <w:snapToGrid/>
          <w:color w:val="000000"/>
          <w:spacing w:val="-2"/>
          <w:szCs w:val="22"/>
          <w:lang w:val="hu-HU" w:eastAsia="en-US"/>
        </w:rPr>
        <w:t>származna</w:t>
      </w:r>
      <w:r w:rsidRPr="00F6526C">
        <w:rPr>
          <w:rFonts w:eastAsia="Times New Roman"/>
          <w:bCs/>
          <w:iCs/>
          <w:snapToGrid/>
          <w:color w:val="000000"/>
          <w:spacing w:val="-1"/>
          <w:szCs w:val="22"/>
          <w:lang w:val="hu-HU" w:eastAsia="en-US"/>
        </w:rPr>
        <w:t xml:space="preserve">k, ami a prosztaglandinszintézis </w:t>
      </w:r>
      <w:r w:rsidRPr="00F6526C">
        <w:rPr>
          <w:rFonts w:eastAsia="Times New Roman"/>
          <w:bCs/>
          <w:iCs/>
          <w:snapToGrid/>
          <w:color w:val="000000"/>
          <w:spacing w:val="-2"/>
          <w:w w:val="102"/>
          <w:szCs w:val="22"/>
          <w:lang w:val="hu-HU" w:eastAsia="en-US"/>
        </w:rPr>
        <w:t>csökken</w:t>
      </w:r>
      <w:r w:rsidRPr="00F6526C">
        <w:rPr>
          <w:rFonts w:eastAsia="Times New Roman"/>
          <w:bCs/>
          <w:iCs/>
          <w:snapToGrid/>
          <w:color w:val="000000"/>
          <w:spacing w:val="-1"/>
          <w:szCs w:val="22"/>
          <w:lang w:val="hu-HU" w:eastAsia="en-US"/>
        </w:rPr>
        <w:t>éséhez vezet.</w:t>
      </w:r>
    </w:p>
    <w:p w14:paraId="0670EAE9" w14:textId="77777777" w:rsidR="00A14720" w:rsidRPr="00F6526C" w:rsidRDefault="00A14720" w:rsidP="00E8277D">
      <w:pPr>
        <w:autoSpaceDE w:val="0"/>
        <w:autoSpaceDN w:val="0"/>
        <w:adjustRightInd w:val="0"/>
        <w:spacing w:line="271" w:lineRule="auto"/>
        <w:rPr>
          <w:rFonts w:eastAsia="Times New Roman"/>
          <w:snapToGrid/>
          <w:spacing w:val="-1"/>
          <w:szCs w:val="22"/>
          <w:lang w:val="hu-HU" w:eastAsia="en-US"/>
        </w:rPr>
      </w:pPr>
    </w:p>
    <w:p w14:paraId="34F09F86" w14:textId="514588C8" w:rsidR="00A14720" w:rsidRPr="00F6526C" w:rsidRDefault="00A14720" w:rsidP="00E8277D">
      <w:pPr>
        <w:autoSpaceDE w:val="0"/>
        <w:autoSpaceDN w:val="0"/>
        <w:adjustRightInd w:val="0"/>
        <w:spacing w:line="271" w:lineRule="auto"/>
        <w:rPr>
          <w:rFonts w:eastAsia="Times New Roman"/>
          <w:snapToGrid/>
          <w:spacing w:val="-1"/>
          <w:szCs w:val="22"/>
          <w:lang w:val="hu-HU" w:eastAsia="en-US"/>
        </w:rPr>
      </w:pPr>
      <w:r w:rsidRPr="00F6526C">
        <w:rPr>
          <w:rFonts w:eastAsia="Times New Roman"/>
          <w:snapToGrid/>
          <w:spacing w:val="-1"/>
          <w:szCs w:val="22"/>
          <w:lang w:val="hu-HU" w:eastAsia="en-US"/>
        </w:rPr>
        <w:t xml:space="preserve">A kísérleti adatok azt sugallják, hogy az ibuprofén kompetitíve </w:t>
      </w:r>
      <w:r w:rsidRPr="00F6526C">
        <w:rPr>
          <w:rFonts w:eastAsia="Times New Roman"/>
          <w:bCs/>
          <w:iCs/>
          <w:snapToGrid/>
          <w:color w:val="000000"/>
          <w:spacing w:val="-2"/>
          <w:szCs w:val="22"/>
          <w:lang w:val="hu-HU" w:eastAsia="en-US"/>
        </w:rPr>
        <w:t>gátol</w:t>
      </w:r>
      <w:r w:rsidRPr="00F6526C">
        <w:rPr>
          <w:rFonts w:eastAsia="Times New Roman"/>
          <w:snapToGrid/>
          <w:spacing w:val="-1"/>
          <w:szCs w:val="22"/>
          <w:lang w:val="hu-HU" w:eastAsia="en-US"/>
        </w:rPr>
        <w:t xml:space="preserve">hatja a kisdózisú acetilszalicilsavnak a </w:t>
      </w:r>
      <w:r w:rsidRPr="00F6526C">
        <w:rPr>
          <w:rFonts w:eastAsia="Times New Roman"/>
          <w:iCs/>
          <w:snapToGrid/>
          <w:spacing w:val="-1"/>
          <w:szCs w:val="22"/>
          <w:lang w:val="hu-HU" w:eastAsia="en-US"/>
        </w:rPr>
        <w:t>vérlemezk</w:t>
      </w:r>
      <w:r w:rsidRPr="00F6526C">
        <w:rPr>
          <w:rFonts w:eastAsia="Times New Roman"/>
          <w:snapToGrid/>
          <w:spacing w:val="-1"/>
          <w:szCs w:val="22"/>
          <w:lang w:val="hu-HU" w:eastAsia="en-US"/>
        </w:rPr>
        <w:t>e-</w:t>
      </w:r>
      <w:r w:rsidRPr="00F6526C">
        <w:rPr>
          <w:rFonts w:eastAsia="Times New Roman"/>
          <w:bCs/>
          <w:iCs/>
          <w:snapToGrid/>
          <w:color w:val="000000"/>
          <w:spacing w:val="-2"/>
          <w:szCs w:val="22"/>
          <w:lang w:val="hu-HU" w:eastAsia="en-US"/>
        </w:rPr>
        <w:t>aggregáció</w:t>
      </w:r>
      <w:r w:rsidRPr="00F6526C">
        <w:rPr>
          <w:rFonts w:eastAsia="Times New Roman"/>
          <w:snapToGrid/>
          <w:spacing w:val="-1"/>
          <w:szCs w:val="22"/>
          <w:lang w:val="hu-HU" w:eastAsia="en-US"/>
        </w:rPr>
        <w:t xml:space="preserve">ra gyakorolt </w:t>
      </w:r>
      <w:r w:rsidRPr="00F6526C">
        <w:rPr>
          <w:rFonts w:eastAsia="Times New Roman"/>
          <w:snapToGrid/>
          <w:color w:val="000000"/>
          <w:spacing w:val="-1"/>
          <w:szCs w:val="22"/>
          <w:lang w:val="hu-HU" w:eastAsia="en-US"/>
        </w:rPr>
        <w:t>hatás</w:t>
      </w:r>
      <w:r w:rsidRPr="00F6526C">
        <w:rPr>
          <w:rFonts w:eastAsia="Times New Roman"/>
          <w:snapToGrid/>
          <w:spacing w:val="-1"/>
          <w:szCs w:val="22"/>
          <w:lang w:val="hu-HU" w:eastAsia="en-US"/>
        </w:rPr>
        <w:t xml:space="preserve">át, ha egyidejűleg adagolják. Néhány farmakodinámiás </w:t>
      </w:r>
      <w:r w:rsidRPr="00F6526C">
        <w:rPr>
          <w:rFonts w:eastAsia="Times New Roman"/>
          <w:bCs/>
          <w:iCs/>
          <w:snapToGrid/>
          <w:spacing w:val="-2"/>
          <w:szCs w:val="22"/>
          <w:lang w:val="hu-HU" w:eastAsia="en-US"/>
        </w:rPr>
        <w:t>vizsgál</w:t>
      </w:r>
      <w:r w:rsidRPr="00F6526C">
        <w:rPr>
          <w:rFonts w:eastAsia="Times New Roman"/>
          <w:snapToGrid/>
          <w:spacing w:val="-1"/>
          <w:szCs w:val="22"/>
          <w:lang w:val="hu-HU" w:eastAsia="en-US"/>
        </w:rPr>
        <w:t xml:space="preserve">at azt mutatja, hogy ha egyetlen, 400 mg-os ibuprofén adagot adnak be az azonnali </w:t>
      </w:r>
      <w:r w:rsidRPr="00F6526C">
        <w:rPr>
          <w:rFonts w:eastAsia="Times New Roman"/>
          <w:bCs/>
          <w:iCs/>
          <w:snapToGrid/>
          <w:color w:val="000000"/>
          <w:spacing w:val="-2"/>
          <w:szCs w:val="22"/>
          <w:lang w:val="hu-HU" w:eastAsia="en-US"/>
        </w:rPr>
        <w:t>felszabad</w:t>
      </w:r>
      <w:r w:rsidRPr="00F6526C">
        <w:rPr>
          <w:rFonts w:eastAsia="Times New Roman"/>
          <w:snapToGrid/>
          <w:spacing w:val="-1"/>
          <w:szCs w:val="22"/>
          <w:lang w:val="hu-HU" w:eastAsia="en-US"/>
        </w:rPr>
        <w:t xml:space="preserve">ulású acetilszalicilsav </w:t>
      </w:r>
      <w:r w:rsidRPr="00F6526C">
        <w:rPr>
          <w:rFonts w:eastAsia="Times New Roman"/>
          <w:snapToGrid/>
          <w:color w:val="000000"/>
          <w:spacing w:val="-1"/>
          <w:szCs w:val="22"/>
          <w:lang w:val="hu-HU" w:eastAsia="en-US"/>
        </w:rPr>
        <w:t>dózis</w:t>
      </w:r>
      <w:r w:rsidRPr="00F6526C">
        <w:rPr>
          <w:rFonts w:eastAsia="Times New Roman"/>
          <w:snapToGrid/>
          <w:spacing w:val="-1"/>
          <w:szCs w:val="22"/>
          <w:lang w:val="hu-HU" w:eastAsia="en-US"/>
        </w:rPr>
        <w:t xml:space="preserve"> (81 mg) </w:t>
      </w:r>
      <w:r w:rsidRPr="00F6526C">
        <w:rPr>
          <w:rFonts w:eastAsia="Times New Roman"/>
          <w:bCs/>
          <w:iCs/>
          <w:snapToGrid/>
          <w:color w:val="000000"/>
          <w:spacing w:val="-2"/>
          <w:szCs w:val="22"/>
          <w:lang w:val="hu-HU" w:eastAsia="en-US"/>
        </w:rPr>
        <w:t>beadás</w:t>
      </w:r>
      <w:r w:rsidRPr="00F6526C">
        <w:rPr>
          <w:rFonts w:eastAsia="Times New Roman"/>
          <w:snapToGrid/>
          <w:spacing w:val="-1"/>
          <w:szCs w:val="22"/>
          <w:lang w:val="hu-HU" w:eastAsia="en-US"/>
        </w:rPr>
        <w:t xml:space="preserve">a előtt 8 órával, vagy a beadás után 30 percen belül, az acetilszalicilsavnak a tromboxán keletkezésére vagy a </w:t>
      </w:r>
      <w:r w:rsidRPr="00F6526C">
        <w:rPr>
          <w:rFonts w:eastAsia="Times New Roman"/>
          <w:iCs/>
          <w:snapToGrid/>
          <w:spacing w:val="-1"/>
          <w:szCs w:val="22"/>
          <w:lang w:val="hu-HU" w:eastAsia="en-US"/>
        </w:rPr>
        <w:t>vérlemezk</w:t>
      </w:r>
      <w:r w:rsidRPr="00F6526C">
        <w:rPr>
          <w:rFonts w:eastAsia="Times New Roman"/>
          <w:snapToGrid/>
          <w:spacing w:val="-1"/>
          <w:szCs w:val="22"/>
          <w:lang w:val="hu-HU" w:eastAsia="en-US"/>
        </w:rPr>
        <w:t>e-</w:t>
      </w:r>
      <w:r w:rsidRPr="00F6526C">
        <w:rPr>
          <w:rFonts w:eastAsia="Times New Roman"/>
          <w:bCs/>
          <w:iCs/>
          <w:snapToGrid/>
          <w:color w:val="000000"/>
          <w:spacing w:val="-2"/>
          <w:szCs w:val="22"/>
          <w:lang w:val="hu-HU" w:eastAsia="en-US"/>
        </w:rPr>
        <w:t xml:space="preserve">aggregációra </w:t>
      </w:r>
      <w:r w:rsidRPr="00F6526C">
        <w:rPr>
          <w:rFonts w:eastAsia="Times New Roman"/>
          <w:bCs/>
          <w:iCs/>
          <w:snapToGrid/>
          <w:color w:val="000000"/>
          <w:spacing w:val="-2"/>
          <w:szCs w:val="22"/>
          <w:lang w:val="hu-HU" w:eastAsia="en-US"/>
        </w:rPr>
        <w:lastRenderedPageBreak/>
        <w:t xml:space="preserve">gyakorolt hatásának </w:t>
      </w:r>
      <w:r w:rsidRPr="00F6526C">
        <w:rPr>
          <w:rFonts w:eastAsia="Times New Roman"/>
          <w:bCs/>
          <w:iCs/>
          <w:snapToGrid/>
          <w:color w:val="000000"/>
          <w:spacing w:val="-2"/>
          <w:w w:val="102"/>
          <w:szCs w:val="22"/>
          <w:lang w:val="hu-HU" w:eastAsia="en-US"/>
        </w:rPr>
        <w:t>csökkenése lép fel. Bár vannak bizonytalanságok abban, hogy ezek az adatok mennyire terjeszthetők ki a klinikai helyzetre, annak a lehetőségét, hogy az ibuprofén rendszeres, hosszú ideig tartó használata csökkentheti a kisdózisú acetilszalicilsav kardioprotektív hatását, nem lehet kizárni. Nem valószínű, hogy az ibuprofén alkalmanként való használatával kapcsolatban felmerülnek klinikailag releváns hatások (lásd a 4.5</w:t>
      </w:r>
      <w:r w:rsidR="00E8277D">
        <w:rPr>
          <w:rFonts w:eastAsia="Times New Roman"/>
          <w:bCs/>
          <w:iCs/>
          <w:snapToGrid/>
          <w:color w:val="000000"/>
          <w:spacing w:val="-2"/>
          <w:w w:val="102"/>
          <w:szCs w:val="22"/>
          <w:lang w:val="hu-HU" w:eastAsia="en-US"/>
        </w:rPr>
        <w:t xml:space="preserve"> pont</w:t>
      </w:r>
      <w:r w:rsidRPr="00F6526C">
        <w:rPr>
          <w:rFonts w:eastAsia="Times New Roman"/>
          <w:bCs/>
          <w:iCs/>
          <w:snapToGrid/>
          <w:color w:val="000000"/>
          <w:spacing w:val="-2"/>
          <w:w w:val="102"/>
          <w:szCs w:val="22"/>
          <w:lang w:val="hu-HU" w:eastAsia="en-US"/>
        </w:rPr>
        <w:t>).</w:t>
      </w:r>
    </w:p>
    <w:p w14:paraId="0E2497F9" w14:textId="77777777" w:rsidR="00A14720" w:rsidRPr="00F6526C" w:rsidRDefault="00A14720" w:rsidP="00E8277D">
      <w:pPr>
        <w:autoSpaceDE w:val="0"/>
        <w:autoSpaceDN w:val="0"/>
        <w:adjustRightInd w:val="0"/>
        <w:spacing w:line="271" w:lineRule="auto"/>
        <w:rPr>
          <w:rFonts w:eastAsia="Times New Roman"/>
          <w:snapToGrid/>
          <w:spacing w:val="-1"/>
          <w:szCs w:val="22"/>
          <w:lang w:val="hu-HU" w:eastAsia="en-US"/>
        </w:rPr>
      </w:pPr>
    </w:p>
    <w:p w14:paraId="2CE6D917" w14:textId="7515D971" w:rsidR="00A14720" w:rsidRPr="00F6526C" w:rsidRDefault="00A14720" w:rsidP="00E8277D">
      <w:pPr>
        <w:numPr>
          <w:ilvl w:val="0"/>
          <w:numId w:val="3"/>
        </w:numPr>
        <w:tabs>
          <w:tab w:val="clear" w:pos="360"/>
        </w:tabs>
        <w:autoSpaceDE w:val="0"/>
        <w:autoSpaceDN w:val="0"/>
        <w:adjustRightInd w:val="0"/>
        <w:spacing w:line="271" w:lineRule="auto"/>
        <w:ind w:left="0" w:firstLine="0"/>
        <w:outlineLvl w:val="2"/>
        <w:rPr>
          <w:rFonts w:eastAsia="Times New Roman"/>
          <w:snapToGrid/>
          <w:szCs w:val="22"/>
          <w:u w:val="single"/>
          <w:lang w:val="hu-HU" w:eastAsia="en-US"/>
        </w:rPr>
      </w:pPr>
      <w:r w:rsidRPr="00F6526C">
        <w:rPr>
          <w:rFonts w:eastAsia="Times New Roman"/>
          <w:bCs/>
          <w:iCs/>
          <w:snapToGrid/>
          <w:spacing w:val="-2"/>
          <w:szCs w:val="22"/>
          <w:u w:val="single"/>
          <w:lang w:val="hu-HU" w:eastAsia="en-US"/>
        </w:rPr>
        <w:t>Klinikai vizsgálatok</w:t>
      </w:r>
    </w:p>
    <w:p w14:paraId="2F231296" w14:textId="1303F90A" w:rsidR="00A14720" w:rsidRPr="00F6526C" w:rsidRDefault="00A14720" w:rsidP="00E8277D">
      <w:pPr>
        <w:autoSpaceDE w:val="0"/>
        <w:autoSpaceDN w:val="0"/>
        <w:adjustRightInd w:val="0"/>
        <w:spacing w:line="271" w:lineRule="auto"/>
        <w:rPr>
          <w:rFonts w:eastAsia="Times New Roman"/>
          <w:snapToGrid/>
          <w:szCs w:val="22"/>
          <w:lang w:val="hu-HU" w:eastAsia="en-GB"/>
        </w:rPr>
      </w:pPr>
      <w:r w:rsidRPr="00F6526C">
        <w:rPr>
          <w:rFonts w:eastAsia="Times New Roman"/>
          <w:snapToGrid/>
          <w:szCs w:val="22"/>
          <w:lang w:val="hu-HU" w:eastAsia="en-GB"/>
        </w:rPr>
        <w:t>A</w:t>
      </w:r>
      <w:r w:rsidR="00DD2DF7">
        <w:rPr>
          <w:rFonts w:eastAsia="Times New Roman"/>
          <w:snapToGrid/>
          <w:szCs w:val="22"/>
          <w:lang w:val="hu-HU" w:eastAsia="en-GB"/>
        </w:rPr>
        <w:t>z</w:t>
      </w:r>
      <w:r w:rsidRPr="00F6526C">
        <w:rPr>
          <w:rFonts w:eastAsia="Times New Roman"/>
          <w:snapToGrid/>
          <w:szCs w:val="22"/>
          <w:lang w:val="hu-HU" w:eastAsia="en-GB"/>
        </w:rPr>
        <w:t xml:space="preserve"> </w:t>
      </w:r>
      <w:r w:rsidR="006D4655">
        <w:rPr>
          <w:rFonts w:eastAsia="Times New Roman"/>
          <w:noProof/>
          <w:snapToGrid/>
          <w:szCs w:val="22"/>
          <w:lang w:val="hu-HU" w:eastAsia="en-US"/>
        </w:rPr>
        <w:t>Elomen</w:t>
      </w:r>
      <w:r w:rsidRPr="00F6526C">
        <w:rPr>
          <w:rFonts w:eastAsia="Times New Roman"/>
          <w:noProof/>
          <w:snapToGrid/>
          <w:szCs w:val="22"/>
          <w:lang w:val="hu-HU" w:eastAsia="en-US"/>
        </w:rPr>
        <w:t xml:space="preserve"> 1000 mg/300 mg oldatos infúzió</w:t>
      </w:r>
      <w:r w:rsidRPr="00F6526C">
        <w:rPr>
          <w:rFonts w:eastAsia="Times New Roman"/>
          <w:snapToGrid/>
          <w:szCs w:val="22"/>
          <w:lang w:val="hu-HU" w:eastAsia="en-GB"/>
        </w:rPr>
        <w:t xml:space="preserve"> </w:t>
      </w:r>
      <w:r w:rsidRPr="00F6526C">
        <w:rPr>
          <w:rFonts w:eastAsia="Times New Roman"/>
          <w:bCs/>
          <w:iCs/>
          <w:snapToGrid/>
          <w:spacing w:val="-2"/>
          <w:szCs w:val="22"/>
          <w:lang w:val="hu-HU" w:eastAsia="en-GB"/>
        </w:rPr>
        <w:t xml:space="preserve">klinikai vizsgálataiba nem vontak be 65 éves, vagy idősebb alanyokat, hogy </w:t>
      </w:r>
      <w:r w:rsidRPr="00F6526C">
        <w:rPr>
          <w:rFonts w:eastAsia="Times New Roman"/>
          <w:bCs/>
          <w:iCs/>
          <w:snapToGrid/>
          <w:color w:val="000000"/>
          <w:spacing w:val="-2"/>
          <w:szCs w:val="22"/>
          <w:lang w:val="hu-HU" w:eastAsia="en-GB"/>
        </w:rPr>
        <w:t>meghatároz</w:t>
      </w:r>
      <w:r w:rsidRPr="00F6526C">
        <w:rPr>
          <w:rFonts w:eastAsia="Times New Roman"/>
          <w:bCs/>
          <w:iCs/>
          <w:snapToGrid/>
          <w:spacing w:val="-2"/>
          <w:szCs w:val="22"/>
          <w:lang w:val="hu-HU" w:eastAsia="en-GB"/>
        </w:rPr>
        <w:t>zák, hogy másként reagálnak-e, mint a fiatalabb alanyok.</w:t>
      </w:r>
    </w:p>
    <w:p w14:paraId="6F8CC60D" w14:textId="77777777" w:rsidR="00A14720" w:rsidRPr="00F6526C" w:rsidRDefault="00A14720" w:rsidP="00E8277D">
      <w:pPr>
        <w:autoSpaceDE w:val="0"/>
        <w:autoSpaceDN w:val="0"/>
        <w:adjustRightInd w:val="0"/>
        <w:spacing w:line="271" w:lineRule="auto"/>
        <w:rPr>
          <w:rFonts w:eastAsia="Times New Roman"/>
          <w:snapToGrid/>
          <w:szCs w:val="22"/>
          <w:lang w:val="hu-HU" w:eastAsia="en-GB"/>
        </w:rPr>
      </w:pPr>
    </w:p>
    <w:p w14:paraId="0696DE75" w14:textId="1A75C21C" w:rsidR="00A14720" w:rsidRPr="00F6526C" w:rsidRDefault="00A14720" w:rsidP="00E8277D">
      <w:pPr>
        <w:autoSpaceDE w:val="0"/>
        <w:autoSpaceDN w:val="0"/>
        <w:adjustRightInd w:val="0"/>
        <w:spacing w:line="271" w:lineRule="auto"/>
        <w:rPr>
          <w:rFonts w:eastAsia="Times New Roman"/>
          <w:snapToGrid/>
          <w:szCs w:val="22"/>
          <w:lang w:val="hu-HU" w:eastAsia="en-US"/>
        </w:rPr>
      </w:pPr>
      <w:r w:rsidRPr="00F6526C">
        <w:rPr>
          <w:rFonts w:eastAsia="Times New Roman"/>
          <w:snapToGrid/>
          <w:szCs w:val="22"/>
          <w:lang w:val="hu-HU" w:eastAsia="en-GB"/>
        </w:rPr>
        <w:t>Egy 276, bütyökeltávolító műtéten átesett, gyenge-közepes fájdalomtól szenvedő beteggel végzett III</w:t>
      </w:r>
      <w:r w:rsidR="009A5B0F">
        <w:rPr>
          <w:rFonts w:eastAsia="Times New Roman"/>
          <w:snapToGrid/>
          <w:szCs w:val="22"/>
          <w:lang w:val="hu-HU" w:eastAsia="en-GB"/>
        </w:rPr>
        <w:t>. fázisú</w:t>
      </w:r>
      <w:r w:rsidRPr="00F6526C">
        <w:rPr>
          <w:rFonts w:eastAsia="Times New Roman"/>
          <w:snapToGrid/>
          <w:szCs w:val="22"/>
          <w:lang w:val="hu-HU" w:eastAsia="en-GB"/>
        </w:rPr>
        <w:t xml:space="preserve"> </w:t>
      </w:r>
      <w:r w:rsidRPr="00F6526C">
        <w:rPr>
          <w:rFonts w:eastAsia="Times New Roman"/>
          <w:bCs/>
          <w:iCs/>
          <w:snapToGrid/>
          <w:color w:val="000000"/>
          <w:spacing w:val="-2"/>
          <w:w w:val="102"/>
          <w:szCs w:val="22"/>
          <w:lang w:val="hu-HU" w:eastAsia="en-GB"/>
        </w:rPr>
        <w:t>hat</w:t>
      </w:r>
      <w:r w:rsidR="009A5B0F">
        <w:rPr>
          <w:rFonts w:eastAsia="Times New Roman"/>
          <w:bCs/>
          <w:iCs/>
          <w:snapToGrid/>
          <w:color w:val="000000"/>
          <w:spacing w:val="-2"/>
          <w:w w:val="102"/>
          <w:szCs w:val="22"/>
          <w:lang w:val="hu-HU" w:eastAsia="en-GB"/>
        </w:rPr>
        <w:t>ásos</w:t>
      </w:r>
      <w:r w:rsidRPr="00F6526C">
        <w:rPr>
          <w:rFonts w:eastAsia="Times New Roman"/>
          <w:bCs/>
          <w:iCs/>
          <w:snapToGrid/>
          <w:color w:val="000000"/>
          <w:spacing w:val="-2"/>
          <w:w w:val="102"/>
          <w:szCs w:val="22"/>
          <w:lang w:val="hu-HU" w:eastAsia="en-GB"/>
        </w:rPr>
        <w:t>sági vizsgálatban a</w:t>
      </w:r>
      <w:r w:rsidR="00DD2DF7">
        <w:rPr>
          <w:rFonts w:eastAsia="Times New Roman"/>
          <w:bCs/>
          <w:iCs/>
          <w:snapToGrid/>
          <w:color w:val="000000"/>
          <w:spacing w:val="-2"/>
          <w:w w:val="102"/>
          <w:szCs w:val="22"/>
          <w:lang w:val="hu-HU" w:eastAsia="en-GB"/>
        </w:rPr>
        <w:t>z</w:t>
      </w:r>
      <w:r w:rsidRPr="00F6526C">
        <w:rPr>
          <w:rFonts w:eastAsia="Times New Roman"/>
          <w:bCs/>
          <w:iCs/>
          <w:snapToGrid/>
          <w:color w:val="000000"/>
          <w:spacing w:val="-2"/>
          <w:w w:val="102"/>
          <w:szCs w:val="22"/>
          <w:lang w:val="hu-HU" w:eastAsia="en-GB"/>
        </w:rPr>
        <w:t xml:space="preserve"> </w:t>
      </w:r>
      <w:r w:rsidR="006D4655">
        <w:rPr>
          <w:rFonts w:eastAsia="Times New Roman"/>
          <w:noProof/>
          <w:snapToGrid/>
          <w:szCs w:val="22"/>
          <w:lang w:val="hu-HU" w:eastAsia="en-US"/>
        </w:rPr>
        <w:t>Elomen</w:t>
      </w:r>
      <w:r w:rsidRPr="00F6526C">
        <w:rPr>
          <w:rFonts w:eastAsia="Times New Roman"/>
          <w:noProof/>
          <w:snapToGrid/>
          <w:szCs w:val="22"/>
          <w:lang w:val="hu-HU" w:eastAsia="en-US"/>
        </w:rPr>
        <w:t xml:space="preserve"> 1000 mg/300 mg oldatos infúzió</w:t>
      </w:r>
      <w:r w:rsidRPr="00F6526C">
        <w:rPr>
          <w:rFonts w:eastAsia="Times New Roman"/>
          <w:bCs/>
          <w:iCs/>
          <w:snapToGrid/>
          <w:color w:val="000000"/>
          <w:spacing w:val="-2"/>
          <w:w w:val="102"/>
          <w:szCs w:val="22"/>
          <w:lang w:val="hu-HU" w:eastAsia="en-GB"/>
        </w:rPr>
        <w:t xml:space="preserve"> nagyobb fájdalomcsillapítást biztosított, mint a placebo, vagy külön-külön a paracetamol vagy ibuprofén </w:t>
      </w:r>
      <w:r w:rsidRPr="00F6526C">
        <w:rPr>
          <w:rFonts w:eastAsia="Times New Roman"/>
          <w:bCs/>
          <w:iCs/>
          <w:snapToGrid/>
          <w:color w:val="000000"/>
          <w:spacing w:val="-2"/>
          <w:w w:val="102"/>
          <w:kern w:val="2"/>
          <w:szCs w:val="22"/>
          <w:lang w:val="hu-HU" w:eastAsia="en-GB" w:bidi="he-IL"/>
        </w:rPr>
        <w:t>összehasonlít</w:t>
      </w:r>
      <w:r w:rsidRPr="00F6526C">
        <w:rPr>
          <w:rFonts w:eastAsia="Times New Roman"/>
          <w:bCs/>
          <w:iCs/>
          <w:snapToGrid/>
          <w:color w:val="000000"/>
          <w:spacing w:val="-2"/>
          <w:w w:val="102"/>
          <w:szCs w:val="22"/>
          <w:lang w:val="hu-HU" w:eastAsia="en-GB"/>
        </w:rPr>
        <w:t>ható dózisai</w:t>
      </w:r>
      <w:r w:rsidRPr="00F6526C">
        <w:rPr>
          <w:rFonts w:eastAsia="Times New Roman"/>
          <w:snapToGrid/>
          <w:szCs w:val="22"/>
          <w:lang w:val="hu-HU" w:eastAsia="en-US"/>
        </w:rPr>
        <w:t>.</w:t>
      </w:r>
    </w:p>
    <w:p w14:paraId="64E0DA2F" w14:textId="77777777" w:rsidR="00A14720" w:rsidRPr="00F6526C" w:rsidRDefault="00A14720" w:rsidP="00E8277D">
      <w:pPr>
        <w:autoSpaceDE w:val="0"/>
        <w:autoSpaceDN w:val="0"/>
        <w:adjustRightInd w:val="0"/>
        <w:spacing w:line="271" w:lineRule="auto"/>
        <w:rPr>
          <w:rFonts w:eastAsia="Times New Roman"/>
          <w:snapToGrid/>
          <w:szCs w:val="22"/>
          <w:lang w:val="hu-HU" w:eastAsia="en-US"/>
        </w:rPr>
      </w:pPr>
    </w:p>
    <w:p w14:paraId="211F394F" w14:textId="32A47EF8" w:rsidR="00A14720" w:rsidRPr="00F6526C" w:rsidRDefault="00A14720" w:rsidP="00E8277D">
      <w:pPr>
        <w:autoSpaceDE w:val="0"/>
        <w:autoSpaceDN w:val="0"/>
        <w:adjustRightInd w:val="0"/>
        <w:spacing w:line="271" w:lineRule="auto"/>
        <w:rPr>
          <w:rFonts w:eastAsia="Times New Roman"/>
          <w:snapToGrid/>
          <w:szCs w:val="22"/>
          <w:lang w:val="hu-HU" w:eastAsia="en-US"/>
        </w:rPr>
      </w:pPr>
      <w:r w:rsidRPr="00F6526C">
        <w:rPr>
          <w:rFonts w:eastAsia="Times New Roman"/>
          <w:snapToGrid/>
          <w:szCs w:val="22"/>
          <w:lang w:val="hu-HU" w:eastAsia="en-US"/>
        </w:rPr>
        <w:t>Az időre korrigált Összefoglaló Fájdalomintenzitás</w:t>
      </w:r>
      <w:r w:rsidR="009A5B0F">
        <w:rPr>
          <w:rFonts w:eastAsia="Times New Roman"/>
          <w:snapToGrid/>
          <w:szCs w:val="22"/>
          <w:lang w:val="hu-HU" w:eastAsia="en-US"/>
        </w:rPr>
        <w:t>i</w:t>
      </w:r>
      <w:r w:rsidRPr="00F6526C">
        <w:rPr>
          <w:rFonts w:eastAsia="Times New Roman"/>
          <w:snapToGrid/>
          <w:szCs w:val="22"/>
          <w:lang w:val="hu-HU" w:eastAsia="en-US"/>
        </w:rPr>
        <w:t xml:space="preserve"> Különbség (Summed Pain Intensity Difference; SPID) 0-48</w:t>
      </w:r>
      <w:r w:rsidR="009A5B0F">
        <w:rPr>
          <w:rFonts w:eastAsia="Times New Roman"/>
          <w:snapToGrid/>
          <w:szCs w:val="22"/>
          <w:lang w:val="hu-HU" w:eastAsia="en-US"/>
        </w:rPr>
        <w:t>.</w:t>
      </w:r>
      <w:r w:rsidRPr="00F6526C">
        <w:rPr>
          <w:rFonts w:eastAsia="Times New Roman"/>
          <w:snapToGrid/>
          <w:szCs w:val="22"/>
          <w:lang w:val="hu-HU" w:eastAsia="en-US"/>
        </w:rPr>
        <w:t xml:space="preserve"> óra </w:t>
      </w:r>
      <w:r w:rsidRPr="00F6526C">
        <w:rPr>
          <w:rFonts w:eastAsia="Times New Roman"/>
          <w:bCs/>
          <w:iCs/>
          <w:snapToGrid/>
          <w:color w:val="000000"/>
          <w:spacing w:val="-2"/>
          <w:szCs w:val="22"/>
          <w:lang w:val="hu-HU" w:eastAsia="en-US"/>
        </w:rPr>
        <w:t>elemzés</w:t>
      </w:r>
      <w:r w:rsidRPr="00F6526C">
        <w:rPr>
          <w:rFonts w:eastAsia="Times New Roman"/>
          <w:snapToGrid/>
          <w:szCs w:val="22"/>
          <w:lang w:val="hu-HU" w:eastAsia="en-US"/>
        </w:rPr>
        <w:t>e azt mutatta, hogy a</w:t>
      </w:r>
      <w:r w:rsidR="00DD2DF7">
        <w:rPr>
          <w:rFonts w:eastAsia="Times New Roman"/>
          <w:snapToGrid/>
          <w:szCs w:val="22"/>
          <w:lang w:val="hu-HU" w:eastAsia="en-US"/>
        </w:rPr>
        <w:t>z</w:t>
      </w:r>
      <w:r w:rsidRPr="00F6526C">
        <w:rPr>
          <w:rFonts w:eastAsia="Times New Roman"/>
          <w:snapToGrid/>
          <w:szCs w:val="22"/>
          <w:lang w:val="hu-HU" w:eastAsia="en-US"/>
        </w:rPr>
        <w:t xml:space="preserve"> </w:t>
      </w:r>
      <w:r w:rsidR="006D4655">
        <w:rPr>
          <w:rFonts w:eastAsia="Times New Roman"/>
          <w:noProof/>
          <w:snapToGrid/>
          <w:szCs w:val="22"/>
          <w:lang w:val="hu-HU" w:eastAsia="en-US"/>
        </w:rPr>
        <w:t>Elomen</w:t>
      </w:r>
      <w:r w:rsidRPr="00F6526C">
        <w:rPr>
          <w:rFonts w:eastAsia="Times New Roman"/>
          <w:noProof/>
          <w:snapToGrid/>
          <w:szCs w:val="22"/>
          <w:lang w:val="hu-HU" w:eastAsia="en-US"/>
        </w:rPr>
        <w:t xml:space="preserve"> 1000 mg/300 mg oldatos infúzió</w:t>
      </w:r>
      <w:r w:rsidRPr="00F6526C">
        <w:rPr>
          <w:rFonts w:eastAsia="Times New Roman"/>
          <w:snapToGrid/>
          <w:szCs w:val="22"/>
          <w:lang w:val="hu-HU" w:eastAsia="en-US"/>
        </w:rPr>
        <w:t xml:space="preserve"> (átlag=23,41, SE=2,50) </w:t>
      </w:r>
      <w:r w:rsidRPr="00F6526C">
        <w:rPr>
          <w:rFonts w:eastAsia="Times New Roman"/>
          <w:bCs/>
          <w:iCs/>
          <w:snapToGrid/>
          <w:color w:val="000000"/>
          <w:spacing w:val="-2"/>
          <w:szCs w:val="22"/>
          <w:lang w:val="hu-HU" w:eastAsia="en-US"/>
        </w:rPr>
        <w:t xml:space="preserve">hatékonyabb fájdalomcsillapítást </w:t>
      </w:r>
      <w:r w:rsidRPr="00F6526C">
        <w:rPr>
          <w:rFonts w:eastAsia="Times New Roman"/>
          <w:bCs/>
          <w:iCs/>
          <w:snapToGrid/>
          <w:color w:val="000000"/>
          <w:spacing w:val="-2"/>
          <w:w w:val="102"/>
          <w:szCs w:val="22"/>
          <w:lang w:val="hu-HU" w:eastAsia="en-US"/>
        </w:rPr>
        <w:t>biztosít</w:t>
      </w:r>
      <w:r w:rsidRPr="00F6526C">
        <w:rPr>
          <w:rFonts w:eastAsia="Times New Roman"/>
          <w:bCs/>
          <w:iCs/>
          <w:snapToGrid/>
          <w:color w:val="000000"/>
          <w:spacing w:val="-2"/>
          <w:szCs w:val="22"/>
          <w:lang w:val="hu-HU" w:eastAsia="en-US"/>
        </w:rPr>
        <w:t xml:space="preserve">ott, mint a placebo </w:t>
      </w:r>
      <w:r w:rsidRPr="00F6526C">
        <w:rPr>
          <w:rFonts w:eastAsia="Times New Roman"/>
          <w:snapToGrid/>
          <w:szCs w:val="22"/>
          <w:lang w:val="hu-HU" w:eastAsia="en-US"/>
        </w:rPr>
        <w:t xml:space="preserve">(átlag = -1.30, SE=3.07), a paracetamol (átlag =10.42, SE=2.50) </w:t>
      </w:r>
      <w:r w:rsidRPr="00F6526C">
        <w:rPr>
          <w:rFonts w:eastAsia="Times New Roman"/>
          <w:bCs/>
          <w:iCs/>
          <w:snapToGrid/>
          <w:color w:val="000000"/>
          <w:szCs w:val="22"/>
          <w:lang w:val="hu-HU" w:eastAsia="en-US"/>
        </w:rPr>
        <w:t>vagy</w:t>
      </w:r>
      <w:r w:rsidRPr="00F6526C">
        <w:rPr>
          <w:rFonts w:eastAsia="Times New Roman"/>
          <w:snapToGrid/>
          <w:szCs w:val="22"/>
          <w:lang w:val="hu-HU" w:eastAsia="en-US"/>
        </w:rPr>
        <w:t xml:space="preserve"> az ibuprofén (átlag =9,51, SE=2,49), magasszintű </w:t>
      </w:r>
      <w:r w:rsidRPr="00F6526C">
        <w:rPr>
          <w:rFonts w:eastAsia="Times New Roman"/>
          <w:bCs/>
          <w:iCs/>
          <w:snapToGrid/>
          <w:color w:val="000000"/>
          <w:spacing w:val="-2"/>
          <w:szCs w:val="22"/>
          <w:lang w:val="hu-HU" w:eastAsia="en-US"/>
        </w:rPr>
        <w:t>statisztika</w:t>
      </w:r>
      <w:r w:rsidRPr="00F6526C">
        <w:rPr>
          <w:rFonts w:eastAsia="Times New Roman"/>
          <w:snapToGrid/>
          <w:szCs w:val="22"/>
          <w:lang w:val="hu-HU" w:eastAsia="en-US"/>
        </w:rPr>
        <w:t>i szignifikanciával</w:t>
      </w:r>
      <w:bookmarkStart w:id="2" w:name="_Ref413398575"/>
      <w:bookmarkStart w:id="3" w:name="_Ref413398581"/>
      <w:bookmarkStart w:id="4" w:name="_Ref414026098"/>
      <w:r w:rsidRPr="00F6526C">
        <w:rPr>
          <w:rFonts w:eastAsia="Times New Roman"/>
          <w:snapToGrid/>
          <w:szCs w:val="22"/>
          <w:lang w:val="hu-HU" w:eastAsia="en-US"/>
        </w:rPr>
        <w:t xml:space="preserve"> (p&lt;0,001).</w:t>
      </w:r>
    </w:p>
    <w:p w14:paraId="45E64552" w14:textId="77777777" w:rsidR="00A14720" w:rsidRPr="00F6526C" w:rsidRDefault="00A14720" w:rsidP="00E8277D">
      <w:pPr>
        <w:autoSpaceDE w:val="0"/>
        <w:autoSpaceDN w:val="0"/>
        <w:adjustRightInd w:val="0"/>
        <w:spacing w:line="271" w:lineRule="auto"/>
        <w:rPr>
          <w:rFonts w:eastAsia="Times New Roman"/>
          <w:snapToGrid/>
          <w:szCs w:val="22"/>
          <w:lang w:val="hu-HU" w:eastAsia="en-US"/>
        </w:rPr>
      </w:pPr>
    </w:p>
    <w:p w14:paraId="2DFE286B" w14:textId="6BA7BEEA" w:rsidR="00A14720" w:rsidRPr="00F6526C" w:rsidRDefault="009168DF" w:rsidP="00E8277D">
      <w:pPr>
        <w:widowControl w:val="0"/>
        <w:tabs>
          <w:tab w:val="clear" w:pos="567"/>
        </w:tabs>
        <w:autoSpaceDE w:val="0"/>
        <w:autoSpaceDN w:val="0"/>
        <w:adjustRightInd w:val="0"/>
        <w:spacing w:line="240" w:lineRule="auto"/>
        <w:rPr>
          <w:rFonts w:eastAsia="Calibri"/>
          <w:b/>
          <w:snapToGrid/>
          <w:szCs w:val="22"/>
          <w:lang w:val="hu-HU" w:eastAsia="en-US"/>
        </w:rPr>
      </w:pPr>
      <w:r w:rsidRPr="00F6526C">
        <w:rPr>
          <w:rFonts w:eastAsia="Calibri"/>
          <w:b/>
          <w:snapToGrid/>
          <w:szCs w:val="22"/>
          <w:lang w:val="hu-HU" w:eastAsia="en-US"/>
        </w:rPr>
        <w:t>1</w:t>
      </w:r>
      <w:r w:rsidR="00A14720" w:rsidRPr="00F6526C">
        <w:rPr>
          <w:rFonts w:eastAsia="Calibri"/>
          <w:b/>
          <w:snapToGrid/>
          <w:szCs w:val="22"/>
          <w:lang w:val="hu-HU" w:eastAsia="en-US"/>
        </w:rPr>
        <w:t xml:space="preserve">. </w:t>
      </w:r>
      <w:r w:rsidR="00DD2DF7">
        <w:rPr>
          <w:rFonts w:eastAsia="Calibri"/>
          <w:b/>
          <w:snapToGrid/>
          <w:szCs w:val="22"/>
          <w:lang w:val="hu-HU" w:eastAsia="en-US"/>
        </w:rPr>
        <w:t>t</w:t>
      </w:r>
      <w:r w:rsidR="00A14720" w:rsidRPr="00F6526C">
        <w:rPr>
          <w:rFonts w:eastAsia="Calibri"/>
          <w:b/>
          <w:snapToGrid/>
          <w:szCs w:val="22"/>
          <w:lang w:val="hu-HU" w:eastAsia="en-US"/>
        </w:rPr>
        <w:t xml:space="preserve">áblázat: Az időre korrigált SPID (0-48) összefoglalása </w:t>
      </w:r>
      <w:r w:rsidR="00A14720" w:rsidRPr="00F6526C">
        <w:rPr>
          <w:rFonts w:eastAsia="Calibri"/>
          <w:b/>
          <w:bCs/>
          <w:iCs/>
          <w:snapToGrid/>
          <w:color w:val="000000"/>
          <w:spacing w:val="-2"/>
          <w:szCs w:val="22"/>
          <w:lang w:val="hu-HU" w:eastAsia="en-US"/>
        </w:rPr>
        <w:t>kezelés</w:t>
      </w:r>
      <w:r w:rsidR="00A14720" w:rsidRPr="00F6526C">
        <w:rPr>
          <w:rFonts w:eastAsia="Calibri"/>
          <w:b/>
          <w:snapToGrid/>
          <w:szCs w:val="22"/>
          <w:lang w:val="hu-HU" w:eastAsia="en-US"/>
        </w:rPr>
        <w:t xml:space="preserve">i </w:t>
      </w:r>
      <w:r w:rsidR="00A14720" w:rsidRPr="00F6526C">
        <w:rPr>
          <w:rFonts w:eastAsia="Calibri"/>
          <w:b/>
          <w:bCs/>
          <w:iCs/>
          <w:snapToGrid/>
          <w:color w:val="000000"/>
          <w:spacing w:val="-2"/>
          <w:szCs w:val="22"/>
          <w:lang w:val="hu-HU" w:eastAsia="hu-HU"/>
        </w:rPr>
        <w:t>csoport</w:t>
      </w:r>
      <w:r w:rsidR="00A14720" w:rsidRPr="00F6526C">
        <w:rPr>
          <w:rFonts w:eastAsia="Calibri"/>
          <w:b/>
          <w:snapToGrid/>
          <w:szCs w:val="22"/>
          <w:lang w:val="hu-HU" w:eastAsia="en-US"/>
        </w:rPr>
        <w:t>onként.</w:t>
      </w:r>
    </w:p>
    <w:bookmarkEnd w:id="2"/>
    <w:bookmarkEnd w:id="3"/>
    <w:bookmarkEnd w:id="4"/>
    <w:tbl>
      <w:tblPr>
        <w:tblW w:w="9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4A0" w:firstRow="1" w:lastRow="0" w:firstColumn="1" w:lastColumn="0" w:noHBand="0" w:noVBand="1"/>
      </w:tblPr>
      <w:tblGrid>
        <w:gridCol w:w="2830"/>
        <w:gridCol w:w="1467"/>
        <w:gridCol w:w="1608"/>
        <w:gridCol w:w="1608"/>
        <w:gridCol w:w="1608"/>
      </w:tblGrid>
      <w:tr w:rsidR="00A14720" w:rsidRPr="00F6526C" w14:paraId="79D7A2CA" w14:textId="77777777" w:rsidTr="00884251">
        <w:trPr>
          <w:trHeight w:val="278"/>
          <w:tblHeader/>
        </w:trPr>
        <w:tc>
          <w:tcPr>
            <w:tcW w:w="2830" w:type="dxa"/>
            <w:vMerge w:val="restart"/>
            <w:shd w:val="clear" w:color="auto" w:fill="EEEEEE"/>
            <w:hideMark/>
          </w:tcPr>
          <w:p w14:paraId="0A614B3E" w14:textId="77777777" w:rsidR="00A14720" w:rsidRPr="00F6526C" w:rsidRDefault="00A14720" w:rsidP="00E8277D">
            <w:pPr>
              <w:autoSpaceDE w:val="0"/>
              <w:autoSpaceDN w:val="0"/>
              <w:adjustRightInd w:val="0"/>
              <w:spacing w:before="40" w:after="40" w:line="271" w:lineRule="auto"/>
              <w:rPr>
                <w:rFonts w:eastAsia="Times New Roman"/>
                <w:b/>
                <w:snapToGrid/>
                <w:szCs w:val="22"/>
                <w:lang w:val="hu-HU" w:eastAsia="en-NZ"/>
              </w:rPr>
            </w:pPr>
          </w:p>
        </w:tc>
        <w:tc>
          <w:tcPr>
            <w:tcW w:w="1467" w:type="dxa"/>
            <w:shd w:val="clear" w:color="auto" w:fill="EEEEEE"/>
            <w:hideMark/>
          </w:tcPr>
          <w:p w14:paraId="5190501B" w14:textId="4564B755" w:rsidR="00A14720" w:rsidRPr="00F6526C" w:rsidRDefault="006D4655" w:rsidP="004017C1">
            <w:pPr>
              <w:autoSpaceDE w:val="0"/>
              <w:autoSpaceDN w:val="0"/>
              <w:adjustRightInd w:val="0"/>
              <w:spacing w:before="40" w:after="40" w:line="271" w:lineRule="auto"/>
              <w:jc w:val="center"/>
              <w:rPr>
                <w:rFonts w:eastAsia="Times New Roman"/>
                <w:b/>
                <w:snapToGrid/>
                <w:szCs w:val="22"/>
                <w:lang w:val="hu-HU" w:eastAsia="en-NZ"/>
              </w:rPr>
            </w:pPr>
            <w:r>
              <w:rPr>
                <w:rFonts w:eastAsia="Times New Roman"/>
                <w:b/>
                <w:noProof/>
                <w:snapToGrid/>
                <w:szCs w:val="22"/>
                <w:lang w:val="hu-HU" w:eastAsia="en-US"/>
              </w:rPr>
              <w:t>Elomen</w:t>
            </w:r>
            <w:r w:rsidR="00A14720" w:rsidRPr="00F6526C">
              <w:rPr>
                <w:rFonts w:eastAsia="Times New Roman"/>
                <w:b/>
                <w:noProof/>
                <w:snapToGrid/>
                <w:szCs w:val="22"/>
                <w:lang w:val="hu-HU" w:eastAsia="en-US"/>
              </w:rPr>
              <w:t xml:space="preserve"> 1000 mg/300 mg oldatos infúzió</w:t>
            </w:r>
          </w:p>
        </w:tc>
        <w:tc>
          <w:tcPr>
            <w:tcW w:w="1608" w:type="dxa"/>
            <w:shd w:val="clear" w:color="auto" w:fill="EEEEEE"/>
            <w:hideMark/>
          </w:tcPr>
          <w:p w14:paraId="285DF9B2" w14:textId="77777777" w:rsidR="00A14720" w:rsidRPr="00F6526C" w:rsidRDefault="00A14720" w:rsidP="004017C1">
            <w:pPr>
              <w:autoSpaceDE w:val="0"/>
              <w:autoSpaceDN w:val="0"/>
              <w:adjustRightInd w:val="0"/>
              <w:spacing w:before="40" w:after="40" w:line="271" w:lineRule="auto"/>
              <w:jc w:val="center"/>
              <w:rPr>
                <w:rFonts w:eastAsia="Times New Roman"/>
                <w:b/>
                <w:snapToGrid/>
                <w:szCs w:val="22"/>
                <w:lang w:val="hu-HU" w:eastAsia="en-NZ"/>
              </w:rPr>
            </w:pPr>
            <w:r w:rsidRPr="00F6526C">
              <w:rPr>
                <w:rFonts w:eastAsia="Times New Roman"/>
                <w:b/>
                <w:snapToGrid/>
                <w:szCs w:val="22"/>
                <w:lang w:val="hu-HU" w:eastAsia="en-NZ"/>
              </w:rPr>
              <w:t>Ibuprofén</w:t>
            </w:r>
          </w:p>
        </w:tc>
        <w:tc>
          <w:tcPr>
            <w:tcW w:w="1608" w:type="dxa"/>
            <w:shd w:val="clear" w:color="auto" w:fill="EEEEEE"/>
            <w:hideMark/>
          </w:tcPr>
          <w:p w14:paraId="3840EBFE" w14:textId="77777777" w:rsidR="00A14720" w:rsidRPr="00F6526C" w:rsidRDefault="00A14720" w:rsidP="004017C1">
            <w:pPr>
              <w:autoSpaceDE w:val="0"/>
              <w:autoSpaceDN w:val="0"/>
              <w:adjustRightInd w:val="0"/>
              <w:spacing w:before="40" w:after="40" w:line="271" w:lineRule="auto"/>
              <w:jc w:val="center"/>
              <w:rPr>
                <w:rFonts w:eastAsia="Times New Roman"/>
                <w:b/>
                <w:snapToGrid/>
                <w:szCs w:val="22"/>
                <w:lang w:val="hu-HU" w:eastAsia="en-NZ"/>
              </w:rPr>
            </w:pPr>
            <w:r w:rsidRPr="00F6526C">
              <w:rPr>
                <w:rFonts w:eastAsia="Times New Roman"/>
                <w:b/>
                <w:snapToGrid/>
                <w:szCs w:val="22"/>
                <w:lang w:val="hu-HU" w:eastAsia="en-NZ"/>
              </w:rPr>
              <w:t>Paracetamol</w:t>
            </w:r>
          </w:p>
        </w:tc>
        <w:tc>
          <w:tcPr>
            <w:tcW w:w="1608" w:type="dxa"/>
            <w:shd w:val="clear" w:color="auto" w:fill="EEEEEE"/>
            <w:hideMark/>
          </w:tcPr>
          <w:p w14:paraId="2DAA504F" w14:textId="77777777" w:rsidR="00A14720" w:rsidRPr="00F6526C" w:rsidRDefault="00A14720" w:rsidP="004017C1">
            <w:pPr>
              <w:autoSpaceDE w:val="0"/>
              <w:autoSpaceDN w:val="0"/>
              <w:adjustRightInd w:val="0"/>
              <w:spacing w:before="40" w:after="40" w:line="271" w:lineRule="auto"/>
              <w:jc w:val="center"/>
              <w:rPr>
                <w:rFonts w:eastAsia="Times New Roman"/>
                <w:b/>
                <w:snapToGrid/>
                <w:szCs w:val="22"/>
                <w:lang w:val="hu-HU" w:eastAsia="en-NZ"/>
              </w:rPr>
            </w:pPr>
            <w:r w:rsidRPr="00F6526C">
              <w:rPr>
                <w:rFonts w:eastAsia="Times New Roman"/>
                <w:b/>
                <w:snapToGrid/>
                <w:szCs w:val="22"/>
                <w:lang w:val="hu-HU" w:eastAsia="en-NZ"/>
              </w:rPr>
              <w:t>Placebo</w:t>
            </w:r>
          </w:p>
        </w:tc>
      </w:tr>
      <w:tr w:rsidR="00A14720" w:rsidRPr="00F6526C" w14:paraId="0579CFC7" w14:textId="77777777" w:rsidTr="00884251">
        <w:trPr>
          <w:trHeight w:val="293"/>
          <w:tblHeader/>
        </w:trPr>
        <w:tc>
          <w:tcPr>
            <w:tcW w:w="2830" w:type="dxa"/>
            <w:vMerge/>
            <w:vAlign w:val="center"/>
            <w:hideMark/>
          </w:tcPr>
          <w:p w14:paraId="608D1325" w14:textId="77777777" w:rsidR="00A14720" w:rsidRPr="00F6526C" w:rsidRDefault="00A14720" w:rsidP="00E8277D">
            <w:pPr>
              <w:autoSpaceDE w:val="0"/>
              <w:autoSpaceDN w:val="0"/>
              <w:adjustRightInd w:val="0"/>
              <w:spacing w:before="40" w:after="40" w:line="271" w:lineRule="auto"/>
              <w:rPr>
                <w:rFonts w:eastAsia="Times New Roman"/>
                <w:snapToGrid/>
                <w:szCs w:val="22"/>
                <w:lang w:val="hu-HU" w:eastAsia="en-NZ"/>
              </w:rPr>
            </w:pPr>
          </w:p>
        </w:tc>
        <w:tc>
          <w:tcPr>
            <w:tcW w:w="1467" w:type="dxa"/>
            <w:shd w:val="clear" w:color="auto" w:fill="EEEEEE"/>
            <w:hideMark/>
          </w:tcPr>
          <w:p w14:paraId="1F2464B6" w14:textId="77777777" w:rsidR="00A14720" w:rsidRPr="00F6526C" w:rsidRDefault="00A14720" w:rsidP="004017C1">
            <w:pPr>
              <w:autoSpaceDE w:val="0"/>
              <w:autoSpaceDN w:val="0"/>
              <w:adjustRightInd w:val="0"/>
              <w:spacing w:before="40" w:after="40" w:line="271" w:lineRule="auto"/>
              <w:jc w:val="center"/>
              <w:rPr>
                <w:rFonts w:eastAsia="Times New Roman"/>
                <w:b/>
                <w:snapToGrid/>
                <w:szCs w:val="22"/>
                <w:lang w:val="hu-HU" w:eastAsia="en-NZ"/>
              </w:rPr>
            </w:pPr>
            <w:r w:rsidRPr="00F6526C">
              <w:rPr>
                <w:rFonts w:eastAsia="Times New Roman"/>
                <w:b/>
                <w:snapToGrid/>
                <w:szCs w:val="22"/>
                <w:lang w:val="hu-HU" w:eastAsia="en-NZ"/>
              </w:rPr>
              <w:t>N=75</w:t>
            </w:r>
          </w:p>
        </w:tc>
        <w:tc>
          <w:tcPr>
            <w:tcW w:w="1608" w:type="dxa"/>
            <w:shd w:val="clear" w:color="auto" w:fill="EEEEEE"/>
            <w:hideMark/>
          </w:tcPr>
          <w:p w14:paraId="52384DAB" w14:textId="77777777" w:rsidR="00A14720" w:rsidRPr="00F6526C" w:rsidRDefault="00A14720" w:rsidP="004017C1">
            <w:pPr>
              <w:autoSpaceDE w:val="0"/>
              <w:autoSpaceDN w:val="0"/>
              <w:adjustRightInd w:val="0"/>
              <w:spacing w:before="40" w:after="40" w:line="271" w:lineRule="auto"/>
              <w:jc w:val="center"/>
              <w:rPr>
                <w:rFonts w:eastAsia="Times New Roman"/>
                <w:b/>
                <w:snapToGrid/>
                <w:szCs w:val="22"/>
                <w:lang w:val="hu-HU" w:eastAsia="en-NZ"/>
              </w:rPr>
            </w:pPr>
            <w:r w:rsidRPr="00F6526C">
              <w:rPr>
                <w:rFonts w:eastAsia="Times New Roman"/>
                <w:b/>
                <w:snapToGrid/>
                <w:szCs w:val="22"/>
                <w:lang w:val="hu-HU" w:eastAsia="en-NZ"/>
              </w:rPr>
              <w:t>N=76</w:t>
            </w:r>
          </w:p>
        </w:tc>
        <w:tc>
          <w:tcPr>
            <w:tcW w:w="1608" w:type="dxa"/>
            <w:shd w:val="clear" w:color="auto" w:fill="EEEEEE"/>
            <w:hideMark/>
          </w:tcPr>
          <w:p w14:paraId="550871C3" w14:textId="77777777" w:rsidR="00A14720" w:rsidRPr="00F6526C" w:rsidRDefault="00A14720" w:rsidP="004017C1">
            <w:pPr>
              <w:autoSpaceDE w:val="0"/>
              <w:autoSpaceDN w:val="0"/>
              <w:adjustRightInd w:val="0"/>
              <w:spacing w:before="40" w:after="40" w:line="271" w:lineRule="auto"/>
              <w:jc w:val="center"/>
              <w:rPr>
                <w:rFonts w:eastAsia="Times New Roman"/>
                <w:b/>
                <w:snapToGrid/>
                <w:szCs w:val="22"/>
                <w:lang w:val="hu-HU" w:eastAsia="en-NZ"/>
              </w:rPr>
            </w:pPr>
            <w:r w:rsidRPr="00F6526C">
              <w:rPr>
                <w:rFonts w:eastAsia="Times New Roman"/>
                <w:b/>
                <w:snapToGrid/>
                <w:szCs w:val="22"/>
                <w:lang w:val="hu-HU" w:eastAsia="en-NZ"/>
              </w:rPr>
              <w:t>N=75</w:t>
            </w:r>
          </w:p>
        </w:tc>
        <w:tc>
          <w:tcPr>
            <w:tcW w:w="1608" w:type="dxa"/>
            <w:shd w:val="clear" w:color="auto" w:fill="EEEEEE"/>
            <w:hideMark/>
          </w:tcPr>
          <w:p w14:paraId="40011B1C" w14:textId="77777777" w:rsidR="00A14720" w:rsidRPr="00F6526C" w:rsidRDefault="00A14720" w:rsidP="004017C1">
            <w:pPr>
              <w:autoSpaceDE w:val="0"/>
              <w:autoSpaceDN w:val="0"/>
              <w:adjustRightInd w:val="0"/>
              <w:spacing w:before="40" w:after="40" w:line="271" w:lineRule="auto"/>
              <w:jc w:val="center"/>
              <w:rPr>
                <w:rFonts w:eastAsia="Times New Roman"/>
                <w:b/>
                <w:snapToGrid/>
                <w:szCs w:val="22"/>
                <w:lang w:val="hu-HU" w:eastAsia="en-NZ"/>
              </w:rPr>
            </w:pPr>
            <w:r w:rsidRPr="00F6526C">
              <w:rPr>
                <w:rFonts w:eastAsia="Times New Roman"/>
                <w:b/>
                <w:snapToGrid/>
                <w:szCs w:val="22"/>
                <w:lang w:val="hu-HU" w:eastAsia="en-NZ"/>
              </w:rPr>
              <w:t>N=50</w:t>
            </w:r>
          </w:p>
        </w:tc>
      </w:tr>
      <w:tr w:rsidR="00A14720" w:rsidRPr="00F6526C" w14:paraId="219F1827" w14:textId="77777777" w:rsidTr="00884251">
        <w:trPr>
          <w:trHeight w:val="278"/>
        </w:trPr>
        <w:tc>
          <w:tcPr>
            <w:tcW w:w="2830" w:type="dxa"/>
            <w:hideMark/>
          </w:tcPr>
          <w:p w14:paraId="2D24A729" w14:textId="77777777" w:rsidR="00A14720" w:rsidRPr="00F6526C" w:rsidRDefault="00A14720" w:rsidP="00E8277D">
            <w:pPr>
              <w:autoSpaceDE w:val="0"/>
              <w:autoSpaceDN w:val="0"/>
              <w:adjustRightInd w:val="0"/>
              <w:spacing w:before="40" w:after="40" w:line="271" w:lineRule="auto"/>
              <w:rPr>
                <w:rFonts w:eastAsia="Times New Roman"/>
                <w:snapToGrid/>
                <w:szCs w:val="22"/>
                <w:lang w:val="hu-HU" w:eastAsia="en-NZ"/>
              </w:rPr>
            </w:pPr>
            <w:r w:rsidRPr="00F6526C">
              <w:rPr>
                <w:rFonts w:eastAsia="Times New Roman"/>
                <w:snapToGrid/>
                <w:szCs w:val="22"/>
                <w:lang w:val="hu-HU" w:eastAsia="en-NZ"/>
              </w:rPr>
              <w:t>N</w:t>
            </w:r>
          </w:p>
        </w:tc>
        <w:tc>
          <w:tcPr>
            <w:tcW w:w="1467" w:type="dxa"/>
            <w:hideMark/>
          </w:tcPr>
          <w:p w14:paraId="722DADA1" w14:textId="77777777" w:rsidR="00A14720" w:rsidRPr="00F6526C" w:rsidRDefault="00A14720" w:rsidP="004017C1">
            <w:pPr>
              <w:autoSpaceDE w:val="0"/>
              <w:autoSpaceDN w:val="0"/>
              <w:adjustRightInd w:val="0"/>
              <w:spacing w:before="40" w:after="40" w:line="271" w:lineRule="auto"/>
              <w:jc w:val="center"/>
              <w:rPr>
                <w:rFonts w:eastAsia="Times New Roman"/>
                <w:snapToGrid/>
                <w:szCs w:val="22"/>
                <w:lang w:val="hu-HU" w:eastAsia="en-NZ"/>
              </w:rPr>
            </w:pPr>
            <w:r w:rsidRPr="00F6526C">
              <w:rPr>
                <w:rFonts w:eastAsia="Times New Roman"/>
                <w:snapToGrid/>
                <w:szCs w:val="22"/>
                <w:lang w:val="hu-HU" w:eastAsia="en-NZ"/>
              </w:rPr>
              <w:t>75</w:t>
            </w:r>
          </w:p>
        </w:tc>
        <w:tc>
          <w:tcPr>
            <w:tcW w:w="1608" w:type="dxa"/>
            <w:hideMark/>
          </w:tcPr>
          <w:p w14:paraId="5D6ADC3E" w14:textId="77777777" w:rsidR="00A14720" w:rsidRPr="00F6526C" w:rsidRDefault="00A14720" w:rsidP="004017C1">
            <w:pPr>
              <w:autoSpaceDE w:val="0"/>
              <w:autoSpaceDN w:val="0"/>
              <w:adjustRightInd w:val="0"/>
              <w:spacing w:before="40" w:after="40" w:line="271" w:lineRule="auto"/>
              <w:jc w:val="center"/>
              <w:rPr>
                <w:rFonts w:eastAsia="Times New Roman"/>
                <w:snapToGrid/>
                <w:szCs w:val="22"/>
                <w:lang w:val="hu-HU" w:eastAsia="en-NZ"/>
              </w:rPr>
            </w:pPr>
            <w:r w:rsidRPr="00F6526C">
              <w:rPr>
                <w:rFonts w:eastAsia="Times New Roman"/>
                <w:snapToGrid/>
                <w:szCs w:val="22"/>
                <w:lang w:val="hu-HU" w:eastAsia="en-NZ"/>
              </w:rPr>
              <w:t>76</w:t>
            </w:r>
          </w:p>
        </w:tc>
        <w:tc>
          <w:tcPr>
            <w:tcW w:w="1608" w:type="dxa"/>
            <w:hideMark/>
          </w:tcPr>
          <w:p w14:paraId="67901FF2" w14:textId="77777777" w:rsidR="00A14720" w:rsidRPr="00F6526C" w:rsidRDefault="00A14720" w:rsidP="004017C1">
            <w:pPr>
              <w:autoSpaceDE w:val="0"/>
              <w:autoSpaceDN w:val="0"/>
              <w:adjustRightInd w:val="0"/>
              <w:spacing w:before="40" w:after="40" w:line="271" w:lineRule="auto"/>
              <w:jc w:val="center"/>
              <w:rPr>
                <w:rFonts w:eastAsia="Times New Roman"/>
                <w:snapToGrid/>
                <w:szCs w:val="22"/>
                <w:lang w:val="hu-HU" w:eastAsia="en-NZ"/>
              </w:rPr>
            </w:pPr>
            <w:r w:rsidRPr="00F6526C">
              <w:rPr>
                <w:rFonts w:eastAsia="Times New Roman"/>
                <w:snapToGrid/>
                <w:szCs w:val="22"/>
                <w:lang w:val="hu-HU" w:eastAsia="en-NZ"/>
              </w:rPr>
              <w:t>75</w:t>
            </w:r>
          </w:p>
        </w:tc>
        <w:tc>
          <w:tcPr>
            <w:tcW w:w="1608" w:type="dxa"/>
            <w:hideMark/>
          </w:tcPr>
          <w:p w14:paraId="1F26768F" w14:textId="77777777" w:rsidR="00A14720" w:rsidRPr="00F6526C" w:rsidRDefault="00A14720" w:rsidP="004017C1">
            <w:pPr>
              <w:autoSpaceDE w:val="0"/>
              <w:autoSpaceDN w:val="0"/>
              <w:adjustRightInd w:val="0"/>
              <w:spacing w:before="40" w:after="40" w:line="271" w:lineRule="auto"/>
              <w:jc w:val="center"/>
              <w:rPr>
                <w:rFonts w:eastAsia="Times New Roman"/>
                <w:snapToGrid/>
                <w:szCs w:val="22"/>
                <w:lang w:val="hu-HU" w:eastAsia="en-NZ"/>
              </w:rPr>
            </w:pPr>
            <w:r w:rsidRPr="00F6526C">
              <w:rPr>
                <w:rFonts w:eastAsia="Times New Roman"/>
                <w:snapToGrid/>
                <w:szCs w:val="22"/>
                <w:lang w:val="hu-HU" w:eastAsia="en-NZ"/>
              </w:rPr>
              <w:t>50</w:t>
            </w:r>
          </w:p>
        </w:tc>
      </w:tr>
      <w:tr w:rsidR="00A14720" w:rsidRPr="00F6526C" w14:paraId="4DD5F71B" w14:textId="77777777" w:rsidTr="00884251">
        <w:trPr>
          <w:trHeight w:val="278"/>
        </w:trPr>
        <w:tc>
          <w:tcPr>
            <w:tcW w:w="2830" w:type="dxa"/>
            <w:hideMark/>
          </w:tcPr>
          <w:p w14:paraId="6F6E5F97" w14:textId="77777777" w:rsidR="00A14720" w:rsidRPr="00F6526C" w:rsidRDefault="00A14720" w:rsidP="00E8277D">
            <w:pPr>
              <w:autoSpaceDE w:val="0"/>
              <w:autoSpaceDN w:val="0"/>
              <w:adjustRightInd w:val="0"/>
              <w:spacing w:before="40" w:after="40" w:line="271" w:lineRule="auto"/>
              <w:rPr>
                <w:rFonts w:eastAsia="Times New Roman"/>
                <w:snapToGrid/>
                <w:szCs w:val="22"/>
                <w:lang w:val="hu-HU" w:eastAsia="en-NZ"/>
              </w:rPr>
            </w:pPr>
            <w:r w:rsidRPr="00F6526C">
              <w:rPr>
                <w:rFonts w:eastAsia="Times New Roman"/>
                <w:snapToGrid/>
                <w:szCs w:val="22"/>
                <w:lang w:val="hu-HU" w:eastAsia="en-NZ"/>
              </w:rPr>
              <w:t>Átlag (SE)</w:t>
            </w:r>
          </w:p>
        </w:tc>
        <w:tc>
          <w:tcPr>
            <w:tcW w:w="1467" w:type="dxa"/>
            <w:hideMark/>
          </w:tcPr>
          <w:p w14:paraId="7856125F" w14:textId="77777777" w:rsidR="00A14720" w:rsidRPr="00F6526C" w:rsidRDefault="00A14720" w:rsidP="004017C1">
            <w:pPr>
              <w:autoSpaceDE w:val="0"/>
              <w:autoSpaceDN w:val="0"/>
              <w:adjustRightInd w:val="0"/>
              <w:spacing w:before="40" w:after="40" w:line="271" w:lineRule="auto"/>
              <w:jc w:val="center"/>
              <w:rPr>
                <w:rFonts w:eastAsia="Times New Roman"/>
                <w:snapToGrid/>
                <w:szCs w:val="22"/>
                <w:lang w:val="hu-HU" w:eastAsia="en-NZ"/>
              </w:rPr>
            </w:pPr>
            <w:r w:rsidRPr="00F6526C">
              <w:rPr>
                <w:rFonts w:eastAsia="Times New Roman"/>
                <w:snapToGrid/>
                <w:szCs w:val="22"/>
                <w:lang w:val="hu-HU" w:eastAsia="en-NZ"/>
              </w:rPr>
              <w:t>23,41 (2,89)</w:t>
            </w:r>
          </w:p>
        </w:tc>
        <w:tc>
          <w:tcPr>
            <w:tcW w:w="1608" w:type="dxa"/>
            <w:hideMark/>
          </w:tcPr>
          <w:p w14:paraId="190BC3B8" w14:textId="77777777" w:rsidR="00A14720" w:rsidRPr="00F6526C" w:rsidRDefault="00A14720" w:rsidP="004017C1">
            <w:pPr>
              <w:autoSpaceDE w:val="0"/>
              <w:autoSpaceDN w:val="0"/>
              <w:adjustRightInd w:val="0"/>
              <w:spacing w:before="40" w:after="40" w:line="271" w:lineRule="auto"/>
              <w:jc w:val="center"/>
              <w:rPr>
                <w:rFonts w:eastAsia="Times New Roman"/>
                <w:snapToGrid/>
                <w:szCs w:val="22"/>
                <w:lang w:val="hu-HU" w:eastAsia="en-NZ"/>
              </w:rPr>
            </w:pPr>
            <w:r w:rsidRPr="00F6526C">
              <w:rPr>
                <w:rFonts w:eastAsia="Times New Roman"/>
                <w:snapToGrid/>
                <w:szCs w:val="22"/>
                <w:lang w:val="hu-HU" w:eastAsia="en-NZ"/>
              </w:rPr>
              <w:t>9,51 (2,53)</w:t>
            </w:r>
          </w:p>
        </w:tc>
        <w:tc>
          <w:tcPr>
            <w:tcW w:w="1608" w:type="dxa"/>
            <w:hideMark/>
          </w:tcPr>
          <w:p w14:paraId="73603166" w14:textId="77777777" w:rsidR="00A14720" w:rsidRPr="00F6526C" w:rsidRDefault="00A14720" w:rsidP="004017C1">
            <w:pPr>
              <w:autoSpaceDE w:val="0"/>
              <w:autoSpaceDN w:val="0"/>
              <w:adjustRightInd w:val="0"/>
              <w:spacing w:before="40" w:after="40" w:line="271" w:lineRule="auto"/>
              <w:jc w:val="center"/>
              <w:rPr>
                <w:rFonts w:eastAsia="Times New Roman"/>
                <w:snapToGrid/>
                <w:szCs w:val="22"/>
                <w:lang w:val="hu-HU" w:eastAsia="en-NZ"/>
              </w:rPr>
            </w:pPr>
            <w:r w:rsidRPr="00F6526C">
              <w:rPr>
                <w:rFonts w:eastAsia="Times New Roman"/>
                <w:snapToGrid/>
                <w:szCs w:val="22"/>
                <w:lang w:val="hu-HU" w:eastAsia="en-NZ"/>
              </w:rPr>
              <w:t>10,42 (2,49)</w:t>
            </w:r>
          </w:p>
        </w:tc>
        <w:tc>
          <w:tcPr>
            <w:tcW w:w="1608" w:type="dxa"/>
            <w:hideMark/>
          </w:tcPr>
          <w:p w14:paraId="4C5401CD" w14:textId="77777777" w:rsidR="00A14720" w:rsidRPr="00F6526C" w:rsidRDefault="00A14720" w:rsidP="004017C1">
            <w:pPr>
              <w:autoSpaceDE w:val="0"/>
              <w:autoSpaceDN w:val="0"/>
              <w:adjustRightInd w:val="0"/>
              <w:spacing w:before="40" w:after="40" w:line="271" w:lineRule="auto"/>
              <w:jc w:val="center"/>
              <w:rPr>
                <w:rFonts w:eastAsia="Times New Roman"/>
                <w:snapToGrid/>
                <w:szCs w:val="22"/>
                <w:lang w:val="hu-HU" w:eastAsia="en-NZ"/>
              </w:rPr>
            </w:pPr>
            <w:r w:rsidRPr="00F6526C">
              <w:rPr>
                <w:rFonts w:eastAsia="Times New Roman"/>
                <w:snapToGrid/>
                <w:szCs w:val="22"/>
                <w:lang w:val="hu-HU" w:eastAsia="en-NZ"/>
              </w:rPr>
              <w:t>-1,30 (2,08)</w:t>
            </w:r>
          </w:p>
        </w:tc>
      </w:tr>
      <w:tr w:rsidR="00A14720" w:rsidRPr="00F6526C" w14:paraId="2D267720" w14:textId="77777777" w:rsidTr="00884251">
        <w:trPr>
          <w:trHeight w:val="278"/>
        </w:trPr>
        <w:tc>
          <w:tcPr>
            <w:tcW w:w="2830" w:type="dxa"/>
            <w:hideMark/>
          </w:tcPr>
          <w:p w14:paraId="24759449" w14:textId="77777777" w:rsidR="00A14720" w:rsidRPr="00F6526C" w:rsidRDefault="00A14720" w:rsidP="00E8277D">
            <w:pPr>
              <w:autoSpaceDE w:val="0"/>
              <w:autoSpaceDN w:val="0"/>
              <w:adjustRightInd w:val="0"/>
              <w:spacing w:before="40" w:after="40" w:line="271" w:lineRule="auto"/>
              <w:rPr>
                <w:rFonts w:eastAsia="Times New Roman"/>
                <w:snapToGrid/>
                <w:szCs w:val="22"/>
                <w:lang w:val="hu-HU" w:eastAsia="en-NZ"/>
              </w:rPr>
            </w:pPr>
            <w:r w:rsidRPr="00F6526C">
              <w:rPr>
                <w:rFonts w:eastAsia="Times New Roman"/>
                <w:snapToGrid/>
                <w:szCs w:val="22"/>
                <w:lang w:val="hu-HU" w:eastAsia="en-NZ"/>
              </w:rPr>
              <w:t>Medián</w:t>
            </w:r>
          </w:p>
        </w:tc>
        <w:tc>
          <w:tcPr>
            <w:tcW w:w="1467" w:type="dxa"/>
            <w:hideMark/>
          </w:tcPr>
          <w:p w14:paraId="4DC68751" w14:textId="77777777" w:rsidR="00A14720" w:rsidRPr="00F6526C" w:rsidRDefault="00A14720" w:rsidP="004017C1">
            <w:pPr>
              <w:autoSpaceDE w:val="0"/>
              <w:autoSpaceDN w:val="0"/>
              <w:adjustRightInd w:val="0"/>
              <w:spacing w:before="40" w:after="40" w:line="271" w:lineRule="auto"/>
              <w:jc w:val="center"/>
              <w:rPr>
                <w:rFonts w:eastAsia="Times New Roman"/>
                <w:snapToGrid/>
                <w:szCs w:val="22"/>
                <w:lang w:val="hu-HU" w:eastAsia="en-NZ"/>
              </w:rPr>
            </w:pPr>
            <w:r w:rsidRPr="00F6526C">
              <w:rPr>
                <w:rFonts w:eastAsia="Times New Roman"/>
                <w:snapToGrid/>
                <w:szCs w:val="22"/>
                <w:lang w:val="hu-HU" w:eastAsia="en-NZ"/>
              </w:rPr>
              <w:t>23,10</w:t>
            </w:r>
          </w:p>
        </w:tc>
        <w:tc>
          <w:tcPr>
            <w:tcW w:w="1608" w:type="dxa"/>
            <w:hideMark/>
          </w:tcPr>
          <w:p w14:paraId="5441FD40" w14:textId="77777777" w:rsidR="00A14720" w:rsidRPr="00F6526C" w:rsidRDefault="00A14720" w:rsidP="004017C1">
            <w:pPr>
              <w:autoSpaceDE w:val="0"/>
              <w:autoSpaceDN w:val="0"/>
              <w:adjustRightInd w:val="0"/>
              <w:spacing w:before="40" w:after="40" w:line="271" w:lineRule="auto"/>
              <w:jc w:val="center"/>
              <w:rPr>
                <w:rFonts w:eastAsia="Times New Roman"/>
                <w:snapToGrid/>
                <w:szCs w:val="22"/>
                <w:lang w:val="hu-HU" w:eastAsia="en-NZ"/>
              </w:rPr>
            </w:pPr>
            <w:r w:rsidRPr="00F6526C">
              <w:rPr>
                <w:rFonts w:eastAsia="Times New Roman"/>
                <w:snapToGrid/>
                <w:szCs w:val="22"/>
                <w:lang w:val="hu-HU" w:eastAsia="en-NZ"/>
              </w:rPr>
              <w:t>5,40</w:t>
            </w:r>
          </w:p>
        </w:tc>
        <w:tc>
          <w:tcPr>
            <w:tcW w:w="1608" w:type="dxa"/>
            <w:hideMark/>
          </w:tcPr>
          <w:p w14:paraId="029D5D64" w14:textId="77777777" w:rsidR="00A14720" w:rsidRPr="00F6526C" w:rsidRDefault="00A14720" w:rsidP="004017C1">
            <w:pPr>
              <w:autoSpaceDE w:val="0"/>
              <w:autoSpaceDN w:val="0"/>
              <w:adjustRightInd w:val="0"/>
              <w:spacing w:before="40" w:after="40" w:line="271" w:lineRule="auto"/>
              <w:jc w:val="center"/>
              <w:rPr>
                <w:rFonts w:eastAsia="Times New Roman"/>
                <w:snapToGrid/>
                <w:szCs w:val="22"/>
                <w:lang w:val="hu-HU" w:eastAsia="en-NZ"/>
              </w:rPr>
            </w:pPr>
            <w:r w:rsidRPr="00F6526C">
              <w:rPr>
                <w:rFonts w:eastAsia="Times New Roman"/>
                <w:snapToGrid/>
                <w:szCs w:val="22"/>
                <w:lang w:val="hu-HU" w:eastAsia="en-NZ"/>
              </w:rPr>
              <w:t>3,45</w:t>
            </w:r>
          </w:p>
        </w:tc>
        <w:tc>
          <w:tcPr>
            <w:tcW w:w="1608" w:type="dxa"/>
            <w:hideMark/>
          </w:tcPr>
          <w:p w14:paraId="6A147056" w14:textId="77777777" w:rsidR="00A14720" w:rsidRPr="00F6526C" w:rsidRDefault="00A14720" w:rsidP="004017C1">
            <w:pPr>
              <w:autoSpaceDE w:val="0"/>
              <w:autoSpaceDN w:val="0"/>
              <w:adjustRightInd w:val="0"/>
              <w:spacing w:before="40" w:after="40" w:line="271" w:lineRule="auto"/>
              <w:jc w:val="center"/>
              <w:rPr>
                <w:rFonts w:eastAsia="Times New Roman"/>
                <w:snapToGrid/>
                <w:szCs w:val="22"/>
                <w:lang w:val="hu-HU" w:eastAsia="en-NZ"/>
              </w:rPr>
            </w:pPr>
            <w:r w:rsidRPr="00F6526C">
              <w:rPr>
                <w:rFonts w:eastAsia="Times New Roman"/>
                <w:snapToGrid/>
                <w:szCs w:val="22"/>
                <w:lang w:val="hu-HU" w:eastAsia="en-NZ"/>
              </w:rPr>
              <w:t>-4,00</w:t>
            </w:r>
          </w:p>
        </w:tc>
      </w:tr>
      <w:tr w:rsidR="00A14720" w:rsidRPr="00F6526C" w14:paraId="749C9045" w14:textId="77777777" w:rsidTr="00884251">
        <w:trPr>
          <w:trHeight w:val="262"/>
        </w:trPr>
        <w:tc>
          <w:tcPr>
            <w:tcW w:w="2830" w:type="dxa"/>
            <w:hideMark/>
          </w:tcPr>
          <w:p w14:paraId="37B4D5FA" w14:textId="77777777" w:rsidR="00A14720" w:rsidRPr="00F6526C" w:rsidRDefault="00A14720" w:rsidP="00E8277D">
            <w:pPr>
              <w:autoSpaceDE w:val="0"/>
              <w:autoSpaceDN w:val="0"/>
              <w:adjustRightInd w:val="0"/>
              <w:spacing w:before="40" w:after="40" w:line="271" w:lineRule="auto"/>
              <w:rPr>
                <w:rFonts w:eastAsia="Times New Roman"/>
                <w:snapToGrid/>
                <w:szCs w:val="22"/>
                <w:lang w:val="hu-HU" w:eastAsia="en-NZ"/>
              </w:rPr>
            </w:pPr>
            <w:r w:rsidRPr="00F6526C">
              <w:rPr>
                <w:rFonts w:eastAsia="Times New Roman"/>
                <w:snapToGrid/>
                <w:szCs w:val="22"/>
                <w:lang w:val="hu-HU" w:eastAsia="en-NZ"/>
              </w:rPr>
              <w:t>Min; Max</w:t>
            </w:r>
          </w:p>
        </w:tc>
        <w:tc>
          <w:tcPr>
            <w:tcW w:w="1467" w:type="dxa"/>
            <w:hideMark/>
          </w:tcPr>
          <w:p w14:paraId="2F819902" w14:textId="77777777" w:rsidR="00A14720" w:rsidRPr="00F6526C" w:rsidRDefault="00A14720" w:rsidP="004017C1">
            <w:pPr>
              <w:autoSpaceDE w:val="0"/>
              <w:autoSpaceDN w:val="0"/>
              <w:adjustRightInd w:val="0"/>
              <w:spacing w:before="40" w:after="40" w:line="271" w:lineRule="auto"/>
              <w:jc w:val="center"/>
              <w:rPr>
                <w:rFonts w:eastAsia="Times New Roman"/>
                <w:snapToGrid/>
                <w:szCs w:val="22"/>
                <w:lang w:val="hu-HU" w:eastAsia="en-NZ"/>
              </w:rPr>
            </w:pPr>
            <w:r w:rsidRPr="00F6526C">
              <w:rPr>
                <w:rFonts w:eastAsia="Times New Roman"/>
                <w:snapToGrid/>
                <w:szCs w:val="22"/>
                <w:lang w:val="hu-HU" w:eastAsia="en-NZ"/>
              </w:rPr>
              <w:t>-34,08; 74,17</w:t>
            </w:r>
          </w:p>
        </w:tc>
        <w:tc>
          <w:tcPr>
            <w:tcW w:w="1608" w:type="dxa"/>
            <w:hideMark/>
          </w:tcPr>
          <w:p w14:paraId="19D7BC9E" w14:textId="77777777" w:rsidR="00A14720" w:rsidRPr="00F6526C" w:rsidRDefault="00A14720" w:rsidP="004017C1">
            <w:pPr>
              <w:autoSpaceDE w:val="0"/>
              <w:autoSpaceDN w:val="0"/>
              <w:adjustRightInd w:val="0"/>
              <w:spacing w:before="40" w:after="40" w:line="271" w:lineRule="auto"/>
              <w:jc w:val="center"/>
              <w:rPr>
                <w:rFonts w:eastAsia="Times New Roman"/>
                <w:snapToGrid/>
                <w:szCs w:val="22"/>
                <w:lang w:val="hu-HU" w:eastAsia="en-NZ"/>
              </w:rPr>
            </w:pPr>
            <w:r w:rsidRPr="00F6526C">
              <w:rPr>
                <w:rFonts w:eastAsia="Times New Roman"/>
                <w:snapToGrid/>
                <w:szCs w:val="22"/>
                <w:lang w:val="hu-HU" w:eastAsia="en-NZ"/>
              </w:rPr>
              <w:t>-30,68; 79,98</w:t>
            </w:r>
          </w:p>
        </w:tc>
        <w:tc>
          <w:tcPr>
            <w:tcW w:w="1608" w:type="dxa"/>
            <w:hideMark/>
          </w:tcPr>
          <w:p w14:paraId="046BB98B" w14:textId="77777777" w:rsidR="00A14720" w:rsidRPr="00F6526C" w:rsidRDefault="00A14720" w:rsidP="004017C1">
            <w:pPr>
              <w:autoSpaceDE w:val="0"/>
              <w:autoSpaceDN w:val="0"/>
              <w:adjustRightInd w:val="0"/>
              <w:spacing w:before="40" w:after="40" w:line="271" w:lineRule="auto"/>
              <w:jc w:val="center"/>
              <w:rPr>
                <w:rFonts w:eastAsia="Times New Roman"/>
                <w:snapToGrid/>
                <w:szCs w:val="22"/>
                <w:lang w:val="hu-HU" w:eastAsia="en-NZ"/>
              </w:rPr>
            </w:pPr>
            <w:r w:rsidRPr="00F6526C">
              <w:rPr>
                <w:rFonts w:eastAsia="Times New Roman"/>
                <w:snapToGrid/>
                <w:szCs w:val="22"/>
                <w:lang w:val="hu-HU" w:eastAsia="en-NZ"/>
              </w:rPr>
              <w:t>-26,78; 65,43</w:t>
            </w:r>
          </w:p>
        </w:tc>
        <w:tc>
          <w:tcPr>
            <w:tcW w:w="1608" w:type="dxa"/>
            <w:hideMark/>
          </w:tcPr>
          <w:p w14:paraId="33B9A931" w14:textId="77777777" w:rsidR="00A14720" w:rsidRPr="00F6526C" w:rsidRDefault="00A14720" w:rsidP="004017C1">
            <w:pPr>
              <w:autoSpaceDE w:val="0"/>
              <w:autoSpaceDN w:val="0"/>
              <w:adjustRightInd w:val="0"/>
              <w:spacing w:before="40" w:after="40" w:line="271" w:lineRule="auto"/>
              <w:jc w:val="center"/>
              <w:rPr>
                <w:rFonts w:eastAsia="Times New Roman"/>
                <w:snapToGrid/>
                <w:szCs w:val="22"/>
                <w:lang w:val="hu-HU" w:eastAsia="en-NZ"/>
              </w:rPr>
            </w:pPr>
            <w:r w:rsidRPr="00F6526C">
              <w:rPr>
                <w:rFonts w:eastAsia="Times New Roman"/>
                <w:snapToGrid/>
                <w:szCs w:val="22"/>
                <w:lang w:val="hu-HU" w:eastAsia="en-NZ"/>
              </w:rPr>
              <w:t>-22,42; 47,50</w:t>
            </w:r>
          </w:p>
        </w:tc>
      </w:tr>
      <w:tr w:rsidR="00A14720" w:rsidRPr="00F6526C" w14:paraId="65740880" w14:textId="77777777" w:rsidTr="00884251">
        <w:trPr>
          <w:trHeight w:val="278"/>
        </w:trPr>
        <w:tc>
          <w:tcPr>
            <w:tcW w:w="2830" w:type="dxa"/>
            <w:hideMark/>
          </w:tcPr>
          <w:p w14:paraId="35578E3E" w14:textId="77777777" w:rsidR="00A14720" w:rsidRPr="00F6526C" w:rsidRDefault="00A14720" w:rsidP="00E8277D">
            <w:pPr>
              <w:autoSpaceDE w:val="0"/>
              <w:autoSpaceDN w:val="0"/>
              <w:adjustRightInd w:val="0"/>
              <w:spacing w:before="40" w:after="40" w:line="271" w:lineRule="auto"/>
              <w:rPr>
                <w:rFonts w:eastAsia="Times New Roman"/>
                <w:snapToGrid/>
                <w:szCs w:val="22"/>
                <w:lang w:val="hu-HU" w:eastAsia="en-NZ"/>
              </w:rPr>
            </w:pPr>
            <w:r w:rsidRPr="00F6526C">
              <w:rPr>
                <w:rFonts w:eastAsia="Times New Roman"/>
                <w:snapToGrid/>
                <w:szCs w:val="22"/>
                <w:lang w:val="hu-HU" w:eastAsia="en-NZ"/>
              </w:rPr>
              <w:t>Átlag becslés (SE)</w:t>
            </w:r>
          </w:p>
        </w:tc>
        <w:tc>
          <w:tcPr>
            <w:tcW w:w="1467" w:type="dxa"/>
            <w:hideMark/>
          </w:tcPr>
          <w:p w14:paraId="7AF8BF01" w14:textId="77777777" w:rsidR="00A14720" w:rsidRPr="00F6526C" w:rsidRDefault="00A14720" w:rsidP="004017C1">
            <w:pPr>
              <w:autoSpaceDE w:val="0"/>
              <w:autoSpaceDN w:val="0"/>
              <w:adjustRightInd w:val="0"/>
              <w:spacing w:before="40" w:after="40" w:line="271" w:lineRule="auto"/>
              <w:jc w:val="center"/>
              <w:rPr>
                <w:rFonts w:eastAsia="Times New Roman"/>
                <w:snapToGrid/>
                <w:szCs w:val="22"/>
                <w:lang w:val="hu-HU" w:eastAsia="en-NZ"/>
              </w:rPr>
            </w:pPr>
            <w:r w:rsidRPr="00F6526C">
              <w:rPr>
                <w:rFonts w:eastAsia="Times New Roman"/>
                <w:snapToGrid/>
                <w:szCs w:val="22"/>
                <w:lang w:val="hu-HU" w:eastAsia="en-NZ"/>
              </w:rPr>
              <w:t>23,41 (2,50)</w:t>
            </w:r>
          </w:p>
        </w:tc>
        <w:tc>
          <w:tcPr>
            <w:tcW w:w="1608" w:type="dxa"/>
            <w:hideMark/>
          </w:tcPr>
          <w:p w14:paraId="33C48B71" w14:textId="77777777" w:rsidR="00A14720" w:rsidRPr="00F6526C" w:rsidRDefault="00A14720" w:rsidP="004017C1">
            <w:pPr>
              <w:autoSpaceDE w:val="0"/>
              <w:autoSpaceDN w:val="0"/>
              <w:adjustRightInd w:val="0"/>
              <w:spacing w:before="40" w:after="40" w:line="271" w:lineRule="auto"/>
              <w:jc w:val="center"/>
              <w:rPr>
                <w:rFonts w:eastAsia="Times New Roman"/>
                <w:snapToGrid/>
                <w:szCs w:val="22"/>
                <w:lang w:val="hu-HU" w:eastAsia="en-NZ"/>
              </w:rPr>
            </w:pPr>
            <w:r w:rsidRPr="00F6526C">
              <w:rPr>
                <w:rFonts w:eastAsia="Times New Roman"/>
                <w:snapToGrid/>
                <w:szCs w:val="22"/>
                <w:lang w:val="hu-HU" w:eastAsia="en-NZ"/>
              </w:rPr>
              <w:t>9,51 (2,49)</w:t>
            </w:r>
          </w:p>
        </w:tc>
        <w:tc>
          <w:tcPr>
            <w:tcW w:w="1608" w:type="dxa"/>
            <w:hideMark/>
          </w:tcPr>
          <w:p w14:paraId="16262E1E" w14:textId="77777777" w:rsidR="00A14720" w:rsidRPr="00F6526C" w:rsidRDefault="00A14720" w:rsidP="004017C1">
            <w:pPr>
              <w:autoSpaceDE w:val="0"/>
              <w:autoSpaceDN w:val="0"/>
              <w:adjustRightInd w:val="0"/>
              <w:spacing w:before="40" w:after="40" w:line="271" w:lineRule="auto"/>
              <w:jc w:val="center"/>
              <w:rPr>
                <w:rFonts w:eastAsia="Times New Roman"/>
                <w:snapToGrid/>
                <w:szCs w:val="22"/>
                <w:lang w:val="hu-HU" w:eastAsia="en-NZ"/>
              </w:rPr>
            </w:pPr>
            <w:r w:rsidRPr="00F6526C">
              <w:rPr>
                <w:rFonts w:eastAsia="Times New Roman"/>
                <w:snapToGrid/>
                <w:szCs w:val="22"/>
                <w:lang w:val="hu-HU" w:eastAsia="en-NZ"/>
              </w:rPr>
              <w:t>10,42 (2,50)</w:t>
            </w:r>
          </w:p>
        </w:tc>
        <w:tc>
          <w:tcPr>
            <w:tcW w:w="1608" w:type="dxa"/>
            <w:hideMark/>
          </w:tcPr>
          <w:p w14:paraId="51C3F3FD" w14:textId="77777777" w:rsidR="00A14720" w:rsidRPr="00F6526C" w:rsidRDefault="00A14720" w:rsidP="004017C1">
            <w:pPr>
              <w:autoSpaceDE w:val="0"/>
              <w:autoSpaceDN w:val="0"/>
              <w:adjustRightInd w:val="0"/>
              <w:spacing w:before="40" w:after="40" w:line="271" w:lineRule="auto"/>
              <w:jc w:val="center"/>
              <w:rPr>
                <w:rFonts w:eastAsia="Times New Roman"/>
                <w:snapToGrid/>
                <w:szCs w:val="22"/>
                <w:lang w:val="hu-HU" w:eastAsia="en-NZ"/>
              </w:rPr>
            </w:pPr>
            <w:r w:rsidRPr="00F6526C">
              <w:rPr>
                <w:rFonts w:eastAsia="Times New Roman"/>
                <w:snapToGrid/>
                <w:szCs w:val="22"/>
                <w:lang w:val="hu-HU" w:eastAsia="en-NZ"/>
              </w:rPr>
              <w:t>-1,30 (3,07)</w:t>
            </w:r>
          </w:p>
        </w:tc>
      </w:tr>
      <w:tr w:rsidR="00A14720" w:rsidRPr="00F6526C" w14:paraId="09A808AA" w14:textId="77777777" w:rsidTr="00884251">
        <w:trPr>
          <w:trHeight w:val="278"/>
        </w:trPr>
        <w:tc>
          <w:tcPr>
            <w:tcW w:w="2830" w:type="dxa"/>
            <w:hideMark/>
          </w:tcPr>
          <w:p w14:paraId="2F76FD4E" w14:textId="77DC0603" w:rsidR="00A14720" w:rsidRPr="00F6526C" w:rsidRDefault="00A14720" w:rsidP="00E8277D">
            <w:pPr>
              <w:autoSpaceDE w:val="0"/>
              <w:autoSpaceDN w:val="0"/>
              <w:adjustRightInd w:val="0"/>
              <w:spacing w:before="40" w:after="40" w:line="271" w:lineRule="auto"/>
              <w:rPr>
                <w:rFonts w:eastAsia="Times New Roman"/>
                <w:snapToGrid/>
                <w:szCs w:val="22"/>
                <w:lang w:val="hu-HU" w:eastAsia="en-NZ"/>
              </w:rPr>
            </w:pPr>
            <w:r w:rsidRPr="00F6526C">
              <w:rPr>
                <w:rFonts w:eastAsia="Times New Roman"/>
                <w:snapToGrid/>
                <w:szCs w:val="22"/>
                <w:lang w:val="hu-HU" w:eastAsia="en-NZ"/>
              </w:rPr>
              <w:t>95%</w:t>
            </w:r>
            <w:r w:rsidR="009A5B0F">
              <w:rPr>
                <w:rFonts w:eastAsia="Times New Roman"/>
                <w:snapToGrid/>
                <w:szCs w:val="22"/>
                <w:lang w:val="hu-HU" w:eastAsia="en-NZ"/>
              </w:rPr>
              <w:t>-os</w:t>
            </w:r>
            <w:r w:rsidRPr="00F6526C">
              <w:rPr>
                <w:rFonts w:eastAsia="Times New Roman"/>
                <w:snapToGrid/>
                <w:szCs w:val="22"/>
                <w:lang w:val="hu-HU" w:eastAsia="en-NZ"/>
              </w:rPr>
              <w:t xml:space="preserve"> Konfidencia Intervallum</w:t>
            </w:r>
          </w:p>
        </w:tc>
        <w:tc>
          <w:tcPr>
            <w:tcW w:w="1467" w:type="dxa"/>
            <w:hideMark/>
          </w:tcPr>
          <w:p w14:paraId="02E054E8" w14:textId="77777777" w:rsidR="00A14720" w:rsidRPr="00F6526C" w:rsidRDefault="00A14720" w:rsidP="004017C1">
            <w:pPr>
              <w:autoSpaceDE w:val="0"/>
              <w:autoSpaceDN w:val="0"/>
              <w:adjustRightInd w:val="0"/>
              <w:spacing w:before="40" w:after="40" w:line="271" w:lineRule="auto"/>
              <w:jc w:val="center"/>
              <w:rPr>
                <w:rFonts w:eastAsia="Times New Roman"/>
                <w:snapToGrid/>
                <w:szCs w:val="22"/>
                <w:lang w:val="hu-HU" w:eastAsia="en-NZ"/>
              </w:rPr>
            </w:pPr>
            <w:r w:rsidRPr="00F6526C">
              <w:rPr>
                <w:rFonts w:eastAsia="Times New Roman"/>
                <w:snapToGrid/>
                <w:szCs w:val="22"/>
                <w:lang w:val="hu-HU" w:eastAsia="en-NZ"/>
              </w:rPr>
              <w:t>18,48; 28,34</w:t>
            </w:r>
          </w:p>
        </w:tc>
        <w:tc>
          <w:tcPr>
            <w:tcW w:w="1608" w:type="dxa"/>
            <w:hideMark/>
          </w:tcPr>
          <w:p w14:paraId="73260B44" w14:textId="77777777" w:rsidR="00A14720" w:rsidRPr="00F6526C" w:rsidRDefault="00A14720" w:rsidP="004017C1">
            <w:pPr>
              <w:autoSpaceDE w:val="0"/>
              <w:autoSpaceDN w:val="0"/>
              <w:adjustRightInd w:val="0"/>
              <w:spacing w:before="40" w:after="40" w:line="271" w:lineRule="auto"/>
              <w:jc w:val="center"/>
              <w:rPr>
                <w:rFonts w:eastAsia="Times New Roman"/>
                <w:snapToGrid/>
                <w:szCs w:val="22"/>
                <w:lang w:val="hu-HU" w:eastAsia="en-NZ"/>
              </w:rPr>
            </w:pPr>
            <w:r w:rsidRPr="00F6526C">
              <w:rPr>
                <w:rFonts w:eastAsia="Times New Roman"/>
                <w:snapToGrid/>
                <w:szCs w:val="22"/>
                <w:lang w:val="hu-HU" w:eastAsia="en-NZ"/>
              </w:rPr>
              <w:t>4,61; 14,40</w:t>
            </w:r>
          </w:p>
        </w:tc>
        <w:tc>
          <w:tcPr>
            <w:tcW w:w="1608" w:type="dxa"/>
            <w:hideMark/>
          </w:tcPr>
          <w:p w14:paraId="158B1862" w14:textId="77777777" w:rsidR="00A14720" w:rsidRPr="00F6526C" w:rsidRDefault="00A14720" w:rsidP="004017C1">
            <w:pPr>
              <w:autoSpaceDE w:val="0"/>
              <w:autoSpaceDN w:val="0"/>
              <w:adjustRightInd w:val="0"/>
              <w:spacing w:before="40" w:after="40" w:line="271" w:lineRule="auto"/>
              <w:jc w:val="center"/>
              <w:rPr>
                <w:rFonts w:eastAsia="Times New Roman"/>
                <w:snapToGrid/>
                <w:szCs w:val="22"/>
                <w:lang w:val="hu-HU" w:eastAsia="en-NZ"/>
              </w:rPr>
            </w:pPr>
            <w:r w:rsidRPr="00F6526C">
              <w:rPr>
                <w:rFonts w:eastAsia="Times New Roman"/>
                <w:snapToGrid/>
                <w:szCs w:val="22"/>
                <w:lang w:val="hu-HU" w:eastAsia="en-NZ"/>
              </w:rPr>
              <w:t>5,49; 15,35</w:t>
            </w:r>
          </w:p>
        </w:tc>
        <w:tc>
          <w:tcPr>
            <w:tcW w:w="1608" w:type="dxa"/>
            <w:hideMark/>
          </w:tcPr>
          <w:p w14:paraId="14332891" w14:textId="77777777" w:rsidR="00A14720" w:rsidRPr="00F6526C" w:rsidRDefault="00A14720" w:rsidP="004017C1">
            <w:pPr>
              <w:autoSpaceDE w:val="0"/>
              <w:autoSpaceDN w:val="0"/>
              <w:adjustRightInd w:val="0"/>
              <w:spacing w:before="40" w:after="40" w:line="271" w:lineRule="auto"/>
              <w:jc w:val="center"/>
              <w:rPr>
                <w:rFonts w:eastAsia="Times New Roman"/>
                <w:snapToGrid/>
                <w:szCs w:val="22"/>
                <w:lang w:val="hu-HU" w:eastAsia="en-NZ"/>
              </w:rPr>
            </w:pPr>
            <w:r w:rsidRPr="00F6526C">
              <w:rPr>
                <w:rFonts w:eastAsia="Times New Roman"/>
                <w:snapToGrid/>
                <w:szCs w:val="22"/>
                <w:lang w:val="hu-HU" w:eastAsia="en-NZ"/>
              </w:rPr>
              <w:t>-7,33; 4,74</w:t>
            </w:r>
          </w:p>
        </w:tc>
      </w:tr>
      <w:tr w:rsidR="00A14720" w:rsidRPr="00F6526C" w14:paraId="4C822848" w14:textId="77777777" w:rsidTr="00884251">
        <w:trPr>
          <w:trHeight w:val="278"/>
        </w:trPr>
        <w:tc>
          <w:tcPr>
            <w:tcW w:w="2830" w:type="dxa"/>
            <w:hideMark/>
          </w:tcPr>
          <w:p w14:paraId="0E6107E6" w14:textId="346901B7" w:rsidR="00A14720" w:rsidRPr="00F6526C" w:rsidRDefault="00A14720" w:rsidP="00E8277D">
            <w:pPr>
              <w:autoSpaceDE w:val="0"/>
              <w:autoSpaceDN w:val="0"/>
              <w:adjustRightInd w:val="0"/>
              <w:spacing w:before="40" w:after="40" w:line="271" w:lineRule="auto"/>
              <w:rPr>
                <w:rFonts w:eastAsia="Times New Roman"/>
                <w:snapToGrid/>
                <w:szCs w:val="22"/>
                <w:lang w:val="hu-HU" w:eastAsia="en-NZ"/>
              </w:rPr>
            </w:pPr>
            <w:r w:rsidRPr="00F6526C">
              <w:rPr>
                <w:rFonts w:eastAsia="Times New Roman"/>
                <w:snapToGrid/>
                <w:szCs w:val="22"/>
                <w:lang w:val="hu-HU" w:eastAsia="en-NZ"/>
              </w:rPr>
              <w:t>Különbség becslés (SE)</w:t>
            </w:r>
          </w:p>
        </w:tc>
        <w:tc>
          <w:tcPr>
            <w:tcW w:w="1467" w:type="dxa"/>
            <w:hideMark/>
          </w:tcPr>
          <w:p w14:paraId="3B78C77D" w14:textId="77777777" w:rsidR="00A14720" w:rsidRPr="00F6526C" w:rsidRDefault="00A14720" w:rsidP="004017C1">
            <w:pPr>
              <w:autoSpaceDE w:val="0"/>
              <w:autoSpaceDN w:val="0"/>
              <w:adjustRightInd w:val="0"/>
              <w:spacing w:before="40" w:after="40" w:line="271" w:lineRule="auto"/>
              <w:jc w:val="center"/>
              <w:rPr>
                <w:rFonts w:eastAsia="Times New Roman"/>
                <w:snapToGrid/>
                <w:szCs w:val="22"/>
                <w:lang w:val="hu-HU" w:eastAsia="en-NZ"/>
              </w:rPr>
            </w:pPr>
            <w:r w:rsidRPr="00F6526C">
              <w:rPr>
                <w:rFonts w:eastAsia="Times New Roman"/>
                <w:snapToGrid/>
                <w:szCs w:val="22"/>
                <w:lang w:val="hu-HU" w:eastAsia="en-NZ"/>
              </w:rPr>
              <w:t>-</w:t>
            </w:r>
          </w:p>
        </w:tc>
        <w:tc>
          <w:tcPr>
            <w:tcW w:w="1608" w:type="dxa"/>
            <w:hideMark/>
          </w:tcPr>
          <w:p w14:paraId="2389E472" w14:textId="77777777" w:rsidR="00A14720" w:rsidRPr="00F6526C" w:rsidRDefault="00A14720" w:rsidP="004017C1">
            <w:pPr>
              <w:autoSpaceDE w:val="0"/>
              <w:autoSpaceDN w:val="0"/>
              <w:adjustRightInd w:val="0"/>
              <w:spacing w:before="40" w:after="40" w:line="271" w:lineRule="auto"/>
              <w:jc w:val="center"/>
              <w:rPr>
                <w:rFonts w:eastAsia="Times New Roman"/>
                <w:snapToGrid/>
                <w:szCs w:val="22"/>
                <w:lang w:val="hu-HU" w:eastAsia="en-NZ"/>
              </w:rPr>
            </w:pPr>
            <w:r w:rsidRPr="00F6526C">
              <w:rPr>
                <w:rFonts w:eastAsia="Times New Roman"/>
                <w:snapToGrid/>
                <w:szCs w:val="22"/>
                <w:lang w:val="hu-HU" w:eastAsia="en-NZ"/>
              </w:rPr>
              <w:t>13,90 (3,53)</w:t>
            </w:r>
          </w:p>
        </w:tc>
        <w:tc>
          <w:tcPr>
            <w:tcW w:w="1608" w:type="dxa"/>
            <w:hideMark/>
          </w:tcPr>
          <w:p w14:paraId="7C0DC1AD" w14:textId="77777777" w:rsidR="00A14720" w:rsidRPr="00F6526C" w:rsidRDefault="00A14720" w:rsidP="004017C1">
            <w:pPr>
              <w:autoSpaceDE w:val="0"/>
              <w:autoSpaceDN w:val="0"/>
              <w:adjustRightInd w:val="0"/>
              <w:spacing w:before="40" w:after="40" w:line="271" w:lineRule="auto"/>
              <w:jc w:val="center"/>
              <w:rPr>
                <w:rFonts w:eastAsia="Times New Roman"/>
                <w:snapToGrid/>
                <w:szCs w:val="22"/>
                <w:lang w:val="hu-HU" w:eastAsia="en-NZ"/>
              </w:rPr>
            </w:pPr>
            <w:r w:rsidRPr="00F6526C">
              <w:rPr>
                <w:rFonts w:eastAsia="Times New Roman"/>
                <w:snapToGrid/>
                <w:szCs w:val="22"/>
                <w:lang w:val="hu-HU" w:eastAsia="en-NZ"/>
              </w:rPr>
              <w:t>12,99 (3,54)</w:t>
            </w:r>
          </w:p>
        </w:tc>
        <w:tc>
          <w:tcPr>
            <w:tcW w:w="1608" w:type="dxa"/>
            <w:hideMark/>
          </w:tcPr>
          <w:p w14:paraId="36CC0900" w14:textId="77777777" w:rsidR="00A14720" w:rsidRPr="00F6526C" w:rsidRDefault="00A14720" w:rsidP="004017C1">
            <w:pPr>
              <w:autoSpaceDE w:val="0"/>
              <w:autoSpaceDN w:val="0"/>
              <w:adjustRightInd w:val="0"/>
              <w:spacing w:before="40" w:after="40" w:line="271" w:lineRule="auto"/>
              <w:jc w:val="center"/>
              <w:rPr>
                <w:rFonts w:eastAsia="Times New Roman"/>
                <w:snapToGrid/>
                <w:szCs w:val="22"/>
                <w:lang w:val="hu-HU" w:eastAsia="en-NZ"/>
              </w:rPr>
            </w:pPr>
            <w:r w:rsidRPr="00F6526C">
              <w:rPr>
                <w:rFonts w:eastAsia="Times New Roman"/>
                <w:snapToGrid/>
                <w:szCs w:val="22"/>
                <w:lang w:val="hu-HU" w:eastAsia="en-NZ"/>
              </w:rPr>
              <w:t>24,71 (3,96)</w:t>
            </w:r>
          </w:p>
        </w:tc>
      </w:tr>
      <w:tr w:rsidR="00A14720" w:rsidRPr="00F6526C" w14:paraId="280D227D" w14:textId="77777777" w:rsidTr="00884251">
        <w:trPr>
          <w:trHeight w:val="278"/>
        </w:trPr>
        <w:tc>
          <w:tcPr>
            <w:tcW w:w="2830" w:type="dxa"/>
            <w:hideMark/>
          </w:tcPr>
          <w:p w14:paraId="38501F7C" w14:textId="3421FC85" w:rsidR="00A14720" w:rsidRPr="00F6526C" w:rsidRDefault="00A14720" w:rsidP="00E8277D">
            <w:pPr>
              <w:autoSpaceDE w:val="0"/>
              <w:autoSpaceDN w:val="0"/>
              <w:adjustRightInd w:val="0"/>
              <w:spacing w:before="40" w:after="40" w:line="271" w:lineRule="auto"/>
              <w:rPr>
                <w:rFonts w:eastAsia="Times New Roman"/>
                <w:snapToGrid/>
                <w:szCs w:val="22"/>
                <w:lang w:val="hu-HU" w:eastAsia="en-NZ"/>
              </w:rPr>
            </w:pPr>
            <w:r w:rsidRPr="00F6526C">
              <w:rPr>
                <w:rFonts w:eastAsia="Times New Roman"/>
                <w:snapToGrid/>
                <w:szCs w:val="22"/>
                <w:lang w:val="hu-HU" w:eastAsia="en-NZ"/>
              </w:rPr>
              <w:t>95%</w:t>
            </w:r>
            <w:r w:rsidR="009A5B0F">
              <w:rPr>
                <w:rFonts w:eastAsia="Times New Roman"/>
                <w:snapToGrid/>
                <w:szCs w:val="22"/>
                <w:lang w:val="hu-HU" w:eastAsia="en-NZ"/>
              </w:rPr>
              <w:t>-os</w:t>
            </w:r>
            <w:r w:rsidRPr="00F6526C">
              <w:rPr>
                <w:rFonts w:eastAsia="Times New Roman"/>
                <w:snapToGrid/>
                <w:szCs w:val="22"/>
                <w:lang w:val="hu-HU" w:eastAsia="en-NZ"/>
              </w:rPr>
              <w:t xml:space="preserve"> Konfidencia Intervallum</w:t>
            </w:r>
          </w:p>
        </w:tc>
        <w:tc>
          <w:tcPr>
            <w:tcW w:w="1467" w:type="dxa"/>
            <w:hideMark/>
          </w:tcPr>
          <w:p w14:paraId="74D49CE7" w14:textId="77777777" w:rsidR="00A14720" w:rsidRPr="00F6526C" w:rsidRDefault="00A14720" w:rsidP="004017C1">
            <w:pPr>
              <w:autoSpaceDE w:val="0"/>
              <w:autoSpaceDN w:val="0"/>
              <w:adjustRightInd w:val="0"/>
              <w:spacing w:before="40" w:after="40" w:line="271" w:lineRule="auto"/>
              <w:jc w:val="center"/>
              <w:rPr>
                <w:rFonts w:eastAsia="Times New Roman"/>
                <w:snapToGrid/>
                <w:szCs w:val="22"/>
                <w:lang w:val="hu-HU" w:eastAsia="en-NZ"/>
              </w:rPr>
            </w:pPr>
            <w:r w:rsidRPr="00F6526C">
              <w:rPr>
                <w:rFonts w:eastAsia="Times New Roman"/>
                <w:snapToGrid/>
                <w:szCs w:val="22"/>
                <w:lang w:val="hu-HU" w:eastAsia="en-NZ"/>
              </w:rPr>
              <w:t>-</w:t>
            </w:r>
          </w:p>
        </w:tc>
        <w:tc>
          <w:tcPr>
            <w:tcW w:w="1608" w:type="dxa"/>
            <w:hideMark/>
          </w:tcPr>
          <w:p w14:paraId="1B94475A" w14:textId="77777777" w:rsidR="00A14720" w:rsidRPr="00F6526C" w:rsidRDefault="00A14720" w:rsidP="004017C1">
            <w:pPr>
              <w:autoSpaceDE w:val="0"/>
              <w:autoSpaceDN w:val="0"/>
              <w:adjustRightInd w:val="0"/>
              <w:spacing w:before="40" w:after="40" w:line="271" w:lineRule="auto"/>
              <w:jc w:val="center"/>
              <w:rPr>
                <w:rFonts w:eastAsia="Times New Roman"/>
                <w:snapToGrid/>
                <w:szCs w:val="22"/>
                <w:lang w:val="hu-HU" w:eastAsia="en-NZ"/>
              </w:rPr>
            </w:pPr>
            <w:r w:rsidRPr="00F6526C">
              <w:rPr>
                <w:rFonts w:eastAsia="Times New Roman"/>
                <w:snapToGrid/>
                <w:szCs w:val="22"/>
                <w:lang w:val="hu-HU" w:eastAsia="en-NZ"/>
              </w:rPr>
              <w:t>6,95; 20,85</w:t>
            </w:r>
          </w:p>
        </w:tc>
        <w:tc>
          <w:tcPr>
            <w:tcW w:w="1608" w:type="dxa"/>
            <w:hideMark/>
          </w:tcPr>
          <w:p w14:paraId="2281FDDF" w14:textId="77777777" w:rsidR="00A14720" w:rsidRPr="00F6526C" w:rsidRDefault="00A14720" w:rsidP="004017C1">
            <w:pPr>
              <w:autoSpaceDE w:val="0"/>
              <w:autoSpaceDN w:val="0"/>
              <w:adjustRightInd w:val="0"/>
              <w:spacing w:before="40" w:after="40" w:line="271" w:lineRule="auto"/>
              <w:jc w:val="center"/>
              <w:rPr>
                <w:rFonts w:eastAsia="Times New Roman"/>
                <w:snapToGrid/>
                <w:szCs w:val="22"/>
                <w:lang w:val="hu-HU" w:eastAsia="en-NZ"/>
              </w:rPr>
            </w:pPr>
            <w:r w:rsidRPr="00F6526C">
              <w:rPr>
                <w:rFonts w:eastAsia="Times New Roman"/>
                <w:snapToGrid/>
                <w:szCs w:val="22"/>
                <w:lang w:val="hu-HU" w:eastAsia="en-NZ"/>
              </w:rPr>
              <w:t>6,02; 19,96</w:t>
            </w:r>
          </w:p>
        </w:tc>
        <w:tc>
          <w:tcPr>
            <w:tcW w:w="1608" w:type="dxa"/>
            <w:hideMark/>
          </w:tcPr>
          <w:p w14:paraId="6FF513FF" w14:textId="77777777" w:rsidR="00A14720" w:rsidRPr="00F6526C" w:rsidRDefault="00A14720" w:rsidP="004017C1">
            <w:pPr>
              <w:autoSpaceDE w:val="0"/>
              <w:autoSpaceDN w:val="0"/>
              <w:adjustRightInd w:val="0"/>
              <w:spacing w:before="40" w:after="40" w:line="271" w:lineRule="auto"/>
              <w:jc w:val="center"/>
              <w:rPr>
                <w:rFonts w:eastAsia="Times New Roman"/>
                <w:snapToGrid/>
                <w:szCs w:val="22"/>
                <w:lang w:val="hu-HU" w:eastAsia="en-NZ"/>
              </w:rPr>
            </w:pPr>
            <w:r w:rsidRPr="00F6526C">
              <w:rPr>
                <w:rFonts w:eastAsia="Times New Roman"/>
                <w:snapToGrid/>
                <w:szCs w:val="22"/>
                <w:lang w:val="hu-HU" w:eastAsia="en-NZ"/>
              </w:rPr>
              <w:t>16,92; 32,50</w:t>
            </w:r>
          </w:p>
        </w:tc>
      </w:tr>
      <w:tr w:rsidR="00A14720" w:rsidRPr="00F6526C" w14:paraId="29796EBA" w14:textId="77777777" w:rsidTr="00884251">
        <w:trPr>
          <w:trHeight w:val="262"/>
        </w:trPr>
        <w:tc>
          <w:tcPr>
            <w:tcW w:w="2830" w:type="dxa"/>
            <w:hideMark/>
          </w:tcPr>
          <w:p w14:paraId="1AF0CAD6" w14:textId="77777777" w:rsidR="00A14720" w:rsidRPr="00F6526C" w:rsidRDefault="00A14720" w:rsidP="00E8277D">
            <w:pPr>
              <w:autoSpaceDE w:val="0"/>
              <w:autoSpaceDN w:val="0"/>
              <w:adjustRightInd w:val="0"/>
              <w:spacing w:before="40" w:after="40" w:line="271" w:lineRule="auto"/>
              <w:ind w:left="180"/>
              <w:rPr>
                <w:rFonts w:eastAsia="Times New Roman"/>
                <w:snapToGrid/>
                <w:szCs w:val="22"/>
                <w:lang w:val="hu-HU" w:eastAsia="en-NZ"/>
              </w:rPr>
            </w:pPr>
            <w:r w:rsidRPr="00F6526C">
              <w:rPr>
                <w:rFonts w:eastAsia="Times New Roman"/>
                <w:snapToGrid/>
                <w:szCs w:val="22"/>
                <w:lang w:val="hu-HU" w:eastAsia="en-NZ"/>
              </w:rPr>
              <w:t>p-érték</w:t>
            </w:r>
          </w:p>
        </w:tc>
        <w:tc>
          <w:tcPr>
            <w:tcW w:w="1467" w:type="dxa"/>
            <w:hideMark/>
          </w:tcPr>
          <w:p w14:paraId="22A23AC7" w14:textId="77777777" w:rsidR="00A14720" w:rsidRPr="00F6526C" w:rsidRDefault="00A14720" w:rsidP="004017C1">
            <w:pPr>
              <w:autoSpaceDE w:val="0"/>
              <w:autoSpaceDN w:val="0"/>
              <w:adjustRightInd w:val="0"/>
              <w:spacing w:before="40" w:after="40" w:line="271" w:lineRule="auto"/>
              <w:jc w:val="center"/>
              <w:rPr>
                <w:rFonts w:eastAsia="Times New Roman"/>
                <w:snapToGrid/>
                <w:szCs w:val="22"/>
                <w:lang w:val="hu-HU" w:eastAsia="en-NZ"/>
              </w:rPr>
            </w:pPr>
            <w:r w:rsidRPr="00F6526C">
              <w:rPr>
                <w:rFonts w:eastAsia="Times New Roman"/>
                <w:snapToGrid/>
                <w:szCs w:val="22"/>
                <w:lang w:val="hu-HU" w:eastAsia="en-NZ"/>
              </w:rPr>
              <w:t>-</w:t>
            </w:r>
          </w:p>
        </w:tc>
        <w:tc>
          <w:tcPr>
            <w:tcW w:w="1608" w:type="dxa"/>
            <w:hideMark/>
          </w:tcPr>
          <w:p w14:paraId="44B59F43" w14:textId="77777777" w:rsidR="00A14720" w:rsidRPr="00F6526C" w:rsidRDefault="00A14720" w:rsidP="004017C1">
            <w:pPr>
              <w:autoSpaceDE w:val="0"/>
              <w:autoSpaceDN w:val="0"/>
              <w:adjustRightInd w:val="0"/>
              <w:spacing w:before="40" w:after="40" w:line="271" w:lineRule="auto"/>
              <w:jc w:val="center"/>
              <w:rPr>
                <w:rFonts w:eastAsia="Times New Roman"/>
                <w:snapToGrid/>
                <w:szCs w:val="22"/>
                <w:lang w:val="hu-HU" w:eastAsia="en-NZ"/>
              </w:rPr>
            </w:pPr>
            <w:r w:rsidRPr="00F6526C">
              <w:rPr>
                <w:rFonts w:eastAsia="Times New Roman"/>
                <w:snapToGrid/>
                <w:szCs w:val="22"/>
                <w:lang w:val="hu-HU" w:eastAsia="en-NZ"/>
              </w:rPr>
              <w:t>&lt;0,001</w:t>
            </w:r>
          </w:p>
        </w:tc>
        <w:tc>
          <w:tcPr>
            <w:tcW w:w="1608" w:type="dxa"/>
            <w:hideMark/>
          </w:tcPr>
          <w:p w14:paraId="06ABA54F" w14:textId="77777777" w:rsidR="00A14720" w:rsidRPr="00F6526C" w:rsidRDefault="00A14720" w:rsidP="004017C1">
            <w:pPr>
              <w:autoSpaceDE w:val="0"/>
              <w:autoSpaceDN w:val="0"/>
              <w:adjustRightInd w:val="0"/>
              <w:spacing w:before="40" w:after="40" w:line="271" w:lineRule="auto"/>
              <w:jc w:val="center"/>
              <w:rPr>
                <w:rFonts w:eastAsia="Times New Roman"/>
                <w:snapToGrid/>
                <w:szCs w:val="22"/>
                <w:lang w:val="hu-HU" w:eastAsia="en-NZ"/>
              </w:rPr>
            </w:pPr>
            <w:r w:rsidRPr="00F6526C">
              <w:rPr>
                <w:rFonts w:eastAsia="Times New Roman"/>
                <w:snapToGrid/>
                <w:szCs w:val="22"/>
                <w:lang w:val="hu-HU" w:eastAsia="en-NZ"/>
              </w:rPr>
              <w:t>&lt;0,001</w:t>
            </w:r>
          </w:p>
        </w:tc>
        <w:tc>
          <w:tcPr>
            <w:tcW w:w="1608" w:type="dxa"/>
            <w:hideMark/>
          </w:tcPr>
          <w:p w14:paraId="01F1849F" w14:textId="77777777" w:rsidR="00A14720" w:rsidRPr="00F6526C" w:rsidRDefault="00A14720" w:rsidP="004017C1">
            <w:pPr>
              <w:autoSpaceDE w:val="0"/>
              <w:autoSpaceDN w:val="0"/>
              <w:adjustRightInd w:val="0"/>
              <w:spacing w:before="40" w:after="40" w:line="271" w:lineRule="auto"/>
              <w:jc w:val="center"/>
              <w:rPr>
                <w:rFonts w:eastAsia="Times New Roman"/>
                <w:snapToGrid/>
                <w:szCs w:val="22"/>
                <w:lang w:val="hu-HU" w:eastAsia="en-NZ"/>
              </w:rPr>
            </w:pPr>
            <w:r w:rsidRPr="00F6526C">
              <w:rPr>
                <w:rFonts w:eastAsia="Times New Roman"/>
                <w:snapToGrid/>
                <w:szCs w:val="22"/>
                <w:lang w:val="hu-HU" w:eastAsia="en-NZ"/>
              </w:rPr>
              <w:t>&lt;0,001</w:t>
            </w:r>
          </w:p>
        </w:tc>
      </w:tr>
    </w:tbl>
    <w:p w14:paraId="32999A6F" w14:textId="77777777" w:rsidR="00A14720" w:rsidRPr="00F6526C" w:rsidRDefault="00A14720" w:rsidP="00E8277D">
      <w:pPr>
        <w:autoSpaceDE w:val="0"/>
        <w:autoSpaceDN w:val="0"/>
        <w:adjustRightInd w:val="0"/>
        <w:spacing w:line="271" w:lineRule="auto"/>
        <w:rPr>
          <w:rFonts w:eastAsia="Times New Roman"/>
          <w:snapToGrid/>
          <w:szCs w:val="22"/>
          <w:lang w:val="hu-HU" w:eastAsia="en-US"/>
        </w:rPr>
      </w:pPr>
    </w:p>
    <w:p w14:paraId="79A51EBD" w14:textId="77777777" w:rsidR="000E42FA" w:rsidRPr="00C30F10" w:rsidRDefault="000E42FA" w:rsidP="00E8277D">
      <w:pPr>
        <w:autoSpaceDE w:val="0"/>
        <w:autoSpaceDN w:val="0"/>
        <w:adjustRightInd w:val="0"/>
        <w:spacing w:line="271" w:lineRule="auto"/>
        <w:rPr>
          <w:rFonts w:eastAsia="Times New Roman"/>
          <w:snapToGrid/>
          <w:szCs w:val="22"/>
          <w:lang w:val="hu-HU" w:eastAsia="en-US"/>
        </w:rPr>
      </w:pPr>
      <w:r w:rsidRPr="00C30F10">
        <w:rPr>
          <w:rFonts w:eastAsia="Times New Roman"/>
          <w:snapToGrid/>
          <w:szCs w:val="22"/>
          <w:lang w:val="hu-HU" w:eastAsia="en-US"/>
        </w:rPr>
        <w:t>1. ábra: Idővel beállított SPID48 a mentő gyógyszer első adagáig</w:t>
      </w:r>
    </w:p>
    <w:p w14:paraId="233F4108" w14:textId="4E76DAB5" w:rsidR="00EC47EA" w:rsidRPr="00F6526C" w:rsidRDefault="00EC47EA" w:rsidP="00E8277D">
      <w:pPr>
        <w:autoSpaceDE w:val="0"/>
        <w:autoSpaceDN w:val="0"/>
        <w:adjustRightInd w:val="0"/>
        <w:spacing w:line="271" w:lineRule="auto"/>
        <w:rPr>
          <w:rFonts w:eastAsia="Times New Roman"/>
          <w:snapToGrid/>
          <w:szCs w:val="22"/>
          <w:lang w:val="hu-HU" w:eastAsia="en-US"/>
        </w:rPr>
      </w:pPr>
      <w:r w:rsidRPr="00F6526C">
        <w:rPr>
          <w:rFonts w:eastAsia="Calibri"/>
          <w:noProof/>
          <w:snapToGrid/>
          <w:sz w:val="24"/>
          <w:szCs w:val="24"/>
          <w:lang w:val="hu-HU" w:eastAsia="hu-HU"/>
        </w:rPr>
        <w:lastRenderedPageBreak/>
        <mc:AlternateContent>
          <mc:Choice Requires="wpg">
            <w:drawing>
              <wp:anchor distT="0" distB="0" distL="114300" distR="114300" simplePos="0" relativeHeight="251659264" behindDoc="0" locked="0" layoutInCell="1" allowOverlap="1" wp14:anchorId="40B12DC4" wp14:editId="05488625">
                <wp:simplePos x="0" y="0"/>
                <wp:positionH relativeFrom="column">
                  <wp:posOffset>-1270</wp:posOffset>
                </wp:positionH>
                <wp:positionV relativeFrom="paragraph">
                  <wp:posOffset>182880</wp:posOffset>
                </wp:positionV>
                <wp:extent cx="5788025" cy="4324350"/>
                <wp:effectExtent l="0" t="0" r="3175" b="0"/>
                <wp:wrapTopAndBottom/>
                <wp:docPr id="2" name="Group 5"/>
                <wp:cNvGraphicFramePr/>
                <a:graphic xmlns:a="http://schemas.openxmlformats.org/drawingml/2006/main">
                  <a:graphicData uri="http://schemas.microsoft.com/office/word/2010/wordprocessingGroup">
                    <wpg:wgp>
                      <wpg:cNvGrpSpPr/>
                      <wpg:grpSpPr>
                        <a:xfrm>
                          <a:off x="0" y="0"/>
                          <a:ext cx="5788025" cy="4324350"/>
                          <a:chOff x="0" y="0"/>
                          <a:chExt cx="5788025" cy="4324350"/>
                        </a:xfrm>
                      </wpg:grpSpPr>
                      <wps:wsp>
                        <wps:cNvPr id="3" name="Text Box 2"/>
                        <wps:cNvSpPr txBox="1">
                          <a:spLocks noChangeArrowheads="1"/>
                        </wps:cNvSpPr>
                        <wps:spPr bwMode="auto">
                          <a:xfrm>
                            <a:off x="47625" y="4076700"/>
                            <a:ext cx="5740400" cy="247650"/>
                          </a:xfrm>
                          <a:prstGeom prst="rect">
                            <a:avLst/>
                          </a:prstGeom>
                          <a:solidFill>
                            <a:srgbClr val="FFFFFF"/>
                          </a:solidFill>
                          <a:ln w="9525">
                            <a:noFill/>
                            <a:miter lim="800000"/>
                            <a:headEnd/>
                            <a:tailEnd/>
                          </a:ln>
                        </wps:spPr>
                        <wps:txbx>
                          <w:txbxContent>
                            <w:p w14:paraId="250EE046" w14:textId="2AA28AAC" w:rsidR="000E3AA6" w:rsidRDefault="000E3AA6" w:rsidP="00EC47EA">
                              <w:pPr>
                                <w:tabs>
                                  <w:tab w:val="left" w:pos="3402"/>
                                  <w:tab w:val="left" w:pos="5103"/>
                                  <w:tab w:val="left" w:pos="7371"/>
                                </w:tabs>
                                <w:rPr>
                                  <w:rFonts w:ascii="Calibri" w:hAnsi="Calibri" w:cs="Calibri"/>
                                  <w:sz w:val="18"/>
                                </w:rPr>
                              </w:pPr>
                              <w:r>
                                <w:rPr>
                                  <w:rFonts w:ascii="Calibri" w:hAnsi="Calibri" w:cs="Calibri"/>
                                  <w:sz w:val="18"/>
                                </w:rPr>
                                <w:tab/>
                                <w:t xml:space="preserve">               Ibuprofen/paracetamol®</w:t>
                              </w:r>
                              <w:r>
                                <w:rPr>
                                  <w:rFonts w:ascii="Calibri" w:hAnsi="Calibri" w:cs="Calibri"/>
                                  <w:sz w:val="18"/>
                                </w:rPr>
                                <w:tab/>
                                <w:t>Ibuprofén</w:t>
                              </w:r>
                              <w:r>
                                <w:rPr>
                                  <w:rFonts w:ascii="Calibri" w:hAnsi="Calibri" w:cs="Calibri"/>
                                  <w:sz w:val="18"/>
                                </w:rPr>
                                <w:tab/>
                                <w:t>Paracetamol</w:t>
                              </w:r>
                              <w:r>
                                <w:rPr>
                                  <w:rFonts w:ascii="Calibri" w:hAnsi="Calibri" w:cs="Calibri"/>
                                  <w:sz w:val="18"/>
                                </w:rPr>
                                <w:tab/>
                                <w:t>Placebo</w:t>
                              </w:r>
                            </w:p>
                          </w:txbxContent>
                        </wps:txbx>
                        <wps:bodyPr rot="0" vert="horz" wrap="square" lIns="91440" tIns="45720" rIns="91440" bIns="45720" anchor="t" anchorCtr="0">
                          <a:noAutofit/>
                        </wps:bodyPr>
                      </wps:wsp>
                      <wps:wsp>
                        <wps:cNvPr id="4" name="Text Box 2"/>
                        <wps:cNvSpPr txBox="1">
                          <a:spLocks noChangeArrowheads="1"/>
                        </wps:cNvSpPr>
                        <wps:spPr bwMode="auto">
                          <a:xfrm>
                            <a:off x="38101" y="47625"/>
                            <a:ext cx="324484" cy="4029075"/>
                          </a:xfrm>
                          <a:prstGeom prst="rect">
                            <a:avLst/>
                          </a:prstGeom>
                          <a:solidFill>
                            <a:srgbClr val="FFFFFF"/>
                          </a:solidFill>
                          <a:ln w="9525">
                            <a:noFill/>
                            <a:miter lim="800000"/>
                            <a:headEnd/>
                            <a:tailEnd/>
                          </a:ln>
                        </wps:spPr>
                        <wps:txbx>
                          <w:txbxContent>
                            <w:p w14:paraId="1C5BD152" w14:textId="49D8D9B2" w:rsidR="000E3AA6" w:rsidRPr="007F09C0" w:rsidRDefault="000E3AA6" w:rsidP="00EC47EA">
                              <w:pPr>
                                <w:tabs>
                                  <w:tab w:val="left" w:pos="3402"/>
                                  <w:tab w:val="left" w:pos="5103"/>
                                  <w:tab w:val="left" w:pos="7371"/>
                                </w:tabs>
                                <w:ind w:firstLine="1418"/>
                                <w:rPr>
                                  <w:sz w:val="18"/>
                                  <w:szCs w:val="18"/>
                                </w:rPr>
                              </w:pPr>
                              <w:r w:rsidRPr="007F09C0">
                                <w:rPr>
                                  <w:sz w:val="18"/>
                                  <w:szCs w:val="18"/>
                                  <w:lang w:val="hu-HU"/>
                                </w:rPr>
                                <w:t>Időre korrigált SPID (mm)</w:t>
                              </w:r>
                            </w:p>
                          </w:txbxContent>
                        </wps:txbx>
                        <wps:bodyPr rot="0" vert="vert270" wrap="square" lIns="91440" tIns="45720" rIns="91440" bIns="45720" anchor="t" anchorCtr="0">
                          <a:noAutofit/>
                        </wps:bodyPr>
                      </wps:wsp>
                      <pic:pic xmlns:pic="http://schemas.openxmlformats.org/drawingml/2006/picture">
                        <pic:nvPicPr>
                          <pic:cNvPr id="5" name="Picture 5" descr="L:\Maxigesic\Maxigesic IV\AFT-MXIV-07\Data Management\AdClin\AdClin Reporting\15. AFT-MXIV-7 Reporting 2018-10-05-Final update\2018-10-05-AFT-MXIV-7\2018-10-05-AFT-MXIV-7\HTML Output\Figure 3.1.1.png"/>
                          <pic:cNvPicPr>
                            <a:picLocks noChangeAspect="1"/>
                          </pic:cNvPicPr>
                        </pic:nvPicPr>
                        <pic:blipFill rotWithShape="1">
                          <a:blip r:embed="rId9">
                            <a:extLst>
                              <a:ext uri="{28A0092B-C50C-407E-A947-70E740481C1C}">
                                <a14:useLocalDpi xmlns:a14="http://schemas.microsoft.com/office/drawing/2010/main" val="0"/>
                              </a:ext>
                            </a:extLst>
                          </a:blip>
                          <a:srcRect l="5475" t="5973" b="6417"/>
                          <a:stretch/>
                        </pic:blipFill>
                        <pic:spPr bwMode="auto">
                          <a:xfrm>
                            <a:off x="361950" y="304800"/>
                            <a:ext cx="5426075" cy="3771900"/>
                          </a:xfrm>
                          <a:prstGeom prst="rect">
                            <a:avLst/>
                          </a:prstGeom>
                          <a:noFill/>
                          <a:ln>
                            <a:noFill/>
                          </a:ln>
                          <a:extLst>
                            <a:ext uri="{53640926-AAD7-44D8-BBD7-CCE9431645EC}">
                              <a14:shadowObscured xmlns:a14="http://schemas.microsoft.com/office/drawing/2010/main"/>
                            </a:ext>
                          </a:extLst>
                        </pic:spPr>
                      </pic:pic>
                      <wps:wsp>
                        <wps:cNvPr id="6" name="Text Box 2"/>
                        <wps:cNvSpPr txBox="1">
                          <a:spLocks noChangeArrowheads="1"/>
                        </wps:cNvSpPr>
                        <wps:spPr bwMode="auto">
                          <a:xfrm>
                            <a:off x="0" y="0"/>
                            <a:ext cx="5740400" cy="247650"/>
                          </a:xfrm>
                          <a:prstGeom prst="rect">
                            <a:avLst/>
                          </a:prstGeom>
                          <a:solidFill>
                            <a:srgbClr val="FFFFFF"/>
                          </a:solidFill>
                          <a:ln w="9525">
                            <a:noFill/>
                            <a:miter lim="800000"/>
                            <a:headEnd/>
                            <a:tailEnd/>
                          </a:ln>
                        </wps:spPr>
                        <wps:txbx>
                          <w:txbxContent>
                            <w:p w14:paraId="26A6D2A9" w14:textId="50221DAF" w:rsidR="000E3AA6" w:rsidRDefault="000E3AA6" w:rsidP="00EC47EA">
                              <w:pPr>
                                <w:tabs>
                                  <w:tab w:val="left" w:pos="2977"/>
                                </w:tabs>
                                <w:ind w:firstLine="1418"/>
                                <w:rPr>
                                  <w:rFonts w:ascii="Calibri" w:hAnsi="Calibri" w:cs="Calibri"/>
                                  <w:sz w:val="20"/>
                                </w:rPr>
                              </w:pPr>
                              <w:r>
                                <w:rPr>
                                  <w:rFonts w:ascii="Calibri" w:hAnsi="Calibri" w:cs="Calibri"/>
                                  <w:sz w:val="20"/>
                                </w:rPr>
                                <w:tab/>
                              </w:r>
                              <w:r w:rsidRPr="007F09C0">
                                <w:rPr>
                                  <w:sz w:val="20"/>
                                  <w:lang w:val="hu-HU"/>
                                </w:rPr>
                                <w:t>Átlag becslések &amp; 95%-os konfidencia intervallumok</w:t>
                              </w:r>
                            </w:p>
                          </w:txbxContent>
                        </wps:txbx>
                        <wps:bodyPr rot="0" vert="horz" wrap="square" lIns="91440" tIns="45720" rIns="91440" bIns="45720" anchor="t" anchorCtr="0">
                          <a:noAutofit/>
                        </wps:bodyPr>
                      </wps:wsp>
                    </wpg:wgp>
                  </a:graphicData>
                </a:graphic>
                <wp14:sizeRelH relativeFrom="page">
                  <wp14:pctWidth>0</wp14:pctWidth>
                </wp14:sizeRelH>
                <wp14:sizeRelV relativeFrom="page">
                  <wp14:pctHeight>0</wp14:pctHeight>
                </wp14:sizeRelV>
              </wp:anchor>
            </w:drawing>
          </mc:Choice>
          <mc:Fallback>
            <w:pict>
              <v:group w14:anchorId="40B12DC4" id="Group 5" o:spid="_x0000_s1026" style="position:absolute;margin-left:-.1pt;margin-top:14.4pt;width:455.75pt;height:340.5pt;z-index:251659264" coordsize="57880,432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">
                <v:shapetype id="_x0000_t202" coordsize="21600,21600" o:spt="202" path="m,l,21600r21600,l21600,xe">
                  <v:stroke joinstyle="miter"/>
                  <v:path gradientshapeok="t" o:connecttype="rect"/>
                </v:shapetype>
                <v:shape id="Text Box 2" o:spid="_x0000_s1027" type="#_x0000_t202" style="position:absolute;left:476;top:40767;width:57404;height:2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" stroked="f">
                  <v:textbox>
                    <w:txbxContent>
                      <w:p w14:paraId="250EE046" w14:textId="2AA28AAC" w:rsidR="000E3AA6" w:rsidRDefault="000E3AA6" w:rsidP="00EC47EA">
                        <w:pPr>
                          <w:tabs>
                            <w:tab w:val="left" w:pos="3402"/>
                            <w:tab w:val="left" w:pos="5103"/>
                            <w:tab w:val="left" w:pos="7371"/>
                          </w:tabs>
                          <w:rPr>
                            <w:rFonts w:ascii="Calibri" w:hAnsi="Calibri" w:cs="Calibri"/>
                            <w:sz w:val="18"/>
                          </w:rPr>
                        </w:pPr>
                        <w:r>
                          <w:rPr>
                            <w:rFonts w:ascii="Calibri" w:hAnsi="Calibri" w:cs="Calibri"/>
                            <w:sz w:val="18"/>
                          </w:rPr>
                          <w:tab/>
                          <w:t xml:space="preserve">               Ibuprofen/paracetamol®</w:t>
                        </w:r>
                        <w:r>
                          <w:rPr>
                            <w:rFonts w:ascii="Calibri" w:hAnsi="Calibri" w:cs="Calibri"/>
                            <w:sz w:val="18"/>
                          </w:rPr>
                          <w:tab/>
                          <w:t>Ibuprofén</w:t>
                        </w:r>
                        <w:r>
                          <w:rPr>
                            <w:rFonts w:ascii="Calibri" w:hAnsi="Calibri" w:cs="Calibri"/>
                            <w:sz w:val="18"/>
                          </w:rPr>
                          <w:tab/>
                          <w:t>Paracetamol</w:t>
                        </w:r>
                        <w:r>
                          <w:rPr>
                            <w:rFonts w:ascii="Calibri" w:hAnsi="Calibri" w:cs="Calibri"/>
                            <w:sz w:val="18"/>
                          </w:rPr>
                          <w:tab/>
                          <w:t>Placebo</w:t>
                        </w:r>
                      </w:p>
                    </w:txbxContent>
                  </v:textbox>
                </v:shape>
                <v:shape id="Text Box 2" o:spid="_x0000_s1028" type="#_x0000_t202" style="position:absolute;left:381;top:476;width:3244;height:402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" stroked="f">
                  <v:textbox style="layout-flow:vertical;mso-layout-flow-alt:bottom-to-top">
                    <w:txbxContent>
                      <w:p w14:paraId="1C5BD152" w14:textId="49D8D9B2" w:rsidR="000E3AA6" w:rsidRPr="007F09C0" w:rsidRDefault="000E3AA6" w:rsidP="00EC47EA">
                        <w:pPr>
                          <w:tabs>
                            <w:tab w:val="left" w:pos="3402"/>
                            <w:tab w:val="left" w:pos="5103"/>
                            <w:tab w:val="left" w:pos="7371"/>
                          </w:tabs>
                          <w:ind w:firstLine="1418"/>
                          <w:rPr>
                            <w:sz w:val="18"/>
                            <w:szCs w:val="18"/>
                          </w:rPr>
                        </w:pPr>
                        <w:r w:rsidRPr="007F09C0">
                          <w:rPr>
                            <w:sz w:val="18"/>
                            <w:szCs w:val="18"/>
                            <w:lang w:val="hu-HU"/>
                          </w:rPr>
                          <w:t>Időre korrigált SPID (mm)</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9" type="#_x0000_t75" style="position:absolute;left:3619;top:3048;width:54261;height:377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">
                  <v:imagedata r:id="rId10" o:title="Figure 3.1.1" croptop="3914f" cropbottom="4205f" cropleft="3588f"/>
                </v:shape>
                <v:shape id="Text Box 2" o:spid="_x0000_s1030" type="#_x0000_t202" style="position:absolute;width:57404;height:2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" stroked="f">
                  <v:textbox>
                    <w:txbxContent>
                      <w:p w14:paraId="26A6D2A9" w14:textId="50221DAF" w:rsidR="000E3AA6" w:rsidRDefault="000E3AA6" w:rsidP="00EC47EA">
                        <w:pPr>
                          <w:tabs>
                            <w:tab w:val="left" w:pos="2977"/>
                          </w:tabs>
                          <w:ind w:firstLine="1418"/>
                          <w:rPr>
                            <w:rFonts w:ascii="Calibri" w:hAnsi="Calibri" w:cs="Calibri"/>
                            <w:sz w:val="20"/>
                          </w:rPr>
                        </w:pPr>
                        <w:r>
                          <w:rPr>
                            <w:rFonts w:ascii="Calibri" w:hAnsi="Calibri" w:cs="Calibri"/>
                            <w:sz w:val="20"/>
                          </w:rPr>
                          <w:tab/>
                        </w:r>
                        <w:r w:rsidRPr="007F09C0">
                          <w:rPr>
                            <w:sz w:val="20"/>
                            <w:lang w:val="hu-HU"/>
                          </w:rPr>
                          <w:t>Átlag becslések &amp; 95%-os konfidencia intervallumok</w:t>
                        </w:r>
                      </w:p>
                    </w:txbxContent>
                  </v:textbox>
                </v:shape>
                <w10:wrap type="topAndBottom"/>
              </v:group>
            </w:pict>
          </mc:Fallback>
        </mc:AlternateContent>
      </w:r>
    </w:p>
    <w:p w14:paraId="4CAE93B7" w14:textId="77777777" w:rsidR="00EC47EA" w:rsidRPr="00F6526C" w:rsidRDefault="00EC47EA" w:rsidP="00E8277D">
      <w:pPr>
        <w:autoSpaceDE w:val="0"/>
        <w:autoSpaceDN w:val="0"/>
        <w:adjustRightInd w:val="0"/>
        <w:spacing w:line="271" w:lineRule="auto"/>
        <w:rPr>
          <w:rFonts w:eastAsia="Times New Roman"/>
          <w:snapToGrid/>
          <w:szCs w:val="22"/>
          <w:lang w:val="hu-HU" w:eastAsia="en-US"/>
        </w:rPr>
      </w:pPr>
    </w:p>
    <w:p w14:paraId="37DB8DB1" w14:textId="484C0401" w:rsidR="00A14720" w:rsidRPr="00F6526C" w:rsidRDefault="00A14720" w:rsidP="00E8277D">
      <w:pPr>
        <w:autoSpaceDE w:val="0"/>
        <w:autoSpaceDN w:val="0"/>
        <w:adjustRightInd w:val="0"/>
        <w:spacing w:line="271" w:lineRule="auto"/>
        <w:rPr>
          <w:rFonts w:eastAsia="Times New Roman"/>
          <w:snapToGrid/>
          <w:szCs w:val="22"/>
          <w:lang w:val="hu-HU" w:eastAsia="en-US"/>
        </w:rPr>
      </w:pPr>
    </w:p>
    <w:p w14:paraId="47D76CFF" w14:textId="77777777" w:rsidR="002F6AEA" w:rsidRPr="00F6526C" w:rsidRDefault="002F6AEA" w:rsidP="00E8277D">
      <w:pPr>
        <w:autoSpaceDE w:val="0"/>
        <w:autoSpaceDN w:val="0"/>
        <w:adjustRightInd w:val="0"/>
        <w:spacing w:line="271" w:lineRule="auto"/>
        <w:rPr>
          <w:rFonts w:eastAsia="Times New Roman"/>
          <w:snapToGrid/>
          <w:szCs w:val="22"/>
          <w:lang w:val="hu-HU" w:eastAsia="en-US"/>
        </w:rPr>
      </w:pPr>
    </w:p>
    <w:p w14:paraId="7CD78A9A" w14:textId="77777777" w:rsidR="00A14720" w:rsidRPr="00F6526C" w:rsidRDefault="00A14720" w:rsidP="004017C1">
      <w:pPr>
        <w:autoSpaceDE w:val="0"/>
        <w:autoSpaceDN w:val="0"/>
        <w:adjustRightInd w:val="0"/>
        <w:spacing w:line="271" w:lineRule="auto"/>
        <w:outlineLvl w:val="1"/>
        <w:rPr>
          <w:rFonts w:eastAsia="Times New Roman"/>
          <w:b/>
          <w:snapToGrid/>
          <w:szCs w:val="22"/>
          <w:lang w:val="hu-HU" w:eastAsia="en-US"/>
        </w:rPr>
      </w:pPr>
      <w:r w:rsidRPr="00F6526C">
        <w:rPr>
          <w:rFonts w:eastAsia="Times New Roman"/>
          <w:b/>
          <w:snapToGrid/>
          <w:szCs w:val="22"/>
          <w:lang w:val="hu-HU" w:eastAsia="en-US"/>
        </w:rPr>
        <w:t>5.2</w:t>
      </w:r>
      <w:r w:rsidRPr="00F6526C">
        <w:rPr>
          <w:rFonts w:eastAsia="Times New Roman"/>
          <w:b/>
          <w:snapToGrid/>
          <w:szCs w:val="22"/>
          <w:lang w:val="hu-HU" w:eastAsia="en-US"/>
        </w:rPr>
        <w:tab/>
      </w:r>
      <w:r w:rsidRPr="00F6526C">
        <w:rPr>
          <w:rFonts w:eastAsia="Times New Roman"/>
          <w:b/>
          <w:snapToGrid/>
          <w:spacing w:val="2"/>
          <w:szCs w:val="22"/>
          <w:lang w:val="hu-HU" w:eastAsia="en-US"/>
        </w:rPr>
        <w:t>Farmakokinetikai tulajdonságok</w:t>
      </w:r>
    </w:p>
    <w:p w14:paraId="73ED24D6" w14:textId="77777777" w:rsidR="00A14720" w:rsidRPr="00F6526C" w:rsidRDefault="00A14720" w:rsidP="00E8277D">
      <w:pPr>
        <w:autoSpaceDE w:val="0"/>
        <w:autoSpaceDN w:val="0"/>
        <w:adjustRightInd w:val="0"/>
        <w:spacing w:line="271" w:lineRule="auto"/>
        <w:rPr>
          <w:rFonts w:eastAsia="Times New Roman"/>
          <w:snapToGrid/>
          <w:szCs w:val="22"/>
          <w:lang w:val="hu-HU" w:eastAsia="en-US"/>
        </w:rPr>
      </w:pPr>
    </w:p>
    <w:p w14:paraId="6BAB1F59" w14:textId="77777777" w:rsidR="00A14720" w:rsidRPr="00F6526C" w:rsidRDefault="00A14720" w:rsidP="004017C1">
      <w:pPr>
        <w:autoSpaceDE w:val="0"/>
        <w:autoSpaceDN w:val="0"/>
        <w:adjustRightInd w:val="0"/>
        <w:spacing w:line="271" w:lineRule="auto"/>
        <w:outlineLvl w:val="2"/>
        <w:rPr>
          <w:rFonts w:eastAsia="Times New Roman"/>
          <w:snapToGrid/>
          <w:szCs w:val="22"/>
          <w:u w:val="single"/>
          <w:lang w:val="hu-HU" w:eastAsia="en-US"/>
        </w:rPr>
      </w:pPr>
      <w:r w:rsidRPr="00F6526C">
        <w:rPr>
          <w:rFonts w:eastAsia="Times New Roman"/>
          <w:snapToGrid/>
          <w:spacing w:val="-1"/>
          <w:szCs w:val="22"/>
          <w:u w:val="single"/>
          <w:lang w:val="hu-HU" w:eastAsia="en-US"/>
        </w:rPr>
        <w:t>Felszívódás</w:t>
      </w:r>
    </w:p>
    <w:p w14:paraId="1EDE920B" w14:textId="3A297140" w:rsidR="00A14720" w:rsidRPr="00F6526C" w:rsidRDefault="00A14720" w:rsidP="00E8277D">
      <w:pPr>
        <w:autoSpaceDE w:val="0"/>
        <w:autoSpaceDN w:val="0"/>
        <w:adjustRightInd w:val="0"/>
        <w:spacing w:line="271" w:lineRule="auto"/>
        <w:rPr>
          <w:rFonts w:eastAsia="Times New Roman"/>
          <w:snapToGrid/>
          <w:szCs w:val="22"/>
          <w:lang w:val="hu-HU" w:eastAsia="en-US"/>
        </w:rPr>
      </w:pPr>
      <w:r w:rsidRPr="00F6526C">
        <w:rPr>
          <w:rFonts w:eastAsia="Times New Roman"/>
          <w:snapToGrid/>
          <w:szCs w:val="22"/>
          <w:lang w:val="hu-HU" w:eastAsia="en-US"/>
        </w:rPr>
        <w:t>A</w:t>
      </w:r>
      <w:r w:rsidR="00DD2DF7">
        <w:rPr>
          <w:rFonts w:eastAsia="Times New Roman"/>
          <w:snapToGrid/>
          <w:szCs w:val="22"/>
          <w:lang w:val="hu-HU" w:eastAsia="en-US"/>
        </w:rPr>
        <w:t>z</w:t>
      </w:r>
      <w:r w:rsidRPr="00F6526C">
        <w:rPr>
          <w:rFonts w:eastAsia="Times New Roman"/>
          <w:snapToGrid/>
          <w:szCs w:val="22"/>
          <w:lang w:val="hu-HU" w:eastAsia="en-US"/>
        </w:rPr>
        <w:t xml:space="preserve"> </w:t>
      </w:r>
      <w:r w:rsidR="006D4655">
        <w:rPr>
          <w:rFonts w:eastAsia="Times New Roman"/>
          <w:noProof/>
          <w:snapToGrid/>
          <w:szCs w:val="22"/>
          <w:lang w:val="hu-HU" w:eastAsia="en-US"/>
        </w:rPr>
        <w:t>Elomen</w:t>
      </w:r>
      <w:r w:rsidRPr="00F6526C">
        <w:rPr>
          <w:rFonts w:eastAsia="Times New Roman"/>
          <w:noProof/>
          <w:snapToGrid/>
          <w:szCs w:val="22"/>
          <w:lang w:val="hu-HU" w:eastAsia="en-US"/>
        </w:rPr>
        <w:t xml:space="preserve"> 1000 mg/300 mg oldatos infúzió</w:t>
      </w:r>
      <w:r w:rsidRPr="00F6526C">
        <w:rPr>
          <w:rFonts w:eastAsia="Times New Roman"/>
          <w:snapToGrid/>
          <w:szCs w:val="22"/>
          <w:lang w:val="hu-HU" w:eastAsia="en-US"/>
        </w:rPr>
        <w:t>t 15</w:t>
      </w:r>
      <w:r w:rsidR="00E6114C">
        <w:rPr>
          <w:rFonts w:eastAsia="Times New Roman"/>
          <w:snapToGrid/>
          <w:szCs w:val="22"/>
          <w:lang w:val="hu-HU" w:eastAsia="en-US"/>
        </w:rPr>
        <w:t xml:space="preserve"> </w:t>
      </w:r>
      <w:r w:rsidRPr="00F6526C">
        <w:rPr>
          <w:rFonts w:eastAsia="Times New Roman"/>
          <w:snapToGrid/>
          <w:szCs w:val="22"/>
          <w:lang w:val="hu-HU" w:eastAsia="en-US"/>
        </w:rPr>
        <w:t xml:space="preserve">perces </w:t>
      </w:r>
      <w:r w:rsidRPr="00F6526C">
        <w:rPr>
          <w:rFonts w:eastAsia="Times New Roman"/>
          <w:bCs/>
          <w:iCs/>
          <w:snapToGrid/>
          <w:color w:val="000000"/>
          <w:spacing w:val="-2"/>
          <w:szCs w:val="22"/>
          <w:lang w:val="hu-HU" w:eastAsia="en-US"/>
        </w:rPr>
        <w:t>infúzióban adják be, és az egyes gyógyszerek a plazma</w:t>
      </w:r>
      <w:r w:rsidR="0066140B">
        <w:rPr>
          <w:rFonts w:eastAsia="Times New Roman"/>
          <w:bCs/>
          <w:iCs/>
          <w:snapToGrid/>
          <w:color w:val="000000"/>
          <w:spacing w:val="-2"/>
          <w:szCs w:val="22"/>
          <w:lang w:val="hu-HU" w:eastAsia="en-US"/>
        </w:rPr>
        <w:t>-</w:t>
      </w:r>
      <w:r w:rsidRPr="00F6526C">
        <w:rPr>
          <w:rFonts w:eastAsia="Times New Roman"/>
          <w:bCs/>
          <w:iCs/>
          <w:snapToGrid/>
          <w:color w:val="000000"/>
          <w:spacing w:val="-2"/>
          <w:szCs w:val="22"/>
          <w:lang w:val="hu-HU" w:eastAsia="en-US"/>
        </w:rPr>
        <w:t>csúcskoncentrációt az infúzió végén érik el. A</w:t>
      </w:r>
      <w:r w:rsidR="00DD2DF7">
        <w:rPr>
          <w:rFonts w:eastAsia="Times New Roman"/>
          <w:bCs/>
          <w:iCs/>
          <w:snapToGrid/>
          <w:color w:val="000000"/>
          <w:spacing w:val="-2"/>
          <w:szCs w:val="22"/>
          <w:lang w:val="hu-HU" w:eastAsia="en-US"/>
        </w:rPr>
        <w:t>z</w:t>
      </w:r>
      <w:r w:rsidRPr="00F6526C">
        <w:rPr>
          <w:rFonts w:eastAsia="Times New Roman"/>
          <w:noProof/>
          <w:snapToGrid/>
          <w:szCs w:val="22"/>
          <w:lang w:val="hu-HU" w:eastAsia="en-US"/>
        </w:rPr>
        <w:t xml:space="preserve"> </w:t>
      </w:r>
      <w:r w:rsidR="006D4655">
        <w:rPr>
          <w:rFonts w:eastAsia="Times New Roman"/>
          <w:noProof/>
          <w:snapToGrid/>
          <w:szCs w:val="22"/>
          <w:lang w:val="hu-HU" w:eastAsia="en-US"/>
        </w:rPr>
        <w:t>Elomen</w:t>
      </w:r>
      <w:r w:rsidRPr="00F6526C">
        <w:rPr>
          <w:rFonts w:eastAsia="Times New Roman"/>
          <w:noProof/>
          <w:snapToGrid/>
          <w:szCs w:val="22"/>
          <w:lang w:val="hu-HU" w:eastAsia="en-US"/>
        </w:rPr>
        <w:t xml:space="preserve"> 1000 mg/300 mg oldatos infúzió</w:t>
      </w:r>
      <w:r w:rsidRPr="00F6526C">
        <w:rPr>
          <w:rFonts w:eastAsia="Times New Roman"/>
          <w:bCs/>
          <w:iCs/>
          <w:snapToGrid/>
          <w:color w:val="000000"/>
          <w:spacing w:val="-2"/>
          <w:szCs w:val="22"/>
          <w:lang w:val="hu-HU" w:eastAsia="en-US"/>
        </w:rPr>
        <w:t>ban a két hatóanyag ugyanabban az időkeretben éri el a legmagasabb plazmaszintet, és hasonló a felezési idejük a plazmában (</w:t>
      </w:r>
      <w:r w:rsidRPr="00F6526C">
        <w:rPr>
          <w:rFonts w:eastAsia="Times New Roman"/>
          <w:snapToGrid/>
          <w:szCs w:val="22"/>
          <w:lang w:val="hu-HU" w:eastAsia="en-US"/>
        </w:rPr>
        <w:t xml:space="preserve">paracetamol 2,39 ± 0,27 óra, ibuprofén 1,88 ± 0,28 óra). </w:t>
      </w:r>
    </w:p>
    <w:p w14:paraId="5B957B73" w14:textId="77777777" w:rsidR="00A14720" w:rsidRPr="00F6526C" w:rsidRDefault="00A14720" w:rsidP="00E8277D">
      <w:pPr>
        <w:autoSpaceDE w:val="0"/>
        <w:autoSpaceDN w:val="0"/>
        <w:adjustRightInd w:val="0"/>
        <w:spacing w:line="271" w:lineRule="auto"/>
        <w:rPr>
          <w:rFonts w:eastAsia="Times New Roman"/>
          <w:snapToGrid/>
          <w:szCs w:val="22"/>
          <w:lang w:val="hu-HU" w:eastAsia="en-US"/>
        </w:rPr>
      </w:pPr>
    </w:p>
    <w:p w14:paraId="10ADC13F" w14:textId="62EA7638" w:rsidR="00A14720" w:rsidRPr="00F6526C" w:rsidRDefault="00A14720" w:rsidP="00E8277D">
      <w:pPr>
        <w:autoSpaceDE w:val="0"/>
        <w:autoSpaceDN w:val="0"/>
        <w:adjustRightInd w:val="0"/>
        <w:spacing w:line="271" w:lineRule="auto"/>
        <w:rPr>
          <w:rFonts w:eastAsia="Times New Roman"/>
          <w:snapToGrid/>
          <w:szCs w:val="22"/>
          <w:lang w:val="hu-HU" w:eastAsia="en-US"/>
        </w:rPr>
      </w:pPr>
      <w:r w:rsidRPr="00F6526C">
        <w:rPr>
          <w:rFonts w:eastAsia="Times New Roman"/>
          <w:snapToGrid/>
          <w:szCs w:val="22"/>
          <w:lang w:val="hu-HU" w:eastAsia="en-US"/>
        </w:rPr>
        <w:t>A</w:t>
      </w:r>
      <w:r w:rsidR="00DD2DF7">
        <w:rPr>
          <w:rFonts w:eastAsia="Times New Roman"/>
          <w:snapToGrid/>
          <w:szCs w:val="22"/>
          <w:lang w:val="hu-HU" w:eastAsia="en-US"/>
        </w:rPr>
        <w:t>z</w:t>
      </w:r>
      <w:r w:rsidRPr="00F6526C">
        <w:rPr>
          <w:rFonts w:eastAsia="Times New Roman"/>
          <w:snapToGrid/>
          <w:szCs w:val="22"/>
          <w:lang w:val="hu-HU" w:eastAsia="en-US"/>
        </w:rPr>
        <w:t xml:space="preserve"> </w:t>
      </w:r>
      <w:r w:rsidR="006D4655">
        <w:rPr>
          <w:rFonts w:eastAsia="Times New Roman"/>
          <w:noProof/>
          <w:snapToGrid/>
          <w:szCs w:val="22"/>
          <w:lang w:val="hu-HU" w:eastAsia="en-US"/>
        </w:rPr>
        <w:t>Elomen</w:t>
      </w:r>
      <w:r w:rsidRPr="00F6526C">
        <w:rPr>
          <w:rFonts w:eastAsia="Times New Roman"/>
          <w:noProof/>
          <w:snapToGrid/>
          <w:szCs w:val="22"/>
          <w:lang w:val="hu-HU" w:eastAsia="en-US"/>
        </w:rPr>
        <w:t xml:space="preserve"> 1000 mg/300 mg oldatos infúzió</w:t>
      </w:r>
      <w:r w:rsidRPr="00F6526C">
        <w:rPr>
          <w:rFonts w:eastAsia="Times New Roman"/>
          <w:snapToGrid/>
          <w:szCs w:val="22"/>
          <w:lang w:val="hu-HU" w:eastAsia="en-US"/>
        </w:rPr>
        <w:t xml:space="preserve"> farmakokinetikai </w:t>
      </w:r>
      <w:r w:rsidRPr="00F6526C">
        <w:rPr>
          <w:rFonts w:eastAsia="Times New Roman"/>
          <w:bCs/>
          <w:iCs/>
          <w:snapToGrid/>
          <w:szCs w:val="22"/>
          <w:lang w:val="hu-HU" w:eastAsia="en-US"/>
        </w:rPr>
        <w:t>paramétereit (amelyet 29 egészséges önkéntesben határoztak meg) a</w:t>
      </w:r>
      <w:r w:rsidR="00CA6BC5" w:rsidRPr="00F6526C">
        <w:rPr>
          <w:rFonts w:eastAsia="Times New Roman"/>
          <w:bCs/>
          <w:iCs/>
          <w:snapToGrid/>
          <w:szCs w:val="22"/>
          <w:lang w:val="hu-HU" w:eastAsia="en-US"/>
        </w:rPr>
        <w:t>2</w:t>
      </w:r>
      <w:r w:rsidRPr="00F6526C">
        <w:rPr>
          <w:rFonts w:eastAsia="Times New Roman"/>
          <w:bCs/>
          <w:iCs/>
          <w:snapToGrid/>
          <w:szCs w:val="22"/>
          <w:lang w:val="hu-HU" w:eastAsia="en-US"/>
        </w:rPr>
        <w:t xml:space="preserve">. </w:t>
      </w:r>
      <w:r w:rsidRPr="00F6526C">
        <w:rPr>
          <w:rFonts w:eastAsia="Times New Roman"/>
          <w:bCs/>
          <w:iCs/>
          <w:snapToGrid/>
          <w:color w:val="000000"/>
          <w:szCs w:val="22"/>
          <w:lang w:val="hu-HU" w:eastAsia="en-US"/>
        </w:rPr>
        <w:t>táblázat</w:t>
      </w:r>
      <w:r w:rsidRPr="00F6526C">
        <w:rPr>
          <w:rFonts w:eastAsia="Times New Roman"/>
          <w:bCs/>
          <w:iCs/>
          <w:snapToGrid/>
          <w:szCs w:val="22"/>
          <w:lang w:val="hu-HU" w:eastAsia="en-US"/>
        </w:rPr>
        <w:t xml:space="preserve">ban </w:t>
      </w:r>
      <w:r w:rsidRPr="00F6526C">
        <w:rPr>
          <w:rFonts w:eastAsia="Times New Roman"/>
          <w:bCs/>
          <w:iCs/>
          <w:snapToGrid/>
          <w:color w:val="000000"/>
          <w:szCs w:val="22"/>
          <w:lang w:val="hu-HU" w:eastAsia="en-US"/>
        </w:rPr>
        <w:t>mutatjuk be</w:t>
      </w:r>
      <w:r w:rsidRPr="00F6526C">
        <w:rPr>
          <w:rFonts w:eastAsia="Times New Roman"/>
          <w:snapToGrid/>
          <w:szCs w:val="22"/>
          <w:lang w:val="hu-HU" w:eastAsia="en-US"/>
        </w:rPr>
        <w:t>.</w:t>
      </w:r>
    </w:p>
    <w:p w14:paraId="74DB58E3" w14:textId="77777777" w:rsidR="00A14720" w:rsidRPr="00F6526C" w:rsidRDefault="00A14720" w:rsidP="00E8277D">
      <w:pPr>
        <w:autoSpaceDE w:val="0"/>
        <w:autoSpaceDN w:val="0"/>
        <w:adjustRightInd w:val="0"/>
        <w:spacing w:line="271" w:lineRule="auto"/>
        <w:rPr>
          <w:rFonts w:eastAsia="Times New Roman"/>
          <w:snapToGrid/>
          <w:szCs w:val="22"/>
          <w:lang w:val="hu-HU" w:eastAsia="en-US"/>
        </w:rPr>
      </w:pPr>
    </w:p>
    <w:p w14:paraId="1DEDF5DA" w14:textId="57C6379B" w:rsidR="00A14720" w:rsidRPr="00F6526C" w:rsidRDefault="00CA6BC5" w:rsidP="00E8277D">
      <w:pPr>
        <w:widowControl w:val="0"/>
        <w:tabs>
          <w:tab w:val="clear" w:pos="567"/>
        </w:tabs>
        <w:autoSpaceDE w:val="0"/>
        <w:autoSpaceDN w:val="0"/>
        <w:adjustRightInd w:val="0"/>
        <w:spacing w:line="240" w:lineRule="auto"/>
        <w:rPr>
          <w:rFonts w:eastAsia="Calibri"/>
          <w:b/>
          <w:snapToGrid/>
          <w:szCs w:val="22"/>
          <w:lang w:val="hu-HU" w:eastAsia="en-US"/>
        </w:rPr>
      </w:pPr>
      <w:r w:rsidRPr="00F6526C">
        <w:rPr>
          <w:rFonts w:eastAsia="Calibri"/>
          <w:b/>
          <w:snapToGrid/>
          <w:szCs w:val="22"/>
          <w:lang w:val="hu-HU" w:eastAsia="en-US"/>
        </w:rPr>
        <w:t>2</w:t>
      </w:r>
      <w:r w:rsidR="00A14720" w:rsidRPr="00F6526C">
        <w:rPr>
          <w:rFonts w:eastAsia="Calibri"/>
          <w:b/>
          <w:snapToGrid/>
          <w:szCs w:val="22"/>
          <w:lang w:val="hu-HU" w:eastAsia="en-US"/>
        </w:rPr>
        <w:t xml:space="preserve">. </w:t>
      </w:r>
      <w:r w:rsidR="00DD2DF7">
        <w:rPr>
          <w:rFonts w:eastAsia="Calibri"/>
          <w:b/>
          <w:snapToGrid/>
          <w:szCs w:val="22"/>
          <w:lang w:val="hu-HU" w:eastAsia="en-US"/>
        </w:rPr>
        <w:t>t</w:t>
      </w:r>
      <w:r w:rsidR="00A14720" w:rsidRPr="00F6526C">
        <w:rPr>
          <w:rFonts w:eastAsia="Calibri"/>
          <w:b/>
          <w:snapToGrid/>
          <w:szCs w:val="22"/>
          <w:lang w:val="hu-HU" w:eastAsia="en-US"/>
        </w:rPr>
        <w:t>áblázat: A paracetamol és az ibuprof</w:t>
      </w:r>
      <w:r w:rsidR="00C624D3" w:rsidRPr="00F6526C">
        <w:rPr>
          <w:rFonts w:eastAsia="Calibri"/>
          <w:b/>
          <w:snapToGrid/>
          <w:szCs w:val="22"/>
          <w:lang w:val="hu-HU" w:eastAsia="en-US"/>
        </w:rPr>
        <w:t>é</w:t>
      </w:r>
      <w:r w:rsidR="00A14720" w:rsidRPr="00F6526C">
        <w:rPr>
          <w:rFonts w:eastAsia="Calibri"/>
          <w:b/>
          <w:snapToGrid/>
          <w:szCs w:val="22"/>
          <w:lang w:val="hu-HU" w:eastAsia="en-US"/>
        </w:rPr>
        <w:t xml:space="preserve">n átlagos (SD) farmakokinetikai paraméterei az egyes </w:t>
      </w:r>
      <w:r w:rsidR="00A14720" w:rsidRPr="00F6526C">
        <w:rPr>
          <w:rFonts w:eastAsia="Calibri"/>
          <w:b/>
          <w:bCs/>
          <w:iCs/>
          <w:snapToGrid/>
          <w:color w:val="000000"/>
          <w:spacing w:val="-2"/>
          <w:szCs w:val="22"/>
          <w:lang w:val="hu-HU" w:eastAsia="en-US"/>
        </w:rPr>
        <w:t>kezelés</w:t>
      </w:r>
      <w:r w:rsidR="00A14720" w:rsidRPr="00F6526C">
        <w:rPr>
          <w:rFonts w:eastAsia="Calibri"/>
          <w:b/>
          <w:snapToGrid/>
          <w:szCs w:val="22"/>
          <w:lang w:val="hu-HU" w:eastAsia="en-US"/>
        </w:rPr>
        <w:t xml:space="preserve">i </w:t>
      </w:r>
      <w:r w:rsidR="00A14720" w:rsidRPr="00F6526C">
        <w:rPr>
          <w:rFonts w:eastAsia="Calibri"/>
          <w:b/>
          <w:bCs/>
          <w:iCs/>
          <w:snapToGrid/>
          <w:color w:val="000000"/>
          <w:spacing w:val="-2"/>
          <w:szCs w:val="22"/>
          <w:lang w:val="hu-HU" w:eastAsia="hu-HU"/>
        </w:rPr>
        <w:t>csoport</w:t>
      </w:r>
      <w:r w:rsidR="00A14720" w:rsidRPr="00F6526C">
        <w:rPr>
          <w:rFonts w:eastAsia="Calibri"/>
          <w:b/>
          <w:snapToGrid/>
          <w:szCs w:val="22"/>
          <w:lang w:val="hu-HU" w:eastAsia="en-US"/>
        </w:rPr>
        <w:t>okban.</w:t>
      </w:r>
    </w:p>
    <w:tbl>
      <w:tblPr>
        <w:tblW w:w="9067" w:type="dxa"/>
        <w:tblBorders>
          <w:top w:val="single" w:sz="12" w:space="0" w:color="BFBFBF"/>
          <w:left w:val="dotted" w:sz="4" w:space="0" w:color="auto"/>
          <w:bottom w:val="single" w:sz="12" w:space="0" w:color="BFBFBF"/>
          <w:right w:val="dotted" w:sz="4" w:space="0" w:color="auto"/>
          <w:insideV w:val="dotted" w:sz="4" w:space="0" w:color="auto"/>
        </w:tblBorders>
        <w:tblLayout w:type="fixed"/>
        <w:tblLook w:val="04A0" w:firstRow="1" w:lastRow="0" w:firstColumn="1" w:lastColumn="0" w:noHBand="0" w:noVBand="1"/>
      </w:tblPr>
      <w:tblGrid>
        <w:gridCol w:w="1838"/>
        <w:gridCol w:w="1843"/>
        <w:gridCol w:w="1984"/>
        <w:gridCol w:w="1843"/>
        <w:gridCol w:w="1559"/>
      </w:tblGrid>
      <w:tr w:rsidR="00A14720" w:rsidRPr="00F6526C" w14:paraId="7209407C" w14:textId="77777777" w:rsidTr="00A14720">
        <w:trPr>
          <w:trHeight w:val="358"/>
        </w:trPr>
        <w:tc>
          <w:tcPr>
            <w:tcW w:w="1838" w:type="dxa"/>
            <w:tcBorders>
              <w:bottom w:val="single" w:sz="12" w:space="0" w:color="BFBFBF"/>
            </w:tcBorders>
            <w:vAlign w:val="center"/>
          </w:tcPr>
          <w:p w14:paraId="4CFD6990" w14:textId="77777777" w:rsidR="00A14720" w:rsidRPr="00F6526C" w:rsidRDefault="00A14720" w:rsidP="00E8277D">
            <w:pPr>
              <w:widowControl w:val="0"/>
              <w:tabs>
                <w:tab w:val="clear" w:pos="567"/>
              </w:tabs>
              <w:spacing w:line="240" w:lineRule="auto"/>
              <w:rPr>
                <w:rFonts w:eastAsia="Calibri"/>
                <w:snapToGrid/>
                <w:szCs w:val="22"/>
                <w:lang w:val="hu-HU" w:eastAsia="en-NZ"/>
              </w:rPr>
            </w:pPr>
          </w:p>
        </w:tc>
        <w:tc>
          <w:tcPr>
            <w:tcW w:w="7229" w:type="dxa"/>
            <w:gridSpan w:val="4"/>
            <w:tcBorders>
              <w:bottom w:val="single" w:sz="12" w:space="0" w:color="BFBFBF"/>
            </w:tcBorders>
            <w:noWrap/>
            <w:vAlign w:val="center"/>
          </w:tcPr>
          <w:p w14:paraId="30C78A16" w14:textId="77777777" w:rsidR="00A14720" w:rsidRPr="00F6526C" w:rsidRDefault="00A14720" w:rsidP="00E8277D">
            <w:pPr>
              <w:widowControl w:val="0"/>
              <w:tabs>
                <w:tab w:val="clear" w:pos="567"/>
              </w:tabs>
              <w:spacing w:line="240" w:lineRule="auto"/>
              <w:rPr>
                <w:rFonts w:eastAsia="Calibri"/>
                <w:b/>
                <w:snapToGrid/>
                <w:szCs w:val="22"/>
                <w:lang w:val="hu-HU" w:eastAsia="en-NZ"/>
              </w:rPr>
            </w:pPr>
            <w:r w:rsidRPr="00F6526C">
              <w:rPr>
                <w:rFonts w:eastAsia="Calibri"/>
                <w:b/>
                <w:snapToGrid/>
                <w:szCs w:val="22"/>
                <w:lang w:val="hu-HU" w:eastAsia="en-NZ"/>
              </w:rPr>
              <w:t xml:space="preserve">Kezelés (Átlag </w:t>
            </w:r>
            <w:r w:rsidRPr="00F6526C">
              <w:rPr>
                <w:rFonts w:eastAsia="Calibri"/>
                <w:b/>
                <w:snapToGrid/>
                <w:szCs w:val="22"/>
                <w:lang w:val="hu-HU" w:eastAsia="en-GB"/>
              </w:rPr>
              <w:t>± SD)</w:t>
            </w:r>
          </w:p>
        </w:tc>
      </w:tr>
      <w:tr w:rsidR="00A14720" w:rsidRPr="00F6526C" w14:paraId="5CBD2DE0" w14:textId="77777777" w:rsidTr="00A14720">
        <w:trPr>
          <w:trHeight w:val="759"/>
        </w:trPr>
        <w:tc>
          <w:tcPr>
            <w:tcW w:w="1838" w:type="dxa"/>
            <w:tcBorders>
              <w:top w:val="single" w:sz="12" w:space="0" w:color="BFBFBF"/>
              <w:bottom w:val="single" w:sz="12" w:space="0" w:color="BFBFBF"/>
            </w:tcBorders>
            <w:vAlign w:val="center"/>
            <w:hideMark/>
          </w:tcPr>
          <w:p w14:paraId="67FBD4B9" w14:textId="77777777" w:rsidR="00A14720" w:rsidRPr="00F6526C" w:rsidRDefault="00A14720" w:rsidP="00E8277D">
            <w:pPr>
              <w:widowControl w:val="0"/>
              <w:tabs>
                <w:tab w:val="clear" w:pos="567"/>
              </w:tabs>
              <w:spacing w:line="240" w:lineRule="auto"/>
              <w:rPr>
                <w:rFonts w:eastAsia="Calibri"/>
                <w:i/>
                <w:snapToGrid/>
                <w:szCs w:val="22"/>
                <w:lang w:val="hu-HU" w:eastAsia="en-NZ"/>
              </w:rPr>
            </w:pPr>
            <w:r w:rsidRPr="00F6526C">
              <w:rPr>
                <w:rFonts w:eastAsia="Calibri"/>
                <w:i/>
                <w:snapToGrid/>
                <w:szCs w:val="22"/>
                <w:lang w:val="hu-HU" w:eastAsia="en-NZ"/>
              </w:rPr>
              <w:t>Paracetamol</w:t>
            </w:r>
          </w:p>
        </w:tc>
        <w:tc>
          <w:tcPr>
            <w:tcW w:w="1843" w:type="dxa"/>
            <w:tcBorders>
              <w:top w:val="single" w:sz="12" w:space="0" w:color="BFBFBF"/>
              <w:bottom w:val="single" w:sz="12" w:space="0" w:color="BFBFBF"/>
            </w:tcBorders>
            <w:noWrap/>
            <w:vAlign w:val="center"/>
            <w:hideMark/>
          </w:tcPr>
          <w:p w14:paraId="3DD256E4" w14:textId="78E82ABA" w:rsidR="00A14720" w:rsidRPr="00F6526C" w:rsidRDefault="00DD2DF7" w:rsidP="00E84152">
            <w:pPr>
              <w:widowControl w:val="0"/>
              <w:tabs>
                <w:tab w:val="clear" w:pos="567"/>
              </w:tabs>
              <w:spacing w:line="240" w:lineRule="auto"/>
              <w:ind w:left="-108" w:right="-108"/>
              <w:rPr>
                <w:rFonts w:eastAsia="Calibri"/>
                <w:b/>
                <w:snapToGrid/>
                <w:szCs w:val="22"/>
                <w:lang w:val="hu-HU" w:eastAsia="en-NZ"/>
              </w:rPr>
            </w:pPr>
            <w:r>
              <w:rPr>
                <w:rFonts w:eastAsia="Calibri"/>
                <w:b/>
                <w:snapToGrid/>
                <w:szCs w:val="22"/>
                <w:lang w:val="hu-HU" w:eastAsia="en-NZ"/>
              </w:rPr>
              <w:t xml:space="preserve">Elomen </w:t>
            </w:r>
            <w:r w:rsidR="0085769C" w:rsidRPr="00F6526C">
              <w:rPr>
                <w:rFonts w:eastAsia="Calibri"/>
                <w:b/>
                <w:snapToGrid/>
                <w:szCs w:val="22"/>
                <w:lang w:val="hu-HU" w:eastAsia="en-NZ"/>
              </w:rPr>
              <w:t>iv</w:t>
            </w:r>
            <w:r w:rsidR="00E84152">
              <w:rPr>
                <w:rFonts w:eastAsia="Calibri"/>
                <w:b/>
                <w:snapToGrid/>
                <w:szCs w:val="22"/>
                <w:lang w:val="hu-HU" w:eastAsia="en-NZ"/>
              </w:rPr>
              <w:t>.</w:t>
            </w:r>
            <w:r w:rsidR="0085769C" w:rsidRPr="00F6526C">
              <w:rPr>
                <w:rFonts w:eastAsia="Calibri"/>
                <w:b/>
                <w:snapToGrid/>
                <w:szCs w:val="22"/>
                <w:lang w:val="hu-HU" w:eastAsia="en-NZ"/>
              </w:rPr>
              <w:t xml:space="preserve"> </w:t>
            </w:r>
            <w:r w:rsidR="00A14720" w:rsidRPr="00F6526C">
              <w:rPr>
                <w:rFonts w:eastAsia="Calibri"/>
                <w:b/>
                <w:snapToGrid/>
                <w:szCs w:val="22"/>
                <w:lang w:val="hu-HU" w:eastAsia="en-NZ"/>
              </w:rPr>
              <w:t>infúzió, 15 perc</w:t>
            </w:r>
          </w:p>
        </w:tc>
        <w:tc>
          <w:tcPr>
            <w:tcW w:w="1984" w:type="dxa"/>
            <w:tcBorders>
              <w:top w:val="single" w:sz="12" w:space="0" w:color="BFBFBF"/>
              <w:bottom w:val="single" w:sz="12" w:space="0" w:color="BFBFBF"/>
            </w:tcBorders>
            <w:noWrap/>
            <w:vAlign w:val="center"/>
            <w:hideMark/>
          </w:tcPr>
          <w:p w14:paraId="7154445D" w14:textId="69440FE8" w:rsidR="00A14720" w:rsidRPr="00F6526C" w:rsidRDefault="00A14720" w:rsidP="00E84152">
            <w:pPr>
              <w:widowControl w:val="0"/>
              <w:tabs>
                <w:tab w:val="clear" w:pos="567"/>
              </w:tabs>
              <w:spacing w:line="240" w:lineRule="auto"/>
              <w:ind w:left="-108" w:right="-108"/>
              <w:rPr>
                <w:rFonts w:eastAsia="Calibri"/>
                <w:b/>
                <w:snapToGrid/>
                <w:szCs w:val="22"/>
                <w:lang w:val="hu-HU" w:eastAsia="en-NZ"/>
              </w:rPr>
            </w:pPr>
            <w:r w:rsidRPr="00F6526C">
              <w:rPr>
                <w:rFonts w:eastAsia="Calibri"/>
                <w:b/>
                <w:snapToGrid/>
                <w:szCs w:val="22"/>
                <w:lang w:val="hu-HU" w:eastAsia="en-NZ"/>
              </w:rPr>
              <w:t xml:space="preserve">Paracetamol </w:t>
            </w:r>
            <w:r w:rsidR="0085769C" w:rsidRPr="00F6526C">
              <w:rPr>
                <w:rFonts w:eastAsia="Calibri"/>
                <w:b/>
                <w:snapToGrid/>
                <w:szCs w:val="22"/>
                <w:lang w:val="hu-HU" w:eastAsia="en-NZ"/>
              </w:rPr>
              <w:t>iv</w:t>
            </w:r>
            <w:r w:rsidR="00E84152">
              <w:rPr>
                <w:rFonts w:eastAsia="Calibri"/>
                <w:b/>
                <w:snapToGrid/>
                <w:szCs w:val="22"/>
                <w:lang w:val="hu-HU" w:eastAsia="en-NZ"/>
              </w:rPr>
              <w:t>.</w:t>
            </w:r>
            <w:r w:rsidR="0085769C" w:rsidRPr="00F6526C">
              <w:rPr>
                <w:rFonts w:eastAsia="Calibri"/>
                <w:b/>
                <w:snapToGrid/>
                <w:szCs w:val="22"/>
                <w:lang w:val="hu-HU" w:eastAsia="en-NZ"/>
              </w:rPr>
              <w:t xml:space="preserve"> </w:t>
            </w:r>
            <w:r w:rsidRPr="00F6526C">
              <w:rPr>
                <w:rFonts w:eastAsia="Calibri"/>
                <w:b/>
                <w:snapToGrid/>
                <w:szCs w:val="22"/>
                <w:lang w:val="hu-HU" w:eastAsia="en-NZ"/>
              </w:rPr>
              <w:t>infúzió, 15 perc</w:t>
            </w:r>
          </w:p>
        </w:tc>
        <w:tc>
          <w:tcPr>
            <w:tcW w:w="1843" w:type="dxa"/>
            <w:tcBorders>
              <w:top w:val="single" w:sz="12" w:space="0" w:color="BFBFBF"/>
              <w:bottom w:val="single" w:sz="12" w:space="0" w:color="BFBFBF"/>
            </w:tcBorders>
            <w:noWrap/>
            <w:vAlign w:val="center"/>
            <w:hideMark/>
          </w:tcPr>
          <w:p w14:paraId="48CF8CE9" w14:textId="452A9150" w:rsidR="00A14720" w:rsidRPr="00F6526C" w:rsidRDefault="00DD2DF7" w:rsidP="00E8277D">
            <w:pPr>
              <w:widowControl w:val="0"/>
              <w:tabs>
                <w:tab w:val="clear" w:pos="567"/>
              </w:tabs>
              <w:spacing w:line="240" w:lineRule="auto"/>
              <w:ind w:left="-108" w:right="-107"/>
              <w:rPr>
                <w:rFonts w:eastAsia="Calibri"/>
                <w:b/>
                <w:snapToGrid/>
                <w:szCs w:val="22"/>
                <w:lang w:val="hu-HU" w:eastAsia="en-NZ"/>
              </w:rPr>
            </w:pPr>
            <w:r>
              <w:rPr>
                <w:rFonts w:eastAsia="Calibri"/>
                <w:b/>
                <w:snapToGrid/>
                <w:szCs w:val="22"/>
                <w:lang w:val="hu-HU" w:eastAsia="en-NZ"/>
              </w:rPr>
              <w:t>Elomen</w:t>
            </w:r>
            <w:r w:rsidR="00A14720" w:rsidRPr="00F6526C">
              <w:rPr>
                <w:rFonts w:eastAsia="Calibri"/>
                <w:b/>
                <w:snapToGrid/>
                <w:szCs w:val="22"/>
                <w:lang w:val="hu-HU" w:eastAsia="en-NZ"/>
              </w:rPr>
              <w:t xml:space="preserve"> </w:t>
            </w:r>
            <w:r w:rsidR="00E84152">
              <w:rPr>
                <w:rFonts w:eastAsia="Calibri"/>
                <w:b/>
                <w:snapToGrid/>
                <w:szCs w:val="22"/>
                <w:lang w:val="hu-HU" w:eastAsia="en-NZ"/>
              </w:rPr>
              <w:t>f</w:t>
            </w:r>
            <w:r w:rsidR="00A14720" w:rsidRPr="00F6526C">
              <w:rPr>
                <w:rFonts w:eastAsia="Calibri"/>
                <w:b/>
                <w:snapToGrid/>
                <w:szCs w:val="22"/>
                <w:lang w:val="hu-HU" w:eastAsia="en-NZ"/>
              </w:rPr>
              <w:t>él dózis</w:t>
            </w:r>
          </w:p>
          <w:p w14:paraId="5D5D9A7D" w14:textId="344E7CBB" w:rsidR="00A14720" w:rsidRPr="00F6526C" w:rsidRDefault="0085769C" w:rsidP="00E8277D">
            <w:pPr>
              <w:widowControl w:val="0"/>
              <w:tabs>
                <w:tab w:val="clear" w:pos="567"/>
              </w:tabs>
              <w:spacing w:line="240" w:lineRule="auto"/>
              <w:ind w:left="-108" w:right="-107"/>
              <w:rPr>
                <w:rFonts w:eastAsia="Calibri"/>
                <w:b/>
                <w:snapToGrid/>
                <w:szCs w:val="22"/>
                <w:lang w:val="hu-HU" w:eastAsia="en-NZ"/>
              </w:rPr>
            </w:pPr>
            <w:r w:rsidRPr="00F6526C">
              <w:rPr>
                <w:rFonts w:eastAsia="Calibri"/>
                <w:b/>
                <w:snapToGrid/>
                <w:szCs w:val="22"/>
                <w:lang w:val="hu-HU" w:eastAsia="en-NZ"/>
              </w:rPr>
              <w:t>iv</w:t>
            </w:r>
            <w:r w:rsidR="00E84152">
              <w:rPr>
                <w:rFonts w:eastAsia="Calibri"/>
                <w:b/>
                <w:snapToGrid/>
                <w:szCs w:val="22"/>
                <w:lang w:val="hu-HU" w:eastAsia="en-NZ"/>
              </w:rPr>
              <w:t>.</w:t>
            </w:r>
            <w:r w:rsidRPr="00F6526C">
              <w:rPr>
                <w:rFonts w:eastAsia="Calibri"/>
                <w:b/>
                <w:snapToGrid/>
                <w:szCs w:val="22"/>
                <w:lang w:val="hu-HU" w:eastAsia="en-NZ"/>
              </w:rPr>
              <w:t xml:space="preserve"> </w:t>
            </w:r>
            <w:r w:rsidR="00A14720" w:rsidRPr="00F6526C">
              <w:rPr>
                <w:rFonts w:eastAsia="Calibri"/>
                <w:b/>
                <w:snapToGrid/>
                <w:szCs w:val="22"/>
                <w:lang w:val="hu-HU" w:eastAsia="en-NZ"/>
              </w:rPr>
              <w:t>infúzió, 15 perc</w:t>
            </w:r>
          </w:p>
        </w:tc>
        <w:tc>
          <w:tcPr>
            <w:tcW w:w="1559" w:type="dxa"/>
            <w:tcBorders>
              <w:top w:val="single" w:sz="12" w:space="0" w:color="BFBFBF"/>
              <w:bottom w:val="single" w:sz="12" w:space="0" w:color="BFBFBF"/>
            </w:tcBorders>
            <w:noWrap/>
            <w:vAlign w:val="center"/>
            <w:hideMark/>
          </w:tcPr>
          <w:p w14:paraId="765602FA" w14:textId="5AAD617D" w:rsidR="00A14720" w:rsidRPr="00F6526C" w:rsidRDefault="000E2EEA" w:rsidP="00E84152">
            <w:pPr>
              <w:widowControl w:val="0"/>
              <w:tabs>
                <w:tab w:val="clear" w:pos="567"/>
              </w:tabs>
              <w:spacing w:line="240" w:lineRule="auto"/>
              <w:rPr>
                <w:rFonts w:eastAsia="Calibri"/>
                <w:b/>
                <w:snapToGrid/>
                <w:spacing w:val="-4"/>
                <w:szCs w:val="22"/>
                <w:lang w:val="hu-HU" w:eastAsia="en-NZ"/>
              </w:rPr>
            </w:pPr>
            <w:r w:rsidRPr="00F6526C">
              <w:rPr>
                <w:rFonts w:eastAsia="Calibri"/>
                <w:b/>
                <w:snapToGrid/>
                <w:szCs w:val="22"/>
                <w:lang w:val="hu-HU" w:eastAsia="en-NZ"/>
              </w:rPr>
              <w:t>Paracetamol/</w:t>
            </w:r>
            <w:r w:rsidR="00E84152">
              <w:rPr>
                <w:rFonts w:eastAsia="Calibri"/>
                <w:b/>
                <w:snapToGrid/>
                <w:szCs w:val="22"/>
                <w:lang w:val="en-IE" w:eastAsia="en-NZ"/>
              </w:rPr>
              <w:t xml:space="preserve"> </w:t>
            </w:r>
            <w:r w:rsidR="00357898" w:rsidRPr="00F6526C">
              <w:rPr>
                <w:rFonts w:eastAsia="Calibri"/>
                <w:b/>
                <w:snapToGrid/>
                <w:szCs w:val="22"/>
                <w:lang w:val="en-IE" w:eastAsia="en-NZ"/>
              </w:rPr>
              <w:t>Ibuprofén</w:t>
            </w:r>
            <w:r w:rsidR="00E84152">
              <w:rPr>
                <w:rFonts w:eastAsia="Calibri"/>
                <w:b/>
                <w:snapToGrid/>
                <w:szCs w:val="22"/>
                <w:lang w:val="hu-HU" w:eastAsia="en-NZ"/>
              </w:rPr>
              <w:t xml:space="preserve"> t</w:t>
            </w:r>
            <w:r w:rsidR="00A14720" w:rsidRPr="00F6526C">
              <w:rPr>
                <w:rFonts w:eastAsia="Calibri"/>
                <w:b/>
                <w:snapToGrid/>
                <w:szCs w:val="22"/>
                <w:lang w:val="hu-HU" w:eastAsia="en-NZ"/>
              </w:rPr>
              <w:t>abletták</w:t>
            </w:r>
            <w:r w:rsidR="00E84152">
              <w:rPr>
                <w:rFonts w:eastAsia="Calibri"/>
                <w:b/>
                <w:snapToGrid/>
                <w:spacing w:val="-4"/>
                <w:szCs w:val="22"/>
                <w:lang w:val="hu-HU" w:eastAsia="en-NZ"/>
              </w:rPr>
              <w:t xml:space="preserve"> o</w:t>
            </w:r>
            <w:r w:rsidR="00A14720" w:rsidRPr="00F6526C">
              <w:rPr>
                <w:rFonts w:eastAsia="Calibri"/>
                <w:b/>
                <w:snapToGrid/>
                <w:spacing w:val="-4"/>
                <w:szCs w:val="22"/>
                <w:lang w:val="hu-HU" w:eastAsia="en-NZ"/>
              </w:rPr>
              <w:t>rális tabletta</w:t>
            </w:r>
          </w:p>
        </w:tc>
      </w:tr>
      <w:tr w:rsidR="00A14720" w:rsidRPr="00F6526C" w14:paraId="11DBEA9E" w14:textId="77777777" w:rsidTr="00A14720">
        <w:trPr>
          <w:trHeight w:val="483"/>
        </w:trPr>
        <w:tc>
          <w:tcPr>
            <w:tcW w:w="1838" w:type="dxa"/>
            <w:tcBorders>
              <w:top w:val="single" w:sz="12" w:space="0" w:color="BFBFBF"/>
            </w:tcBorders>
            <w:noWrap/>
            <w:vAlign w:val="center"/>
            <w:hideMark/>
          </w:tcPr>
          <w:p w14:paraId="6095CA5B" w14:textId="4881E73B" w:rsidR="00A14720" w:rsidRPr="00F6526C" w:rsidRDefault="00A14720" w:rsidP="00E8277D">
            <w:pPr>
              <w:widowControl w:val="0"/>
              <w:tabs>
                <w:tab w:val="clear" w:pos="567"/>
              </w:tabs>
              <w:spacing w:line="240" w:lineRule="auto"/>
              <w:rPr>
                <w:rFonts w:eastAsia="Calibri"/>
                <w:snapToGrid/>
                <w:szCs w:val="22"/>
                <w:lang w:val="hu-HU" w:eastAsia="en-NZ"/>
              </w:rPr>
            </w:pPr>
            <w:r w:rsidRPr="00F6526C">
              <w:rPr>
                <w:rFonts w:eastAsia="Calibri"/>
                <w:snapToGrid/>
                <w:szCs w:val="22"/>
                <w:lang w:val="hu-HU" w:eastAsia="en-NZ"/>
              </w:rPr>
              <w:t>C</w:t>
            </w:r>
            <w:r w:rsidRPr="00F6526C">
              <w:rPr>
                <w:rFonts w:eastAsia="Calibri"/>
                <w:snapToGrid/>
                <w:szCs w:val="22"/>
                <w:vertAlign w:val="subscript"/>
                <w:lang w:val="hu-HU" w:eastAsia="en-NZ"/>
              </w:rPr>
              <w:t xml:space="preserve">max </w:t>
            </w:r>
            <w:r w:rsidRPr="00F6526C">
              <w:rPr>
                <w:rFonts w:eastAsia="Calibri"/>
                <w:snapToGrid/>
                <w:szCs w:val="22"/>
                <w:lang w:val="hu-HU" w:eastAsia="en-NZ"/>
              </w:rPr>
              <w:t>(ng/m</w:t>
            </w:r>
            <w:r w:rsidR="00E84152">
              <w:rPr>
                <w:rFonts w:eastAsia="Calibri"/>
                <w:snapToGrid/>
                <w:szCs w:val="22"/>
                <w:lang w:val="hu-HU" w:eastAsia="en-NZ"/>
              </w:rPr>
              <w:t>l</w:t>
            </w:r>
            <w:r w:rsidRPr="00F6526C">
              <w:rPr>
                <w:rFonts w:eastAsia="Calibri"/>
                <w:snapToGrid/>
                <w:szCs w:val="22"/>
                <w:lang w:val="hu-HU" w:eastAsia="en-NZ"/>
              </w:rPr>
              <w:t>)</w:t>
            </w:r>
          </w:p>
        </w:tc>
        <w:tc>
          <w:tcPr>
            <w:tcW w:w="1843" w:type="dxa"/>
            <w:tcBorders>
              <w:top w:val="single" w:sz="12" w:space="0" w:color="BFBFBF"/>
            </w:tcBorders>
            <w:noWrap/>
            <w:vAlign w:val="center"/>
            <w:hideMark/>
          </w:tcPr>
          <w:p w14:paraId="6D80F90C" w14:textId="77777777" w:rsidR="00A14720" w:rsidRPr="00F6526C" w:rsidRDefault="00A14720" w:rsidP="00E8277D">
            <w:pPr>
              <w:widowControl w:val="0"/>
              <w:tabs>
                <w:tab w:val="clear" w:pos="567"/>
              </w:tabs>
              <w:spacing w:line="240" w:lineRule="auto"/>
              <w:ind w:left="-108" w:right="-108"/>
              <w:rPr>
                <w:rFonts w:eastAsia="Calibri"/>
                <w:snapToGrid/>
                <w:szCs w:val="22"/>
                <w:lang w:val="hu-HU" w:eastAsia="en-US"/>
              </w:rPr>
            </w:pPr>
            <w:r w:rsidRPr="00F6526C">
              <w:rPr>
                <w:rFonts w:eastAsia="Calibri"/>
                <w:snapToGrid/>
                <w:szCs w:val="22"/>
                <w:lang w:val="hu-HU" w:eastAsia="en-US"/>
              </w:rPr>
              <w:t>26709,57</w:t>
            </w:r>
          </w:p>
          <w:p w14:paraId="07DF2218" w14:textId="77777777" w:rsidR="00A14720" w:rsidRPr="00F6526C" w:rsidRDefault="00A14720" w:rsidP="00E8277D">
            <w:pPr>
              <w:widowControl w:val="0"/>
              <w:tabs>
                <w:tab w:val="clear" w:pos="567"/>
              </w:tabs>
              <w:spacing w:line="240" w:lineRule="auto"/>
              <w:ind w:left="-108" w:right="-108"/>
              <w:rPr>
                <w:rFonts w:eastAsia="Calibri"/>
                <w:snapToGrid/>
                <w:szCs w:val="22"/>
                <w:lang w:val="hu-HU" w:eastAsia="en-US"/>
              </w:rPr>
            </w:pPr>
            <w:r w:rsidRPr="00F6526C">
              <w:rPr>
                <w:rFonts w:eastAsia="Calibri"/>
                <w:snapToGrid/>
                <w:szCs w:val="22"/>
                <w:lang w:val="hu-HU" w:eastAsia="en-US"/>
              </w:rPr>
              <w:t>± 5814,74</w:t>
            </w:r>
          </w:p>
        </w:tc>
        <w:tc>
          <w:tcPr>
            <w:tcW w:w="1984" w:type="dxa"/>
            <w:tcBorders>
              <w:top w:val="single" w:sz="12" w:space="0" w:color="BFBFBF"/>
            </w:tcBorders>
            <w:noWrap/>
            <w:vAlign w:val="center"/>
            <w:hideMark/>
          </w:tcPr>
          <w:p w14:paraId="162BB961" w14:textId="77777777" w:rsidR="00A14720" w:rsidRPr="00F6526C" w:rsidRDefault="00A14720" w:rsidP="00E8277D">
            <w:pPr>
              <w:widowControl w:val="0"/>
              <w:tabs>
                <w:tab w:val="clear" w:pos="567"/>
              </w:tabs>
              <w:spacing w:line="240" w:lineRule="auto"/>
              <w:ind w:left="-108" w:right="-108"/>
              <w:rPr>
                <w:rFonts w:eastAsia="Calibri"/>
                <w:snapToGrid/>
                <w:szCs w:val="22"/>
                <w:lang w:val="hu-HU" w:eastAsia="en-US"/>
              </w:rPr>
            </w:pPr>
            <w:r w:rsidRPr="00F6526C">
              <w:rPr>
                <w:rFonts w:eastAsia="Calibri"/>
                <w:snapToGrid/>
                <w:szCs w:val="22"/>
                <w:lang w:val="hu-HU" w:eastAsia="en-US"/>
              </w:rPr>
              <w:t>26236,06</w:t>
            </w:r>
          </w:p>
          <w:p w14:paraId="26737CBB" w14:textId="77777777" w:rsidR="00A14720" w:rsidRPr="00F6526C" w:rsidRDefault="00A14720" w:rsidP="00E8277D">
            <w:pPr>
              <w:widowControl w:val="0"/>
              <w:tabs>
                <w:tab w:val="clear" w:pos="567"/>
              </w:tabs>
              <w:spacing w:line="240" w:lineRule="auto"/>
              <w:ind w:left="-108" w:right="-108"/>
              <w:rPr>
                <w:rFonts w:eastAsia="Calibri"/>
                <w:snapToGrid/>
                <w:szCs w:val="22"/>
                <w:lang w:val="hu-HU" w:eastAsia="en-US"/>
              </w:rPr>
            </w:pPr>
            <w:r w:rsidRPr="00F6526C">
              <w:rPr>
                <w:rFonts w:eastAsia="Calibri"/>
                <w:snapToGrid/>
                <w:szCs w:val="22"/>
                <w:lang w:val="hu-HU" w:eastAsia="en-US"/>
              </w:rPr>
              <w:t>± 5430,52</w:t>
            </w:r>
          </w:p>
        </w:tc>
        <w:tc>
          <w:tcPr>
            <w:tcW w:w="1843" w:type="dxa"/>
            <w:tcBorders>
              <w:top w:val="single" w:sz="12" w:space="0" w:color="BFBFBF"/>
            </w:tcBorders>
            <w:noWrap/>
            <w:vAlign w:val="center"/>
            <w:hideMark/>
          </w:tcPr>
          <w:p w14:paraId="3784D824" w14:textId="77777777" w:rsidR="00A14720" w:rsidRPr="00F6526C" w:rsidRDefault="00A14720" w:rsidP="00E8277D">
            <w:pPr>
              <w:widowControl w:val="0"/>
              <w:tabs>
                <w:tab w:val="clear" w:pos="567"/>
              </w:tabs>
              <w:spacing w:line="240" w:lineRule="auto"/>
              <w:ind w:left="-108" w:right="-107"/>
              <w:rPr>
                <w:rFonts w:eastAsia="Calibri"/>
                <w:snapToGrid/>
                <w:szCs w:val="22"/>
                <w:lang w:val="hu-HU" w:eastAsia="en-US"/>
              </w:rPr>
            </w:pPr>
            <w:r w:rsidRPr="00F6526C">
              <w:rPr>
                <w:rFonts w:eastAsia="Calibri"/>
                <w:snapToGrid/>
                <w:szCs w:val="22"/>
                <w:lang w:val="hu-HU" w:eastAsia="en-US"/>
              </w:rPr>
              <w:t>12880,39</w:t>
            </w:r>
          </w:p>
          <w:p w14:paraId="7E64BE7B" w14:textId="77777777" w:rsidR="00A14720" w:rsidRPr="00F6526C" w:rsidRDefault="00A14720" w:rsidP="00E8277D">
            <w:pPr>
              <w:widowControl w:val="0"/>
              <w:tabs>
                <w:tab w:val="clear" w:pos="567"/>
              </w:tabs>
              <w:spacing w:line="240" w:lineRule="auto"/>
              <w:ind w:left="-108" w:right="-107"/>
              <w:rPr>
                <w:rFonts w:eastAsia="Calibri"/>
                <w:snapToGrid/>
                <w:szCs w:val="22"/>
                <w:lang w:val="hu-HU" w:eastAsia="en-US"/>
              </w:rPr>
            </w:pPr>
            <w:r w:rsidRPr="00F6526C">
              <w:rPr>
                <w:rFonts w:eastAsia="Calibri"/>
                <w:snapToGrid/>
                <w:szCs w:val="22"/>
                <w:lang w:val="hu-HU" w:eastAsia="en-US"/>
              </w:rPr>
              <w:t>± 2553,15</w:t>
            </w:r>
          </w:p>
        </w:tc>
        <w:tc>
          <w:tcPr>
            <w:tcW w:w="1559" w:type="dxa"/>
            <w:tcBorders>
              <w:top w:val="single" w:sz="12" w:space="0" w:color="BFBFBF"/>
            </w:tcBorders>
            <w:noWrap/>
            <w:vAlign w:val="center"/>
            <w:hideMark/>
          </w:tcPr>
          <w:p w14:paraId="79EC79FA" w14:textId="77777777" w:rsidR="00A14720" w:rsidRPr="00F6526C" w:rsidRDefault="00A14720" w:rsidP="00E8277D">
            <w:pPr>
              <w:widowControl w:val="0"/>
              <w:tabs>
                <w:tab w:val="clear" w:pos="567"/>
              </w:tabs>
              <w:spacing w:line="240" w:lineRule="auto"/>
              <w:rPr>
                <w:rFonts w:eastAsia="Calibri"/>
                <w:snapToGrid/>
                <w:szCs w:val="22"/>
                <w:lang w:val="hu-HU" w:eastAsia="en-US"/>
              </w:rPr>
            </w:pPr>
            <w:r w:rsidRPr="00F6526C">
              <w:rPr>
                <w:rFonts w:eastAsia="Calibri"/>
                <w:snapToGrid/>
                <w:szCs w:val="22"/>
                <w:lang w:val="hu-HU" w:eastAsia="en-US"/>
              </w:rPr>
              <w:t>14907,16</w:t>
            </w:r>
          </w:p>
          <w:p w14:paraId="0010716C" w14:textId="77777777" w:rsidR="00A14720" w:rsidRPr="00F6526C" w:rsidRDefault="00A14720" w:rsidP="00E8277D">
            <w:pPr>
              <w:widowControl w:val="0"/>
              <w:tabs>
                <w:tab w:val="clear" w:pos="567"/>
              </w:tabs>
              <w:spacing w:line="240" w:lineRule="auto"/>
              <w:rPr>
                <w:rFonts w:eastAsia="Calibri"/>
                <w:snapToGrid/>
                <w:szCs w:val="22"/>
                <w:lang w:val="hu-HU" w:eastAsia="en-US"/>
              </w:rPr>
            </w:pPr>
            <w:r w:rsidRPr="00F6526C">
              <w:rPr>
                <w:rFonts w:eastAsia="Calibri"/>
                <w:snapToGrid/>
                <w:szCs w:val="22"/>
                <w:lang w:val="hu-HU" w:eastAsia="en-US"/>
              </w:rPr>
              <w:t>± 6255,10</w:t>
            </w:r>
          </w:p>
        </w:tc>
      </w:tr>
      <w:tr w:rsidR="00A14720" w:rsidRPr="00F6526C" w14:paraId="1E2D6791" w14:textId="77777777" w:rsidTr="00A14720">
        <w:trPr>
          <w:trHeight w:val="542"/>
        </w:trPr>
        <w:tc>
          <w:tcPr>
            <w:tcW w:w="1838" w:type="dxa"/>
            <w:noWrap/>
            <w:vAlign w:val="center"/>
            <w:hideMark/>
          </w:tcPr>
          <w:p w14:paraId="3CC47396" w14:textId="56BFB282" w:rsidR="00A14720" w:rsidRPr="00F6526C" w:rsidRDefault="00A14720" w:rsidP="00E8277D">
            <w:pPr>
              <w:widowControl w:val="0"/>
              <w:tabs>
                <w:tab w:val="clear" w:pos="567"/>
              </w:tabs>
              <w:spacing w:line="240" w:lineRule="auto"/>
              <w:rPr>
                <w:rFonts w:eastAsia="Calibri"/>
                <w:snapToGrid/>
                <w:szCs w:val="22"/>
                <w:lang w:val="hu-HU" w:eastAsia="en-NZ"/>
              </w:rPr>
            </w:pPr>
            <w:r w:rsidRPr="00F6526C">
              <w:rPr>
                <w:rFonts w:eastAsia="Calibri"/>
                <w:snapToGrid/>
                <w:szCs w:val="22"/>
                <w:lang w:val="hu-HU" w:eastAsia="en-NZ"/>
              </w:rPr>
              <w:t>AUC</w:t>
            </w:r>
            <w:r w:rsidRPr="00F6526C">
              <w:rPr>
                <w:rFonts w:eastAsia="Calibri"/>
                <w:snapToGrid/>
                <w:szCs w:val="22"/>
                <w:vertAlign w:val="subscript"/>
                <w:lang w:val="hu-HU" w:eastAsia="en-NZ"/>
              </w:rPr>
              <w:t xml:space="preserve">0-t </w:t>
            </w:r>
            <w:r w:rsidRPr="00F6526C">
              <w:rPr>
                <w:rFonts w:eastAsia="Calibri"/>
                <w:snapToGrid/>
                <w:szCs w:val="22"/>
                <w:lang w:val="hu-HU" w:eastAsia="en-NZ"/>
              </w:rPr>
              <w:t>(ng</w:t>
            </w:r>
            <w:r w:rsidR="00E84152">
              <w:rPr>
                <w:rFonts w:eastAsia="Calibri"/>
                <w:snapToGrid/>
                <w:szCs w:val="22"/>
                <w:lang w:val="hu-HU" w:eastAsia="en-NZ"/>
              </w:rPr>
              <w:t>×</w:t>
            </w:r>
            <w:r w:rsidRPr="00F6526C">
              <w:rPr>
                <w:rFonts w:eastAsia="Calibri"/>
                <w:snapToGrid/>
                <w:szCs w:val="22"/>
                <w:lang w:val="hu-HU" w:eastAsia="en-NZ"/>
              </w:rPr>
              <w:t>h/m</w:t>
            </w:r>
            <w:r w:rsidR="00E84152">
              <w:rPr>
                <w:rFonts w:eastAsia="Calibri"/>
                <w:snapToGrid/>
                <w:szCs w:val="22"/>
                <w:lang w:val="hu-HU" w:eastAsia="en-NZ"/>
              </w:rPr>
              <w:t>l</w:t>
            </w:r>
            <w:r w:rsidRPr="00F6526C">
              <w:rPr>
                <w:rFonts w:eastAsia="Calibri"/>
                <w:snapToGrid/>
                <w:szCs w:val="22"/>
                <w:lang w:val="hu-HU" w:eastAsia="en-NZ"/>
              </w:rPr>
              <w:t>)</w:t>
            </w:r>
          </w:p>
        </w:tc>
        <w:tc>
          <w:tcPr>
            <w:tcW w:w="1843" w:type="dxa"/>
            <w:noWrap/>
            <w:vAlign w:val="center"/>
            <w:hideMark/>
          </w:tcPr>
          <w:p w14:paraId="57930DDD" w14:textId="77777777" w:rsidR="00A14720" w:rsidRPr="00F6526C" w:rsidRDefault="00A14720" w:rsidP="00E8277D">
            <w:pPr>
              <w:widowControl w:val="0"/>
              <w:tabs>
                <w:tab w:val="clear" w:pos="567"/>
              </w:tabs>
              <w:spacing w:line="240" w:lineRule="auto"/>
              <w:ind w:left="-108" w:right="-108"/>
              <w:rPr>
                <w:rFonts w:eastAsia="Calibri"/>
                <w:snapToGrid/>
                <w:szCs w:val="22"/>
                <w:lang w:val="hu-HU" w:eastAsia="en-US"/>
              </w:rPr>
            </w:pPr>
            <w:r w:rsidRPr="00F6526C">
              <w:rPr>
                <w:rFonts w:eastAsia="Calibri"/>
                <w:snapToGrid/>
                <w:szCs w:val="22"/>
                <w:lang w:val="hu-HU" w:eastAsia="en-US"/>
              </w:rPr>
              <w:t>37553,97</w:t>
            </w:r>
          </w:p>
          <w:p w14:paraId="3F87ACC7" w14:textId="77777777" w:rsidR="00A14720" w:rsidRPr="00F6526C" w:rsidRDefault="00A14720" w:rsidP="00E8277D">
            <w:pPr>
              <w:widowControl w:val="0"/>
              <w:tabs>
                <w:tab w:val="clear" w:pos="567"/>
              </w:tabs>
              <w:spacing w:line="240" w:lineRule="auto"/>
              <w:ind w:left="-108" w:right="-108"/>
              <w:rPr>
                <w:rFonts w:eastAsia="Calibri"/>
                <w:snapToGrid/>
                <w:szCs w:val="22"/>
                <w:lang w:val="hu-HU" w:eastAsia="en-US"/>
              </w:rPr>
            </w:pPr>
            <w:r w:rsidRPr="00F6526C">
              <w:rPr>
                <w:rFonts w:eastAsia="Calibri"/>
                <w:snapToGrid/>
                <w:szCs w:val="22"/>
                <w:lang w:val="hu-HU" w:eastAsia="en-US"/>
              </w:rPr>
              <w:t>± 9816,96</w:t>
            </w:r>
          </w:p>
        </w:tc>
        <w:tc>
          <w:tcPr>
            <w:tcW w:w="1984" w:type="dxa"/>
            <w:noWrap/>
            <w:vAlign w:val="center"/>
            <w:hideMark/>
          </w:tcPr>
          <w:p w14:paraId="52FC31CC" w14:textId="77777777" w:rsidR="00A14720" w:rsidRPr="00F6526C" w:rsidRDefault="00A14720" w:rsidP="00E8277D">
            <w:pPr>
              <w:widowControl w:val="0"/>
              <w:tabs>
                <w:tab w:val="clear" w:pos="567"/>
              </w:tabs>
              <w:spacing w:line="240" w:lineRule="auto"/>
              <w:ind w:left="-108" w:right="-108"/>
              <w:rPr>
                <w:rFonts w:eastAsia="Calibri"/>
                <w:snapToGrid/>
                <w:szCs w:val="22"/>
                <w:lang w:val="hu-HU" w:eastAsia="en-US"/>
              </w:rPr>
            </w:pPr>
            <w:r w:rsidRPr="00F6526C">
              <w:rPr>
                <w:rFonts w:eastAsia="Calibri"/>
                <w:snapToGrid/>
                <w:szCs w:val="22"/>
                <w:lang w:val="hu-HU" w:eastAsia="en-US"/>
              </w:rPr>
              <w:t>35846,20</w:t>
            </w:r>
          </w:p>
          <w:p w14:paraId="300F4157" w14:textId="77777777" w:rsidR="00A14720" w:rsidRPr="00F6526C" w:rsidRDefault="00A14720" w:rsidP="00E8277D">
            <w:pPr>
              <w:widowControl w:val="0"/>
              <w:tabs>
                <w:tab w:val="clear" w:pos="567"/>
              </w:tabs>
              <w:spacing w:line="240" w:lineRule="auto"/>
              <w:ind w:left="-108" w:right="-108"/>
              <w:rPr>
                <w:rFonts w:eastAsia="Calibri"/>
                <w:snapToGrid/>
                <w:szCs w:val="22"/>
                <w:lang w:val="hu-HU" w:eastAsia="en-US"/>
              </w:rPr>
            </w:pPr>
            <w:r w:rsidRPr="00F6526C">
              <w:rPr>
                <w:rFonts w:eastAsia="Calibri"/>
                <w:snapToGrid/>
                <w:szCs w:val="22"/>
                <w:lang w:val="hu-HU" w:eastAsia="en-US"/>
              </w:rPr>
              <w:t>± 8734,15</w:t>
            </w:r>
          </w:p>
        </w:tc>
        <w:tc>
          <w:tcPr>
            <w:tcW w:w="1843" w:type="dxa"/>
            <w:noWrap/>
            <w:vAlign w:val="center"/>
            <w:hideMark/>
          </w:tcPr>
          <w:p w14:paraId="544A8577" w14:textId="77777777" w:rsidR="00A14720" w:rsidRPr="00F6526C" w:rsidRDefault="00A14720" w:rsidP="00E8277D">
            <w:pPr>
              <w:widowControl w:val="0"/>
              <w:tabs>
                <w:tab w:val="clear" w:pos="567"/>
              </w:tabs>
              <w:spacing w:line="240" w:lineRule="auto"/>
              <w:ind w:left="-108" w:right="-107"/>
              <w:rPr>
                <w:rFonts w:eastAsia="Calibri"/>
                <w:snapToGrid/>
                <w:szCs w:val="22"/>
                <w:lang w:val="hu-HU" w:eastAsia="en-US"/>
              </w:rPr>
            </w:pPr>
            <w:r w:rsidRPr="00F6526C">
              <w:rPr>
                <w:rFonts w:eastAsia="Calibri"/>
                <w:snapToGrid/>
                <w:szCs w:val="22"/>
                <w:lang w:val="hu-HU" w:eastAsia="en-US"/>
              </w:rPr>
              <w:t>18327,40</w:t>
            </w:r>
          </w:p>
          <w:p w14:paraId="49EEFE6C" w14:textId="77777777" w:rsidR="00A14720" w:rsidRPr="00F6526C" w:rsidRDefault="00A14720" w:rsidP="00E8277D">
            <w:pPr>
              <w:widowControl w:val="0"/>
              <w:tabs>
                <w:tab w:val="clear" w:pos="567"/>
              </w:tabs>
              <w:spacing w:line="240" w:lineRule="auto"/>
              <w:ind w:left="-108" w:right="-107"/>
              <w:rPr>
                <w:rFonts w:eastAsia="Calibri"/>
                <w:snapToGrid/>
                <w:szCs w:val="22"/>
                <w:lang w:val="hu-HU" w:eastAsia="en-US"/>
              </w:rPr>
            </w:pPr>
            <w:r w:rsidRPr="00F6526C">
              <w:rPr>
                <w:rFonts w:eastAsia="Calibri"/>
                <w:snapToGrid/>
                <w:szCs w:val="22"/>
                <w:lang w:val="hu-HU" w:eastAsia="en-US"/>
              </w:rPr>
              <w:t>± 4758,34</w:t>
            </w:r>
          </w:p>
        </w:tc>
        <w:tc>
          <w:tcPr>
            <w:tcW w:w="1559" w:type="dxa"/>
            <w:noWrap/>
            <w:vAlign w:val="center"/>
            <w:hideMark/>
          </w:tcPr>
          <w:p w14:paraId="70A3470E" w14:textId="77777777" w:rsidR="00A14720" w:rsidRPr="00F6526C" w:rsidRDefault="00A14720" w:rsidP="00E8277D">
            <w:pPr>
              <w:widowControl w:val="0"/>
              <w:tabs>
                <w:tab w:val="clear" w:pos="567"/>
              </w:tabs>
              <w:spacing w:line="240" w:lineRule="auto"/>
              <w:rPr>
                <w:rFonts w:eastAsia="Calibri"/>
                <w:snapToGrid/>
                <w:szCs w:val="22"/>
                <w:lang w:val="hu-HU" w:eastAsia="en-US"/>
              </w:rPr>
            </w:pPr>
            <w:r w:rsidRPr="00F6526C">
              <w:rPr>
                <w:rFonts w:eastAsia="Calibri"/>
                <w:snapToGrid/>
                <w:szCs w:val="22"/>
                <w:lang w:val="hu-HU" w:eastAsia="en-US"/>
              </w:rPr>
              <w:t>34980,80</w:t>
            </w:r>
          </w:p>
          <w:p w14:paraId="42E9CB6A" w14:textId="77777777" w:rsidR="00A14720" w:rsidRPr="00F6526C" w:rsidRDefault="00A14720" w:rsidP="00E8277D">
            <w:pPr>
              <w:widowControl w:val="0"/>
              <w:tabs>
                <w:tab w:val="clear" w:pos="567"/>
              </w:tabs>
              <w:spacing w:line="240" w:lineRule="auto"/>
              <w:rPr>
                <w:rFonts w:eastAsia="Calibri"/>
                <w:snapToGrid/>
                <w:szCs w:val="22"/>
                <w:lang w:val="hu-HU" w:eastAsia="en-US"/>
              </w:rPr>
            </w:pPr>
            <w:r w:rsidRPr="00F6526C">
              <w:rPr>
                <w:rFonts w:eastAsia="Calibri"/>
                <w:snapToGrid/>
                <w:szCs w:val="22"/>
                <w:lang w:val="hu-HU" w:eastAsia="en-US"/>
              </w:rPr>
              <w:t>± 9430,21</w:t>
            </w:r>
          </w:p>
        </w:tc>
      </w:tr>
      <w:tr w:rsidR="00A14720" w:rsidRPr="00F6526C" w14:paraId="5B90E3EC" w14:textId="77777777" w:rsidTr="00A14720">
        <w:trPr>
          <w:trHeight w:val="564"/>
        </w:trPr>
        <w:tc>
          <w:tcPr>
            <w:tcW w:w="1838" w:type="dxa"/>
            <w:noWrap/>
            <w:vAlign w:val="center"/>
            <w:hideMark/>
          </w:tcPr>
          <w:p w14:paraId="4EEAF925" w14:textId="35D44444" w:rsidR="00A14720" w:rsidRPr="00F6526C" w:rsidRDefault="00A14720" w:rsidP="00E8277D">
            <w:pPr>
              <w:widowControl w:val="0"/>
              <w:tabs>
                <w:tab w:val="clear" w:pos="567"/>
              </w:tabs>
              <w:spacing w:line="240" w:lineRule="auto"/>
              <w:rPr>
                <w:rFonts w:eastAsia="Calibri"/>
                <w:snapToGrid/>
                <w:szCs w:val="22"/>
                <w:lang w:val="hu-HU" w:eastAsia="en-NZ"/>
              </w:rPr>
            </w:pPr>
            <w:r w:rsidRPr="00F6526C">
              <w:rPr>
                <w:rFonts w:eastAsia="Calibri"/>
                <w:snapToGrid/>
                <w:szCs w:val="22"/>
                <w:lang w:val="hu-HU" w:eastAsia="en-NZ"/>
              </w:rPr>
              <w:lastRenderedPageBreak/>
              <w:t>AUC</w:t>
            </w:r>
            <w:r w:rsidRPr="00F6526C">
              <w:rPr>
                <w:rFonts w:eastAsia="Calibri"/>
                <w:snapToGrid/>
                <w:szCs w:val="22"/>
                <w:vertAlign w:val="subscript"/>
                <w:lang w:val="hu-HU" w:eastAsia="en-NZ"/>
              </w:rPr>
              <w:t>0-∞</w:t>
            </w:r>
            <w:r w:rsidRPr="00F6526C">
              <w:rPr>
                <w:rFonts w:eastAsia="Calibri"/>
                <w:snapToGrid/>
                <w:szCs w:val="22"/>
                <w:lang w:val="hu-HU" w:eastAsia="en-NZ"/>
              </w:rPr>
              <w:t xml:space="preserve"> (ng</w:t>
            </w:r>
            <w:r w:rsidR="00E84152">
              <w:rPr>
                <w:rFonts w:eastAsia="Calibri"/>
                <w:snapToGrid/>
                <w:szCs w:val="22"/>
                <w:lang w:val="hu-HU" w:eastAsia="en-NZ"/>
              </w:rPr>
              <w:t>×</w:t>
            </w:r>
            <w:r w:rsidRPr="00F6526C">
              <w:rPr>
                <w:rFonts w:eastAsia="Calibri"/>
                <w:snapToGrid/>
                <w:szCs w:val="22"/>
                <w:lang w:val="hu-HU" w:eastAsia="en-NZ"/>
              </w:rPr>
              <w:t>h/m</w:t>
            </w:r>
            <w:r w:rsidR="00E84152">
              <w:rPr>
                <w:rFonts w:eastAsia="Calibri"/>
                <w:snapToGrid/>
                <w:szCs w:val="22"/>
                <w:lang w:val="hu-HU" w:eastAsia="en-NZ"/>
              </w:rPr>
              <w:t>l</w:t>
            </w:r>
            <w:r w:rsidRPr="00F6526C">
              <w:rPr>
                <w:rFonts w:eastAsia="Calibri"/>
                <w:snapToGrid/>
                <w:szCs w:val="22"/>
                <w:lang w:val="hu-HU" w:eastAsia="en-NZ"/>
              </w:rPr>
              <w:t>)</w:t>
            </w:r>
          </w:p>
        </w:tc>
        <w:tc>
          <w:tcPr>
            <w:tcW w:w="1843" w:type="dxa"/>
            <w:noWrap/>
            <w:vAlign w:val="center"/>
            <w:hideMark/>
          </w:tcPr>
          <w:p w14:paraId="2764E79F" w14:textId="77777777" w:rsidR="00A14720" w:rsidRPr="00F6526C" w:rsidRDefault="00A14720" w:rsidP="00E8277D">
            <w:pPr>
              <w:widowControl w:val="0"/>
              <w:tabs>
                <w:tab w:val="clear" w:pos="567"/>
              </w:tabs>
              <w:spacing w:line="240" w:lineRule="auto"/>
              <w:ind w:left="-108" w:right="-108"/>
              <w:rPr>
                <w:rFonts w:eastAsia="Calibri"/>
                <w:snapToGrid/>
                <w:szCs w:val="22"/>
                <w:lang w:val="hu-HU" w:eastAsia="en-US"/>
              </w:rPr>
            </w:pPr>
            <w:r w:rsidRPr="00F6526C">
              <w:rPr>
                <w:rFonts w:eastAsia="Calibri"/>
                <w:snapToGrid/>
                <w:szCs w:val="22"/>
                <w:lang w:val="hu-HU" w:eastAsia="en-US"/>
              </w:rPr>
              <w:t>39419,95</w:t>
            </w:r>
          </w:p>
          <w:p w14:paraId="651676CE" w14:textId="77777777" w:rsidR="00A14720" w:rsidRPr="00F6526C" w:rsidRDefault="00A14720" w:rsidP="00E8277D">
            <w:pPr>
              <w:widowControl w:val="0"/>
              <w:tabs>
                <w:tab w:val="clear" w:pos="567"/>
              </w:tabs>
              <w:spacing w:line="240" w:lineRule="auto"/>
              <w:ind w:left="-108" w:right="-108"/>
              <w:rPr>
                <w:rFonts w:eastAsia="Calibri"/>
                <w:snapToGrid/>
                <w:szCs w:val="22"/>
                <w:lang w:val="hu-HU" w:eastAsia="en-US"/>
              </w:rPr>
            </w:pPr>
            <w:r w:rsidRPr="00F6526C">
              <w:rPr>
                <w:rFonts w:eastAsia="Calibri"/>
                <w:snapToGrid/>
                <w:szCs w:val="22"/>
                <w:lang w:val="hu-HU" w:eastAsia="en-US"/>
              </w:rPr>
              <w:t>± 10630,63</w:t>
            </w:r>
          </w:p>
        </w:tc>
        <w:tc>
          <w:tcPr>
            <w:tcW w:w="1984" w:type="dxa"/>
            <w:noWrap/>
            <w:vAlign w:val="center"/>
            <w:hideMark/>
          </w:tcPr>
          <w:p w14:paraId="29D8B7F2" w14:textId="77777777" w:rsidR="00A14720" w:rsidRPr="00F6526C" w:rsidRDefault="00A14720" w:rsidP="00E8277D">
            <w:pPr>
              <w:widowControl w:val="0"/>
              <w:tabs>
                <w:tab w:val="clear" w:pos="567"/>
              </w:tabs>
              <w:spacing w:line="240" w:lineRule="auto"/>
              <w:ind w:left="-108" w:right="-108"/>
              <w:rPr>
                <w:rFonts w:eastAsia="Calibri"/>
                <w:snapToGrid/>
                <w:szCs w:val="22"/>
                <w:lang w:val="hu-HU" w:eastAsia="en-US"/>
              </w:rPr>
            </w:pPr>
            <w:r w:rsidRPr="00F6526C">
              <w:rPr>
                <w:rFonts w:eastAsia="Calibri"/>
                <w:snapToGrid/>
                <w:szCs w:val="22"/>
                <w:lang w:val="hu-HU" w:eastAsia="en-US"/>
              </w:rPr>
              <w:t>37651,43</w:t>
            </w:r>
          </w:p>
          <w:p w14:paraId="7A158318" w14:textId="77777777" w:rsidR="00A14720" w:rsidRPr="00F6526C" w:rsidRDefault="00A14720" w:rsidP="00E8277D">
            <w:pPr>
              <w:widowControl w:val="0"/>
              <w:tabs>
                <w:tab w:val="clear" w:pos="567"/>
              </w:tabs>
              <w:spacing w:line="240" w:lineRule="auto"/>
              <w:ind w:left="-108" w:right="-108"/>
              <w:rPr>
                <w:rFonts w:eastAsia="Calibri"/>
                <w:snapToGrid/>
                <w:szCs w:val="22"/>
                <w:lang w:val="hu-HU" w:eastAsia="en-US"/>
              </w:rPr>
            </w:pPr>
            <w:r w:rsidRPr="00F6526C">
              <w:rPr>
                <w:rFonts w:eastAsia="Calibri"/>
                <w:snapToGrid/>
                <w:szCs w:val="22"/>
                <w:lang w:val="hu-HU" w:eastAsia="en-US"/>
              </w:rPr>
              <w:t>± 9454,60</w:t>
            </w:r>
          </w:p>
        </w:tc>
        <w:tc>
          <w:tcPr>
            <w:tcW w:w="1843" w:type="dxa"/>
            <w:noWrap/>
            <w:vAlign w:val="center"/>
            <w:hideMark/>
          </w:tcPr>
          <w:p w14:paraId="26533B2A" w14:textId="77777777" w:rsidR="00A14720" w:rsidRPr="00F6526C" w:rsidRDefault="00A14720" w:rsidP="00E8277D">
            <w:pPr>
              <w:widowControl w:val="0"/>
              <w:tabs>
                <w:tab w:val="clear" w:pos="567"/>
              </w:tabs>
              <w:spacing w:line="240" w:lineRule="auto"/>
              <w:ind w:left="-108" w:right="-107"/>
              <w:rPr>
                <w:rFonts w:eastAsia="Calibri"/>
                <w:snapToGrid/>
                <w:szCs w:val="22"/>
                <w:lang w:val="hu-HU" w:eastAsia="en-US"/>
              </w:rPr>
            </w:pPr>
            <w:r w:rsidRPr="00F6526C">
              <w:rPr>
                <w:rFonts w:eastAsia="Calibri"/>
                <w:snapToGrid/>
                <w:szCs w:val="22"/>
                <w:lang w:val="hu-HU" w:eastAsia="en-US"/>
              </w:rPr>
              <w:t>19337,01</w:t>
            </w:r>
          </w:p>
          <w:p w14:paraId="62116F15" w14:textId="77777777" w:rsidR="00A14720" w:rsidRPr="00F6526C" w:rsidRDefault="00A14720" w:rsidP="00E8277D">
            <w:pPr>
              <w:widowControl w:val="0"/>
              <w:tabs>
                <w:tab w:val="clear" w:pos="567"/>
              </w:tabs>
              <w:spacing w:line="240" w:lineRule="auto"/>
              <w:ind w:left="-108" w:right="-107"/>
              <w:rPr>
                <w:rFonts w:eastAsia="Calibri"/>
                <w:snapToGrid/>
                <w:szCs w:val="22"/>
                <w:lang w:val="hu-HU" w:eastAsia="en-US"/>
              </w:rPr>
            </w:pPr>
            <w:r w:rsidRPr="00F6526C">
              <w:rPr>
                <w:rFonts w:eastAsia="Calibri"/>
                <w:snapToGrid/>
                <w:szCs w:val="22"/>
                <w:lang w:val="hu-HU" w:eastAsia="en-US"/>
              </w:rPr>
              <w:t>± 5146,46</w:t>
            </w:r>
          </w:p>
        </w:tc>
        <w:tc>
          <w:tcPr>
            <w:tcW w:w="1559" w:type="dxa"/>
            <w:noWrap/>
            <w:vAlign w:val="center"/>
            <w:hideMark/>
          </w:tcPr>
          <w:p w14:paraId="51DF54A4" w14:textId="77777777" w:rsidR="00A14720" w:rsidRPr="00F6526C" w:rsidRDefault="00A14720" w:rsidP="00E8277D">
            <w:pPr>
              <w:widowControl w:val="0"/>
              <w:tabs>
                <w:tab w:val="clear" w:pos="567"/>
              </w:tabs>
              <w:spacing w:line="240" w:lineRule="auto"/>
              <w:rPr>
                <w:rFonts w:eastAsia="Calibri"/>
                <w:snapToGrid/>
                <w:szCs w:val="22"/>
                <w:lang w:val="hu-HU" w:eastAsia="en-US"/>
              </w:rPr>
            </w:pPr>
            <w:r w:rsidRPr="00F6526C">
              <w:rPr>
                <w:rFonts w:eastAsia="Calibri"/>
                <w:snapToGrid/>
                <w:szCs w:val="22"/>
                <w:lang w:val="hu-HU" w:eastAsia="en-US"/>
              </w:rPr>
              <w:t>37023,82</w:t>
            </w:r>
          </w:p>
          <w:p w14:paraId="7FBEF383" w14:textId="77777777" w:rsidR="00A14720" w:rsidRPr="00F6526C" w:rsidRDefault="00A14720" w:rsidP="00E8277D">
            <w:pPr>
              <w:widowControl w:val="0"/>
              <w:tabs>
                <w:tab w:val="clear" w:pos="567"/>
              </w:tabs>
              <w:spacing w:line="240" w:lineRule="auto"/>
              <w:rPr>
                <w:rFonts w:eastAsia="Calibri"/>
                <w:snapToGrid/>
                <w:szCs w:val="22"/>
                <w:lang w:val="hu-HU" w:eastAsia="en-US"/>
              </w:rPr>
            </w:pPr>
            <w:r w:rsidRPr="00F6526C">
              <w:rPr>
                <w:rFonts w:eastAsia="Calibri"/>
                <w:snapToGrid/>
                <w:szCs w:val="22"/>
                <w:lang w:val="hu-HU" w:eastAsia="en-US"/>
              </w:rPr>
              <w:t>± 10388,31</w:t>
            </w:r>
          </w:p>
        </w:tc>
      </w:tr>
      <w:tr w:rsidR="00A14720" w:rsidRPr="00F6526C" w14:paraId="601D6FD7" w14:textId="77777777" w:rsidTr="00A14720">
        <w:trPr>
          <w:trHeight w:val="558"/>
        </w:trPr>
        <w:tc>
          <w:tcPr>
            <w:tcW w:w="1838" w:type="dxa"/>
            <w:noWrap/>
            <w:vAlign w:val="center"/>
            <w:hideMark/>
          </w:tcPr>
          <w:p w14:paraId="6084ADF9" w14:textId="2B4BC80F" w:rsidR="00A14720" w:rsidRPr="00F6526C" w:rsidRDefault="00E84152" w:rsidP="00E8277D">
            <w:pPr>
              <w:widowControl w:val="0"/>
              <w:tabs>
                <w:tab w:val="clear" w:pos="567"/>
              </w:tabs>
              <w:spacing w:line="240" w:lineRule="auto"/>
              <w:rPr>
                <w:rFonts w:eastAsia="Calibri"/>
                <w:snapToGrid/>
                <w:szCs w:val="22"/>
                <w:lang w:val="hu-HU" w:eastAsia="en-NZ"/>
              </w:rPr>
            </w:pPr>
            <w:r>
              <w:rPr>
                <w:rFonts w:eastAsia="Calibri"/>
                <w:snapToGrid/>
                <w:szCs w:val="22"/>
                <w:lang w:val="hu-HU" w:eastAsia="en-NZ"/>
              </w:rPr>
              <w:t>t</w:t>
            </w:r>
            <w:r w:rsidR="00A14720" w:rsidRPr="00F6526C">
              <w:rPr>
                <w:rFonts w:eastAsia="Calibri"/>
                <w:snapToGrid/>
                <w:szCs w:val="22"/>
                <w:vertAlign w:val="subscript"/>
                <w:lang w:val="hu-HU" w:eastAsia="en-NZ"/>
              </w:rPr>
              <w:t>max</w:t>
            </w:r>
            <w:r w:rsidR="00A14720" w:rsidRPr="00F6526C">
              <w:rPr>
                <w:rFonts w:eastAsia="Calibri"/>
                <w:snapToGrid/>
                <w:szCs w:val="22"/>
                <w:lang w:val="hu-HU" w:eastAsia="en-NZ"/>
              </w:rPr>
              <w:t xml:space="preserve"> (h)</w:t>
            </w:r>
          </w:p>
        </w:tc>
        <w:tc>
          <w:tcPr>
            <w:tcW w:w="1843" w:type="dxa"/>
            <w:noWrap/>
            <w:vAlign w:val="center"/>
            <w:hideMark/>
          </w:tcPr>
          <w:p w14:paraId="5D13101B" w14:textId="77777777" w:rsidR="00A14720" w:rsidRPr="00F6526C" w:rsidRDefault="00A14720" w:rsidP="00E8277D">
            <w:pPr>
              <w:widowControl w:val="0"/>
              <w:tabs>
                <w:tab w:val="clear" w:pos="567"/>
              </w:tabs>
              <w:spacing w:line="240" w:lineRule="auto"/>
              <w:ind w:left="-108" w:right="-108"/>
              <w:rPr>
                <w:rFonts w:eastAsia="Calibri"/>
                <w:snapToGrid/>
                <w:szCs w:val="22"/>
                <w:lang w:val="hu-HU" w:eastAsia="en-US"/>
              </w:rPr>
            </w:pPr>
            <w:r w:rsidRPr="00F6526C">
              <w:rPr>
                <w:rFonts w:eastAsia="Calibri"/>
                <w:snapToGrid/>
                <w:szCs w:val="22"/>
                <w:lang w:val="hu-HU" w:eastAsia="en-US"/>
              </w:rPr>
              <w:t>0,25 (az infúzió vége)</w:t>
            </w:r>
          </w:p>
        </w:tc>
        <w:tc>
          <w:tcPr>
            <w:tcW w:w="1984" w:type="dxa"/>
            <w:noWrap/>
            <w:vAlign w:val="center"/>
            <w:hideMark/>
          </w:tcPr>
          <w:p w14:paraId="3F5DD62B" w14:textId="77777777" w:rsidR="00A14720" w:rsidRPr="00F6526C" w:rsidRDefault="00A14720" w:rsidP="00E8277D">
            <w:pPr>
              <w:widowControl w:val="0"/>
              <w:tabs>
                <w:tab w:val="clear" w:pos="567"/>
              </w:tabs>
              <w:spacing w:line="240" w:lineRule="auto"/>
              <w:ind w:left="-108" w:right="-108"/>
              <w:rPr>
                <w:rFonts w:eastAsia="Calibri"/>
                <w:snapToGrid/>
                <w:szCs w:val="22"/>
                <w:lang w:val="hu-HU" w:eastAsia="en-US"/>
              </w:rPr>
            </w:pPr>
            <w:r w:rsidRPr="00F6526C">
              <w:rPr>
                <w:rFonts w:eastAsia="Calibri"/>
                <w:snapToGrid/>
                <w:szCs w:val="22"/>
                <w:lang w:val="hu-HU" w:eastAsia="en-US"/>
              </w:rPr>
              <w:t>0,25 (az infúzió vége)</w:t>
            </w:r>
          </w:p>
        </w:tc>
        <w:tc>
          <w:tcPr>
            <w:tcW w:w="1843" w:type="dxa"/>
            <w:noWrap/>
            <w:vAlign w:val="center"/>
            <w:hideMark/>
          </w:tcPr>
          <w:p w14:paraId="0DEDFADA" w14:textId="77777777" w:rsidR="00A14720" w:rsidRPr="00F6526C" w:rsidRDefault="00A14720" w:rsidP="00E8277D">
            <w:pPr>
              <w:widowControl w:val="0"/>
              <w:tabs>
                <w:tab w:val="clear" w:pos="567"/>
              </w:tabs>
              <w:spacing w:line="240" w:lineRule="auto"/>
              <w:ind w:left="-108" w:right="-107"/>
              <w:rPr>
                <w:rFonts w:eastAsia="Calibri"/>
                <w:snapToGrid/>
                <w:szCs w:val="22"/>
                <w:lang w:val="hu-HU" w:eastAsia="en-US"/>
              </w:rPr>
            </w:pPr>
            <w:r w:rsidRPr="00F6526C">
              <w:rPr>
                <w:rFonts w:eastAsia="Calibri"/>
                <w:snapToGrid/>
                <w:szCs w:val="22"/>
                <w:lang w:val="hu-HU" w:eastAsia="en-US"/>
              </w:rPr>
              <w:t>0,25 (az infúzió vége)</w:t>
            </w:r>
          </w:p>
        </w:tc>
        <w:tc>
          <w:tcPr>
            <w:tcW w:w="1559" w:type="dxa"/>
            <w:noWrap/>
            <w:vAlign w:val="center"/>
            <w:hideMark/>
          </w:tcPr>
          <w:p w14:paraId="7DBD3EC1" w14:textId="77777777" w:rsidR="00A14720" w:rsidRPr="00F6526C" w:rsidRDefault="00A14720" w:rsidP="00E8277D">
            <w:pPr>
              <w:widowControl w:val="0"/>
              <w:tabs>
                <w:tab w:val="clear" w:pos="567"/>
              </w:tabs>
              <w:spacing w:line="240" w:lineRule="auto"/>
              <w:rPr>
                <w:rFonts w:eastAsia="Calibri"/>
                <w:snapToGrid/>
                <w:szCs w:val="22"/>
                <w:lang w:val="hu-HU" w:eastAsia="en-US"/>
              </w:rPr>
            </w:pPr>
            <w:r w:rsidRPr="00F6526C">
              <w:rPr>
                <w:rFonts w:eastAsia="Calibri"/>
                <w:snapToGrid/>
                <w:szCs w:val="22"/>
                <w:lang w:val="hu-HU" w:eastAsia="en-US"/>
              </w:rPr>
              <w:t>0,73 ± 0,42</w:t>
            </w:r>
          </w:p>
        </w:tc>
      </w:tr>
      <w:tr w:rsidR="00A14720" w:rsidRPr="00F6526C" w14:paraId="1EC9C2E0" w14:textId="77777777" w:rsidTr="00A14720">
        <w:trPr>
          <w:trHeight w:val="552"/>
        </w:trPr>
        <w:tc>
          <w:tcPr>
            <w:tcW w:w="1838" w:type="dxa"/>
            <w:tcBorders>
              <w:bottom w:val="single" w:sz="12" w:space="0" w:color="BFBFBF"/>
            </w:tcBorders>
            <w:noWrap/>
            <w:vAlign w:val="center"/>
            <w:hideMark/>
          </w:tcPr>
          <w:p w14:paraId="64588383" w14:textId="77777777" w:rsidR="00A14720" w:rsidRPr="00F6526C" w:rsidRDefault="00A14720" w:rsidP="00E8277D">
            <w:pPr>
              <w:widowControl w:val="0"/>
              <w:tabs>
                <w:tab w:val="clear" w:pos="567"/>
              </w:tabs>
              <w:spacing w:line="240" w:lineRule="auto"/>
              <w:rPr>
                <w:rFonts w:eastAsia="Calibri"/>
                <w:snapToGrid/>
                <w:szCs w:val="22"/>
                <w:lang w:val="hu-HU" w:eastAsia="en-NZ"/>
              </w:rPr>
            </w:pPr>
            <w:r w:rsidRPr="00F6526C">
              <w:rPr>
                <w:rFonts w:eastAsia="Calibri"/>
                <w:snapToGrid/>
                <w:szCs w:val="22"/>
                <w:lang w:val="hu-HU" w:eastAsia="en-NZ"/>
              </w:rPr>
              <w:t>t</w:t>
            </w:r>
            <w:r w:rsidRPr="00F6526C">
              <w:rPr>
                <w:rFonts w:eastAsia="Calibri"/>
                <w:snapToGrid/>
                <w:szCs w:val="22"/>
                <w:vertAlign w:val="subscript"/>
                <w:lang w:val="hu-HU" w:eastAsia="en-NZ"/>
              </w:rPr>
              <w:t xml:space="preserve">1/2 </w:t>
            </w:r>
            <w:r w:rsidRPr="00F6526C">
              <w:rPr>
                <w:rFonts w:eastAsia="Calibri"/>
                <w:snapToGrid/>
                <w:szCs w:val="22"/>
                <w:lang w:val="hu-HU" w:eastAsia="en-NZ"/>
              </w:rPr>
              <w:t>(h)</w:t>
            </w:r>
          </w:p>
        </w:tc>
        <w:tc>
          <w:tcPr>
            <w:tcW w:w="1843" w:type="dxa"/>
            <w:tcBorders>
              <w:bottom w:val="single" w:sz="12" w:space="0" w:color="BFBFBF"/>
            </w:tcBorders>
            <w:noWrap/>
            <w:vAlign w:val="center"/>
          </w:tcPr>
          <w:p w14:paraId="32BA34D2" w14:textId="77777777" w:rsidR="00A14720" w:rsidRPr="00F6526C" w:rsidRDefault="00A14720" w:rsidP="00E8277D">
            <w:pPr>
              <w:widowControl w:val="0"/>
              <w:tabs>
                <w:tab w:val="clear" w:pos="567"/>
              </w:tabs>
              <w:spacing w:line="240" w:lineRule="auto"/>
              <w:ind w:left="-108" w:right="-108"/>
              <w:rPr>
                <w:rFonts w:eastAsia="Calibri"/>
                <w:snapToGrid/>
                <w:szCs w:val="22"/>
                <w:lang w:val="hu-HU" w:eastAsia="en-US"/>
              </w:rPr>
            </w:pPr>
            <w:r w:rsidRPr="00F6526C">
              <w:rPr>
                <w:rFonts w:eastAsia="Calibri"/>
                <w:snapToGrid/>
                <w:szCs w:val="22"/>
                <w:lang w:val="hu-HU" w:eastAsia="en-US"/>
              </w:rPr>
              <w:t>2,39 ± 0,27</w:t>
            </w:r>
          </w:p>
        </w:tc>
        <w:tc>
          <w:tcPr>
            <w:tcW w:w="1984" w:type="dxa"/>
            <w:tcBorders>
              <w:bottom w:val="single" w:sz="12" w:space="0" w:color="BFBFBF"/>
            </w:tcBorders>
            <w:noWrap/>
            <w:vAlign w:val="center"/>
          </w:tcPr>
          <w:p w14:paraId="2C893C46" w14:textId="77777777" w:rsidR="00A14720" w:rsidRPr="00F6526C" w:rsidRDefault="00A14720" w:rsidP="00E8277D">
            <w:pPr>
              <w:widowControl w:val="0"/>
              <w:tabs>
                <w:tab w:val="clear" w:pos="567"/>
              </w:tabs>
              <w:spacing w:line="240" w:lineRule="auto"/>
              <w:ind w:left="-108" w:right="-108"/>
              <w:rPr>
                <w:rFonts w:eastAsia="Calibri"/>
                <w:snapToGrid/>
                <w:szCs w:val="22"/>
                <w:lang w:val="hu-HU" w:eastAsia="en-US"/>
              </w:rPr>
            </w:pPr>
            <w:r w:rsidRPr="00F6526C">
              <w:rPr>
                <w:rFonts w:eastAsia="Calibri"/>
                <w:snapToGrid/>
                <w:szCs w:val="22"/>
                <w:lang w:val="hu-HU" w:eastAsia="en-US"/>
              </w:rPr>
              <w:t>2,38 ± 0,25</w:t>
            </w:r>
          </w:p>
        </w:tc>
        <w:tc>
          <w:tcPr>
            <w:tcW w:w="1843" w:type="dxa"/>
            <w:tcBorders>
              <w:bottom w:val="single" w:sz="12" w:space="0" w:color="BFBFBF"/>
            </w:tcBorders>
            <w:noWrap/>
            <w:vAlign w:val="center"/>
          </w:tcPr>
          <w:p w14:paraId="27DA170F" w14:textId="77777777" w:rsidR="00A14720" w:rsidRPr="00F6526C" w:rsidRDefault="00A14720" w:rsidP="00E8277D">
            <w:pPr>
              <w:widowControl w:val="0"/>
              <w:tabs>
                <w:tab w:val="clear" w:pos="567"/>
              </w:tabs>
              <w:spacing w:line="240" w:lineRule="auto"/>
              <w:ind w:left="-108" w:right="-107"/>
              <w:rPr>
                <w:rFonts w:eastAsia="Calibri"/>
                <w:snapToGrid/>
                <w:szCs w:val="22"/>
                <w:lang w:val="hu-HU" w:eastAsia="en-US"/>
              </w:rPr>
            </w:pPr>
            <w:r w:rsidRPr="00F6526C">
              <w:rPr>
                <w:rFonts w:eastAsia="Calibri"/>
                <w:snapToGrid/>
                <w:szCs w:val="22"/>
                <w:lang w:val="hu-HU" w:eastAsia="en-US"/>
              </w:rPr>
              <w:t>2,44 ± 0,25</w:t>
            </w:r>
          </w:p>
        </w:tc>
        <w:tc>
          <w:tcPr>
            <w:tcW w:w="1559" w:type="dxa"/>
            <w:tcBorders>
              <w:bottom w:val="single" w:sz="12" w:space="0" w:color="BFBFBF"/>
            </w:tcBorders>
            <w:noWrap/>
            <w:vAlign w:val="center"/>
          </w:tcPr>
          <w:p w14:paraId="74B354D1" w14:textId="77777777" w:rsidR="00A14720" w:rsidRPr="00F6526C" w:rsidRDefault="00A14720" w:rsidP="00E8277D">
            <w:pPr>
              <w:widowControl w:val="0"/>
              <w:tabs>
                <w:tab w:val="clear" w:pos="567"/>
              </w:tabs>
              <w:spacing w:line="240" w:lineRule="auto"/>
              <w:rPr>
                <w:rFonts w:eastAsia="Calibri"/>
                <w:snapToGrid/>
                <w:szCs w:val="22"/>
                <w:lang w:val="hu-HU" w:eastAsia="en-US"/>
              </w:rPr>
            </w:pPr>
            <w:r w:rsidRPr="00F6526C">
              <w:rPr>
                <w:rFonts w:eastAsia="Calibri"/>
                <w:snapToGrid/>
                <w:szCs w:val="22"/>
                <w:lang w:val="hu-HU" w:eastAsia="en-US"/>
              </w:rPr>
              <w:t>2,51 ± 0,33</w:t>
            </w:r>
          </w:p>
        </w:tc>
      </w:tr>
      <w:tr w:rsidR="00A14720" w:rsidRPr="00F6526C" w14:paraId="3B70AFBF" w14:textId="77777777" w:rsidTr="00A14720">
        <w:trPr>
          <w:trHeight w:val="540"/>
        </w:trPr>
        <w:tc>
          <w:tcPr>
            <w:tcW w:w="1838" w:type="dxa"/>
            <w:tcBorders>
              <w:top w:val="single" w:sz="12" w:space="0" w:color="BFBFBF"/>
              <w:bottom w:val="single" w:sz="12" w:space="0" w:color="BFBFBF"/>
            </w:tcBorders>
            <w:vAlign w:val="center"/>
            <w:hideMark/>
          </w:tcPr>
          <w:p w14:paraId="3D45C30C" w14:textId="77777777" w:rsidR="00A14720" w:rsidRPr="00F6526C" w:rsidRDefault="00A14720" w:rsidP="00E8277D">
            <w:pPr>
              <w:widowControl w:val="0"/>
              <w:tabs>
                <w:tab w:val="clear" w:pos="567"/>
              </w:tabs>
              <w:spacing w:line="240" w:lineRule="auto"/>
              <w:rPr>
                <w:rFonts w:eastAsia="Calibri"/>
                <w:i/>
                <w:snapToGrid/>
                <w:szCs w:val="22"/>
                <w:lang w:val="hu-HU" w:eastAsia="en-NZ"/>
              </w:rPr>
            </w:pPr>
            <w:r w:rsidRPr="00F6526C">
              <w:rPr>
                <w:rFonts w:eastAsia="Calibri"/>
                <w:i/>
                <w:snapToGrid/>
                <w:szCs w:val="22"/>
                <w:lang w:val="hu-HU" w:eastAsia="en-NZ"/>
              </w:rPr>
              <w:t>Ibuprofén</w:t>
            </w:r>
          </w:p>
        </w:tc>
        <w:tc>
          <w:tcPr>
            <w:tcW w:w="1843" w:type="dxa"/>
            <w:tcBorders>
              <w:top w:val="single" w:sz="12" w:space="0" w:color="BFBFBF"/>
              <w:bottom w:val="single" w:sz="12" w:space="0" w:color="BFBFBF"/>
            </w:tcBorders>
            <w:noWrap/>
            <w:vAlign w:val="center"/>
            <w:hideMark/>
          </w:tcPr>
          <w:p w14:paraId="358B81EA" w14:textId="49067D32" w:rsidR="00A14720" w:rsidRPr="00F6526C" w:rsidRDefault="00DD2DF7" w:rsidP="00E84152">
            <w:pPr>
              <w:widowControl w:val="0"/>
              <w:tabs>
                <w:tab w:val="clear" w:pos="567"/>
              </w:tabs>
              <w:spacing w:line="240" w:lineRule="auto"/>
              <w:ind w:left="-108" w:right="-108"/>
              <w:rPr>
                <w:rFonts w:eastAsia="Calibri"/>
                <w:b/>
                <w:snapToGrid/>
                <w:szCs w:val="22"/>
                <w:lang w:val="hu-HU" w:eastAsia="en-NZ"/>
              </w:rPr>
            </w:pPr>
            <w:r>
              <w:rPr>
                <w:rFonts w:eastAsia="Calibri"/>
                <w:b/>
                <w:snapToGrid/>
                <w:szCs w:val="22"/>
                <w:lang w:val="hu-HU" w:eastAsia="en-NZ"/>
              </w:rPr>
              <w:t xml:space="preserve">Elomen </w:t>
            </w:r>
            <w:r w:rsidR="0085769C" w:rsidRPr="00F6526C">
              <w:rPr>
                <w:rFonts w:eastAsia="Calibri"/>
                <w:b/>
                <w:snapToGrid/>
                <w:szCs w:val="22"/>
                <w:lang w:val="hu-HU" w:eastAsia="en-NZ"/>
              </w:rPr>
              <w:t>iv</w:t>
            </w:r>
            <w:r w:rsidR="00E84152">
              <w:rPr>
                <w:rFonts w:eastAsia="Calibri"/>
                <w:b/>
                <w:snapToGrid/>
                <w:szCs w:val="22"/>
                <w:lang w:val="hu-HU" w:eastAsia="en-NZ"/>
              </w:rPr>
              <w:t>.</w:t>
            </w:r>
            <w:r w:rsidR="0085769C" w:rsidRPr="00F6526C">
              <w:rPr>
                <w:rFonts w:eastAsia="Calibri"/>
                <w:b/>
                <w:snapToGrid/>
                <w:szCs w:val="22"/>
                <w:lang w:val="hu-HU" w:eastAsia="en-NZ"/>
              </w:rPr>
              <w:t xml:space="preserve"> </w:t>
            </w:r>
            <w:r w:rsidR="00A14720" w:rsidRPr="00F6526C">
              <w:rPr>
                <w:rFonts w:eastAsia="Calibri"/>
                <w:b/>
                <w:snapToGrid/>
                <w:szCs w:val="22"/>
                <w:lang w:val="hu-HU" w:eastAsia="en-NZ"/>
              </w:rPr>
              <w:t>infúzió, 15 perc</w:t>
            </w:r>
          </w:p>
        </w:tc>
        <w:tc>
          <w:tcPr>
            <w:tcW w:w="1984" w:type="dxa"/>
            <w:tcBorders>
              <w:top w:val="single" w:sz="12" w:space="0" w:color="BFBFBF"/>
              <w:bottom w:val="single" w:sz="12" w:space="0" w:color="BFBFBF"/>
            </w:tcBorders>
            <w:noWrap/>
            <w:vAlign w:val="center"/>
          </w:tcPr>
          <w:p w14:paraId="617DF156" w14:textId="0EF15612" w:rsidR="00A14720" w:rsidRPr="00F6526C" w:rsidRDefault="00A14720" w:rsidP="00E84152">
            <w:pPr>
              <w:widowControl w:val="0"/>
              <w:tabs>
                <w:tab w:val="clear" w:pos="567"/>
              </w:tabs>
              <w:spacing w:line="240" w:lineRule="auto"/>
              <w:ind w:left="-108" w:right="-108"/>
              <w:rPr>
                <w:rFonts w:eastAsia="Calibri"/>
                <w:b/>
                <w:snapToGrid/>
                <w:szCs w:val="22"/>
                <w:lang w:val="hu-HU" w:eastAsia="en-NZ"/>
              </w:rPr>
            </w:pPr>
            <w:r w:rsidRPr="00F6526C">
              <w:rPr>
                <w:rFonts w:eastAsia="Calibri"/>
                <w:b/>
                <w:snapToGrid/>
                <w:szCs w:val="22"/>
                <w:lang w:val="hu-HU" w:eastAsia="en-NZ"/>
              </w:rPr>
              <w:t>Ibuprofén</w:t>
            </w:r>
            <w:r w:rsidR="00E84152">
              <w:rPr>
                <w:rFonts w:eastAsia="Calibri"/>
                <w:b/>
                <w:snapToGrid/>
                <w:szCs w:val="22"/>
                <w:lang w:val="hu-HU" w:eastAsia="en-NZ"/>
              </w:rPr>
              <w:t xml:space="preserve"> </w:t>
            </w:r>
            <w:r w:rsidR="0085769C" w:rsidRPr="00F6526C">
              <w:rPr>
                <w:rFonts w:eastAsia="Calibri"/>
                <w:b/>
                <w:snapToGrid/>
                <w:szCs w:val="22"/>
                <w:lang w:val="hu-HU" w:eastAsia="en-NZ"/>
              </w:rPr>
              <w:t>iv</w:t>
            </w:r>
            <w:r w:rsidR="00E84152">
              <w:rPr>
                <w:rFonts w:eastAsia="Calibri"/>
                <w:b/>
                <w:snapToGrid/>
                <w:szCs w:val="22"/>
                <w:lang w:val="hu-HU" w:eastAsia="en-NZ"/>
              </w:rPr>
              <w:t>.</w:t>
            </w:r>
            <w:r w:rsidR="0085769C" w:rsidRPr="00F6526C">
              <w:rPr>
                <w:rFonts w:eastAsia="Calibri"/>
                <w:b/>
                <w:snapToGrid/>
                <w:szCs w:val="22"/>
                <w:lang w:val="hu-HU" w:eastAsia="en-NZ"/>
              </w:rPr>
              <w:t xml:space="preserve"> </w:t>
            </w:r>
            <w:r w:rsidRPr="00F6526C">
              <w:rPr>
                <w:rFonts w:eastAsia="Calibri"/>
                <w:b/>
                <w:snapToGrid/>
                <w:szCs w:val="22"/>
                <w:lang w:val="hu-HU" w:eastAsia="en-NZ"/>
              </w:rPr>
              <w:t>infúzió, 15 perc</w:t>
            </w:r>
          </w:p>
        </w:tc>
        <w:tc>
          <w:tcPr>
            <w:tcW w:w="1843" w:type="dxa"/>
            <w:tcBorders>
              <w:top w:val="single" w:sz="12" w:space="0" w:color="BFBFBF"/>
              <w:bottom w:val="single" w:sz="12" w:space="0" w:color="BFBFBF"/>
            </w:tcBorders>
            <w:noWrap/>
            <w:vAlign w:val="center"/>
          </w:tcPr>
          <w:p w14:paraId="37A05F96" w14:textId="0DEB55A3" w:rsidR="00A14720" w:rsidRPr="00F6526C" w:rsidRDefault="00DD2DF7" w:rsidP="00E8277D">
            <w:pPr>
              <w:widowControl w:val="0"/>
              <w:tabs>
                <w:tab w:val="clear" w:pos="567"/>
              </w:tabs>
              <w:spacing w:line="240" w:lineRule="auto"/>
              <w:ind w:left="-108" w:right="-107"/>
              <w:rPr>
                <w:rFonts w:eastAsia="Calibri"/>
                <w:b/>
                <w:snapToGrid/>
                <w:szCs w:val="22"/>
                <w:lang w:val="hu-HU" w:eastAsia="en-NZ"/>
              </w:rPr>
            </w:pPr>
            <w:r>
              <w:rPr>
                <w:rFonts w:eastAsia="Calibri"/>
                <w:b/>
                <w:snapToGrid/>
                <w:szCs w:val="22"/>
                <w:lang w:val="hu-HU" w:eastAsia="en-NZ"/>
              </w:rPr>
              <w:t>Elomen f</w:t>
            </w:r>
            <w:r w:rsidR="00A14720" w:rsidRPr="00F6526C">
              <w:rPr>
                <w:rFonts w:eastAsia="Calibri"/>
                <w:b/>
                <w:snapToGrid/>
                <w:szCs w:val="22"/>
                <w:lang w:val="hu-HU" w:eastAsia="en-NZ"/>
              </w:rPr>
              <w:t>él dózis</w:t>
            </w:r>
          </w:p>
          <w:p w14:paraId="1E7FD430" w14:textId="56D6A48E" w:rsidR="00A14720" w:rsidRPr="00F6526C" w:rsidRDefault="0085769C" w:rsidP="00E8277D">
            <w:pPr>
              <w:widowControl w:val="0"/>
              <w:tabs>
                <w:tab w:val="clear" w:pos="567"/>
              </w:tabs>
              <w:spacing w:line="240" w:lineRule="auto"/>
              <w:ind w:left="-108" w:right="-107"/>
              <w:rPr>
                <w:rFonts w:eastAsia="Calibri"/>
                <w:b/>
                <w:snapToGrid/>
                <w:szCs w:val="22"/>
                <w:lang w:val="hu-HU" w:eastAsia="en-NZ"/>
              </w:rPr>
            </w:pPr>
            <w:r w:rsidRPr="00F6526C">
              <w:rPr>
                <w:rFonts w:eastAsia="Calibri"/>
                <w:b/>
                <w:snapToGrid/>
                <w:szCs w:val="22"/>
                <w:lang w:val="hu-HU" w:eastAsia="en-NZ"/>
              </w:rPr>
              <w:t xml:space="preserve">iv </w:t>
            </w:r>
            <w:r w:rsidR="00A14720" w:rsidRPr="00F6526C">
              <w:rPr>
                <w:rFonts w:eastAsia="Calibri"/>
                <w:b/>
                <w:snapToGrid/>
                <w:szCs w:val="22"/>
                <w:lang w:val="hu-HU" w:eastAsia="en-NZ"/>
              </w:rPr>
              <w:t>infúzió, 15 perc</w:t>
            </w:r>
          </w:p>
        </w:tc>
        <w:tc>
          <w:tcPr>
            <w:tcW w:w="1559" w:type="dxa"/>
            <w:tcBorders>
              <w:top w:val="single" w:sz="12" w:space="0" w:color="BFBFBF"/>
              <w:bottom w:val="single" w:sz="12" w:space="0" w:color="BFBFBF"/>
            </w:tcBorders>
            <w:noWrap/>
            <w:vAlign w:val="center"/>
          </w:tcPr>
          <w:p w14:paraId="640C0034" w14:textId="208056ED" w:rsidR="00A14720" w:rsidRPr="00F6526C" w:rsidRDefault="000E2EEA" w:rsidP="00E84152">
            <w:pPr>
              <w:widowControl w:val="0"/>
              <w:tabs>
                <w:tab w:val="clear" w:pos="567"/>
              </w:tabs>
              <w:spacing w:line="240" w:lineRule="auto"/>
              <w:rPr>
                <w:rFonts w:eastAsia="Calibri"/>
                <w:b/>
                <w:snapToGrid/>
                <w:szCs w:val="22"/>
                <w:lang w:val="hu-HU" w:eastAsia="en-NZ"/>
              </w:rPr>
            </w:pPr>
            <w:r w:rsidRPr="00F6526C">
              <w:rPr>
                <w:rFonts w:eastAsia="Calibri"/>
                <w:b/>
                <w:snapToGrid/>
                <w:szCs w:val="22"/>
                <w:lang w:val="hu-HU" w:eastAsia="en-NZ"/>
              </w:rPr>
              <w:t>Paracetamol/</w:t>
            </w:r>
            <w:r w:rsidR="00E84152">
              <w:rPr>
                <w:rFonts w:eastAsia="Calibri"/>
                <w:b/>
                <w:snapToGrid/>
                <w:szCs w:val="22"/>
                <w:lang w:val="en-IE" w:eastAsia="en-NZ"/>
              </w:rPr>
              <w:t xml:space="preserve"> </w:t>
            </w:r>
            <w:r w:rsidR="00357898" w:rsidRPr="00F6526C">
              <w:rPr>
                <w:rFonts w:eastAsia="Calibri"/>
                <w:b/>
                <w:snapToGrid/>
                <w:szCs w:val="22"/>
                <w:lang w:val="en-IE" w:eastAsia="en-NZ"/>
              </w:rPr>
              <w:t>Ibuprofén</w:t>
            </w:r>
            <w:r w:rsidR="00A14720" w:rsidRPr="00F6526C">
              <w:rPr>
                <w:rFonts w:eastAsia="Calibri"/>
                <w:b/>
                <w:snapToGrid/>
                <w:szCs w:val="22"/>
                <w:lang w:val="hu-HU" w:eastAsia="en-NZ"/>
              </w:rPr>
              <w:t xml:space="preserve"> </w:t>
            </w:r>
            <w:r w:rsidR="00E84152">
              <w:rPr>
                <w:rFonts w:eastAsia="Calibri"/>
                <w:b/>
                <w:snapToGrid/>
                <w:szCs w:val="22"/>
                <w:lang w:val="hu-HU" w:eastAsia="en-NZ"/>
              </w:rPr>
              <w:t>t</w:t>
            </w:r>
            <w:r w:rsidR="00A14720" w:rsidRPr="00F6526C">
              <w:rPr>
                <w:rFonts w:eastAsia="Calibri"/>
                <w:b/>
                <w:snapToGrid/>
                <w:szCs w:val="22"/>
                <w:lang w:val="hu-HU" w:eastAsia="en-NZ"/>
              </w:rPr>
              <w:t>abletták</w:t>
            </w:r>
            <w:r w:rsidR="00E84152">
              <w:rPr>
                <w:rFonts w:eastAsia="Calibri"/>
                <w:b/>
                <w:snapToGrid/>
                <w:spacing w:val="-4"/>
                <w:szCs w:val="22"/>
                <w:lang w:val="hu-HU" w:eastAsia="en-NZ"/>
              </w:rPr>
              <w:t xml:space="preserve"> o</w:t>
            </w:r>
            <w:r w:rsidR="00A14720" w:rsidRPr="00F6526C">
              <w:rPr>
                <w:rFonts w:eastAsia="Calibri"/>
                <w:b/>
                <w:snapToGrid/>
                <w:spacing w:val="-4"/>
                <w:szCs w:val="22"/>
                <w:lang w:val="hu-HU" w:eastAsia="en-NZ"/>
              </w:rPr>
              <w:t>rális tabletta</w:t>
            </w:r>
          </w:p>
        </w:tc>
      </w:tr>
      <w:tr w:rsidR="00A14720" w:rsidRPr="00F6526C" w14:paraId="3984FE41" w14:textId="77777777" w:rsidTr="00A14720">
        <w:trPr>
          <w:trHeight w:val="558"/>
        </w:trPr>
        <w:tc>
          <w:tcPr>
            <w:tcW w:w="1838" w:type="dxa"/>
            <w:tcBorders>
              <w:top w:val="single" w:sz="12" w:space="0" w:color="BFBFBF"/>
            </w:tcBorders>
            <w:noWrap/>
            <w:vAlign w:val="center"/>
            <w:hideMark/>
          </w:tcPr>
          <w:p w14:paraId="6D12F898" w14:textId="76938AA0" w:rsidR="00A14720" w:rsidRPr="00F6526C" w:rsidRDefault="00A14720" w:rsidP="00E84152">
            <w:pPr>
              <w:widowControl w:val="0"/>
              <w:tabs>
                <w:tab w:val="clear" w:pos="567"/>
              </w:tabs>
              <w:spacing w:line="240" w:lineRule="auto"/>
              <w:rPr>
                <w:rFonts w:eastAsia="Calibri"/>
                <w:snapToGrid/>
                <w:szCs w:val="22"/>
                <w:lang w:val="hu-HU" w:eastAsia="en-NZ"/>
              </w:rPr>
            </w:pPr>
            <w:r w:rsidRPr="00F6526C">
              <w:rPr>
                <w:rFonts w:eastAsia="Calibri"/>
                <w:snapToGrid/>
                <w:szCs w:val="22"/>
                <w:lang w:val="hu-HU" w:eastAsia="en-NZ"/>
              </w:rPr>
              <w:t>C</w:t>
            </w:r>
            <w:r w:rsidRPr="00F6526C">
              <w:rPr>
                <w:rFonts w:eastAsia="Calibri"/>
                <w:snapToGrid/>
                <w:szCs w:val="22"/>
                <w:vertAlign w:val="subscript"/>
                <w:lang w:val="hu-HU" w:eastAsia="en-NZ"/>
              </w:rPr>
              <w:t>max</w:t>
            </w:r>
            <w:r w:rsidRPr="00F6526C">
              <w:rPr>
                <w:rFonts w:eastAsia="Calibri"/>
                <w:snapToGrid/>
                <w:szCs w:val="22"/>
                <w:lang w:val="hu-HU" w:eastAsia="en-NZ"/>
              </w:rPr>
              <w:t xml:space="preserve"> (ng/m</w:t>
            </w:r>
            <w:r w:rsidR="00E84152">
              <w:rPr>
                <w:rFonts w:eastAsia="Calibri"/>
                <w:snapToGrid/>
                <w:szCs w:val="22"/>
                <w:lang w:val="hu-HU" w:eastAsia="en-NZ"/>
              </w:rPr>
              <w:t>l</w:t>
            </w:r>
            <w:r w:rsidRPr="00F6526C">
              <w:rPr>
                <w:rFonts w:eastAsia="Calibri"/>
                <w:snapToGrid/>
                <w:szCs w:val="22"/>
                <w:lang w:val="hu-HU" w:eastAsia="en-NZ"/>
              </w:rPr>
              <w:t>)</w:t>
            </w:r>
          </w:p>
        </w:tc>
        <w:tc>
          <w:tcPr>
            <w:tcW w:w="1843" w:type="dxa"/>
            <w:tcBorders>
              <w:top w:val="single" w:sz="12" w:space="0" w:color="BFBFBF"/>
            </w:tcBorders>
            <w:noWrap/>
            <w:vAlign w:val="center"/>
            <w:hideMark/>
          </w:tcPr>
          <w:p w14:paraId="0BD7C0A1" w14:textId="77777777" w:rsidR="00A14720" w:rsidRPr="00F6526C" w:rsidRDefault="00A14720" w:rsidP="00E8277D">
            <w:pPr>
              <w:widowControl w:val="0"/>
              <w:tabs>
                <w:tab w:val="clear" w:pos="567"/>
              </w:tabs>
              <w:spacing w:line="240" w:lineRule="auto"/>
              <w:ind w:left="-108" w:right="-108"/>
              <w:rPr>
                <w:rFonts w:eastAsia="Calibri"/>
                <w:snapToGrid/>
                <w:szCs w:val="22"/>
                <w:lang w:val="hu-HU" w:eastAsia="en-NZ"/>
              </w:rPr>
            </w:pPr>
            <w:r w:rsidRPr="00F6526C">
              <w:rPr>
                <w:rFonts w:eastAsia="Calibri"/>
                <w:snapToGrid/>
                <w:szCs w:val="22"/>
                <w:lang w:val="hu-HU" w:eastAsia="en-NZ"/>
              </w:rPr>
              <w:t>39506,69</w:t>
            </w:r>
          </w:p>
          <w:p w14:paraId="6F05990E" w14:textId="77777777" w:rsidR="00A14720" w:rsidRPr="00F6526C" w:rsidRDefault="00A14720" w:rsidP="00E8277D">
            <w:pPr>
              <w:widowControl w:val="0"/>
              <w:tabs>
                <w:tab w:val="clear" w:pos="567"/>
              </w:tabs>
              <w:spacing w:line="240" w:lineRule="auto"/>
              <w:ind w:left="-108" w:right="-108"/>
              <w:rPr>
                <w:rFonts w:eastAsia="Calibri"/>
                <w:snapToGrid/>
                <w:szCs w:val="22"/>
                <w:lang w:val="hu-HU" w:eastAsia="en-NZ"/>
              </w:rPr>
            </w:pPr>
            <w:r w:rsidRPr="00F6526C">
              <w:rPr>
                <w:rFonts w:eastAsia="Calibri"/>
                <w:snapToGrid/>
                <w:szCs w:val="22"/>
                <w:lang w:val="hu-HU" w:eastAsia="en-NZ"/>
              </w:rPr>
              <w:t>± 6874,06</w:t>
            </w:r>
          </w:p>
        </w:tc>
        <w:tc>
          <w:tcPr>
            <w:tcW w:w="1984" w:type="dxa"/>
            <w:tcBorders>
              <w:top w:val="single" w:sz="12" w:space="0" w:color="BFBFBF"/>
            </w:tcBorders>
            <w:noWrap/>
            <w:vAlign w:val="center"/>
            <w:hideMark/>
          </w:tcPr>
          <w:p w14:paraId="44CDB39C" w14:textId="77777777" w:rsidR="00A14720" w:rsidRPr="00F6526C" w:rsidRDefault="00A14720" w:rsidP="00E8277D">
            <w:pPr>
              <w:widowControl w:val="0"/>
              <w:tabs>
                <w:tab w:val="clear" w:pos="567"/>
              </w:tabs>
              <w:spacing w:line="240" w:lineRule="auto"/>
              <w:ind w:left="-108" w:right="-108"/>
              <w:rPr>
                <w:rFonts w:eastAsia="Calibri"/>
                <w:snapToGrid/>
                <w:szCs w:val="22"/>
                <w:lang w:val="hu-HU" w:eastAsia="en-NZ"/>
              </w:rPr>
            </w:pPr>
            <w:r w:rsidRPr="00F6526C">
              <w:rPr>
                <w:rFonts w:eastAsia="Calibri"/>
                <w:snapToGrid/>
                <w:szCs w:val="22"/>
                <w:lang w:val="hu-HU" w:eastAsia="en-NZ"/>
              </w:rPr>
              <w:t>40292,97</w:t>
            </w:r>
          </w:p>
          <w:p w14:paraId="22703586" w14:textId="77777777" w:rsidR="00A14720" w:rsidRPr="00F6526C" w:rsidRDefault="00A14720" w:rsidP="00E8277D">
            <w:pPr>
              <w:widowControl w:val="0"/>
              <w:tabs>
                <w:tab w:val="clear" w:pos="567"/>
              </w:tabs>
              <w:spacing w:line="240" w:lineRule="auto"/>
              <w:ind w:left="-108" w:right="-108"/>
              <w:rPr>
                <w:rFonts w:eastAsia="Calibri"/>
                <w:snapToGrid/>
                <w:szCs w:val="22"/>
                <w:lang w:val="hu-HU" w:eastAsia="en-NZ"/>
              </w:rPr>
            </w:pPr>
            <w:r w:rsidRPr="00F6526C">
              <w:rPr>
                <w:rFonts w:eastAsia="Calibri"/>
                <w:snapToGrid/>
                <w:szCs w:val="22"/>
                <w:lang w:val="hu-HU" w:eastAsia="en-NZ"/>
              </w:rPr>
              <w:t>± 7460,04</w:t>
            </w:r>
          </w:p>
        </w:tc>
        <w:tc>
          <w:tcPr>
            <w:tcW w:w="1843" w:type="dxa"/>
            <w:tcBorders>
              <w:top w:val="single" w:sz="12" w:space="0" w:color="BFBFBF"/>
            </w:tcBorders>
            <w:noWrap/>
            <w:vAlign w:val="center"/>
            <w:hideMark/>
          </w:tcPr>
          <w:p w14:paraId="45C224F4" w14:textId="77777777" w:rsidR="00A14720" w:rsidRPr="00F6526C" w:rsidRDefault="00A14720" w:rsidP="00E8277D">
            <w:pPr>
              <w:widowControl w:val="0"/>
              <w:tabs>
                <w:tab w:val="clear" w:pos="567"/>
              </w:tabs>
              <w:spacing w:line="240" w:lineRule="auto"/>
              <w:ind w:left="-108" w:right="-107"/>
              <w:rPr>
                <w:rFonts w:eastAsia="Calibri"/>
                <w:snapToGrid/>
                <w:szCs w:val="22"/>
                <w:lang w:val="hu-HU" w:eastAsia="en-NZ"/>
              </w:rPr>
            </w:pPr>
            <w:r w:rsidRPr="00F6526C">
              <w:rPr>
                <w:rFonts w:eastAsia="Calibri"/>
                <w:snapToGrid/>
                <w:szCs w:val="22"/>
                <w:lang w:val="hu-HU" w:eastAsia="en-NZ"/>
              </w:rPr>
              <w:t>20352,05</w:t>
            </w:r>
          </w:p>
          <w:p w14:paraId="44108539" w14:textId="77777777" w:rsidR="00A14720" w:rsidRPr="00F6526C" w:rsidRDefault="00A14720" w:rsidP="00E8277D">
            <w:pPr>
              <w:widowControl w:val="0"/>
              <w:tabs>
                <w:tab w:val="clear" w:pos="567"/>
              </w:tabs>
              <w:spacing w:line="240" w:lineRule="auto"/>
              <w:ind w:left="-108" w:right="-107"/>
              <w:rPr>
                <w:rFonts w:eastAsia="Calibri"/>
                <w:snapToGrid/>
                <w:szCs w:val="22"/>
                <w:lang w:val="hu-HU" w:eastAsia="en-NZ"/>
              </w:rPr>
            </w:pPr>
            <w:r w:rsidRPr="00F6526C">
              <w:rPr>
                <w:rFonts w:eastAsia="Calibri"/>
                <w:snapToGrid/>
                <w:szCs w:val="22"/>
                <w:lang w:val="hu-HU" w:eastAsia="en-NZ"/>
              </w:rPr>
              <w:t>± 3090,87</w:t>
            </w:r>
          </w:p>
        </w:tc>
        <w:tc>
          <w:tcPr>
            <w:tcW w:w="1559" w:type="dxa"/>
            <w:tcBorders>
              <w:top w:val="single" w:sz="12" w:space="0" w:color="BFBFBF"/>
            </w:tcBorders>
            <w:noWrap/>
            <w:vAlign w:val="center"/>
            <w:hideMark/>
          </w:tcPr>
          <w:p w14:paraId="48D3BAB7" w14:textId="77777777" w:rsidR="00A14720" w:rsidRPr="00F6526C" w:rsidRDefault="00A14720" w:rsidP="00E8277D">
            <w:pPr>
              <w:widowControl w:val="0"/>
              <w:tabs>
                <w:tab w:val="clear" w:pos="567"/>
              </w:tabs>
              <w:spacing w:line="240" w:lineRule="auto"/>
              <w:rPr>
                <w:rFonts w:eastAsia="Calibri"/>
                <w:snapToGrid/>
                <w:szCs w:val="22"/>
                <w:lang w:val="hu-HU" w:eastAsia="en-NZ"/>
              </w:rPr>
            </w:pPr>
            <w:r w:rsidRPr="00F6526C">
              <w:rPr>
                <w:rFonts w:eastAsia="Calibri"/>
                <w:snapToGrid/>
                <w:szCs w:val="22"/>
                <w:lang w:val="hu-HU" w:eastAsia="en-NZ"/>
              </w:rPr>
              <w:t>19637,38</w:t>
            </w:r>
          </w:p>
          <w:p w14:paraId="7DAEE49B" w14:textId="77777777" w:rsidR="00A14720" w:rsidRPr="00F6526C" w:rsidRDefault="00A14720" w:rsidP="00E8277D">
            <w:pPr>
              <w:widowControl w:val="0"/>
              <w:tabs>
                <w:tab w:val="clear" w:pos="567"/>
              </w:tabs>
              <w:spacing w:line="240" w:lineRule="auto"/>
              <w:rPr>
                <w:rFonts w:eastAsia="Calibri"/>
                <w:snapToGrid/>
                <w:szCs w:val="22"/>
                <w:lang w:val="hu-HU" w:eastAsia="en-NZ"/>
              </w:rPr>
            </w:pPr>
            <w:r w:rsidRPr="00F6526C">
              <w:rPr>
                <w:rFonts w:eastAsia="Calibri"/>
                <w:snapToGrid/>
                <w:szCs w:val="22"/>
                <w:lang w:val="hu-HU" w:eastAsia="en-NZ"/>
              </w:rPr>
              <w:t>± 5178,29</w:t>
            </w:r>
          </w:p>
        </w:tc>
      </w:tr>
      <w:tr w:rsidR="00A14720" w:rsidRPr="00F6526C" w14:paraId="10F5BE30" w14:textId="77777777" w:rsidTr="00A14720">
        <w:trPr>
          <w:trHeight w:val="548"/>
        </w:trPr>
        <w:tc>
          <w:tcPr>
            <w:tcW w:w="1838" w:type="dxa"/>
            <w:noWrap/>
            <w:vAlign w:val="center"/>
            <w:hideMark/>
          </w:tcPr>
          <w:p w14:paraId="3E1AC57A" w14:textId="70609FA4" w:rsidR="00A14720" w:rsidRPr="00F6526C" w:rsidRDefault="00A14720" w:rsidP="00E84152">
            <w:pPr>
              <w:widowControl w:val="0"/>
              <w:tabs>
                <w:tab w:val="clear" w:pos="567"/>
              </w:tabs>
              <w:spacing w:line="240" w:lineRule="auto"/>
              <w:rPr>
                <w:rFonts w:eastAsia="Calibri"/>
                <w:snapToGrid/>
                <w:szCs w:val="22"/>
                <w:lang w:val="hu-HU" w:eastAsia="en-NZ"/>
              </w:rPr>
            </w:pPr>
            <w:r w:rsidRPr="00F6526C">
              <w:rPr>
                <w:rFonts w:eastAsia="Calibri"/>
                <w:snapToGrid/>
                <w:szCs w:val="22"/>
                <w:lang w:val="hu-HU" w:eastAsia="en-NZ"/>
              </w:rPr>
              <w:t>AUC</w:t>
            </w:r>
            <w:r w:rsidRPr="00F6526C">
              <w:rPr>
                <w:rFonts w:eastAsia="Calibri"/>
                <w:snapToGrid/>
                <w:szCs w:val="22"/>
                <w:vertAlign w:val="subscript"/>
                <w:lang w:val="hu-HU" w:eastAsia="en-NZ"/>
              </w:rPr>
              <w:t>0-t</w:t>
            </w:r>
            <w:r w:rsidRPr="00F6526C">
              <w:rPr>
                <w:rFonts w:eastAsia="Calibri"/>
                <w:snapToGrid/>
                <w:szCs w:val="22"/>
                <w:lang w:val="hu-HU" w:eastAsia="en-NZ"/>
              </w:rPr>
              <w:t xml:space="preserve"> (ng</w:t>
            </w:r>
            <w:r w:rsidR="00E84152">
              <w:rPr>
                <w:rFonts w:eastAsia="Calibri"/>
                <w:snapToGrid/>
                <w:szCs w:val="22"/>
                <w:lang w:val="hu-HU" w:eastAsia="en-NZ"/>
              </w:rPr>
              <w:t>×</w:t>
            </w:r>
            <w:r w:rsidRPr="00F6526C">
              <w:rPr>
                <w:rFonts w:eastAsia="Calibri"/>
                <w:snapToGrid/>
                <w:szCs w:val="22"/>
                <w:lang w:val="hu-HU" w:eastAsia="en-NZ"/>
              </w:rPr>
              <w:t>h/m</w:t>
            </w:r>
            <w:r w:rsidR="00E84152">
              <w:rPr>
                <w:rFonts w:eastAsia="Calibri"/>
                <w:snapToGrid/>
                <w:szCs w:val="22"/>
                <w:lang w:val="hu-HU" w:eastAsia="en-NZ"/>
              </w:rPr>
              <w:t>l</w:t>
            </w:r>
            <w:r w:rsidRPr="00F6526C">
              <w:rPr>
                <w:rFonts w:eastAsia="Calibri"/>
                <w:snapToGrid/>
                <w:szCs w:val="22"/>
                <w:lang w:val="hu-HU" w:eastAsia="en-NZ"/>
              </w:rPr>
              <w:t>)</w:t>
            </w:r>
          </w:p>
        </w:tc>
        <w:tc>
          <w:tcPr>
            <w:tcW w:w="1843" w:type="dxa"/>
            <w:noWrap/>
            <w:vAlign w:val="center"/>
            <w:hideMark/>
          </w:tcPr>
          <w:p w14:paraId="2416A633" w14:textId="77777777" w:rsidR="00A14720" w:rsidRPr="00F6526C" w:rsidRDefault="00A14720" w:rsidP="00E8277D">
            <w:pPr>
              <w:widowControl w:val="0"/>
              <w:tabs>
                <w:tab w:val="clear" w:pos="567"/>
              </w:tabs>
              <w:spacing w:line="240" w:lineRule="auto"/>
              <w:ind w:left="-108" w:right="-108"/>
              <w:rPr>
                <w:rFonts w:eastAsia="Calibri"/>
                <w:snapToGrid/>
                <w:szCs w:val="22"/>
                <w:lang w:val="hu-HU" w:eastAsia="en-NZ"/>
              </w:rPr>
            </w:pPr>
            <w:r w:rsidRPr="00F6526C">
              <w:rPr>
                <w:rFonts w:eastAsia="Calibri"/>
                <w:snapToGrid/>
                <w:szCs w:val="22"/>
                <w:lang w:val="hu-HU" w:eastAsia="en-NZ"/>
              </w:rPr>
              <w:t>73492,69</w:t>
            </w:r>
          </w:p>
          <w:p w14:paraId="13F2B3F1" w14:textId="77777777" w:rsidR="00A14720" w:rsidRPr="00F6526C" w:rsidRDefault="00A14720" w:rsidP="00E8277D">
            <w:pPr>
              <w:widowControl w:val="0"/>
              <w:tabs>
                <w:tab w:val="clear" w:pos="567"/>
              </w:tabs>
              <w:spacing w:line="240" w:lineRule="auto"/>
              <w:ind w:left="-108" w:right="-108"/>
              <w:rPr>
                <w:rFonts w:eastAsia="Calibri"/>
                <w:snapToGrid/>
                <w:szCs w:val="22"/>
                <w:lang w:val="hu-HU" w:eastAsia="en-NZ"/>
              </w:rPr>
            </w:pPr>
            <w:r w:rsidRPr="00F6526C">
              <w:rPr>
                <w:rFonts w:eastAsia="Calibri"/>
                <w:snapToGrid/>
                <w:szCs w:val="22"/>
                <w:lang w:val="hu-HU" w:eastAsia="en-NZ"/>
              </w:rPr>
              <w:t>± 16509,61</w:t>
            </w:r>
          </w:p>
        </w:tc>
        <w:tc>
          <w:tcPr>
            <w:tcW w:w="1984" w:type="dxa"/>
            <w:noWrap/>
            <w:vAlign w:val="center"/>
            <w:hideMark/>
          </w:tcPr>
          <w:p w14:paraId="60EDEDFB" w14:textId="77777777" w:rsidR="00A14720" w:rsidRPr="00F6526C" w:rsidRDefault="00A14720" w:rsidP="00E8277D">
            <w:pPr>
              <w:widowControl w:val="0"/>
              <w:tabs>
                <w:tab w:val="clear" w:pos="567"/>
              </w:tabs>
              <w:spacing w:line="240" w:lineRule="auto"/>
              <w:ind w:left="-108" w:right="-108"/>
              <w:rPr>
                <w:rFonts w:eastAsia="Calibri"/>
                <w:snapToGrid/>
                <w:szCs w:val="22"/>
                <w:lang w:val="hu-HU" w:eastAsia="en-NZ"/>
              </w:rPr>
            </w:pPr>
            <w:r w:rsidRPr="00F6526C">
              <w:rPr>
                <w:rFonts w:eastAsia="Calibri"/>
                <w:snapToGrid/>
                <w:szCs w:val="22"/>
                <w:lang w:val="hu-HU" w:eastAsia="en-NZ"/>
              </w:rPr>
              <w:t>72169,59</w:t>
            </w:r>
          </w:p>
          <w:p w14:paraId="22CF9053" w14:textId="77777777" w:rsidR="00A14720" w:rsidRPr="00F6526C" w:rsidRDefault="00A14720" w:rsidP="00E8277D">
            <w:pPr>
              <w:widowControl w:val="0"/>
              <w:tabs>
                <w:tab w:val="clear" w:pos="567"/>
              </w:tabs>
              <w:spacing w:line="240" w:lineRule="auto"/>
              <w:ind w:left="-108" w:right="-108"/>
              <w:rPr>
                <w:rFonts w:eastAsia="Calibri"/>
                <w:snapToGrid/>
                <w:szCs w:val="22"/>
                <w:lang w:val="hu-HU" w:eastAsia="en-NZ"/>
              </w:rPr>
            </w:pPr>
            <w:r w:rsidRPr="00F6526C">
              <w:rPr>
                <w:rFonts w:eastAsia="Calibri"/>
                <w:snapToGrid/>
                <w:szCs w:val="22"/>
                <w:lang w:val="hu-HU" w:eastAsia="en-NZ"/>
              </w:rPr>
              <w:t>± 15608,70</w:t>
            </w:r>
          </w:p>
        </w:tc>
        <w:tc>
          <w:tcPr>
            <w:tcW w:w="1843" w:type="dxa"/>
            <w:noWrap/>
            <w:vAlign w:val="center"/>
            <w:hideMark/>
          </w:tcPr>
          <w:p w14:paraId="0FE08756" w14:textId="77777777" w:rsidR="00A14720" w:rsidRPr="00F6526C" w:rsidRDefault="00A14720" w:rsidP="00E8277D">
            <w:pPr>
              <w:widowControl w:val="0"/>
              <w:tabs>
                <w:tab w:val="clear" w:pos="567"/>
              </w:tabs>
              <w:spacing w:line="240" w:lineRule="auto"/>
              <w:ind w:left="-108" w:right="-107"/>
              <w:rPr>
                <w:rFonts w:eastAsia="Calibri"/>
                <w:snapToGrid/>
                <w:szCs w:val="22"/>
                <w:lang w:val="hu-HU" w:eastAsia="en-NZ"/>
              </w:rPr>
            </w:pPr>
            <w:r w:rsidRPr="00F6526C">
              <w:rPr>
                <w:rFonts w:eastAsia="Calibri"/>
                <w:snapToGrid/>
                <w:szCs w:val="22"/>
                <w:lang w:val="hu-HU" w:eastAsia="en-NZ"/>
              </w:rPr>
              <w:t>39642,48</w:t>
            </w:r>
          </w:p>
          <w:p w14:paraId="33B4B726" w14:textId="77777777" w:rsidR="00A14720" w:rsidRPr="00F6526C" w:rsidRDefault="00A14720" w:rsidP="00E8277D">
            <w:pPr>
              <w:widowControl w:val="0"/>
              <w:tabs>
                <w:tab w:val="clear" w:pos="567"/>
              </w:tabs>
              <w:spacing w:line="240" w:lineRule="auto"/>
              <w:ind w:left="-108" w:right="-107"/>
              <w:rPr>
                <w:rFonts w:eastAsia="Calibri"/>
                <w:snapToGrid/>
                <w:szCs w:val="22"/>
                <w:lang w:val="hu-HU" w:eastAsia="en-NZ"/>
              </w:rPr>
            </w:pPr>
            <w:r w:rsidRPr="00F6526C">
              <w:rPr>
                <w:rFonts w:eastAsia="Calibri"/>
                <w:snapToGrid/>
                <w:szCs w:val="22"/>
                <w:lang w:val="hu-HU" w:eastAsia="en-NZ"/>
              </w:rPr>
              <w:t>± 9679,16</w:t>
            </w:r>
          </w:p>
        </w:tc>
        <w:tc>
          <w:tcPr>
            <w:tcW w:w="1559" w:type="dxa"/>
            <w:noWrap/>
            <w:vAlign w:val="center"/>
            <w:hideMark/>
          </w:tcPr>
          <w:p w14:paraId="36E2FC87" w14:textId="77777777" w:rsidR="00A14720" w:rsidRPr="00F6526C" w:rsidRDefault="00A14720" w:rsidP="00E8277D">
            <w:pPr>
              <w:widowControl w:val="0"/>
              <w:tabs>
                <w:tab w:val="clear" w:pos="567"/>
              </w:tabs>
              <w:spacing w:line="240" w:lineRule="auto"/>
              <w:rPr>
                <w:rFonts w:eastAsia="Calibri"/>
                <w:snapToGrid/>
                <w:szCs w:val="22"/>
                <w:lang w:val="hu-HU" w:eastAsia="en-NZ"/>
              </w:rPr>
            </w:pPr>
            <w:r w:rsidRPr="00F6526C">
              <w:rPr>
                <w:rFonts w:eastAsia="Calibri"/>
                <w:snapToGrid/>
                <w:szCs w:val="22"/>
                <w:lang w:val="hu-HU" w:eastAsia="en-NZ"/>
              </w:rPr>
              <w:t>70417,75</w:t>
            </w:r>
          </w:p>
          <w:p w14:paraId="3CFEAB13" w14:textId="77777777" w:rsidR="00A14720" w:rsidRPr="00F6526C" w:rsidRDefault="00A14720" w:rsidP="00E8277D">
            <w:pPr>
              <w:widowControl w:val="0"/>
              <w:tabs>
                <w:tab w:val="clear" w:pos="567"/>
              </w:tabs>
              <w:spacing w:line="240" w:lineRule="auto"/>
              <w:rPr>
                <w:rFonts w:eastAsia="Calibri"/>
                <w:snapToGrid/>
                <w:szCs w:val="22"/>
                <w:lang w:val="hu-HU" w:eastAsia="en-NZ"/>
              </w:rPr>
            </w:pPr>
            <w:r w:rsidRPr="00F6526C">
              <w:rPr>
                <w:rFonts w:eastAsia="Calibri"/>
                <w:snapToGrid/>
                <w:szCs w:val="22"/>
                <w:lang w:val="hu-HU" w:eastAsia="en-NZ"/>
              </w:rPr>
              <w:t>± 16260,16</w:t>
            </w:r>
          </w:p>
        </w:tc>
      </w:tr>
      <w:tr w:rsidR="00A14720" w:rsidRPr="00F6526C" w14:paraId="794A570D" w14:textId="77777777" w:rsidTr="00A14720">
        <w:trPr>
          <w:trHeight w:val="556"/>
        </w:trPr>
        <w:tc>
          <w:tcPr>
            <w:tcW w:w="1838" w:type="dxa"/>
            <w:noWrap/>
            <w:vAlign w:val="center"/>
            <w:hideMark/>
          </w:tcPr>
          <w:p w14:paraId="3E8DF973" w14:textId="3BB84170" w:rsidR="00A14720" w:rsidRPr="00F6526C" w:rsidRDefault="00A14720" w:rsidP="00E84152">
            <w:pPr>
              <w:widowControl w:val="0"/>
              <w:tabs>
                <w:tab w:val="clear" w:pos="567"/>
              </w:tabs>
              <w:spacing w:line="240" w:lineRule="auto"/>
              <w:rPr>
                <w:rFonts w:eastAsia="Calibri"/>
                <w:snapToGrid/>
                <w:szCs w:val="22"/>
                <w:lang w:val="hu-HU" w:eastAsia="en-NZ"/>
              </w:rPr>
            </w:pPr>
            <w:r w:rsidRPr="00F6526C">
              <w:rPr>
                <w:rFonts w:eastAsia="Calibri"/>
                <w:snapToGrid/>
                <w:szCs w:val="22"/>
                <w:lang w:val="hu-HU" w:eastAsia="en-NZ"/>
              </w:rPr>
              <w:t>AUC</w:t>
            </w:r>
            <w:r w:rsidRPr="00F6526C">
              <w:rPr>
                <w:rFonts w:eastAsia="Calibri"/>
                <w:snapToGrid/>
                <w:szCs w:val="22"/>
                <w:vertAlign w:val="subscript"/>
                <w:lang w:val="hu-HU" w:eastAsia="en-NZ"/>
              </w:rPr>
              <w:t>0-∞</w:t>
            </w:r>
            <w:r w:rsidRPr="00F6526C">
              <w:rPr>
                <w:rFonts w:eastAsia="Calibri"/>
                <w:snapToGrid/>
                <w:szCs w:val="22"/>
                <w:lang w:val="hu-HU" w:eastAsia="en-NZ"/>
              </w:rPr>
              <w:t xml:space="preserve"> (ng</w:t>
            </w:r>
            <w:r w:rsidR="00E84152">
              <w:rPr>
                <w:rFonts w:eastAsia="Calibri"/>
                <w:snapToGrid/>
                <w:szCs w:val="22"/>
                <w:lang w:val="hu-HU" w:eastAsia="en-NZ"/>
              </w:rPr>
              <w:t>×</w:t>
            </w:r>
            <w:r w:rsidRPr="00F6526C">
              <w:rPr>
                <w:rFonts w:eastAsia="Calibri"/>
                <w:snapToGrid/>
                <w:szCs w:val="22"/>
                <w:lang w:val="hu-HU" w:eastAsia="en-NZ"/>
              </w:rPr>
              <w:t>h/m</w:t>
            </w:r>
            <w:r w:rsidR="00E84152">
              <w:rPr>
                <w:rFonts w:eastAsia="Calibri"/>
                <w:snapToGrid/>
                <w:szCs w:val="22"/>
                <w:lang w:val="hu-HU" w:eastAsia="en-NZ"/>
              </w:rPr>
              <w:t>l</w:t>
            </w:r>
            <w:r w:rsidRPr="00F6526C">
              <w:rPr>
                <w:rFonts w:eastAsia="Calibri"/>
                <w:snapToGrid/>
                <w:szCs w:val="22"/>
                <w:lang w:val="hu-HU" w:eastAsia="en-NZ"/>
              </w:rPr>
              <w:t>)</w:t>
            </w:r>
          </w:p>
        </w:tc>
        <w:tc>
          <w:tcPr>
            <w:tcW w:w="1843" w:type="dxa"/>
            <w:noWrap/>
            <w:vAlign w:val="center"/>
            <w:hideMark/>
          </w:tcPr>
          <w:p w14:paraId="67A78B97" w14:textId="77777777" w:rsidR="00A14720" w:rsidRPr="00F6526C" w:rsidRDefault="00A14720" w:rsidP="00E8277D">
            <w:pPr>
              <w:widowControl w:val="0"/>
              <w:tabs>
                <w:tab w:val="clear" w:pos="567"/>
              </w:tabs>
              <w:spacing w:line="240" w:lineRule="auto"/>
              <w:ind w:left="-108" w:right="-108"/>
              <w:rPr>
                <w:rFonts w:eastAsia="Calibri"/>
                <w:snapToGrid/>
                <w:szCs w:val="22"/>
                <w:lang w:val="hu-HU" w:eastAsia="en-NZ"/>
              </w:rPr>
            </w:pPr>
            <w:r w:rsidRPr="00F6526C">
              <w:rPr>
                <w:rFonts w:eastAsia="Calibri"/>
                <w:snapToGrid/>
                <w:szCs w:val="22"/>
                <w:lang w:val="hu-HU" w:eastAsia="en-NZ"/>
              </w:rPr>
              <w:t>74743,31</w:t>
            </w:r>
          </w:p>
          <w:p w14:paraId="21A2FF64" w14:textId="77777777" w:rsidR="00A14720" w:rsidRPr="00F6526C" w:rsidRDefault="00A14720" w:rsidP="00E8277D">
            <w:pPr>
              <w:widowControl w:val="0"/>
              <w:tabs>
                <w:tab w:val="clear" w:pos="567"/>
              </w:tabs>
              <w:spacing w:line="240" w:lineRule="auto"/>
              <w:ind w:left="-108" w:right="-108"/>
              <w:rPr>
                <w:rFonts w:eastAsia="Calibri"/>
                <w:snapToGrid/>
                <w:szCs w:val="22"/>
                <w:lang w:val="hu-HU" w:eastAsia="en-NZ"/>
              </w:rPr>
            </w:pPr>
            <w:r w:rsidRPr="00F6526C">
              <w:rPr>
                <w:rFonts w:eastAsia="Calibri"/>
                <w:snapToGrid/>
                <w:szCs w:val="22"/>
                <w:lang w:val="hu-HU" w:eastAsia="en-NZ"/>
              </w:rPr>
              <w:t>± 17388,69</w:t>
            </w:r>
          </w:p>
        </w:tc>
        <w:tc>
          <w:tcPr>
            <w:tcW w:w="1984" w:type="dxa"/>
            <w:noWrap/>
            <w:vAlign w:val="center"/>
            <w:hideMark/>
          </w:tcPr>
          <w:p w14:paraId="052C6983" w14:textId="77777777" w:rsidR="00A14720" w:rsidRPr="00F6526C" w:rsidRDefault="00A14720" w:rsidP="00E8277D">
            <w:pPr>
              <w:widowControl w:val="0"/>
              <w:tabs>
                <w:tab w:val="clear" w:pos="567"/>
              </w:tabs>
              <w:spacing w:line="240" w:lineRule="auto"/>
              <w:ind w:left="-108" w:right="-108"/>
              <w:rPr>
                <w:rFonts w:eastAsia="Calibri"/>
                <w:snapToGrid/>
                <w:szCs w:val="22"/>
                <w:lang w:val="hu-HU" w:eastAsia="en-NZ"/>
              </w:rPr>
            </w:pPr>
            <w:r w:rsidRPr="00F6526C">
              <w:rPr>
                <w:rFonts w:eastAsia="Calibri"/>
                <w:snapToGrid/>
                <w:szCs w:val="22"/>
                <w:lang w:val="hu-HU" w:eastAsia="en-NZ"/>
              </w:rPr>
              <w:t>73410,65</w:t>
            </w:r>
          </w:p>
          <w:p w14:paraId="13D87353" w14:textId="77777777" w:rsidR="00A14720" w:rsidRPr="00F6526C" w:rsidRDefault="00A14720" w:rsidP="00E8277D">
            <w:pPr>
              <w:widowControl w:val="0"/>
              <w:tabs>
                <w:tab w:val="clear" w:pos="567"/>
              </w:tabs>
              <w:spacing w:line="240" w:lineRule="auto"/>
              <w:ind w:left="-108" w:right="-108"/>
              <w:rPr>
                <w:rFonts w:eastAsia="Calibri"/>
                <w:snapToGrid/>
                <w:szCs w:val="22"/>
                <w:lang w:val="hu-HU" w:eastAsia="en-NZ"/>
              </w:rPr>
            </w:pPr>
            <w:r w:rsidRPr="00F6526C">
              <w:rPr>
                <w:rFonts w:eastAsia="Calibri"/>
                <w:snapToGrid/>
                <w:szCs w:val="22"/>
                <w:lang w:val="hu-HU" w:eastAsia="en-NZ"/>
              </w:rPr>
              <w:t>± 16500,76</w:t>
            </w:r>
          </w:p>
        </w:tc>
        <w:tc>
          <w:tcPr>
            <w:tcW w:w="1843" w:type="dxa"/>
            <w:noWrap/>
            <w:vAlign w:val="center"/>
            <w:hideMark/>
          </w:tcPr>
          <w:p w14:paraId="71CCFB7C" w14:textId="77777777" w:rsidR="00A14720" w:rsidRPr="00F6526C" w:rsidRDefault="00A14720" w:rsidP="00E8277D">
            <w:pPr>
              <w:widowControl w:val="0"/>
              <w:tabs>
                <w:tab w:val="clear" w:pos="567"/>
              </w:tabs>
              <w:spacing w:line="240" w:lineRule="auto"/>
              <w:ind w:left="-108" w:right="-107"/>
              <w:rPr>
                <w:rFonts w:eastAsia="Calibri"/>
                <w:snapToGrid/>
                <w:szCs w:val="22"/>
                <w:lang w:val="hu-HU" w:eastAsia="en-NZ"/>
              </w:rPr>
            </w:pPr>
            <w:r w:rsidRPr="00F6526C">
              <w:rPr>
                <w:rFonts w:eastAsia="Calibri"/>
                <w:snapToGrid/>
                <w:szCs w:val="22"/>
                <w:lang w:val="hu-HU" w:eastAsia="en-NZ"/>
              </w:rPr>
              <w:t>40333,88</w:t>
            </w:r>
          </w:p>
          <w:p w14:paraId="5FD8B70F" w14:textId="77777777" w:rsidR="00A14720" w:rsidRPr="00F6526C" w:rsidRDefault="00A14720" w:rsidP="00E8277D">
            <w:pPr>
              <w:widowControl w:val="0"/>
              <w:tabs>
                <w:tab w:val="clear" w:pos="567"/>
              </w:tabs>
              <w:spacing w:line="240" w:lineRule="auto"/>
              <w:ind w:left="-108" w:right="-107"/>
              <w:rPr>
                <w:rFonts w:eastAsia="Calibri"/>
                <w:snapToGrid/>
                <w:szCs w:val="22"/>
                <w:lang w:val="hu-HU" w:eastAsia="en-NZ"/>
              </w:rPr>
            </w:pPr>
            <w:r w:rsidRPr="00F6526C">
              <w:rPr>
                <w:rFonts w:eastAsia="Calibri"/>
                <w:snapToGrid/>
                <w:szCs w:val="22"/>
                <w:lang w:val="hu-HU" w:eastAsia="en-NZ"/>
              </w:rPr>
              <w:t>± 10240,30</w:t>
            </w:r>
          </w:p>
        </w:tc>
        <w:tc>
          <w:tcPr>
            <w:tcW w:w="1559" w:type="dxa"/>
            <w:noWrap/>
            <w:vAlign w:val="center"/>
            <w:hideMark/>
          </w:tcPr>
          <w:p w14:paraId="17F3B3C3" w14:textId="77777777" w:rsidR="00A14720" w:rsidRPr="00F6526C" w:rsidRDefault="00A14720" w:rsidP="00E8277D">
            <w:pPr>
              <w:widowControl w:val="0"/>
              <w:tabs>
                <w:tab w:val="clear" w:pos="567"/>
              </w:tabs>
              <w:spacing w:line="240" w:lineRule="auto"/>
              <w:rPr>
                <w:rFonts w:eastAsia="Calibri"/>
                <w:snapToGrid/>
                <w:szCs w:val="22"/>
                <w:lang w:val="hu-HU" w:eastAsia="en-NZ"/>
              </w:rPr>
            </w:pPr>
            <w:r w:rsidRPr="00F6526C">
              <w:rPr>
                <w:rFonts w:eastAsia="Calibri"/>
                <w:snapToGrid/>
                <w:szCs w:val="22"/>
                <w:lang w:val="hu-HU" w:eastAsia="en-NZ"/>
              </w:rPr>
              <w:t>72202,48</w:t>
            </w:r>
          </w:p>
          <w:p w14:paraId="7B43F63C" w14:textId="77777777" w:rsidR="00A14720" w:rsidRPr="00F6526C" w:rsidRDefault="00A14720" w:rsidP="00E8277D">
            <w:pPr>
              <w:widowControl w:val="0"/>
              <w:tabs>
                <w:tab w:val="clear" w:pos="567"/>
              </w:tabs>
              <w:spacing w:line="240" w:lineRule="auto"/>
              <w:rPr>
                <w:rFonts w:eastAsia="Calibri"/>
                <w:snapToGrid/>
                <w:szCs w:val="22"/>
                <w:lang w:val="hu-HU" w:eastAsia="en-NZ"/>
              </w:rPr>
            </w:pPr>
            <w:r w:rsidRPr="00F6526C">
              <w:rPr>
                <w:rFonts w:eastAsia="Calibri"/>
                <w:snapToGrid/>
                <w:szCs w:val="22"/>
                <w:lang w:val="hu-HU" w:eastAsia="en-NZ"/>
              </w:rPr>
              <w:t>± 17445,46</w:t>
            </w:r>
          </w:p>
        </w:tc>
      </w:tr>
      <w:tr w:rsidR="00A14720" w:rsidRPr="00F6526C" w14:paraId="4E839454" w14:textId="77777777" w:rsidTr="00A14720">
        <w:trPr>
          <w:trHeight w:val="550"/>
        </w:trPr>
        <w:tc>
          <w:tcPr>
            <w:tcW w:w="1838" w:type="dxa"/>
            <w:noWrap/>
            <w:vAlign w:val="center"/>
            <w:hideMark/>
          </w:tcPr>
          <w:p w14:paraId="33FA8649" w14:textId="26B342C0" w:rsidR="00A14720" w:rsidRPr="00F6526C" w:rsidRDefault="00E84152" w:rsidP="00E8277D">
            <w:pPr>
              <w:widowControl w:val="0"/>
              <w:tabs>
                <w:tab w:val="clear" w:pos="567"/>
              </w:tabs>
              <w:spacing w:line="240" w:lineRule="auto"/>
              <w:rPr>
                <w:rFonts w:eastAsia="Calibri"/>
                <w:snapToGrid/>
                <w:szCs w:val="22"/>
                <w:lang w:val="hu-HU" w:eastAsia="en-NZ"/>
              </w:rPr>
            </w:pPr>
            <w:r>
              <w:rPr>
                <w:rFonts w:eastAsia="Calibri"/>
                <w:snapToGrid/>
                <w:szCs w:val="22"/>
                <w:lang w:val="hu-HU" w:eastAsia="en-NZ"/>
              </w:rPr>
              <w:t>t</w:t>
            </w:r>
            <w:r w:rsidR="00A14720" w:rsidRPr="00F6526C">
              <w:rPr>
                <w:rFonts w:eastAsia="Calibri"/>
                <w:snapToGrid/>
                <w:szCs w:val="22"/>
                <w:vertAlign w:val="subscript"/>
                <w:lang w:val="hu-HU" w:eastAsia="en-NZ"/>
              </w:rPr>
              <w:t>max</w:t>
            </w:r>
            <w:r w:rsidR="00A14720" w:rsidRPr="00F6526C">
              <w:rPr>
                <w:rFonts w:eastAsia="Calibri"/>
                <w:snapToGrid/>
                <w:szCs w:val="22"/>
                <w:lang w:val="hu-HU" w:eastAsia="en-NZ"/>
              </w:rPr>
              <w:t xml:space="preserve"> (h)</w:t>
            </w:r>
          </w:p>
        </w:tc>
        <w:tc>
          <w:tcPr>
            <w:tcW w:w="1843" w:type="dxa"/>
            <w:noWrap/>
            <w:vAlign w:val="center"/>
            <w:hideMark/>
          </w:tcPr>
          <w:p w14:paraId="2CFE5C0A" w14:textId="77777777" w:rsidR="00A14720" w:rsidRPr="00F6526C" w:rsidRDefault="00A14720" w:rsidP="00E8277D">
            <w:pPr>
              <w:widowControl w:val="0"/>
              <w:tabs>
                <w:tab w:val="clear" w:pos="567"/>
              </w:tabs>
              <w:spacing w:line="240" w:lineRule="auto"/>
              <w:ind w:left="-108" w:right="-108"/>
              <w:rPr>
                <w:rFonts w:eastAsia="Calibri"/>
                <w:snapToGrid/>
                <w:szCs w:val="22"/>
                <w:lang w:val="hu-HU" w:eastAsia="en-NZ"/>
              </w:rPr>
            </w:pPr>
            <w:r w:rsidRPr="00F6526C">
              <w:rPr>
                <w:rFonts w:eastAsia="Calibri"/>
                <w:snapToGrid/>
                <w:szCs w:val="22"/>
                <w:lang w:val="hu-HU" w:eastAsia="en-US"/>
              </w:rPr>
              <w:t>0,25 (az infúzió vége)</w:t>
            </w:r>
          </w:p>
        </w:tc>
        <w:tc>
          <w:tcPr>
            <w:tcW w:w="1984" w:type="dxa"/>
            <w:noWrap/>
            <w:vAlign w:val="center"/>
            <w:hideMark/>
          </w:tcPr>
          <w:p w14:paraId="351DA3FB" w14:textId="77777777" w:rsidR="00A14720" w:rsidRPr="00F6526C" w:rsidRDefault="00A14720" w:rsidP="00E8277D">
            <w:pPr>
              <w:widowControl w:val="0"/>
              <w:tabs>
                <w:tab w:val="clear" w:pos="567"/>
              </w:tabs>
              <w:spacing w:line="240" w:lineRule="auto"/>
              <w:ind w:left="-108" w:right="-108"/>
              <w:rPr>
                <w:rFonts w:eastAsia="Calibri"/>
                <w:snapToGrid/>
                <w:szCs w:val="22"/>
                <w:lang w:val="hu-HU" w:eastAsia="en-NZ"/>
              </w:rPr>
            </w:pPr>
            <w:r w:rsidRPr="00F6526C">
              <w:rPr>
                <w:rFonts w:eastAsia="Calibri"/>
                <w:snapToGrid/>
                <w:szCs w:val="22"/>
                <w:lang w:val="hu-HU" w:eastAsia="en-US"/>
              </w:rPr>
              <w:t>0,25 (az infúzió vége)</w:t>
            </w:r>
          </w:p>
        </w:tc>
        <w:tc>
          <w:tcPr>
            <w:tcW w:w="1843" w:type="dxa"/>
            <w:noWrap/>
            <w:vAlign w:val="center"/>
            <w:hideMark/>
          </w:tcPr>
          <w:p w14:paraId="4D289E70" w14:textId="77777777" w:rsidR="00A14720" w:rsidRPr="00F6526C" w:rsidRDefault="00A14720" w:rsidP="00E8277D">
            <w:pPr>
              <w:widowControl w:val="0"/>
              <w:tabs>
                <w:tab w:val="clear" w:pos="567"/>
              </w:tabs>
              <w:spacing w:line="240" w:lineRule="auto"/>
              <w:ind w:left="-108" w:right="-107"/>
              <w:rPr>
                <w:rFonts w:eastAsia="Calibri"/>
                <w:snapToGrid/>
                <w:szCs w:val="22"/>
                <w:lang w:val="hu-HU" w:eastAsia="en-NZ"/>
              </w:rPr>
            </w:pPr>
            <w:r w:rsidRPr="00F6526C">
              <w:rPr>
                <w:rFonts w:eastAsia="Calibri"/>
                <w:snapToGrid/>
                <w:szCs w:val="22"/>
                <w:lang w:val="hu-HU" w:eastAsia="en-US"/>
              </w:rPr>
              <w:t>0,25 (az infúzió vége)</w:t>
            </w:r>
          </w:p>
        </w:tc>
        <w:tc>
          <w:tcPr>
            <w:tcW w:w="1559" w:type="dxa"/>
            <w:noWrap/>
            <w:vAlign w:val="center"/>
            <w:hideMark/>
          </w:tcPr>
          <w:p w14:paraId="2A5308C1" w14:textId="77777777" w:rsidR="00A14720" w:rsidRPr="00F6526C" w:rsidRDefault="00A14720" w:rsidP="00E8277D">
            <w:pPr>
              <w:widowControl w:val="0"/>
              <w:tabs>
                <w:tab w:val="clear" w:pos="567"/>
              </w:tabs>
              <w:spacing w:line="240" w:lineRule="auto"/>
              <w:rPr>
                <w:rFonts w:eastAsia="Calibri"/>
                <w:snapToGrid/>
                <w:szCs w:val="22"/>
                <w:lang w:val="hu-HU" w:eastAsia="en-NZ"/>
              </w:rPr>
            </w:pPr>
            <w:r w:rsidRPr="00F6526C">
              <w:rPr>
                <w:rFonts w:eastAsia="Calibri"/>
                <w:snapToGrid/>
                <w:szCs w:val="22"/>
                <w:lang w:val="hu-HU" w:eastAsia="en-NZ"/>
              </w:rPr>
              <w:t>1,49 ± 0,89</w:t>
            </w:r>
          </w:p>
        </w:tc>
      </w:tr>
      <w:tr w:rsidR="00A14720" w:rsidRPr="00F6526C" w14:paraId="129D642F" w14:textId="77777777" w:rsidTr="00A14720">
        <w:trPr>
          <w:trHeight w:val="558"/>
        </w:trPr>
        <w:tc>
          <w:tcPr>
            <w:tcW w:w="1838" w:type="dxa"/>
            <w:noWrap/>
            <w:vAlign w:val="center"/>
            <w:hideMark/>
          </w:tcPr>
          <w:p w14:paraId="28DE278B" w14:textId="77777777" w:rsidR="00A14720" w:rsidRPr="00F6526C" w:rsidRDefault="00A14720" w:rsidP="00E8277D">
            <w:pPr>
              <w:widowControl w:val="0"/>
              <w:tabs>
                <w:tab w:val="clear" w:pos="567"/>
              </w:tabs>
              <w:spacing w:line="240" w:lineRule="auto"/>
              <w:rPr>
                <w:rFonts w:eastAsia="Calibri"/>
                <w:snapToGrid/>
                <w:szCs w:val="22"/>
                <w:lang w:val="hu-HU" w:eastAsia="en-NZ"/>
              </w:rPr>
            </w:pPr>
            <w:r w:rsidRPr="00F6526C">
              <w:rPr>
                <w:rFonts w:eastAsia="Calibri"/>
                <w:snapToGrid/>
                <w:szCs w:val="22"/>
                <w:lang w:val="hu-HU" w:eastAsia="en-NZ"/>
              </w:rPr>
              <w:t>t</w:t>
            </w:r>
            <w:r w:rsidRPr="00F6526C">
              <w:rPr>
                <w:rFonts w:eastAsia="Calibri"/>
                <w:snapToGrid/>
                <w:szCs w:val="22"/>
                <w:vertAlign w:val="subscript"/>
                <w:lang w:val="hu-HU" w:eastAsia="en-NZ"/>
              </w:rPr>
              <w:t xml:space="preserve">1/2 </w:t>
            </w:r>
            <w:r w:rsidRPr="00F6526C">
              <w:rPr>
                <w:rFonts w:eastAsia="Calibri"/>
                <w:snapToGrid/>
                <w:szCs w:val="22"/>
                <w:lang w:val="hu-HU" w:eastAsia="en-NZ"/>
              </w:rPr>
              <w:t>(h)</w:t>
            </w:r>
          </w:p>
        </w:tc>
        <w:tc>
          <w:tcPr>
            <w:tcW w:w="1843" w:type="dxa"/>
            <w:noWrap/>
            <w:vAlign w:val="center"/>
            <w:hideMark/>
          </w:tcPr>
          <w:p w14:paraId="6D9FCED8" w14:textId="77777777" w:rsidR="00A14720" w:rsidRPr="00F6526C" w:rsidRDefault="00A14720" w:rsidP="00E8277D">
            <w:pPr>
              <w:widowControl w:val="0"/>
              <w:tabs>
                <w:tab w:val="clear" w:pos="567"/>
              </w:tabs>
              <w:spacing w:line="240" w:lineRule="auto"/>
              <w:ind w:left="-108" w:right="-108"/>
              <w:rPr>
                <w:rFonts w:eastAsia="Calibri"/>
                <w:snapToGrid/>
                <w:szCs w:val="22"/>
                <w:highlight w:val="yellow"/>
                <w:lang w:val="hu-HU" w:eastAsia="en-NZ"/>
              </w:rPr>
            </w:pPr>
            <w:r w:rsidRPr="00F6526C">
              <w:rPr>
                <w:rFonts w:eastAsia="Calibri"/>
                <w:snapToGrid/>
                <w:szCs w:val="22"/>
                <w:lang w:val="hu-HU" w:eastAsia="en-NZ"/>
              </w:rPr>
              <w:t xml:space="preserve">1,88 </w:t>
            </w:r>
            <w:r w:rsidRPr="00F6526C">
              <w:rPr>
                <w:rFonts w:eastAsia="Calibri"/>
                <w:snapToGrid/>
                <w:szCs w:val="22"/>
                <w:lang w:val="hu-HU" w:eastAsia="en-GB"/>
              </w:rPr>
              <w:t>± 0,28</w:t>
            </w:r>
          </w:p>
        </w:tc>
        <w:tc>
          <w:tcPr>
            <w:tcW w:w="1984" w:type="dxa"/>
            <w:noWrap/>
            <w:vAlign w:val="center"/>
            <w:hideMark/>
          </w:tcPr>
          <w:p w14:paraId="26CF1C06" w14:textId="77777777" w:rsidR="00A14720" w:rsidRPr="00F6526C" w:rsidRDefault="00A14720" w:rsidP="00E8277D">
            <w:pPr>
              <w:widowControl w:val="0"/>
              <w:tabs>
                <w:tab w:val="clear" w:pos="567"/>
              </w:tabs>
              <w:spacing w:line="240" w:lineRule="auto"/>
              <w:ind w:left="-108" w:right="-108"/>
              <w:rPr>
                <w:rFonts w:eastAsia="Calibri"/>
                <w:snapToGrid/>
                <w:szCs w:val="22"/>
                <w:highlight w:val="yellow"/>
                <w:lang w:val="hu-HU" w:eastAsia="en-NZ"/>
              </w:rPr>
            </w:pPr>
            <w:r w:rsidRPr="00F6526C">
              <w:rPr>
                <w:rFonts w:eastAsia="Calibri"/>
                <w:snapToGrid/>
                <w:szCs w:val="22"/>
                <w:lang w:val="hu-HU" w:eastAsia="en-NZ"/>
              </w:rPr>
              <w:t xml:space="preserve">1,87 </w:t>
            </w:r>
            <w:r w:rsidRPr="00F6526C">
              <w:rPr>
                <w:rFonts w:eastAsia="Calibri"/>
                <w:snapToGrid/>
                <w:szCs w:val="22"/>
                <w:lang w:val="hu-HU" w:eastAsia="en-GB"/>
              </w:rPr>
              <w:t>± 0,27</w:t>
            </w:r>
          </w:p>
        </w:tc>
        <w:tc>
          <w:tcPr>
            <w:tcW w:w="1843" w:type="dxa"/>
            <w:noWrap/>
            <w:vAlign w:val="center"/>
            <w:hideMark/>
          </w:tcPr>
          <w:p w14:paraId="7272C6DA" w14:textId="77777777" w:rsidR="00A14720" w:rsidRPr="00F6526C" w:rsidRDefault="00A14720" w:rsidP="00E8277D">
            <w:pPr>
              <w:widowControl w:val="0"/>
              <w:tabs>
                <w:tab w:val="clear" w:pos="567"/>
              </w:tabs>
              <w:spacing w:line="240" w:lineRule="auto"/>
              <w:ind w:left="-108" w:right="-107"/>
              <w:rPr>
                <w:rFonts w:eastAsia="Calibri"/>
                <w:snapToGrid/>
                <w:szCs w:val="22"/>
                <w:highlight w:val="yellow"/>
                <w:lang w:val="hu-HU" w:eastAsia="en-NZ"/>
              </w:rPr>
            </w:pPr>
            <w:r w:rsidRPr="00F6526C">
              <w:rPr>
                <w:rFonts w:eastAsia="Calibri"/>
                <w:snapToGrid/>
                <w:szCs w:val="22"/>
                <w:lang w:val="hu-HU" w:eastAsia="en-NZ"/>
              </w:rPr>
              <w:t xml:space="preserve">1,88 </w:t>
            </w:r>
            <w:r w:rsidRPr="00F6526C">
              <w:rPr>
                <w:rFonts w:eastAsia="Calibri"/>
                <w:snapToGrid/>
                <w:szCs w:val="22"/>
                <w:lang w:val="hu-HU" w:eastAsia="en-GB"/>
              </w:rPr>
              <w:t>± 0,30</w:t>
            </w:r>
          </w:p>
        </w:tc>
        <w:tc>
          <w:tcPr>
            <w:tcW w:w="1559" w:type="dxa"/>
            <w:noWrap/>
            <w:vAlign w:val="center"/>
            <w:hideMark/>
          </w:tcPr>
          <w:p w14:paraId="38438DA2" w14:textId="77777777" w:rsidR="00A14720" w:rsidRPr="00F6526C" w:rsidRDefault="00A14720" w:rsidP="00E8277D">
            <w:pPr>
              <w:widowControl w:val="0"/>
              <w:tabs>
                <w:tab w:val="clear" w:pos="567"/>
              </w:tabs>
              <w:spacing w:line="240" w:lineRule="auto"/>
              <w:rPr>
                <w:rFonts w:eastAsia="Calibri"/>
                <w:snapToGrid/>
                <w:szCs w:val="22"/>
                <w:highlight w:val="yellow"/>
                <w:lang w:val="hu-HU" w:eastAsia="en-NZ"/>
              </w:rPr>
            </w:pPr>
            <w:r w:rsidRPr="00F6526C">
              <w:rPr>
                <w:rFonts w:eastAsia="Calibri"/>
                <w:snapToGrid/>
                <w:szCs w:val="22"/>
                <w:lang w:val="hu-HU" w:eastAsia="en-NZ"/>
              </w:rPr>
              <w:t xml:space="preserve">1,99 </w:t>
            </w:r>
            <w:r w:rsidRPr="00F6526C">
              <w:rPr>
                <w:rFonts w:eastAsia="Calibri"/>
                <w:snapToGrid/>
                <w:szCs w:val="22"/>
                <w:lang w:val="hu-HU" w:eastAsia="en-GB"/>
              </w:rPr>
              <w:t>± 0,36</w:t>
            </w:r>
          </w:p>
        </w:tc>
      </w:tr>
    </w:tbl>
    <w:p w14:paraId="3B191ADE" w14:textId="5F6569F4" w:rsidR="00A14720" w:rsidRPr="00F6526C" w:rsidRDefault="00A14720" w:rsidP="00E8277D">
      <w:pPr>
        <w:autoSpaceDE w:val="0"/>
        <w:autoSpaceDN w:val="0"/>
        <w:adjustRightInd w:val="0"/>
        <w:spacing w:line="271" w:lineRule="auto"/>
        <w:rPr>
          <w:rFonts w:eastAsia="Times New Roman"/>
          <w:snapToGrid/>
          <w:szCs w:val="22"/>
          <w:lang w:val="hu-HU" w:eastAsia="en-US"/>
        </w:rPr>
      </w:pPr>
      <w:r w:rsidRPr="00F6526C">
        <w:rPr>
          <w:rFonts w:eastAsia="Times New Roman"/>
          <w:snapToGrid/>
          <w:szCs w:val="22"/>
          <w:lang w:val="hu-HU" w:eastAsia="en-US"/>
        </w:rPr>
        <w:t xml:space="preserve">Megjegyzés: </w:t>
      </w:r>
      <w:r w:rsidR="00E84152">
        <w:rPr>
          <w:rFonts w:eastAsia="Times New Roman"/>
          <w:snapToGrid/>
          <w:szCs w:val="22"/>
          <w:lang w:val="hu-HU" w:eastAsia="en-NZ"/>
        </w:rPr>
        <w:t>p</w:t>
      </w:r>
      <w:r w:rsidR="000E2EEA" w:rsidRPr="00F6526C">
        <w:rPr>
          <w:rFonts w:eastAsia="Times New Roman"/>
          <w:snapToGrid/>
          <w:szCs w:val="22"/>
          <w:lang w:val="hu-HU" w:eastAsia="en-NZ"/>
        </w:rPr>
        <w:t>aracetamol/</w:t>
      </w:r>
      <w:r w:rsidR="00E84152">
        <w:rPr>
          <w:rFonts w:eastAsia="Times New Roman"/>
          <w:snapToGrid/>
          <w:szCs w:val="22"/>
          <w:lang w:val="en-IE" w:eastAsia="en-NZ"/>
        </w:rPr>
        <w:t>i</w:t>
      </w:r>
      <w:r w:rsidR="00357898" w:rsidRPr="00F6526C">
        <w:rPr>
          <w:rFonts w:eastAsia="Times New Roman"/>
          <w:snapToGrid/>
          <w:szCs w:val="22"/>
          <w:lang w:val="en-IE" w:eastAsia="en-NZ"/>
        </w:rPr>
        <w:t>buprofén</w:t>
      </w:r>
      <w:r w:rsidR="000E2EEA" w:rsidRPr="00F6526C" w:rsidDel="000E2EEA">
        <w:rPr>
          <w:rFonts w:eastAsia="Times New Roman"/>
          <w:snapToGrid/>
          <w:szCs w:val="22"/>
          <w:lang w:val="hu-HU" w:eastAsia="en-NZ"/>
        </w:rPr>
        <w:t xml:space="preserve"> </w:t>
      </w:r>
      <w:r w:rsidRPr="00F6526C">
        <w:rPr>
          <w:rFonts w:eastAsia="Times New Roman"/>
          <w:snapToGrid/>
          <w:szCs w:val="22"/>
          <w:lang w:val="hu-HU" w:eastAsia="en-NZ"/>
        </w:rPr>
        <w:t xml:space="preserve">tabletták = paracetamol 500 mg/ibuprofén 150 mg </w:t>
      </w:r>
      <w:r w:rsidRPr="00F6526C">
        <w:rPr>
          <w:rFonts w:eastAsia="Times New Roman"/>
          <w:snapToGrid/>
          <w:color w:val="000000"/>
          <w:szCs w:val="22"/>
          <w:lang w:val="hu-HU" w:eastAsia="en-NZ"/>
        </w:rPr>
        <w:t>filmtablett</w:t>
      </w:r>
      <w:r w:rsidRPr="00F6526C">
        <w:rPr>
          <w:rFonts w:eastAsia="Times New Roman"/>
          <w:snapToGrid/>
          <w:szCs w:val="22"/>
          <w:lang w:val="hu-HU" w:eastAsia="en-NZ"/>
        </w:rPr>
        <w:t>a.</w:t>
      </w:r>
    </w:p>
    <w:p w14:paraId="4D288E8A" w14:textId="77777777" w:rsidR="00A14720" w:rsidRPr="00F6526C" w:rsidRDefault="00A14720" w:rsidP="00E8277D">
      <w:pPr>
        <w:autoSpaceDE w:val="0"/>
        <w:autoSpaceDN w:val="0"/>
        <w:adjustRightInd w:val="0"/>
        <w:spacing w:line="271" w:lineRule="auto"/>
        <w:rPr>
          <w:rFonts w:eastAsia="Times New Roman"/>
          <w:snapToGrid/>
          <w:szCs w:val="22"/>
          <w:lang w:val="hu-HU" w:eastAsia="en-US"/>
        </w:rPr>
      </w:pPr>
    </w:p>
    <w:p w14:paraId="27F12072" w14:textId="18410B95" w:rsidR="00A14720" w:rsidRPr="00F6526C" w:rsidRDefault="00A14720" w:rsidP="00E8277D">
      <w:pPr>
        <w:autoSpaceDE w:val="0"/>
        <w:autoSpaceDN w:val="0"/>
        <w:adjustRightInd w:val="0"/>
        <w:spacing w:line="271" w:lineRule="auto"/>
        <w:rPr>
          <w:rFonts w:eastAsia="Times New Roman"/>
          <w:snapToGrid/>
          <w:szCs w:val="22"/>
          <w:lang w:val="hu-HU" w:eastAsia="en-US"/>
        </w:rPr>
      </w:pPr>
      <w:r w:rsidRPr="00F6526C">
        <w:rPr>
          <w:rFonts w:eastAsia="Times New Roman"/>
          <w:snapToGrid/>
          <w:szCs w:val="22"/>
          <w:lang w:val="hu-HU" w:eastAsia="en-US"/>
        </w:rPr>
        <w:t xml:space="preserve">Egyetlen dózis </w:t>
      </w:r>
      <w:r w:rsidR="00357898" w:rsidRPr="00F6526C">
        <w:rPr>
          <w:rFonts w:eastAsia="Times New Roman"/>
          <w:noProof/>
          <w:snapToGrid/>
          <w:szCs w:val="22"/>
          <w:lang w:val="hu-HU" w:eastAsia="en-US"/>
        </w:rPr>
        <w:t xml:space="preserve"> </w:t>
      </w:r>
      <w:r w:rsidR="006D4655">
        <w:rPr>
          <w:rFonts w:eastAsia="Times New Roman"/>
          <w:snapToGrid/>
          <w:szCs w:val="22"/>
          <w:lang w:val="hu-HU" w:eastAsia="en-US"/>
        </w:rPr>
        <w:t>Elomen</w:t>
      </w:r>
      <w:r w:rsidR="00357898" w:rsidRPr="00F6526C">
        <w:rPr>
          <w:rFonts w:eastAsia="Times New Roman"/>
          <w:snapToGrid/>
          <w:szCs w:val="22"/>
          <w:lang w:val="hu-HU" w:eastAsia="en-US"/>
        </w:rPr>
        <w:t xml:space="preserve"> 1000 mg/300 mg oldatos infúzió</w:t>
      </w:r>
      <w:r w:rsidRPr="00F6526C">
        <w:rPr>
          <w:rFonts w:eastAsia="Times New Roman"/>
          <w:snapToGrid/>
          <w:szCs w:val="22"/>
          <w:lang w:val="hu-HU" w:eastAsia="en-US"/>
        </w:rPr>
        <w:t xml:space="preserve"> </w:t>
      </w:r>
      <w:r w:rsidRPr="00F6526C">
        <w:rPr>
          <w:rFonts w:eastAsia="Times New Roman"/>
          <w:bCs/>
          <w:iCs/>
          <w:snapToGrid/>
          <w:color w:val="000000"/>
          <w:spacing w:val="-2"/>
          <w:szCs w:val="22"/>
          <w:lang w:val="hu-HU" w:eastAsia="en-US"/>
        </w:rPr>
        <w:t>intravénás</w:t>
      </w:r>
      <w:r w:rsidRPr="00F6526C">
        <w:rPr>
          <w:rFonts w:eastAsia="Times New Roman"/>
          <w:snapToGrid/>
          <w:szCs w:val="22"/>
          <w:lang w:val="hu-HU" w:eastAsia="en-US"/>
        </w:rPr>
        <w:t xml:space="preserve">an vagy </w:t>
      </w:r>
      <w:r w:rsidRPr="00F6526C">
        <w:rPr>
          <w:rFonts w:eastAsia="Times New Roman"/>
          <w:snapToGrid/>
          <w:color w:val="000000"/>
          <w:szCs w:val="22"/>
          <w:lang w:val="hu-HU" w:eastAsia="en-US"/>
        </w:rPr>
        <w:t>orális</w:t>
      </w:r>
      <w:r w:rsidRPr="00F6526C">
        <w:rPr>
          <w:rFonts w:eastAsia="Times New Roman"/>
          <w:snapToGrid/>
          <w:szCs w:val="22"/>
          <w:lang w:val="hu-HU" w:eastAsia="en-US"/>
        </w:rPr>
        <w:t xml:space="preserve">an történő </w:t>
      </w:r>
      <w:r w:rsidRPr="00F6526C">
        <w:rPr>
          <w:rFonts w:eastAsia="Times New Roman"/>
          <w:bCs/>
          <w:iCs/>
          <w:snapToGrid/>
          <w:color w:val="000000"/>
          <w:spacing w:val="-2"/>
          <w:szCs w:val="22"/>
          <w:lang w:val="hu-HU" w:eastAsia="en-US"/>
        </w:rPr>
        <w:t>beadás</w:t>
      </w:r>
      <w:r w:rsidRPr="00F6526C">
        <w:rPr>
          <w:rFonts w:eastAsia="Times New Roman"/>
          <w:snapToGrid/>
          <w:szCs w:val="22"/>
          <w:lang w:val="hu-HU" w:eastAsia="en-US"/>
        </w:rPr>
        <w:t xml:space="preserve">a után a farmakokinetikai </w:t>
      </w:r>
      <w:r w:rsidRPr="00F6526C">
        <w:rPr>
          <w:rFonts w:eastAsia="Times New Roman"/>
          <w:bCs/>
          <w:iCs/>
          <w:snapToGrid/>
          <w:szCs w:val="22"/>
          <w:lang w:val="hu-HU" w:eastAsia="en-US"/>
        </w:rPr>
        <w:t xml:space="preserve">paraméterek </w:t>
      </w:r>
      <w:r w:rsidRPr="00F6526C">
        <w:rPr>
          <w:rFonts w:eastAsia="Times New Roman"/>
          <w:bCs/>
          <w:iCs/>
          <w:snapToGrid/>
          <w:spacing w:val="-2"/>
          <w:szCs w:val="22"/>
          <w:lang w:val="hu-HU" w:eastAsia="en-US"/>
        </w:rPr>
        <w:t>hasonló</w:t>
      </w:r>
      <w:r w:rsidRPr="00F6526C">
        <w:rPr>
          <w:rFonts w:eastAsia="Times New Roman"/>
          <w:bCs/>
          <w:iCs/>
          <w:snapToGrid/>
          <w:szCs w:val="22"/>
          <w:lang w:val="hu-HU" w:eastAsia="en-US"/>
        </w:rPr>
        <w:t xml:space="preserve">ak voltak, kivéve, hogy az </w:t>
      </w:r>
      <w:r w:rsidRPr="00F6526C">
        <w:rPr>
          <w:rFonts w:eastAsia="Times New Roman"/>
          <w:bCs/>
          <w:iCs/>
          <w:snapToGrid/>
          <w:color w:val="000000"/>
          <w:spacing w:val="-2"/>
          <w:szCs w:val="22"/>
          <w:lang w:val="hu-HU" w:eastAsia="en-US"/>
        </w:rPr>
        <w:t>intravénás</w:t>
      </w:r>
      <w:r w:rsidRPr="00F6526C">
        <w:rPr>
          <w:rFonts w:eastAsia="Times New Roman"/>
          <w:bCs/>
          <w:iCs/>
          <w:snapToGrid/>
          <w:szCs w:val="22"/>
          <w:lang w:val="hu-HU" w:eastAsia="en-US"/>
        </w:rPr>
        <w:t xml:space="preserve"> </w:t>
      </w:r>
      <w:r w:rsidRPr="00F6526C">
        <w:rPr>
          <w:rFonts w:eastAsia="Times New Roman"/>
          <w:bCs/>
          <w:iCs/>
          <w:snapToGrid/>
          <w:spacing w:val="-2"/>
          <w:szCs w:val="22"/>
          <w:lang w:val="hu-HU" w:eastAsia="en-US"/>
        </w:rPr>
        <w:t>készítmény</w:t>
      </w:r>
      <w:r w:rsidRPr="00F6526C">
        <w:rPr>
          <w:rFonts w:eastAsia="Times New Roman"/>
          <w:bCs/>
          <w:iCs/>
          <w:snapToGrid/>
          <w:szCs w:val="22"/>
          <w:lang w:val="hu-HU" w:eastAsia="en-US"/>
        </w:rPr>
        <w:t xml:space="preserve"> C</w:t>
      </w:r>
      <w:r w:rsidRPr="00F6526C">
        <w:rPr>
          <w:rFonts w:eastAsia="Times New Roman"/>
          <w:bCs/>
          <w:iCs/>
          <w:snapToGrid/>
          <w:szCs w:val="22"/>
          <w:vertAlign w:val="subscript"/>
          <w:lang w:val="hu-HU" w:eastAsia="en-US"/>
        </w:rPr>
        <w:t>max</w:t>
      </w:r>
      <w:r w:rsidRPr="00F6526C">
        <w:rPr>
          <w:rFonts w:eastAsia="Times New Roman"/>
          <w:bCs/>
          <w:iCs/>
          <w:snapToGrid/>
          <w:szCs w:val="22"/>
          <w:lang w:val="hu-HU" w:eastAsia="en-US"/>
        </w:rPr>
        <w:t xml:space="preserve"> értéke kétszerese volt az </w:t>
      </w:r>
      <w:r w:rsidRPr="00F6526C">
        <w:rPr>
          <w:rFonts w:eastAsia="Times New Roman"/>
          <w:bCs/>
          <w:iCs/>
          <w:snapToGrid/>
          <w:color w:val="000000"/>
          <w:szCs w:val="22"/>
          <w:lang w:val="hu-HU" w:eastAsia="en-US"/>
        </w:rPr>
        <w:t>orális</w:t>
      </w:r>
      <w:r w:rsidRPr="00F6526C">
        <w:rPr>
          <w:rFonts w:eastAsia="Times New Roman"/>
          <w:bCs/>
          <w:iCs/>
          <w:snapToGrid/>
          <w:szCs w:val="22"/>
          <w:lang w:val="hu-HU" w:eastAsia="en-US"/>
        </w:rPr>
        <w:t xml:space="preserve"> </w:t>
      </w:r>
      <w:r w:rsidRPr="00F6526C">
        <w:rPr>
          <w:rFonts w:eastAsia="Times New Roman"/>
          <w:bCs/>
          <w:iCs/>
          <w:snapToGrid/>
          <w:spacing w:val="-2"/>
          <w:szCs w:val="22"/>
          <w:lang w:val="hu-HU" w:eastAsia="en-US"/>
        </w:rPr>
        <w:t>készítmény</w:t>
      </w:r>
      <w:r w:rsidRPr="00F6526C">
        <w:rPr>
          <w:rFonts w:eastAsia="Times New Roman"/>
          <w:bCs/>
          <w:iCs/>
          <w:snapToGrid/>
          <w:szCs w:val="22"/>
          <w:lang w:val="hu-HU" w:eastAsia="en-US"/>
        </w:rPr>
        <w:t xml:space="preserve">ének, és amint az várható volt, a </w:t>
      </w:r>
      <w:r w:rsidR="00E84152" w:rsidRPr="00F6526C">
        <w:rPr>
          <w:rFonts w:eastAsia="Times New Roman"/>
          <w:bCs/>
          <w:iCs/>
          <w:snapToGrid/>
          <w:szCs w:val="22"/>
          <w:lang w:val="hu-HU" w:eastAsia="en-US"/>
        </w:rPr>
        <w:t>t</w:t>
      </w:r>
      <w:r w:rsidRPr="00F6526C">
        <w:rPr>
          <w:rFonts w:eastAsia="Times New Roman"/>
          <w:bCs/>
          <w:iCs/>
          <w:snapToGrid/>
          <w:szCs w:val="22"/>
          <w:vertAlign w:val="subscript"/>
          <w:lang w:val="hu-HU" w:eastAsia="en-US"/>
        </w:rPr>
        <w:t>max</w:t>
      </w:r>
      <w:r w:rsidRPr="00F6526C">
        <w:rPr>
          <w:rFonts w:eastAsia="Times New Roman"/>
          <w:bCs/>
          <w:iCs/>
          <w:snapToGrid/>
          <w:szCs w:val="22"/>
          <w:lang w:val="hu-HU" w:eastAsia="en-US"/>
        </w:rPr>
        <w:t xml:space="preserve"> értéket az </w:t>
      </w:r>
      <w:r w:rsidRPr="00F6526C">
        <w:rPr>
          <w:rFonts w:eastAsia="Times New Roman"/>
          <w:bCs/>
          <w:iCs/>
          <w:snapToGrid/>
          <w:color w:val="000000"/>
          <w:spacing w:val="-2"/>
          <w:szCs w:val="22"/>
          <w:lang w:val="hu-HU" w:eastAsia="en-US"/>
        </w:rPr>
        <w:t>intravénás</w:t>
      </w:r>
      <w:r w:rsidRPr="00F6526C">
        <w:rPr>
          <w:rFonts w:eastAsia="Times New Roman"/>
          <w:bCs/>
          <w:iCs/>
          <w:snapToGrid/>
          <w:szCs w:val="22"/>
          <w:lang w:val="hu-HU" w:eastAsia="en-US"/>
        </w:rPr>
        <w:t xml:space="preserve"> </w:t>
      </w:r>
      <w:r w:rsidRPr="00F6526C">
        <w:rPr>
          <w:rFonts w:eastAsia="Times New Roman"/>
          <w:bCs/>
          <w:iCs/>
          <w:snapToGrid/>
          <w:color w:val="000000"/>
          <w:spacing w:val="-2"/>
          <w:szCs w:val="22"/>
          <w:lang w:val="hu-HU" w:eastAsia="en-US"/>
        </w:rPr>
        <w:t>beadás</w:t>
      </w:r>
      <w:r w:rsidRPr="00F6526C">
        <w:rPr>
          <w:rFonts w:eastAsia="Times New Roman"/>
          <w:bCs/>
          <w:iCs/>
          <w:snapToGrid/>
          <w:szCs w:val="22"/>
          <w:lang w:val="hu-HU" w:eastAsia="en-US"/>
        </w:rPr>
        <w:t xml:space="preserve"> után sokkal gyorsabban (15 perc alatt) lehetett elérni, mint az </w:t>
      </w:r>
      <w:r w:rsidRPr="00F6526C">
        <w:rPr>
          <w:rFonts w:eastAsia="Times New Roman"/>
          <w:bCs/>
          <w:iCs/>
          <w:snapToGrid/>
          <w:color w:val="000000"/>
          <w:szCs w:val="22"/>
          <w:lang w:val="hu-HU" w:eastAsia="en-US"/>
        </w:rPr>
        <w:t>orális</w:t>
      </w:r>
      <w:r w:rsidRPr="00F6526C">
        <w:rPr>
          <w:rFonts w:eastAsia="Times New Roman"/>
          <w:bCs/>
          <w:iCs/>
          <w:snapToGrid/>
          <w:szCs w:val="22"/>
          <w:lang w:val="hu-HU" w:eastAsia="en-US"/>
        </w:rPr>
        <w:t xml:space="preserve"> </w:t>
      </w:r>
      <w:r w:rsidRPr="00F6526C">
        <w:rPr>
          <w:rFonts w:eastAsia="Times New Roman"/>
          <w:bCs/>
          <w:iCs/>
          <w:snapToGrid/>
          <w:spacing w:val="-2"/>
          <w:szCs w:val="22"/>
          <w:lang w:val="hu-HU" w:eastAsia="en-US"/>
        </w:rPr>
        <w:t>készítménnyel</w:t>
      </w:r>
      <w:r w:rsidRPr="00F6526C">
        <w:rPr>
          <w:rFonts w:eastAsia="Times New Roman"/>
          <w:snapToGrid/>
          <w:szCs w:val="22"/>
          <w:lang w:val="hu-HU" w:eastAsia="en-US"/>
        </w:rPr>
        <w:t>.</w:t>
      </w:r>
    </w:p>
    <w:p w14:paraId="687686DC" w14:textId="77777777" w:rsidR="00A14720" w:rsidRPr="00F6526C" w:rsidRDefault="00A14720" w:rsidP="00E8277D">
      <w:pPr>
        <w:autoSpaceDE w:val="0"/>
        <w:autoSpaceDN w:val="0"/>
        <w:adjustRightInd w:val="0"/>
        <w:spacing w:line="271" w:lineRule="auto"/>
        <w:rPr>
          <w:rFonts w:eastAsia="Times New Roman"/>
          <w:snapToGrid/>
          <w:szCs w:val="22"/>
          <w:lang w:val="hu-HU" w:eastAsia="en-US"/>
        </w:rPr>
      </w:pPr>
    </w:p>
    <w:p w14:paraId="262090C6" w14:textId="77777777" w:rsidR="00A14720" w:rsidRPr="00F6526C" w:rsidRDefault="00A14720" w:rsidP="004017C1">
      <w:pPr>
        <w:autoSpaceDE w:val="0"/>
        <w:autoSpaceDN w:val="0"/>
        <w:adjustRightInd w:val="0"/>
        <w:spacing w:line="271" w:lineRule="auto"/>
        <w:outlineLvl w:val="2"/>
        <w:rPr>
          <w:rFonts w:eastAsia="Times New Roman"/>
          <w:snapToGrid/>
          <w:szCs w:val="22"/>
          <w:u w:val="single"/>
          <w:lang w:val="hu-HU" w:eastAsia="en-US"/>
        </w:rPr>
      </w:pPr>
      <w:r w:rsidRPr="00F6526C">
        <w:rPr>
          <w:rFonts w:eastAsia="Times New Roman"/>
          <w:snapToGrid/>
          <w:spacing w:val="-1"/>
          <w:szCs w:val="22"/>
          <w:u w:val="single"/>
          <w:lang w:val="hu-HU" w:eastAsia="en-US"/>
        </w:rPr>
        <w:t>Megoszlás</w:t>
      </w:r>
    </w:p>
    <w:p w14:paraId="4A5EB028" w14:textId="77777777" w:rsidR="00A14720" w:rsidRPr="00F6526C" w:rsidRDefault="00A14720" w:rsidP="00E8277D">
      <w:pPr>
        <w:autoSpaceDE w:val="0"/>
        <w:autoSpaceDN w:val="0"/>
        <w:adjustRightInd w:val="0"/>
        <w:spacing w:line="271" w:lineRule="auto"/>
        <w:rPr>
          <w:rFonts w:eastAsia="Times New Roman"/>
          <w:snapToGrid/>
          <w:szCs w:val="22"/>
          <w:lang w:val="hu-HU" w:eastAsia="en-US"/>
        </w:rPr>
      </w:pPr>
      <w:r w:rsidRPr="00F6526C">
        <w:rPr>
          <w:rFonts w:eastAsia="Times New Roman"/>
          <w:snapToGrid/>
          <w:szCs w:val="22"/>
          <w:lang w:val="hu-HU" w:eastAsia="en-US"/>
        </w:rPr>
        <w:t xml:space="preserve">A paracetamol a legtöbb testszövetbe eljut. Az ibuprofén nagyon erősen (90-99%) </w:t>
      </w:r>
      <w:r w:rsidRPr="00F6526C">
        <w:rPr>
          <w:rFonts w:eastAsia="Times New Roman"/>
          <w:bCs/>
          <w:iCs/>
          <w:snapToGrid/>
          <w:color w:val="000000"/>
          <w:spacing w:val="-2"/>
          <w:szCs w:val="22"/>
          <w:lang w:val="hu-HU" w:eastAsia="en-US"/>
        </w:rPr>
        <w:t>kötőd</w:t>
      </w:r>
      <w:r w:rsidRPr="00F6526C">
        <w:rPr>
          <w:rFonts w:eastAsia="Times New Roman"/>
          <w:snapToGrid/>
          <w:szCs w:val="22"/>
          <w:lang w:val="hu-HU" w:eastAsia="en-US"/>
        </w:rPr>
        <w:t xml:space="preserve">ik a </w:t>
      </w:r>
      <w:r w:rsidRPr="00F6526C">
        <w:rPr>
          <w:rFonts w:eastAsia="Times New Roman"/>
          <w:iCs/>
          <w:snapToGrid/>
          <w:color w:val="000000"/>
          <w:szCs w:val="22"/>
          <w:lang w:val="hu-HU" w:eastAsia="en-US"/>
        </w:rPr>
        <w:t>plazmafehérj</w:t>
      </w:r>
      <w:r w:rsidRPr="00F6526C">
        <w:rPr>
          <w:rFonts w:eastAsia="Times New Roman"/>
          <w:snapToGrid/>
          <w:szCs w:val="22"/>
          <w:lang w:val="hu-HU" w:eastAsia="en-US"/>
        </w:rPr>
        <w:t>ékhez.</w:t>
      </w:r>
    </w:p>
    <w:p w14:paraId="2D98B929" w14:textId="77777777" w:rsidR="00A14720" w:rsidRPr="00F6526C" w:rsidRDefault="00A14720" w:rsidP="00E8277D">
      <w:pPr>
        <w:autoSpaceDE w:val="0"/>
        <w:autoSpaceDN w:val="0"/>
        <w:adjustRightInd w:val="0"/>
        <w:spacing w:line="271" w:lineRule="auto"/>
        <w:rPr>
          <w:rFonts w:eastAsia="Times New Roman"/>
          <w:snapToGrid/>
          <w:szCs w:val="22"/>
          <w:lang w:val="hu-HU" w:eastAsia="en-US"/>
        </w:rPr>
      </w:pPr>
    </w:p>
    <w:p w14:paraId="57043070" w14:textId="77777777" w:rsidR="00A14720" w:rsidRPr="00F6526C" w:rsidRDefault="00A14720" w:rsidP="004017C1">
      <w:pPr>
        <w:autoSpaceDE w:val="0"/>
        <w:autoSpaceDN w:val="0"/>
        <w:adjustRightInd w:val="0"/>
        <w:spacing w:line="271" w:lineRule="auto"/>
        <w:outlineLvl w:val="2"/>
        <w:rPr>
          <w:rFonts w:eastAsia="Times New Roman"/>
          <w:snapToGrid/>
          <w:szCs w:val="22"/>
          <w:u w:val="single"/>
          <w:lang w:val="hu-HU" w:eastAsia="en-US"/>
        </w:rPr>
      </w:pPr>
      <w:r w:rsidRPr="00F6526C">
        <w:rPr>
          <w:rFonts w:eastAsia="Times New Roman"/>
          <w:snapToGrid/>
          <w:szCs w:val="22"/>
          <w:u w:val="single"/>
          <w:lang w:val="hu-HU" w:eastAsia="en-US"/>
        </w:rPr>
        <w:t>Metabolizmus</w:t>
      </w:r>
    </w:p>
    <w:p w14:paraId="56C30AA8" w14:textId="509317C0" w:rsidR="00A14720" w:rsidRPr="00F6526C" w:rsidRDefault="00A14720" w:rsidP="00E8277D">
      <w:pPr>
        <w:autoSpaceDE w:val="0"/>
        <w:autoSpaceDN w:val="0"/>
        <w:adjustRightInd w:val="0"/>
        <w:spacing w:line="271" w:lineRule="auto"/>
        <w:rPr>
          <w:rFonts w:eastAsia="Times New Roman"/>
          <w:snapToGrid/>
          <w:szCs w:val="22"/>
          <w:lang w:val="hu-HU" w:eastAsia="en-US"/>
        </w:rPr>
      </w:pPr>
      <w:r w:rsidRPr="00F6526C">
        <w:rPr>
          <w:rFonts w:eastAsia="Times New Roman"/>
          <w:snapToGrid/>
          <w:szCs w:val="22"/>
          <w:lang w:val="hu-HU" w:eastAsia="en-US"/>
        </w:rPr>
        <w:t>A pa</w:t>
      </w:r>
      <w:r w:rsidRPr="00F6526C">
        <w:rPr>
          <w:rFonts w:eastAsia="Times New Roman"/>
          <w:snapToGrid/>
          <w:spacing w:val="1"/>
          <w:szCs w:val="22"/>
          <w:lang w:val="hu-HU" w:eastAsia="en-US"/>
        </w:rPr>
        <w:t>r</w:t>
      </w:r>
      <w:r w:rsidRPr="00F6526C">
        <w:rPr>
          <w:rFonts w:eastAsia="Times New Roman"/>
          <w:snapToGrid/>
          <w:szCs w:val="22"/>
          <w:lang w:val="hu-HU" w:eastAsia="en-US"/>
        </w:rPr>
        <w:t>ace</w:t>
      </w:r>
      <w:r w:rsidRPr="00F6526C">
        <w:rPr>
          <w:rFonts w:eastAsia="Times New Roman"/>
          <w:snapToGrid/>
          <w:spacing w:val="1"/>
          <w:szCs w:val="22"/>
          <w:lang w:val="hu-HU" w:eastAsia="en-US"/>
        </w:rPr>
        <w:t>t</w:t>
      </w:r>
      <w:r w:rsidRPr="00F6526C">
        <w:rPr>
          <w:rFonts w:eastAsia="Times New Roman"/>
          <w:snapToGrid/>
          <w:szCs w:val="22"/>
          <w:lang w:val="hu-HU" w:eastAsia="en-US"/>
        </w:rPr>
        <w:t>a</w:t>
      </w:r>
      <w:r w:rsidRPr="00F6526C">
        <w:rPr>
          <w:rFonts w:eastAsia="Times New Roman"/>
          <w:snapToGrid/>
          <w:spacing w:val="-4"/>
          <w:szCs w:val="22"/>
          <w:lang w:val="hu-HU" w:eastAsia="en-US"/>
        </w:rPr>
        <w:t>m</w:t>
      </w:r>
      <w:r w:rsidRPr="00F6526C">
        <w:rPr>
          <w:rFonts w:eastAsia="Times New Roman"/>
          <w:snapToGrid/>
          <w:szCs w:val="22"/>
          <w:lang w:val="hu-HU" w:eastAsia="en-US"/>
        </w:rPr>
        <w:t>ol</w:t>
      </w:r>
      <w:r w:rsidRPr="00F6526C">
        <w:rPr>
          <w:rFonts w:eastAsia="Times New Roman"/>
          <w:snapToGrid/>
          <w:spacing w:val="1"/>
          <w:szCs w:val="22"/>
          <w:lang w:val="hu-HU" w:eastAsia="en-US"/>
        </w:rPr>
        <w:t xml:space="preserve"> kiterjedten </w:t>
      </w:r>
      <w:r w:rsidRPr="00F6526C">
        <w:rPr>
          <w:rFonts w:eastAsia="Times New Roman"/>
          <w:bCs/>
          <w:iCs/>
          <w:snapToGrid/>
          <w:color w:val="000000"/>
          <w:spacing w:val="-2"/>
          <w:szCs w:val="22"/>
          <w:lang w:val="hu-HU" w:eastAsia="en-US"/>
        </w:rPr>
        <w:t>metaboli</w:t>
      </w:r>
      <w:r w:rsidRPr="00F6526C">
        <w:rPr>
          <w:rFonts w:eastAsia="Times New Roman"/>
          <w:snapToGrid/>
          <w:spacing w:val="1"/>
          <w:szCs w:val="22"/>
          <w:lang w:val="hu-HU" w:eastAsia="en-US"/>
        </w:rPr>
        <w:t xml:space="preserve">zálódik a májban, és a vizeletben </w:t>
      </w:r>
      <w:r w:rsidRPr="00F6526C">
        <w:rPr>
          <w:rFonts w:eastAsia="Times New Roman"/>
          <w:bCs/>
          <w:iCs/>
          <w:snapToGrid/>
          <w:color w:val="000000"/>
          <w:spacing w:val="-2"/>
          <w:szCs w:val="22"/>
          <w:lang w:val="hu-HU" w:eastAsia="en-US"/>
        </w:rPr>
        <w:t>választ</w:t>
      </w:r>
      <w:r w:rsidRPr="00F6526C">
        <w:rPr>
          <w:rFonts w:eastAsia="Times New Roman"/>
          <w:snapToGrid/>
          <w:spacing w:val="1"/>
          <w:szCs w:val="22"/>
          <w:lang w:val="hu-HU" w:eastAsia="en-US"/>
        </w:rPr>
        <w:t>ódik ki, főleg inaktív glükuronid</w:t>
      </w:r>
      <w:r w:rsidR="00EE0F99">
        <w:rPr>
          <w:rFonts w:eastAsia="Times New Roman"/>
          <w:snapToGrid/>
          <w:spacing w:val="1"/>
          <w:szCs w:val="22"/>
          <w:lang w:val="hu-HU" w:eastAsia="en-US"/>
        </w:rPr>
        <w:t>-</w:t>
      </w:r>
      <w:r w:rsidRPr="00F6526C">
        <w:rPr>
          <w:rFonts w:eastAsia="Times New Roman"/>
          <w:snapToGrid/>
          <w:spacing w:val="1"/>
          <w:szCs w:val="22"/>
          <w:lang w:val="hu-HU" w:eastAsia="en-US"/>
        </w:rPr>
        <w:t xml:space="preserve"> és szulfátkonjugátumok </w:t>
      </w:r>
      <w:r w:rsidRPr="00F6526C">
        <w:rPr>
          <w:rFonts w:eastAsia="Times New Roman"/>
          <w:bCs/>
          <w:iCs/>
          <w:snapToGrid/>
          <w:color w:val="000000"/>
          <w:spacing w:val="-2"/>
          <w:w w:val="102"/>
          <w:szCs w:val="22"/>
          <w:lang w:val="hu-HU" w:eastAsia="en-US"/>
        </w:rPr>
        <w:t>form</w:t>
      </w:r>
      <w:r w:rsidRPr="00F6526C">
        <w:rPr>
          <w:rFonts w:eastAsia="Times New Roman"/>
          <w:snapToGrid/>
          <w:spacing w:val="1"/>
          <w:szCs w:val="22"/>
          <w:lang w:val="hu-HU" w:eastAsia="en-US"/>
        </w:rPr>
        <w:t xml:space="preserve">ájában. </w:t>
      </w:r>
      <w:r w:rsidRPr="00F6526C">
        <w:rPr>
          <w:rFonts w:eastAsia="Times New Roman"/>
          <w:bCs/>
          <w:iCs/>
          <w:snapToGrid/>
          <w:color w:val="000000"/>
          <w:spacing w:val="-2"/>
          <w:szCs w:val="22"/>
          <w:lang w:val="hu-HU" w:eastAsia="en-US"/>
        </w:rPr>
        <w:t xml:space="preserve">Kevesebb, mint 5% választódik ki változatlanul. A paracetamol metabolitjai közé tartozik egy minor hidroxilezett intermedier, amelynek hepatotoxikus aktivitása van. Ez az aktív intermedier </w:t>
      </w:r>
      <w:r w:rsidR="000A752B">
        <w:rPr>
          <w:rFonts w:eastAsia="Times New Roman"/>
          <w:bCs/>
          <w:iCs/>
          <w:snapToGrid/>
          <w:color w:val="000000"/>
          <w:spacing w:val="-2"/>
          <w:szCs w:val="22"/>
          <w:lang w:val="hu-HU" w:eastAsia="en-US"/>
        </w:rPr>
        <w:t>továbbalakul</w:t>
      </w:r>
      <w:r w:rsidRPr="00F6526C">
        <w:rPr>
          <w:rFonts w:eastAsia="Times New Roman"/>
          <w:bCs/>
          <w:iCs/>
          <w:snapToGrid/>
          <w:color w:val="000000"/>
          <w:spacing w:val="-2"/>
          <w:szCs w:val="22"/>
          <w:lang w:val="hu-HU" w:eastAsia="en-US"/>
        </w:rPr>
        <w:t xml:space="preserve"> glutationnal történő konjugáció révén, azonban a paracetamol túladagolása után felhalmozódhat, és ha nem kezelik, súlyos, sőt visszafordíthatatlan májkárosodást okoz</w:t>
      </w:r>
      <w:r w:rsidR="00D469BE">
        <w:rPr>
          <w:rFonts w:eastAsia="Times New Roman"/>
          <w:bCs/>
          <w:iCs/>
          <w:snapToGrid/>
          <w:color w:val="000000"/>
          <w:spacing w:val="-2"/>
          <w:szCs w:val="22"/>
          <w:lang w:val="hu-HU" w:eastAsia="en-US"/>
        </w:rPr>
        <w:t>hat</w:t>
      </w:r>
      <w:r w:rsidRPr="00F6526C">
        <w:rPr>
          <w:rFonts w:eastAsia="Times New Roman"/>
          <w:snapToGrid/>
          <w:szCs w:val="22"/>
          <w:lang w:val="hu-HU" w:eastAsia="en-US"/>
        </w:rPr>
        <w:t>.</w:t>
      </w:r>
    </w:p>
    <w:p w14:paraId="137CC44C" w14:textId="77777777" w:rsidR="00A14720" w:rsidRPr="00F6526C" w:rsidRDefault="00A14720" w:rsidP="00E8277D">
      <w:pPr>
        <w:autoSpaceDE w:val="0"/>
        <w:autoSpaceDN w:val="0"/>
        <w:adjustRightInd w:val="0"/>
        <w:spacing w:line="271" w:lineRule="auto"/>
        <w:rPr>
          <w:rFonts w:eastAsia="Times New Roman"/>
          <w:snapToGrid/>
          <w:szCs w:val="22"/>
          <w:lang w:val="hu-HU" w:eastAsia="en-US"/>
        </w:rPr>
      </w:pPr>
    </w:p>
    <w:p w14:paraId="3483555A" w14:textId="77777777" w:rsidR="00A14720" w:rsidRPr="00F6526C" w:rsidRDefault="00A14720" w:rsidP="00E8277D">
      <w:pPr>
        <w:autoSpaceDE w:val="0"/>
        <w:autoSpaceDN w:val="0"/>
        <w:adjustRightInd w:val="0"/>
        <w:spacing w:line="271" w:lineRule="auto"/>
        <w:rPr>
          <w:rFonts w:eastAsia="Times New Roman"/>
          <w:snapToGrid/>
          <w:szCs w:val="22"/>
          <w:lang w:val="hu-HU" w:eastAsia="en-US"/>
        </w:rPr>
      </w:pPr>
      <w:r w:rsidRPr="00F6526C">
        <w:rPr>
          <w:rFonts w:eastAsia="Times New Roman"/>
          <w:snapToGrid/>
          <w:spacing w:val="-4"/>
          <w:szCs w:val="22"/>
          <w:lang w:val="hu-HU" w:eastAsia="en-US"/>
        </w:rPr>
        <w:t>Az i</w:t>
      </w:r>
      <w:r w:rsidRPr="00F6526C">
        <w:rPr>
          <w:rFonts w:eastAsia="Times New Roman"/>
          <w:snapToGrid/>
          <w:szCs w:val="22"/>
          <w:lang w:val="hu-HU" w:eastAsia="en-US"/>
        </w:rPr>
        <w:t>bup</w:t>
      </w:r>
      <w:r w:rsidRPr="00F6526C">
        <w:rPr>
          <w:rFonts w:eastAsia="Times New Roman"/>
          <w:snapToGrid/>
          <w:spacing w:val="1"/>
          <w:szCs w:val="22"/>
          <w:lang w:val="hu-HU" w:eastAsia="en-US"/>
        </w:rPr>
        <w:t>r</w:t>
      </w:r>
      <w:r w:rsidRPr="00F6526C">
        <w:rPr>
          <w:rFonts w:eastAsia="Times New Roman"/>
          <w:snapToGrid/>
          <w:szCs w:val="22"/>
          <w:lang w:val="hu-HU" w:eastAsia="en-US"/>
        </w:rPr>
        <w:t>o</w:t>
      </w:r>
      <w:r w:rsidRPr="00F6526C">
        <w:rPr>
          <w:rFonts w:eastAsia="Times New Roman"/>
          <w:snapToGrid/>
          <w:spacing w:val="1"/>
          <w:szCs w:val="22"/>
          <w:lang w:val="hu-HU" w:eastAsia="en-US"/>
        </w:rPr>
        <w:t>f</w:t>
      </w:r>
      <w:r w:rsidRPr="00F6526C">
        <w:rPr>
          <w:rFonts w:eastAsia="Times New Roman"/>
          <w:snapToGrid/>
          <w:szCs w:val="22"/>
          <w:lang w:val="hu-HU" w:eastAsia="en-US"/>
        </w:rPr>
        <w:t xml:space="preserve">en </w:t>
      </w:r>
      <w:r w:rsidRPr="00F6526C">
        <w:rPr>
          <w:rFonts w:eastAsia="Times New Roman"/>
          <w:snapToGrid/>
          <w:spacing w:val="1"/>
          <w:szCs w:val="22"/>
          <w:lang w:val="hu-HU" w:eastAsia="en-US"/>
        </w:rPr>
        <w:t xml:space="preserve">kiterjedten </w:t>
      </w:r>
      <w:r w:rsidRPr="00F6526C">
        <w:rPr>
          <w:rFonts w:eastAsia="Times New Roman"/>
          <w:bCs/>
          <w:iCs/>
          <w:snapToGrid/>
          <w:color w:val="000000"/>
          <w:spacing w:val="-2"/>
          <w:szCs w:val="22"/>
          <w:lang w:val="hu-HU" w:eastAsia="en-US"/>
        </w:rPr>
        <w:t>metaboli</w:t>
      </w:r>
      <w:r w:rsidRPr="00F6526C">
        <w:rPr>
          <w:rFonts w:eastAsia="Times New Roman"/>
          <w:snapToGrid/>
          <w:spacing w:val="1"/>
          <w:szCs w:val="22"/>
          <w:lang w:val="hu-HU" w:eastAsia="en-US"/>
        </w:rPr>
        <w:t xml:space="preserve">zálódik a májban inaktív </w:t>
      </w:r>
      <w:r w:rsidRPr="00F6526C">
        <w:rPr>
          <w:rFonts w:eastAsia="Times New Roman"/>
          <w:bCs/>
          <w:iCs/>
          <w:snapToGrid/>
          <w:spacing w:val="-2"/>
          <w:szCs w:val="22"/>
          <w:lang w:val="hu-HU" w:eastAsia="en-US"/>
        </w:rPr>
        <w:t>vegyület</w:t>
      </w:r>
      <w:r w:rsidRPr="00F6526C">
        <w:rPr>
          <w:rFonts w:eastAsia="Times New Roman"/>
          <w:snapToGrid/>
          <w:spacing w:val="1"/>
          <w:szCs w:val="22"/>
          <w:lang w:val="hu-HU" w:eastAsia="en-US"/>
        </w:rPr>
        <w:t>ekké, főleg glükuronidációval</w:t>
      </w:r>
      <w:r w:rsidRPr="00F6526C">
        <w:rPr>
          <w:rFonts w:eastAsia="Times New Roman"/>
          <w:snapToGrid/>
          <w:szCs w:val="22"/>
          <w:lang w:val="hu-HU" w:eastAsia="en-US"/>
        </w:rPr>
        <w:t>.</w:t>
      </w:r>
    </w:p>
    <w:p w14:paraId="2D6E2AF3" w14:textId="77777777" w:rsidR="00A14720" w:rsidRPr="00F6526C" w:rsidRDefault="00A14720" w:rsidP="00E8277D">
      <w:pPr>
        <w:autoSpaceDE w:val="0"/>
        <w:autoSpaceDN w:val="0"/>
        <w:adjustRightInd w:val="0"/>
        <w:spacing w:line="271" w:lineRule="auto"/>
        <w:rPr>
          <w:rFonts w:eastAsia="Times New Roman"/>
          <w:snapToGrid/>
          <w:szCs w:val="22"/>
          <w:lang w:val="hu-HU" w:eastAsia="en-US"/>
        </w:rPr>
      </w:pPr>
    </w:p>
    <w:p w14:paraId="76726A2A" w14:textId="50278DF6" w:rsidR="00A14720" w:rsidRPr="00F6526C" w:rsidRDefault="00A14720" w:rsidP="00E8277D">
      <w:pPr>
        <w:autoSpaceDE w:val="0"/>
        <w:autoSpaceDN w:val="0"/>
        <w:adjustRightInd w:val="0"/>
        <w:spacing w:line="271" w:lineRule="auto"/>
        <w:rPr>
          <w:rFonts w:eastAsia="Times New Roman"/>
          <w:snapToGrid/>
          <w:spacing w:val="-4"/>
          <w:szCs w:val="22"/>
          <w:lang w:val="hu-HU" w:eastAsia="en-US"/>
        </w:rPr>
      </w:pPr>
      <w:r w:rsidRPr="00F6526C">
        <w:rPr>
          <w:rFonts w:eastAsia="Times New Roman"/>
          <w:snapToGrid/>
          <w:spacing w:val="-4"/>
          <w:szCs w:val="22"/>
          <w:lang w:val="hu-HU" w:eastAsia="en-US"/>
        </w:rPr>
        <w:t xml:space="preserve">Egy egydózisos </w:t>
      </w:r>
      <w:r w:rsidRPr="00F6526C">
        <w:rPr>
          <w:rFonts w:eastAsia="Times New Roman"/>
          <w:bCs/>
          <w:iCs/>
          <w:snapToGrid/>
          <w:spacing w:val="-2"/>
          <w:szCs w:val="22"/>
          <w:lang w:val="hu-HU" w:eastAsia="en-US"/>
        </w:rPr>
        <w:t xml:space="preserve">klinikai vizsgálatban az ibuprofénnek a paracetamol oxidatív </w:t>
      </w:r>
      <w:r w:rsidRPr="00F6526C">
        <w:rPr>
          <w:rFonts w:eastAsia="Times New Roman"/>
          <w:bCs/>
          <w:iCs/>
          <w:snapToGrid/>
          <w:color w:val="000000"/>
          <w:spacing w:val="-2"/>
          <w:szCs w:val="22"/>
          <w:lang w:val="hu-HU" w:eastAsia="en-US"/>
        </w:rPr>
        <w:t>metaboli</w:t>
      </w:r>
      <w:r w:rsidRPr="00F6526C">
        <w:rPr>
          <w:rFonts w:eastAsia="Times New Roman"/>
          <w:bCs/>
          <w:iCs/>
          <w:snapToGrid/>
          <w:spacing w:val="-2"/>
          <w:szCs w:val="22"/>
          <w:lang w:val="hu-HU" w:eastAsia="en-US"/>
        </w:rPr>
        <w:t xml:space="preserve">zmusára gyakorolt </w:t>
      </w:r>
      <w:r w:rsidRPr="00F6526C">
        <w:rPr>
          <w:rFonts w:eastAsia="Times New Roman"/>
          <w:bCs/>
          <w:iCs/>
          <w:snapToGrid/>
          <w:color w:val="000000"/>
          <w:spacing w:val="-2"/>
          <w:szCs w:val="22"/>
          <w:lang w:val="hu-HU" w:eastAsia="en-US"/>
        </w:rPr>
        <w:t>hatás</w:t>
      </w:r>
      <w:r w:rsidRPr="00F6526C">
        <w:rPr>
          <w:rFonts w:eastAsia="Times New Roman"/>
          <w:bCs/>
          <w:iCs/>
          <w:snapToGrid/>
          <w:spacing w:val="-2"/>
          <w:szCs w:val="22"/>
          <w:lang w:val="hu-HU" w:eastAsia="en-US"/>
        </w:rPr>
        <w:t xml:space="preserve">át értékelték ki egészséges önkéntesekben, éhgyomri körülmények között. A vizsgálat </w:t>
      </w:r>
      <w:r w:rsidRPr="00F6526C">
        <w:rPr>
          <w:rFonts w:eastAsia="Times New Roman"/>
          <w:bCs/>
          <w:iCs/>
          <w:snapToGrid/>
          <w:color w:val="000000"/>
          <w:spacing w:val="-2"/>
          <w:w w:val="102"/>
          <w:szCs w:val="22"/>
          <w:lang w:val="hu-HU" w:eastAsia="en-US"/>
        </w:rPr>
        <w:t>eredmény</w:t>
      </w:r>
      <w:r w:rsidRPr="00F6526C">
        <w:rPr>
          <w:rFonts w:eastAsia="Times New Roman"/>
          <w:bCs/>
          <w:iCs/>
          <w:snapToGrid/>
          <w:spacing w:val="-2"/>
          <w:szCs w:val="22"/>
          <w:lang w:val="hu-HU" w:eastAsia="en-US"/>
        </w:rPr>
        <w:t xml:space="preserve">ei azt mutatták, hogy az ibuprofén nem </w:t>
      </w:r>
      <w:r w:rsidRPr="00F6526C">
        <w:rPr>
          <w:rFonts w:eastAsia="Times New Roman"/>
          <w:bCs/>
          <w:iCs/>
          <w:snapToGrid/>
          <w:color w:val="000000"/>
          <w:spacing w:val="-2"/>
          <w:szCs w:val="22"/>
          <w:lang w:val="hu-HU" w:eastAsia="en-US"/>
        </w:rPr>
        <w:t>változ</w:t>
      </w:r>
      <w:r w:rsidRPr="00F6526C">
        <w:rPr>
          <w:rFonts w:eastAsia="Times New Roman"/>
          <w:bCs/>
          <w:iCs/>
          <w:snapToGrid/>
          <w:spacing w:val="-2"/>
          <w:szCs w:val="22"/>
          <w:lang w:val="hu-HU" w:eastAsia="en-US"/>
        </w:rPr>
        <w:t xml:space="preserve">tatta meg a paracetamol oxidatív </w:t>
      </w:r>
      <w:r w:rsidRPr="00F6526C">
        <w:rPr>
          <w:rFonts w:eastAsia="Times New Roman"/>
          <w:bCs/>
          <w:iCs/>
          <w:snapToGrid/>
          <w:color w:val="000000"/>
          <w:spacing w:val="-2"/>
          <w:szCs w:val="22"/>
          <w:lang w:val="hu-HU" w:eastAsia="en-US"/>
        </w:rPr>
        <w:t>metaboli</w:t>
      </w:r>
      <w:r w:rsidRPr="00F6526C">
        <w:rPr>
          <w:rFonts w:eastAsia="Times New Roman"/>
          <w:bCs/>
          <w:iCs/>
          <w:snapToGrid/>
          <w:spacing w:val="-2"/>
          <w:szCs w:val="22"/>
          <w:lang w:val="hu-HU" w:eastAsia="en-US"/>
        </w:rPr>
        <w:t xml:space="preserve">zmuson áteső </w:t>
      </w:r>
      <w:r w:rsidRPr="00F6526C">
        <w:rPr>
          <w:rFonts w:eastAsia="Times New Roman"/>
          <w:bCs/>
          <w:iCs/>
          <w:snapToGrid/>
          <w:color w:val="000000"/>
          <w:spacing w:val="-2"/>
          <w:szCs w:val="22"/>
          <w:lang w:val="hu-HU" w:eastAsia="en-US"/>
        </w:rPr>
        <w:t>mennyiség</w:t>
      </w:r>
      <w:r w:rsidRPr="00F6526C">
        <w:rPr>
          <w:rFonts w:eastAsia="Times New Roman"/>
          <w:bCs/>
          <w:iCs/>
          <w:snapToGrid/>
          <w:spacing w:val="-2"/>
          <w:szCs w:val="22"/>
          <w:lang w:val="hu-HU" w:eastAsia="en-US"/>
        </w:rPr>
        <w:t xml:space="preserve">ét, mivel a paracetamol és </w:t>
      </w:r>
      <w:r w:rsidRPr="00F6526C">
        <w:rPr>
          <w:rFonts w:eastAsia="Times New Roman"/>
          <w:bCs/>
          <w:iCs/>
          <w:snapToGrid/>
          <w:color w:val="000000"/>
          <w:spacing w:val="-2"/>
          <w:szCs w:val="22"/>
          <w:lang w:val="hu-HU" w:eastAsia="en-US"/>
        </w:rPr>
        <w:t>metabolit</w:t>
      </w:r>
      <w:r w:rsidRPr="00F6526C">
        <w:rPr>
          <w:rFonts w:eastAsia="Times New Roman"/>
          <w:bCs/>
          <w:iCs/>
          <w:snapToGrid/>
          <w:spacing w:val="-2"/>
          <w:szCs w:val="22"/>
          <w:lang w:val="hu-HU" w:eastAsia="en-US"/>
        </w:rPr>
        <w:t xml:space="preserve">jai (merkapturát-, </w:t>
      </w:r>
      <w:r w:rsidRPr="00F6526C">
        <w:rPr>
          <w:rFonts w:eastAsia="Times New Roman"/>
          <w:bCs/>
          <w:iCs/>
          <w:snapToGrid/>
          <w:color w:val="000000"/>
          <w:spacing w:val="-2"/>
          <w:szCs w:val="22"/>
          <w:lang w:val="hu-HU" w:eastAsia="en-US"/>
        </w:rPr>
        <w:t>cisztein</w:t>
      </w:r>
      <w:r w:rsidRPr="00F6526C">
        <w:rPr>
          <w:rFonts w:eastAsia="Times New Roman"/>
          <w:bCs/>
          <w:iCs/>
          <w:snapToGrid/>
          <w:spacing w:val="-2"/>
          <w:szCs w:val="22"/>
          <w:lang w:val="hu-HU" w:eastAsia="en-US"/>
        </w:rPr>
        <w:t xml:space="preserve">-, glükuronid- és szulfát-paracetamol) </w:t>
      </w:r>
      <w:r w:rsidRPr="00F6526C">
        <w:rPr>
          <w:rFonts w:eastAsia="Times New Roman"/>
          <w:bCs/>
          <w:iCs/>
          <w:snapToGrid/>
          <w:color w:val="000000"/>
          <w:spacing w:val="-2"/>
          <w:szCs w:val="22"/>
          <w:lang w:val="hu-HU" w:eastAsia="en-US"/>
        </w:rPr>
        <w:t>mennyiség</w:t>
      </w:r>
      <w:r w:rsidRPr="00F6526C">
        <w:rPr>
          <w:rFonts w:eastAsia="Times New Roman"/>
          <w:bCs/>
          <w:iCs/>
          <w:snapToGrid/>
          <w:spacing w:val="-2"/>
          <w:szCs w:val="22"/>
          <w:lang w:val="hu-HU" w:eastAsia="en-US"/>
        </w:rPr>
        <w:t>e hasonló volt, ha önmagában, paracetamolként adták be, valamint ha ibuprofénnel egyszerre (</w:t>
      </w:r>
      <w:r w:rsidR="000A752B">
        <w:rPr>
          <w:rFonts w:eastAsia="Times New Roman"/>
          <w:bCs/>
          <w:iCs/>
          <w:snapToGrid/>
          <w:color w:val="000000"/>
          <w:spacing w:val="-2"/>
          <w:kern w:val="2"/>
          <w:szCs w:val="22"/>
          <w:lang w:val="hu-HU" w:eastAsia="en-US"/>
        </w:rPr>
        <w:t>fix</w:t>
      </w:r>
      <w:r w:rsidR="000A752B" w:rsidRPr="00F6526C">
        <w:rPr>
          <w:rFonts w:eastAsia="Times New Roman"/>
          <w:bCs/>
          <w:iCs/>
          <w:snapToGrid/>
          <w:spacing w:val="-2"/>
          <w:szCs w:val="22"/>
          <w:lang w:val="hu-HU" w:eastAsia="en-US"/>
        </w:rPr>
        <w:t xml:space="preserve"> </w:t>
      </w:r>
      <w:r w:rsidRPr="00F6526C">
        <w:rPr>
          <w:rFonts w:eastAsia="Times New Roman"/>
          <w:bCs/>
          <w:iCs/>
          <w:snapToGrid/>
          <w:color w:val="000000"/>
          <w:spacing w:val="-2"/>
          <w:szCs w:val="22"/>
          <w:lang w:val="hu-HU" w:eastAsia="en-US"/>
        </w:rPr>
        <w:t>kombiná</w:t>
      </w:r>
      <w:r w:rsidRPr="00F6526C">
        <w:rPr>
          <w:rFonts w:eastAsia="Times New Roman"/>
          <w:bCs/>
          <w:iCs/>
          <w:snapToGrid/>
          <w:spacing w:val="-2"/>
          <w:szCs w:val="22"/>
          <w:lang w:val="hu-HU" w:eastAsia="en-US"/>
        </w:rPr>
        <w:t>ció) adták be.</w:t>
      </w:r>
    </w:p>
    <w:p w14:paraId="1E5FCED0" w14:textId="77777777" w:rsidR="00A14720" w:rsidRPr="00F6526C" w:rsidRDefault="00A14720" w:rsidP="00E8277D">
      <w:pPr>
        <w:autoSpaceDE w:val="0"/>
        <w:autoSpaceDN w:val="0"/>
        <w:adjustRightInd w:val="0"/>
        <w:spacing w:line="271" w:lineRule="auto"/>
        <w:rPr>
          <w:rFonts w:eastAsia="Times New Roman"/>
          <w:snapToGrid/>
          <w:szCs w:val="22"/>
          <w:lang w:val="hu-HU" w:eastAsia="en-US"/>
        </w:rPr>
      </w:pPr>
    </w:p>
    <w:p w14:paraId="5C8DB749" w14:textId="77777777" w:rsidR="00A14720" w:rsidRPr="00F6526C" w:rsidRDefault="00A14720" w:rsidP="004017C1">
      <w:pPr>
        <w:autoSpaceDE w:val="0"/>
        <w:autoSpaceDN w:val="0"/>
        <w:adjustRightInd w:val="0"/>
        <w:spacing w:line="240" w:lineRule="auto"/>
        <w:outlineLvl w:val="2"/>
        <w:rPr>
          <w:rFonts w:eastAsia="Times New Roman"/>
          <w:snapToGrid/>
          <w:szCs w:val="22"/>
          <w:u w:val="single"/>
          <w:lang w:val="hu-HU" w:eastAsia="en-US"/>
        </w:rPr>
      </w:pPr>
      <w:r w:rsidRPr="00F6526C">
        <w:rPr>
          <w:rFonts w:eastAsia="Times New Roman"/>
          <w:snapToGrid/>
          <w:szCs w:val="22"/>
          <w:u w:val="single"/>
          <w:lang w:val="hu-HU" w:eastAsia="en-US"/>
        </w:rPr>
        <w:t>E</w:t>
      </w:r>
      <w:r w:rsidRPr="00F6526C">
        <w:rPr>
          <w:rFonts w:eastAsia="Times New Roman"/>
          <w:snapToGrid/>
          <w:spacing w:val="1"/>
          <w:szCs w:val="22"/>
          <w:u w:val="single"/>
          <w:lang w:val="hu-HU" w:eastAsia="en-US"/>
        </w:rPr>
        <w:t>li</w:t>
      </w:r>
      <w:r w:rsidRPr="00F6526C">
        <w:rPr>
          <w:rFonts w:eastAsia="Times New Roman"/>
          <w:snapToGrid/>
          <w:spacing w:val="-4"/>
          <w:szCs w:val="22"/>
          <w:u w:val="single"/>
          <w:lang w:val="hu-HU" w:eastAsia="en-US"/>
        </w:rPr>
        <w:t>m</w:t>
      </w:r>
      <w:r w:rsidRPr="00F6526C">
        <w:rPr>
          <w:rFonts w:eastAsia="Times New Roman"/>
          <w:snapToGrid/>
          <w:spacing w:val="1"/>
          <w:szCs w:val="22"/>
          <w:u w:val="single"/>
          <w:lang w:val="hu-HU" w:eastAsia="en-US"/>
        </w:rPr>
        <w:t>i</w:t>
      </w:r>
      <w:r w:rsidRPr="00F6526C">
        <w:rPr>
          <w:rFonts w:eastAsia="Times New Roman"/>
          <w:snapToGrid/>
          <w:szCs w:val="22"/>
          <w:u w:val="single"/>
          <w:lang w:val="hu-HU" w:eastAsia="en-US"/>
        </w:rPr>
        <w:t>náció</w:t>
      </w:r>
    </w:p>
    <w:p w14:paraId="43BD4E6D" w14:textId="77777777" w:rsidR="00A14720" w:rsidRPr="00F6526C" w:rsidRDefault="00A14720" w:rsidP="004017C1">
      <w:pPr>
        <w:autoSpaceDE w:val="0"/>
        <w:autoSpaceDN w:val="0"/>
        <w:adjustRightInd w:val="0"/>
        <w:spacing w:line="240" w:lineRule="auto"/>
        <w:rPr>
          <w:rFonts w:eastAsia="Times New Roman"/>
          <w:snapToGrid/>
          <w:szCs w:val="22"/>
          <w:lang w:val="hu-HU" w:eastAsia="en-US"/>
        </w:rPr>
      </w:pPr>
      <w:r w:rsidRPr="00F6526C">
        <w:rPr>
          <w:rFonts w:eastAsia="Times New Roman"/>
          <w:snapToGrid/>
          <w:szCs w:val="22"/>
          <w:lang w:val="hu-HU" w:eastAsia="en-US"/>
        </w:rPr>
        <w:t>A pa</w:t>
      </w:r>
      <w:r w:rsidRPr="00F6526C">
        <w:rPr>
          <w:rFonts w:eastAsia="Times New Roman"/>
          <w:snapToGrid/>
          <w:spacing w:val="1"/>
          <w:szCs w:val="22"/>
          <w:lang w:val="hu-HU" w:eastAsia="en-US"/>
        </w:rPr>
        <w:t>r</w:t>
      </w:r>
      <w:r w:rsidRPr="00F6526C">
        <w:rPr>
          <w:rFonts w:eastAsia="Times New Roman"/>
          <w:snapToGrid/>
          <w:szCs w:val="22"/>
          <w:lang w:val="hu-HU" w:eastAsia="en-US"/>
        </w:rPr>
        <w:t>ace</w:t>
      </w:r>
      <w:r w:rsidRPr="00F6526C">
        <w:rPr>
          <w:rFonts w:eastAsia="Times New Roman"/>
          <w:snapToGrid/>
          <w:spacing w:val="1"/>
          <w:szCs w:val="22"/>
          <w:lang w:val="hu-HU" w:eastAsia="en-US"/>
        </w:rPr>
        <w:t>t</w:t>
      </w:r>
      <w:r w:rsidRPr="00F6526C">
        <w:rPr>
          <w:rFonts w:eastAsia="Times New Roman"/>
          <w:snapToGrid/>
          <w:szCs w:val="22"/>
          <w:lang w:val="hu-HU" w:eastAsia="en-US"/>
        </w:rPr>
        <w:t>a</w:t>
      </w:r>
      <w:r w:rsidRPr="00F6526C">
        <w:rPr>
          <w:rFonts w:eastAsia="Times New Roman"/>
          <w:snapToGrid/>
          <w:spacing w:val="-4"/>
          <w:szCs w:val="22"/>
          <w:lang w:val="hu-HU" w:eastAsia="en-US"/>
        </w:rPr>
        <w:t>m</w:t>
      </w:r>
      <w:r w:rsidRPr="00F6526C">
        <w:rPr>
          <w:rFonts w:eastAsia="Times New Roman"/>
          <w:snapToGrid/>
          <w:szCs w:val="22"/>
          <w:lang w:val="hu-HU" w:eastAsia="en-US"/>
        </w:rPr>
        <w:t>ol</w:t>
      </w:r>
      <w:r w:rsidRPr="00F6526C">
        <w:rPr>
          <w:rFonts w:eastAsia="Times New Roman"/>
          <w:snapToGrid/>
          <w:spacing w:val="1"/>
          <w:szCs w:val="22"/>
          <w:lang w:val="hu-HU" w:eastAsia="en-US"/>
        </w:rPr>
        <w:t xml:space="preserve"> </w:t>
      </w:r>
      <w:r w:rsidRPr="00F6526C">
        <w:rPr>
          <w:rFonts w:eastAsia="Times New Roman"/>
          <w:snapToGrid/>
          <w:szCs w:val="22"/>
          <w:lang w:val="hu-HU" w:eastAsia="en-US"/>
        </w:rPr>
        <w:t>e</w:t>
      </w:r>
      <w:r w:rsidRPr="00F6526C">
        <w:rPr>
          <w:rFonts w:eastAsia="Times New Roman"/>
          <w:snapToGrid/>
          <w:spacing w:val="1"/>
          <w:szCs w:val="22"/>
          <w:lang w:val="hu-HU" w:eastAsia="en-US"/>
        </w:rPr>
        <w:t>li</w:t>
      </w:r>
      <w:r w:rsidRPr="00F6526C">
        <w:rPr>
          <w:rFonts w:eastAsia="Times New Roman"/>
          <w:snapToGrid/>
          <w:spacing w:val="-4"/>
          <w:szCs w:val="22"/>
          <w:lang w:val="hu-HU" w:eastAsia="en-US"/>
        </w:rPr>
        <w:t>m</w:t>
      </w:r>
      <w:r w:rsidRPr="00F6526C">
        <w:rPr>
          <w:rFonts w:eastAsia="Times New Roman"/>
          <w:snapToGrid/>
          <w:spacing w:val="1"/>
          <w:szCs w:val="22"/>
          <w:lang w:val="hu-HU" w:eastAsia="en-US"/>
        </w:rPr>
        <w:t>i</w:t>
      </w:r>
      <w:r w:rsidRPr="00F6526C">
        <w:rPr>
          <w:rFonts w:eastAsia="Times New Roman"/>
          <w:snapToGrid/>
          <w:szCs w:val="22"/>
          <w:lang w:val="hu-HU" w:eastAsia="en-US"/>
        </w:rPr>
        <w:t xml:space="preserve">nációs </w:t>
      </w:r>
      <w:r w:rsidRPr="00F6526C">
        <w:rPr>
          <w:rFonts w:eastAsia="Times New Roman"/>
          <w:iCs/>
          <w:snapToGrid/>
          <w:color w:val="000000"/>
          <w:szCs w:val="22"/>
          <w:lang w:val="hu-HU" w:eastAsia="en-US"/>
        </w:rPr>
        <w:t>felezési id</w:t>
      </w:r>
      <w:r w:rsidRPr="00F6526C">
        <w:rPr>
          <w:rFonts w:eastAsia="Times New Roman"/>
          <w:snapToGrid/>
          <w:szCs w:val="22"/>
          <w:lang w:val="hu-HU" w:eastAsia="en-US"/>
        </w:rPr>
        <w:t xml:space="preserve">eje </w:t>
      </w:r>
      <w:r w:rsidRPr="00F6526C">
        <w:rPr>
          <w:rFonts w:eastAsia="Times New Roman"/>
          <w:bCs/>
          <w:iCs/>
          <w:snapToGrid/>
          <w:szCs w:val="22"/>
          <w:lang w:val="hu-HU" w:eastAsia="en-US"/>
        </w:rPr>
        <w:t>körülbelül</w:t>
      </w:r>
      <w:r w:rsidRPr="00F6526C">
        <w:rPr>
          <w:rFonts w:eastAsia="Times New Roman"/>
          <w:snapToGrid/>
          <w:szCs w:val="22"/>
          <w:lang w:val="hu-HU" w:eastAsia="en-US"/>
        </w:rPr>
        <w:t xml:space="preserve"> 1 és 3 óra között </w:t>
      </w:r>
      <w:r w:rsidRPr="00F6526C">
        <w:rPr>
          <w:rFonts w:eastAsia="Times New Roman"/>
          <w:bCs/>
          <w:iCs/>
          <w:snapToGrid/>
          <w:color w:val="000000"/>
          <w:spacing w:val="-2"/>
          <w:szCs w:val="22"/>
          <w:lang w:val="hu-HU" w:eastAsia="en-US"/>
        </w:rPr>
        <w:t>változ</w:t>
      </w:r>
      <w:r w:rsidRPr="00F6526C">
        <w:rPr>
          <w:rFonts w:eastAsia="Times New Roman"/>
          <w:snapToGrid/>
          <w:szCs w:val="22"/>
          <w:lang w:val="hu-HU" w:eastAsia="en-US"/>
        </w:rPr>
        <w:t>ik.</w:t>
      </w:r>
    </w:p>
    <w:p w14:paraId="50767C72" w14:textId="77777777" w:rsidR="00A14720" w:rsidRPr="00F6526C" w:rsidRDefault="00A14720" w:rsidP="00E8277D">
      <w:pPr>
        <w:autoSpaceDE w:val="0"/>
        <w:autoSpaceDN w:val="0"/>
        <w:adjustRightInd w:val="0"/>
        <w:spacing w:line="271" w:lineRule="auto"/>
        <w:rPr>
          <w:rFonts w:eastAsia="Times New Roman"/>
          <w:snapToGrid/>
          <w:szCs w:val="22"/>
          <w:lang w:val="hu-HU" w:eastAsia="en-US"/>
        </w:rPr>
      </w:pPr>
    </w:p>
    <w:p w14:paraId="6C90FAE0" w14:textId="1D53162F" w:rsidR="00A14720" w:rsidRPr="00F6526C" w:rsidRDefault="00A14720" w:rsidP="00E8277D">
      <w:pPr>
        <w:autoSpaceDE w:val="0"/>
        <w:autoSpaceDN w:val="0"/>
        <w:adjustRightInd w:val="0"/>
        <w:spacing w:line="271" w:lineRule="auto"/>
        <w:rPr>
          <w:rFonts w:eastAsia="Times New Roman"/>
          <w:snapToGrid/>
          <w:szCs w:val="22"/>
          <w:lang w:val="hu-HU" w:eastAsia="en-US"/>
        </w:rPr>
      </w:pPr>
      <w:r w:rsidRPr="00F6526C">
        <w:rPr>
          <w:rFonts w:eastAsia="Times New Roman"/>
          <w:snapToGrid/>
          <w:spacing w:val="-1"/>
          <w:szCs w:val="22"/>
          <w:lang w:val="hu-HU" w:eastAsia="en-US"/>
        </w:rPr>
        <w:lastRenderedPageBreak/>
        <w:t xml:space="preserve">Mind az </w:t>
      </w:r>
      <w:r w:rsidRPr="00F6526C">
        <w:rPr>
          <w:rFonts w:eastAsia="Times New Roman"/>
          <w:bCs/>
          <w:iCs/>
          <w:snapToGrid/>
          <w:color w:val="000000"/>
          <w:spacing w:val="-2"/>
          <w:szCs w:val="22"/>
          <w:lang w:val="hu-HU" w:eastAsia="en-US"/>
        </w:rPr>
        <w:t>inaktivál</w:t>
      </w:r>
      <w:r w:rsidRPr="00F6526C">
        <w:rPr>
          <w:rFonts w:eastAsia="Times New Roman"/>
          <w:snapToGrid/>
          <w:spacing w:val="-1"/>
          <w:szCs w:val="22"/>
          <w:lang w:val="hu-HU" w:eastAsia="en-US"/>
        </w:rPr>
        <w:t xml:space="preserve">t, mind egy </w:t>
      </w:r>
      <w:r w:rsidRPr="00F6526C">
        <w:rPr>
          <w:rFonts w:eastAsia="Times New Roman"/>
          <w:bCs/>
          <w:iCs/>
          <w:snapToGrid/>
          <w:color w:val="000000"/>
          <w:spacing w:val="-1"/>
          <w:szCs w:val="22"/>
          <w:lang w:val="hu-HU" w:eastAsia="en-US"/>
        </w:rPr>
        <w:t xml:space="preserve">kismennyiségű, </w:t>
      </w:r>
      <w:r w:rsidRPr="00F6526C">
        <w:rPr>
          <w:rFonts w:eastAsia="Times New Roman"/>
          <w:bCs/>
          <w:iCs/>
          <w:snapToGrid/>
          <w:color w:val="000000"/>
          <w:spacing w:val="-2"/>
          <w:szCs w:val="22"/>
          <w:lang w:val="hu-HU" w:eastAsia="en-US"/>
        </w:rPr>
        <w:t>változ</w:t>
      </w:r>
      <w:r w:rsidRPr="00F6526C">
        <w:rPr>
          <w:rFonts w:eastAsia="Times New Roman"/>
          <w:bCs/>
          <w:iCs/>
          <w:snapToGrid/>
          <w:color w:val="000000"/>
          <w:spacing w:val="-1"/>
          <w:szCs w:val="22"/>
          <w:lang w:val="hu-HU" w:eastAsia="en-US"/>
        </w:rPr>
        <w:t xml:space="preserve">atlan ibuprofént a vese gyorsan és teljesen kiválasztja, a beadott dózis 95%-a a lenyelés után 4 órán belül </w:t>
      </w:r>
      <w:r w:rsidRPr="00F6526C">
        <w:rPr>
          <w:rFonts w:eastAsia="Times New Roman"/>
          <w:bCs/>
          <w:iCs/>
          <w:snapToGrid/>
          <w:color w:val="000000"/>
          <w:spacing w:val="-2"/>
          <w:szCs w:val="22"/>
          <w:lang w:val="hu-HU" w:eastAsia="en-US"/>
        </w:rPr>
        <w:t>eliminál</w:t>
      </w:r>
      <w:r w:rsidRPr="00F6526C">
        <w:rPr>
          <w:rFonts w:eastAsia="Times New Roman"/>
          <w:bCs/>
          <w:iCs/>
          <w:snapToGrid/>
          <w:color w:val="000000"/>
          <w:spacing w:val="-1"/>
          <w:szCs w:val="22"/>
          <w:lang w:val="hu-HU" w:eastAsia="en-US"/>
        </w:rPr>
        <w:t xml:space="preserve">ódik a vizelettel. Az ibuprofén </w:t>
      </w:r>
      <w:r w:rsidRPr="00F6526C">
        <w:rPr>
          <w:rFonts w:eastAsia="Times New Roman"/>
          <w:bCs/>
          <w:iCs/>
          <w:snapToGrid/>
          <w:color w:val="000000"/>
          <w:spacing w:val="-2"/>
          <w:szCs w:val="22"/>
          <w:lang w:val="hu-HU" w:eastAsia="en-US"/>
        </w:rPr>
        <w:t>eliminációs felezési ideje az 1,9-2,2 órás tartományban van.</w:t>
      </w:r>
    </w:p>
    <w:p w14:paraId="10F55EEF" w14:textId="77777777" w:rsidR="00A14720" w:rsidRPr="00F6526C" w:rsidRDefault="00A14720" w:rsidP="00E8277D">
      <w:pPr>
        <w:autoSpaceDE w:val="0"/>
        <w:autoSpaceDN w:val="0"/>
        <w:adjustRightInd w:val="0"/>
        <w:spacing w:line="271" w:lineRule="auto"/>
        <w:rPr>
          <w:rFonts w:eastAsia="Times New Roman"/>
          <w:snapToGrid/>
          <w:szCs w:val="22"/>
          <w:lang w:val="hu-HU" w:eastAsia="en-US"/>
        </w:rPr>
      </w:pPr>
    </w:p>
    <w:p w14:paraId="3047BE88" w14:textId="77777777" w:rsidR="00A14720" w:rsidRPr="00F6526C" w:rsidRDefault="00A14720" w:rsidP="004017C1">
      <w:pPr>
        <w:autoSpaceDE w:val="0"/>
        <w:autoSpaceDN w:val="0"/>
        <w:adjustRightInd w:val="0"/>
        <w:spacing w:line="271" w:lineRule="auto"/>
        <w:outlineLvl w:val="1"/>
        <w:rPr>
          <w:rFonts w:eastAsia="Times New Roman"/>
          <w:b/>
          <w:snapToGrid/>
          <w:szCs w:val="22"/>
          <w:lang w:val="hu-HU" w:eastAsia="en-US"/>
        </w:rPr>
      </w:pPr>
      <w:r w:rsidRPr="00F6526C">
        <w:rPr>
          <w:rFonts w:eastAsia="Times New Roman"/>
          <w:b/>
          <w:snapToGrid/>
          <w:szCs w:val="22"/>
          <w:lang w:val="hu-HU" w:eastAsia="en-US"/>
        </w:rPr>
        <w:t>5.3</w:t>
      </w:r>
      <w:r w:rsidRPr="00F6526C">
        <w:rPr>
          <w:rFonts w:eastAsia="Times New Roman"/>
          <w:b/>
          <w:snapToGrid/>
          <w:szCs w:val="22"/>
          <w:lang w:val="hu-HU" w:eastAsia="en-US"/>
        </w:rPr>
        <w:tab/>
      </w:r>
      <w:r w:rsidRPr="00F6526C">
        <w:rPr>
          <w:rFonts w:eastAsia="Times New Roman"/>
          <w:b/>
          <w:snapToGrid/>
          <w:spacing w:val="2"/>
          <w:szCs w:val="22"/>
          <w:lang w:val="hu-HU" w:eastAsia="en-US"/>
        </w:rPr>
        <w:t>P</w:t>
      </w:r>
      <w:r w:rsidRPr="00F6526C">
        <w:rPr>
          <w:rFonts w:eastAsia="Times New Roman"/>
          <w:b/>
          <w:snapToGrid/>
          <w:szCs w:val="22"/>
          <w:lang w:val="hu-HU" w:eastAsia="en-US"/>
        </w:rPr>
        <w:t xml:space="preserve">reklinikai </w:t>
      </w:r>
      <w:r w:rsidRPr="00F6526C">
        <w:rPr>
          <w:rFonts w:eastAsia="Times New Roman"/>
          <w:b/>
          <w:bCs/>
          <w:iCs/>
          <w:snapToGrid/>
          <w:color w:val="000000"/>
          <w:spacing w:val="-2"/>
          <w:szCs w:val="22"/>
          <w:lang w:val="hu-HU" w:eastAsia="en-US"/>
        </w:rPr>
        <w:t>biztonság</w:t>
      </w:r>
      <w:r w:rsidRPr="00F6526C">
        <w:rPr>
          <w:rFonts w:eastAsia="Times New Roman"/>
          <w:b/>
          <w:snapToGrid/>
          <w:szCs w:val="22"/>
          <w:lang w:val="hu-HU" w:eastAsia="en-US"/>
        </w:rPr>
        <w:t>ossági adatok</w:t>
      </w:r>
    </w:p>
    <w:p w14:paraId="4B653ABA" w14:textId="77777777" w:rsidR="00A14720" w:rsidRPr="00F6526C" w:rsidRDefault="00A14720" w:rsidP="00E8277D">
      <w:pPr>
        <w:autoSpaceDE w:val="0"/>
        <w:autoSpaceDN w:val="0"/>
        <w:adjustRightInd w:val="0"/>
        <w:spacing w:line="271" w:lineRule="auto"/>
        <w:rPr>
          <w:rFonts w:eastAsia="Times New Roman"/>
          <w:snapToGrid/>
          <w:szCs w:val="22"/>
          <w:lang w:val="hu-HU" w:eastAsia="en-US"/>
        </w:rPr>
      </w:pPr>
    </w:p>
    <w:p w14:paraId="058ACAD0" w14:textId="737C2769" w:rsidR="00A14720" w:rsidRPr="00F6526C" w:rsidRDefault="00A14720" w:rsidP="00E8277D">
      <w:pPr>
        <w:autoSpaceDE w:val="0"/>
        <w:autoSpaceDN w:val="0"/>
        <w:adjustRightInd w:val="0"/>
        <w:spacing w:line="271" w:lineRule="auto"/>
        <w:rPr>
          <w:rFonts w:eastAsia="Times New Roman"/>
          <w:snapToGrid/>
          <w:szCs w:val="22"/>
          <w:lang w:val="hu-HU" w:eastAsia="en-US"/>
        </w:rPr>
      </w:pPr>
      <w:r w:rsidRPr="00F6526C">
        <w:rPr>
          <w:rFonts w:eastAsia="Times New Roman"/>
          <w:snapToGrid/>
          <w:szCs w:val="22"/>
          <w:lang w:val="hu-HU" w:eastAsia="en-US"/>
        </w:rPr>
        <w:t>Patkányok</w:t>
      </w:r>
      <w:r w:rsidR="008D6FFB">
        <w:rPr>
          <w:rFonts w:eastAsia="Times New Roman"/>
          <w:snapToGrid/>
          <w:szCs w:val="22"/>
          <w:lang w:val="hu-HU" w:eastAsia="en-US"/>
        </w:rPr>
        <w:t>on</w:t>
      </w:r>
      <w:r w:rsidRPr="00F6526C">
        <w:rPr>
          <w:rFonts w:eastAsia="Times New Roman"/>
          <w:snapToGrid/>
          <w:szCs w:val="22"/>
          <w:lang w:val="hu-HU" w:eastAsia="en-US"/>
        </w:rPr>
        <w:t xml:space="preserve"> végzett </w:t>
      </w:r>
      <w:r w:rsidRPr="00F6526C">
        <w:rPr>
          <w:rFonts w:eastAsia="Times New Roman"/>
          <w:bCs/>
          <w:iCs/>
          <w:snapToGrid/>
          <w:color w:val="000000"/>
          <w:spacing w:val="-2"/>
          <w:kern w:val="2"/>
          <w:szCs w:val="22"/>
          <w:lang w:val="hu-HU" w:eastAsia="en-US"/>
        </w:rPr>
        <w:t>egyszer</w:t>
      </w:r>
      <w:r w:rsidRPr="00F6526C">
        <w:rPr>
          <w:rFonts w:eastAsia="Times New Roman"/>
          <w:snapToGrid/>
          <w:szCs w:val="22"/>
          <w:lang w:val="hu-HU" w:eastAsia="en-US"/>
        </w:rPr>
        <w:t>es és ismételt-</w:t>
      </w:r>
      <w:r w:rsidRPr="00F6526C">
        <w:rPr>
          <w:rFonts w:eastAsia="Times New Roman"/>
          <w:snapToGrid/>
          <w:color w:val="000000"/>
          <w:szCs w:val="22"/>
          <w:lang w:val="hu-HU" w:eastAsia="en-US"/>
        </w:rPr>
        <w:t>dózis</w:t>
      </w:r>
      <w:r w:rsidRPr="00F6526C">
        <w:rPr>
          <w:rFonts w:eastAsia="Times New Roman"/>
          <w:snapToGrid/>
          <w:szCs w:val="22"/>
          <w:lang w:val="hu-HU" w:eastAsia="en-US"/>
        </w:rPr>
        <w:t xml:space="preserve">ú </w:t>
      </w:r>
      <w:r w:rsidRPr="00F6526C">
        <w:rPr>
          <w:rFonts w:eastAsia="Times New Roman"/>
          <w:snapToGrid/>
          <w:color w:val="000000"/>
          <w:szCs w:val="22"/>
          <w:lang w:val="hu-HU" w:eastAsia="en-US"/>
        </w:rPr>
        <w:t>dózis</w:t>
      </w:r>
      <w:r w:rsidRPr="00F6526C">
        <w:rPr>
          <w:rFonts w:eastAsia="Times New Roman"/>
          <w:snapToGrid/>
          <w:szCs w:val="22"/>
          <w:lang w:val="hu-HU" w:eastAsia="en-US"/>
        </w:rPr>
        <w:t xml:space="preserve">okban a paracetamol és az ibuprofén egyszerre </w:t>
      </w:r>
      <w:r w:rsidRPr="00F6526C">
        <w:rPr>
          <w:rFonts w:eastAsia="Times New Roman"/>
          <w:bCs/>
          <w:iCs/>
          <w:snapToGrid/>
          <w:color w:val="000000"/>
          <w:spacing w:val="-2"/>
          <w:szCs w:val="22"/>
          <w:lang w:val="hu-HU" w:eastAsia="en-US"/>
        </w:rPr>
        <w:t>történő</w:t>
      </w:r>
      <w:r w:rsidRPr="00F6526C">
        <w:rPr>
          <w:rFonts w:eastAsia="Times New Roman"/>
          <w:snapToGrid/>
          <w:szCs w:val="22"/>
          <w:lang w:val="hu-HU" w:eastAsia="en-US"/>
        </w:rPr>
        <w:t xml:space="preserve"> </w:t>
      </w:r>
      <w:r w:rsidRPr="00F6526C">
        <w:rPr>
          <w:rFonts w:eastAsia="Times New Roman"/>
          <w:bCs/>
          <w:iCs/>
          <w:snapToGrid/>
          <w:color w:val="000000"/>
          <w:spacing w:val="-2"/>
          <w:szCs w:val="22"/>
          <w:lang w:val="hu-HU" w:eastAsia="en-US"/>
        </w:rPr>
        <w:t>beadás</w:t>
      </w:r>
      <w:r w:rsidRPr="00F6526C">
        <w:rPr>
          <w:rFonts w:eastAsia="Times New Roman"/>
          <w:snapToGrid/>
          <w:szCs w:val="22"/>
          <w:lang w:val="hu-HU" w:eastAsia="en-US"/>
        </w:rPr>
        <w:t xml:space="preserve">a, az </w:t>
      </w:r>
      <w:r w:rsidR="006D4655">
        <w:rPr>
          <w:rFonts w:eastAsia="Times New Roman"/>
          <w:noProof/>
          <w:snapToGrid/>
          <w:szCs w:val="22"/>
          <w:lang w:val="hu-HU" w:eastAsia="en-US"/>
        </w:rPr>
        <w:t>Elomen</w:t>
      </w:r>
      <w:r w:rsidR="00F56C6A" w:rsidRPr="00F6526C">
        <w:rPr>
          <w:rFonts w:eastAsia="Times New Roman"/>
          <w:noProof/>
          <w:snapToGrid/>
          <w:szCs w:val="22"/>
          <w:lang w:val="hu-HU" w:eastAsia="en-US"/>
        </w:rPr>
        <w:t xml:space="preserve"> 1000 mg/300 mg oldatos infúzió</w:t>
      </w:r>
      <w:r w:rsidRPr="00F6526C">
        <w:rPr>
          <w:rFonts w:eastAsia="Times New Roman"/>
          <w:snapToGrid/>
          <w:szCs w:val="22"/>
          <w:lang w:val="hu-HU" w:eastAsia="en-US"/>
        </w:rPr>
        <w:t>n</w:t>
      </w:r>
      <w:r w:rsidR="00F56C6A" w:rsidRPr="00F6526C">
        <w:rPr>
          <w:rFonts w:eastAsia="Times New Roman"/>
          <w:snapToGrid/>
          <w:szCs w:val="22"/>
          <w:lang w:val="hu-HU" w:eastAsia="en-US"/>
        </w:rPr>
        <w:t>a</w:t>
      </w:r>
      <w:r w:rsidRPr="00F6526C">
        <w:rPr>
          <w:rFonts w:eastAsia="Times New Roman"/>
          <w:snapToGrid/>
          <w:szCs w:val="22"/>
          <w:lang w:val="hu-HU" w:eastAsia="en-US"/>
        </w:rPr>
        <w:t xml:space="preserve">k </w:t>
      </w:r>
      <w:r w:rsidRPr="00F6526C">
        <w:rPr>
          <w:rFonts w:eastAsia="Times New Roman"/>
          <w:bCs/>
          <w:iCs/>
          <w:snapToGrid/>
          <w:color w:val="000000"/>
          <w:spacing w:val="-2"/>
          <w:szCs w:val="22"/>
          <w:lang w:val="hu-HU" w:eastAsia="en-US"/>
        </w:rPr>
        <w:t>megfelelő</w:t>
      </w:r>
      <w:r w:rsidRPr="00F6526C">
        <w:rPr>
          <w:rFonts w:eastAsia="Times New Roman"/>
          <w:snapToGrid/>
          <w:szCs w:val="22"/>
          <w:lang w:val="hu-HU" w:eastAsia="en-US"/>
        </w:rPr>
        <w:t xml:space="preserve"> arányban (azaz a paracetamol-ibuprofén aránya 3,3-1), és olyan </w:t>
      </w:r>
      <w:r w:rsidRPr="00F6526C">
        <w:rPr>
          <w:rFonts w:eastAsia="Times New Roman"/>
          <w:iCs/>
          <w:snapToGrid/>
          <w:color w:val="000000"/>
          <w:szCs w:val="22"/>
          <w:lang w:val="hu-HU" w:eastAsia="en-US"/>
        </w:rPr>
        <w:t xml:space="preserve">dózisszinten, amely </w:t>
      </w:r>
      <w:r w:rsidRPr="00F6526C">
        <w:rPr>
          <w:rFonts w:eastAsia="Times New Roman"/>
          <w:bCs/>
          <w:iCs/>
          <w:snapToGrid/>
          <w:color w:val="000000"/>
          <w:szCs w:val="22"/>
          <w:lang w:val="hu-HU" w:eastAsia="en-US"/>
        </w:rPr>
        <w:t>körülbelül</w:t>
      </w:r>
      <w:r w:rsidRPr="00F6526C">
        <w:rPr>
          <w:rFonts w:eastAsia="Times New Roman"/>
          <w:iCs/>
          <w:snapToGrid/>
          <w:color w:val="000000"/>
          <w:szCs w:val="22"/>
          <w:lang w:val="hu-HU" w:eastAsia="en-US"/>
        </w:rPr>
        <w:t xml:space="preserve"> azonos azokkal, amiket a </w:t>
      </w:r>
      <w:r w:rsidRPr="00F6526C">
        <w:rPr>
          <w:rFonts w:eastAsia="Times New Roman"/>
          <w:bCs/>
          <w:iCs/>
          <w:snapToGrid/>
          <w:color w:val="000000"/>
          <w:szCs w:val="22"/>
          <w:lang w:val="hu-HU" w:eastAsia="en-US"/>
        </w:rPr>
        <w:t>beteg</w:t>
      </w:r>
      <w:r w:rsidRPr="00F6526C">
        <w:rPr>
          <w:rFonts w:eastAsia="Times New Roman"/>
          <w:iCs/>
          <w:snapToGrid/>
          <w:color w:val="000000"/>
          <w:szCs w:val="22"/>
          <w:lang w:val="hu-HU" w:eastAsia="en-US"/>
        </w:rPr>
        <w:t>ek akkor kapnának, ha a</w:t>
      </w:r>
      <w:r w:rsidR="00DD2DF7">
        <w:rPr>
          <w:rFonts w:eastAsia="Times New Roman"/>
          <w:iCs/>
          <w:snapToGrid/>
          <w:color w:val="000000"/>
          <w:szCs w:val="22"/>
          <w:lang w:val="hu-HU" w:eastAsia="en-US"/>
        </w:rPr>
        <w:t>z</w:t>
      </w:r>
      <w:r w:rsidRPr="00F6526C">
        <w:rPr>
          <w:rFonts w:eastAsia="Times New Roman"/>
          <w:iCs/>
          <w:snapToGrid/>
          <w:color w:val="000000"/>
          <w:szCs w:val="22"/>
          <w:lang w:val="hu-HU" w:eastAsia="en-US"/>
        </w:rPr>
        <w:t xml:space="preserve"> </w:t>
      </w:r>
      <w:r w:rsidR="006D4655">
        <w:rPr>
          <w:rFonts w:eastAsia="Times New Roman"/>
          <w:noProof/>
          <w:snapToGrid/>
          <w:szCs w:val="22"/>
          <w:lang w:val="hu-HU" w:eastAsia="en-US"/>
        </w:rPr>
        <w:t>Elomen</w:t>
      </w:r>
      <w:r w:rsidR="00F56C6A" w:rsidRPr="00F6526C">
        <w:rPr>
          <w:rFonts w:eastAsia="Times New Roman"/>
          <w:noProof/>
          <w:snapToGrid/>
          <w:szCs w:val="22"/>
          <w:lang w:val="hu-HU" w:eastAsia="en-US"/>
        </w:rPr>
        <w:t xml:space="preserve"> 1000 mg/300 mg oldatos infúzió</w:t>
      </w:r>
      <w:r w:rsidRPr="00F6526C">
        <w:rPr>
          <w:rFonts w:eastAsia="Times New Roman"/>
          <w:iCs/>
          <w:snapToGrid/>
          <w:color w:val="000000"/>
          <w:szCs w:val="22"/>
          <w:lang w:val="hu-HU" w:eastAsia="en-US"/>
        </w:rPr>
        <w:t xml:space="preserve">t a </w:t>
      </w:r>
      <w:r w:rsidRPr="00F6526C">
        <w:rPr>
          <w:rFonts w:eastAsia="Times New Roman"/>
          <w:bCs/>
          <w:iCs/>
          <w:snapToGrid/>
          <w:color w:val="000000"/>
          <w:spacing w:val="-2"/>
          <w:w w:val="102"/>
          <w:szCs w:val="22"/>
          <w:lang w:val="hu-HU" w:eastAsia="en-US"/>
        </w:rPr>
        <w:t>maximális</w:t>
      </w:r>
      <w:r w:rsidRPr="00F6526C">
        <w:rPr>
          <w:rFonts w:eastAsia="Times New Roman"/>
          <w:iCs/>
          <w:snapToGrid/>
          <w:color w:val="000000"/>
          <w:szCs w:val="22"/>
          <w:lang w:val="hu-HU" w:eastAsia="en-US"/>
        </w:rPr>
        <w:t xml:space="preserve"> ajánlott dózisban </w:t>
      </w:r>
      <w:r w:rsidRPr="00F6526C">
        <w:rPr>
          <w:rFonts w:eastAsia="Times New Roman"/>
          <w:bCs/>
          <w:iCs/>
          <w:snapToGrid/>
          <w:color w:val="000000"/>
          <w:spacing w:val="-2"/>
          <w:w w:val="102"/>
          <w:szCs w:val="22"/>
          <w:lang w:val="hu-HU" w:eastAsia="en-US"/>
        </w:rPr>
        <w:t>alkalmaz</w:t>
      </w:r>
      <w:r w:rsidRPr="00F6526C">
        <w:rPr>
          <w:rFonts w:eastAsia="Times New Roman"/>
          <w:iCs/>
          <w:snapToGrid/>
          <w:color w:val="000000"/>
          <w:szCs w:val="22"/>
          <w:lang w:val="hu-HU" w:eastAsia="en-US"/>
        </w:rPr>
        <w:t xml:space="preserve">nák, nem </w:t>
      </w:r>
      <w:r w:rsidRPr="00F6526C">
        <w:rPr>
          <w:rFonts w:eastAsia="Times New Roman"/>
          <w:bCs/>
          <w:iCs/>
          <w:snapToGrid/>
          <w:color w:val="000000"/>
          <w:spacing w:val="-2"/>
          <w:w w:val="102"/>
          <w:szCs w:val="22"/>
          <w:lang w:val="hu-HU" w:eastAsia="en-US"/>
        </w:rPr>
        <w:t>növel</w:t>
      </w:r>
      <w:r w:rsidRPr="00F6526C">
        <w:rPr>
          <w:rFonts w:eastAsia="Times New Roman"/>
          <w:bCs/>
          <w:iCs/>
          <w:snapToGrid/>
          <w:color w:val="000000"/>
          <w:spacing w:val="-2"/>
          <w:szCs w:val="22"/>
          <w:lang w:val="hu-HU" w:eastAsia="en-US"/>
        </w:rPr>
        <w:t>te meg az emésztőrendszeri vagy a vesetoxicitás kockázatát</w:t>
      </w:r>
      <w:r w:rsidRPr="00F6526C">
        <w:rPr>
          <w:rFonts w:eastAsia="Times New Roman"/>
          <w:snapToGrid/>
          <w:szCs w:val="22"/>
          <w:lang w:val="hu-HU" w:eastAsia="en-US"/>
        </w:rPr>
        <w:t>.</w:t>
      </w:r>
    </w:p>
    <w:p w14:paraId="38934DDA" w14:textId="77777777" w:rsidR="00A14720" w:rsidRPr="00F6526C" w:rsidRDefault="00A14720" w:rsidP="00E8277D">
      <w:pPr>
        <w:autoSpaceDE w:val="0"/>
        <w:autoSpaceDN w:val="0"/>
        <w:adjustRightInd w:val="0"/>
        <w:spacing w:line="271" w:lineRule="auto"/>
        <w:rPr>
          <w:rFonts w:eastAsia="Times New Roman"/>
          <w:snapToGrid/>
          <w:szCs w:val="22"/>
          <w:lang w:val="hu-HU" w:eastAsia="en-US"/>
        </w:rPr>
      </w:pPr>
    </w:p>
    <w:p w14:paraId="061E7832" w14:textId="7AD10197" w:rsidR="00A14720" w:rsidRPr="00F6526C" w:rsidRDefault="00A14720" w:rsidP="00E8277D">
      <w:pPr>
        <w:autoSpaceDE w:val="0"/>
        <w:autoSpaceDN w:val="0"/>
        <w:adjustRightInd w:val="0"/>
        <w:spacing w:line="271" w:lineRule="auto"/>
        <w:rPr>
          <w:rFonts w:eastAsia="Times New Roman"/>
          <w:snapToGrid/>
          <w:szCs w:val="22"/>
          <w:lang w:val="hu-HU" w:eastAsia="en-US"/>
        </w:rPr>
      </w:pPr>
      <w:r w:rsidRPr="00F6526C">
        <w:rPr>
          <w:rFonts w:eastAsia="Times New Roman"/>
          <w:snapToGrid/>
          <w:szCs w:val="22"/>
          <w:lang w:val="hu-HU" w:eastAsia="en-US"/>
        </w:rPr>
        <w:t>A</w:t>
      </w:r>
      <w:r w:rsidR="00DD2DF7">
        <w:rPr>
          <w:rFonts w:eastAsia="Times New Roman"/>
          <w:snapToGrid/>
          <w:szCs w:val="22"/>
          <w:lang w:val="hu-HU" w:eastAsia="en-US"/>
        </w:rPr>
        <w:t>z</w:t>
      </w:r>
      <w:r w:rsidRPr="00F6526C">
        <w:rPr>
          <w:rFonts w:eastAsia="Times New Roman"/>
          <w:snapToGrid/>
          <w:szCs w:val="22"/>
          <w:lang w:val="hu-HU" w:eastAsia="en-US"/>
        </w:rPr>
        <w:t xml:space="preserve"> </w:t>
      </w:r>
      <w:r w:rsidR="006D4655">
        <w:rPr>
          <w:rFonts w:eastAsia="Times New Roman"/>
          <w:noProof/>
          <w:snapToGrid/>
          <w:szCs w:val="22"/>
          <w:lang w:val="hu-HU" w:eastAsia="en-US"/>
        </w:rPr>
        <w:t>Elomen</w:t>
      </w:r>
      <w:r w:rsidR="00F56C6A" w:rsidRPr="00F6526C">
        <w:rPr>
          <w:rFonts w:eastAsia="Times New Roman"/>
          <w:noProof/>
          <w:snapToGrid/>
          <w:szCs w:val="22"/>
          <w:lang w:val="hu-HU" w:eastAsia="en-US"/>
        </w:rPr>
        <w:t xml:space="preserve"> 1000 mg/300 mg oldatos infúzió</w:t>
      </w:r>
      <w:r w:rsidR="00F56C6A" w:rsidRPr="00F6526C" w:rsidDel="00F56C6A">
        <w:rPr>
          <w:rFonts w:eastAsia="Times New Roman"/>
          <w:snapToGrid/>
          <w:szCs w:val="22"/>
          <w:lang w:val="hu-HU" w:eastAsia="en-US"/>
        </w:rPr>
        <w:t xml:space="preserve"> </w:t>
      </w:r>
      <w:r w:rsidRPr="00F6526C">
        <w:rPr>
          <w:rFonts w:eastAsia="Times New Roman"/>
          <w:bCs/>
          <w:iCs/>
          <w:snapToGrid/>
          <w:color w:val="000000"/>
          <w:spacing w:val="-2"/>
          <w:kern w:val="2"/>
          <w:szCs w:val="22"/>
          <w:lang w:val="hu-HU" w:eastAsia="en-US"/>
        </w:rPr>
        <w:t>egyszer</w:t>
      </w:r>
      <w:r w:rsidRPr="00F6526C">
        <w:rPr>
          <w:rFonts w:eastAsia="Times New Roman"/>
          <w:snapToGrid/>
          <w:szCs w:val="22"/>
          <w:lang w:val="hu-HU" w:eastAsia="en-US"/>
        </w:rPr>
        <w:t xml:space="preserve">i </w:t>
      </w:r>
      <w:r w:rsidRPr="00F6526C">
        <w:rPr>
          <w:rFonts w:eastAsia="Times New Roman"/>
          <w:bCs/>
          <w:iCs/>
          <w:snapToGrid/>
          <w:color w:val="000000"/>
          <w:spacing w:val="-2"/>
          <w:szCs w:val="22"/>
          <w:lang w:val="hu-HU" w:eastAsia="en-US"/>
        </w:rPr>
        <w:t>intravénás</w:t>
      </w:r>
      <w:r w:rsidRPr="00F6526C">
        <w:rPr>
          <w:rFonts w:eastAsia="Times New Roman"/>
          <w:snapToGrid/>
          <w:szCs w:val="22"/>
          <w:lang w:val="hu-HU" w:eastAsia="en-US"/>
        </w:rPr>
        <w:t xml:space="preserve"> vagy perivénás </w:t>
      </w:r>
      <w:r w:rsidRPr="00F6526C">
        <w:rPr>
          <w:rFonts w:eastAsia="Times New Roman"/>
          <w:snapToGrid/>
          <w:color w:val="000000"/>
          <w:szCs w:val="22"/>
          <w:lang w:val="hu-HU" w:eastAsia="en-US"/>
        </w:rPr>
        <w:t>dózis</w:t>
      </w:r>
      <w:r w:rsidRPr="00F6526C">
        <w:rPr>
          <w:rFonts w:eastAsia="Times New Roman"/>
          <w:snapToGrid/>
          <w:szCs w:val="22"/>
          <w:lang w:val="hu-HU" w:eastAsia="en-US"/>
        </w:rPr>
        <w:t xml:space="preserve">ainak </w:t>
      </w:r>
      <w:r w:rsidRPr="00F6526C">
        <w:rPr>
          <w:rFonts w:eastAsia="Times New Roman"/>
          <w:snapToGrid/>
          <w:color w:val="000000"/>
          <w:szCs w:val="22"/>
          <w:lang w:val="hu-HU" w:eastAsia="en-US"/>
        </w:rPr>
        <w:t>hatás</w:t>
      </w:r>
      <w:r w:rsidRPr="00F6526C">
        <w:rPr>
          <w:rFonts w:eastAsia="Times New Roman"/>
          <w:snapToGrid/>
          <w:szCs w:val="22"/>
          <w:lang w:val="hu-HU" w:eastAsia="en-US"/>
        </w:rPr>
        <w:t xml:space="preserve">a egy </w:t>
      </w:r>
      <w:r w:rsidR="00B70259">
        <w:rPr>
          <w:rFonts w:eastAsia="Times New Roman"/>
          <w:snapToGrid/>
          <w:color w:val="000000"/>
          <w:szCs w:val="22"/>
          <w:lang w:val="hu-HU" w:eastAsia="en-US"/>
        </w:rPr>
        <w:t>hím</w:t>
      </w:r>
      <w:r w:rsidRPr="00F6526C">
        <w:rPr>
          <w:rFonts w:eastAsia="Times New Roman"/>
          <w:snapToGrid/>
          <w:szCs w:val="22"/>
          <w:lang w:val="hu-HU" w:eastAsia="en-US"/>
        </w:rPr>
        <w:t xml:space="preserve"> </w:t>
      </w:r>
      <w:r w:rsidR="00B70259">
        <w:rPr>
          <w:rFonts w:eastAsia="Times New Roman"/>
          <w:snapToGrid/>
          <w:szCs w:val="22"/>
          <w:lang w:val="hu-HU" w:eastAsia="en-US"/>
        </w:rPr>
        <w:t>nyulak</w:t>
      </w:r>
      <w:r w:rsidR="008D6FFB">
        <w:rPr>
          <w:rFonts w:eastAsia="Times New Roman"/>
          <w:snapToGrid/>
          <w:szCs w:val="22"/>
          <w:lang w:val="hu-HU" w:eastAsia="en-US"/>
        </w:rPr>
        <w:t>on</w:t>
      </w:r>
      <w:r w:rsidR="00B70259" w:rsidRPr="00F6526C">
        <w:rPr>
          <w:rFonts w:eastAsia="Times New Roman"/>
          <w:snapToGrid/>
          <w:szCs w:val="22"/>
          <w:lang w:val="hu-HU" w:eastAsia="en-US"/>
        </w:rPr>
        <w:t xml:space="preserve"> </w:t>
      </w:r>
      <w:r w:rsidRPr="00F6526C">
        <w:rPr>
          <w:rFonts w:eastAsia="Times New Roman"/>
          <w:snapToGrid/>
          <w:szCs w:val="22"/>
          <w:lang w:val="hu-HU" w:eastAsia="en-US"/>
        </w:rPr>
        <w:t xml:space="preserve">végzett akut lokális irritációs </w:t>
      </w:r>
      <w:r w:rsidRPr="00F6526C">
        <w:rPr>
          <w:rFonts w:eastAsia="Times New Roman"/>
          <w:bCs/>
          <w:iCs/>
          <w:snapToGrid/>
          <w:spacing w:val="-2"/>
          <w:szCs w:val="22"/>
          <w:lang w:val="hu-HU" w:eastAsia="en-US"/>
        </w:rPr>
        <w:t>vizsgálatban azt mutatta, hogy a</w:t>
      </w:r>
      <w:r w:rsidR="00DD2DF7">
        <w:rPr>
          <w:rFonts w:eastAsia="Times New Roman"/>
          <w:bCs/>
          <w:iCs/>
          <w:snapToGrid/>
          <w:spacing w:val="-2"/>
          <w:szCs w:val="22"/>
          <w:lang w:val="hu-HU" w:eastAsia="en-US"/>
        </w:rPr>
        <w:t>z</w:t>
      </w:r>
      <w:r w:rsidRPr="00F6526C">
        <w:rPr>
          <w:rFonts w:eastAsia="Times New Roman"/>
          <w:bCs/>
          <w:iCs/>
          <w:snapToGrid/>
          <w:spacing w:val="-2"/>
          <w:szCs w:val="22"/>
          <w:lang w:val="hu-HU" w:eastAsia="en-US"/>
        </w:rPr>
        <w:t xml:space="preserve"> </w:t>
      </w:r>
      <w:r w:rsidR="006D4655">
        <w:rPr>
          <w:rFonts w:eastAsia="Times New Roman"/>
          <w:noProof/>
          <w:snapToGrid/>
          <w:szCs w:val="22"/>
          <w:lang w:val="hu-HU" w:eastAsia="en-US"/>
        </w:rPr>
        <w:t>Elomen</w:t>
      </w:r>
      <w:r w:rsidR="00F56C6A" w:rsidRPr="00F6526C">
        <w:rPr>
          <w:rFonts w:eastAsia="Times New Roman"/>
          <w:noProof/>
          <w:snapToGrid/>
          <w:szCs w:val="22"/>
          <w:lang w:val="hu-HU" w:eastAsia="en-US"/>
        </w:rPr>
        <w:t xml:space="preserve"> 1000 mg/300 mg oldatos infúzió</w:t>
      </w:r>
      <w:r w:rsidRPr="00F6526C">
        <w:rPr>
          <w:rFonts w:eastAsia="Times New Roman"/>
          <w:bCs/>
          <w:iCs/>
          <w:snapToGrid/>
          <w:spacing w:val="-2"/>
          <w:szCs w:val="22"/>
          <w:lang w:val="hu-HU" w:eastAsia="en-US"/>
        </w:rPr>
        <w:t xml:space="preserve">nak kicsi a potenciálja, hogy lokális irritációt okozzon, ha </w:t>
      </w:r>
      <w:r w:rsidRPr="00F6526C">
        <w:rPr>
          <w:rFonts w:eastAsia="Times New Roman"/>
          <w:bCs/>
          <w:iCs/>
          <w:snapToGrid/>
          <w:color w:val="000000"/>
          <w:spacing w:val="-2"/>
          <w:szCs w:val="22"/>
          <w:lang w:val="hu-HU" w:eastAsia="en-US"/>
        </w:rPr>
        <w:t>intravénás</w:t>
      </w:r>
      <w:r w:rsidRPr="00F6526C">
        <w:rPr>
          <w:rFonts w:eastAsia="Times New Roman"/>
          <w:bCs/>
          <w:iCs/>
          <w:snapToGrid/>
          <w:spacing w:val="-2"/>
          <w:szCs w:val="22"/>
          <w:lang w:val="hu-HU" w:eastAsia="en-US"/>
        </w:rPr>
        <w:t xml:space="preserve">an adják be, az ajánlott </w:t>
      </w:r>
      <w:r w:rsidRPr="00F6526C">
        <w:rPr>
          <w:rFonts w:eastAsia="Times New Roman"/>
          <w:bCs/>
          <w:iCs/>
          <w:snapToGrid/>
          <w:color w:val="000000"/>
          <w:spacing w:val="-2"/>
          <w:szCs w:val="22"/>
          <w:lang w:val="hu-HU" w:eastAsia="en-US"/>
        </w:rPr>
        <w:t xml:space="preserve">dózisszinten. Továbbá, amikor egy </w:t>
      </w:r>
      <w:r w:rsidRPr="00F6526C">
        <w:rPr>
          <w:rFonts w:eastAsia="Times New Roman"/>
          <w:bCs/>
          <w:i/>
          <w:iCs/>
          <w:snapToGrid/>
          <w:color w:val="000000"/>
          <w:spacing w:val="-2"/>
          <w:szCs w:val="22"/>
          <w:lang w:val="hu-HU" w:eastAsia="en-US"/>
        </w:rPr>
        <w:t>in vitro</w:t>
      </w:r>
      <w:r w:rsidRPr="00F6526C">
        <w:rPr>
          <w:rFonts w:eastAsia="Times New Roman"/>
          <w:bCs/>
          <w:iCs/>
          <w:snapToGrid/>
          <w:color w:val="000000"/>
          <w:spacing w:val="-2"/>
          <w:szCs w:val="22"/>
          <w:lang w:val="hu-HU" w:eastAsia="en-US"/>
        </w:rPr>
        <w:t xml:space="preserve"> vér kompatibilitási meghatározást végeztek a</w:t>
      </w:r>
      <w:r w:rsidR="00DD2DF7">
        <w:rPr>
          <w:rFonts w:eastAsia="Times New Roman"/>
          <w:bCs/>
          <w:iCs/>
          <w:snapToGrid/>
          <w:color w:val="000000"/>
          <w:spacing w:val="-2"/>
          <w:szCs w:val="22"/>
          <w:lang w:val="hu-HU" w:eastAsia="en-US"/>
        </w:rPr>
        <w:t>z</w:t>
      </w:r>
      <w:r w:rsidRPr="00F6526C">
        <w:rPr>
          <w:rFonts w:eastAsia="Times New Roman"/>
          <w:bCs/>
          <w:iCs/>
          <w:snapToGrid/>
          <w:color w:val="000000"/>
          <w:spacing w:val="-2"/>
          <w:szCs w:val="22"/>
          <w:lang w:val="hu-HU" w:eastAsia="en-US"/>
        </w:rPr>
        <w:t xml:space="preserve"> </w:t>
      </w:r>
      <w:r w:rsidR="006D4655">
        <w:rPr>
          <w:rFonts w:eastAsia="Times New Roman"/>
          <w:noProof/>
          <w:snapToGrid/>
          <w:szCs w:val="22"/>
          <w:lang w:val="hu-HU" w:eastAsia="en-US"/>
        </w:rPr>
        <w:t>Elomen</w:t>
      </w:r>
      <w:r w:rsidR="00F56C6A" w:rsidRPr="00F6526C">
        <w:rPr>
          <w:rFonts w:eastAsia="Times New Roman"/>
          <w:noProof/>
          <w:snapToGrid/>
          <w:szCs w:val="22"/>
          <w:lang w:val="hu-HU" w:eastAsia="en-US"/>
        </w:rPr>
        <w:t xml:space="preserve"> 1000 mg/300 mg oldatos infúzió</w:t>
      </w:r>
      <w:r w:rsidRPr="00F6526C">
        <w:rPr>
          <w:rFonts w:eastAsia="Times New Roman"/>
          <w:bCs/>
          <w:iCs/>
          <w:snapToGrid/>
          <w:color w:val="000000"/>
          <w:spacing w:val="-2"/>
          <w:szCs w:val="22"/>
          <w:lang w:val="hu-HU" w:eastAsia="en-US"/>
        </w:rPr>
        <w:t>v</w:t>
      </w:r>
      <w:r w:rsidR="00F56C6A" w:rsidRPr="00F6526C">
        <w:rPr>
          <w:rFonts w:eastAsia="Times New Roman"/>
          <w:bCs/>
          <w:iCs/>
          <w:snapToGrid/>
          <w:color w:val="000000"/>
          <w:spacing w:val="-2"/>
          <w:szCs w:val="22"/>
          <w:lang w:val="hu-HU" w:eastAsia="en-US"/>
        </w:rPr>
        <w:t>a</w:t>
      </w:r>
      <w:r w:rsidRPr="00F6526C">
        <w:rPr>
          <w:rFonts w:eastAsia="Times New Roman"/>
          <w:bCs/>
          <w:iCs/>
          <w:snapToGrid/>
          <w:color w:val="000000"/>
          <w:spacing w:val="-2"/>
          <w:szCs w:val="22"/>
          <w:lang w:val="hu-HU" w:eastAsia="en-US"/>
        </w:rPr>
        <w:t>l</w:t>
      </w:r>
      <w:r w:rsidR="0085769C" w:rsidRPr="00F6526C">
        <w:rPr>
          <w:rFonts w:eastAsia="Times New Roman"/>
          <w:bCs/>
          <w:iCs/>
          <w:snapToGrid/>
          <w:color w:val="000000"/>
          <w:spacing w:val="-2"/>
          <w:szCs w:val="22"/>
          <w:lang w:val="hu-HU" w:eastAsia="en-US"/>
        </w:rPr>
        <w:t>,</w:t>
      </w:r>
      <w:r w:rsidRPr="00F6526C">
        <w:rPr>
          <w:rFonts w:eastAsia="Times New Roman"/>
          <w:bCs/>
          <w:iCs/>
          <w:snapToGrid/>
          <w:color w:val="000000"/>
          <w:spacing w:val="-2"/>
          <w:szCs w:val="22"/>
          <w:lang w:val="hu-HU" w:eastAsia="en-US"/>
        </w:rPr>
        <w:t xml:space="preserve"> nem figyeltek meg több hemolízist, plazmafehérje</w:t>
      </w:r>
      <w:r w:rsidR="00B70259">
        <w:rPr>
          <w:rFonts w:eastAsia="Times New Roman"/>
          <w:bCs/>
          <w:iCs/>
          <w:snapToGrid/>
          <w:color w:val="000000"/>
          <w:spacing w:val="-2"/>
          <w:szCs w:val="22"/>
          <w:lang w:val="hu-HU" w:eastAsia="en-US"/>
        </w:rPr>
        <w:t>-</w:t>
      </w:r>
      <w:r w:rsidRPr="00F6526C">
        <w:rPr>
          <w:rFonts w:eastAsia="Times New Roman"/>
          <w:bCs/>
          <w:iCs/>
          <w:snapToGrid/>
          <w:color w:val="000000"/>
          <w:spacing w:val="-2"/>
          <w:szCs w:val="22"/>
          <w:lang w:val="hu-HU" w:eastAsia="en-US"/>
        </w:rPr>
        <w:t xml:space="preserve">flokkulációt/kicsapódást vagy vérlemezke-aggregációt, mint csak </w:t>
      </w:r>
      <w:r w:rsidR="0085769C" w:rsidRPr="00F6526C">
        <w:rPr>
          <w:rFonts w:eastAsia="Times New Roman"/>
          <w:bCs/>
          <w:iCs/>
          <w:snapToGrid/>
          <w:color w:val="000000"/>
          <w:spacing w:val="-2"/>
          <w:szCs w:val="22"/>
          <w:lang w:val="hu-HU" w:eastAsia="en-US"/>
        </w:rPr>
        <w:t>intravénás</w:t>
      </w:r>
      <w:r w:rsidRPr="00F6526C">
        <w:rPr>
          <w:rFonts w:eastAsia="Times New Roman"/>
          <w:bCs/>
          <w:iCs/>
          <w:snapToGrid/>
          <w:color w:val="000000"/>
          <w:spacing w:val="-2"/>
          <w:szCs w:val="22"/>
          <w:lang w:val="hu-HU" w:eastAsia="en-US"/>
        </w:rPr>
        <w:t xml:space="preserve"> paracetamol vagy csak </w:t>
      </w:r>
      <w:r w:rsidR="0085769C" w:rsidRPr="00F6526C">
        <w:rPr>
          <w:rFonts w:eastAsia="Times New Roman"/>
          <w:bCs/>
          <w:iCs/>
          <w:snapToGrid/>
          <w:color w:val="000000"/>
          <w:spacing w:val="-2"/>
          <w:szCs w:val="22"/>
          <w:lang w:val="hu-HU" w:eastAsia="en-US"/>
        </w:rPr>
        <w:t>intravénás</w:t>
      </w:r>
      <w:r w:rsidRPr="00F6526C">
        <w:rPr>
          <w:rFonts w:eastAsia="Times New Roman"/>
          <w:bCs/>
          <w:iCs/>
          <w:snapToGrid/>
          <w:color w:val="000000"/>
          <w:spacing w:val="-2"/>
          <w:szCs w:val="22"/>
          <w:lang w:val="hu-HU" w:eastAsia="en-US"/>
        </w:rPr>
        <w:t xml:space="preserve"> ibuprofén</w:t>
      </w:r>
      <w:r w:rsidR="0085769C" w:rsidRPr="00F6526C">
        <w:rPr>
          <w:rFonts w:eastAsia="Times New Roman"/>
          <w:bCs/>
          <w:iCs/>
          <w:snapToGrid/>
          <w:color w:val="000000"/>
          <w:spacing w:val="-2"/>
          <w:szCs w:val="22"/>
          <w:lang w:val="hu-HU" w:eastAsia="en-US"/>
        </w:rPr>
        <w:t xml:space="preserve"> használata mellett</w:t>
      </w:r>
      <w:r w:rsidRPr="00F6526C">
        <w:rPr>
          <w:rFonts w:eastAsia="Times New Roman"/>
          <w:snapToGrid/>
          <w:szCs w:val="22"/>
          <w:lang w:val="hu-HU" w:eastAsia="en-US"/>
        </w:rPr>
        <w:t>.</w:t>
      </w:r>
    </w:p>
    <w:p w14:paraId="59F5BB07" w14:textId="77777777" w:rsidR="00A14720" w:rsidRPr="00F6526C" w:rsidRDefault="00A14720" w:rsidP="00E8277D">
      <w:pPr>
        <w:autoSpaceDE w:val="0"/>
        <w:autoSpaceDN w:val="0"/>
        <w:adjustRightInd w:val="0"/>
        <w:spacing w:line="271" w:lineRule="auto"/>
        <w:rPr>
          <w:rFonts w:eastAsia="Times New Roman"/>
          <w:snapToGrid/>
          <w:szCs w:val="22"/>
          <w:lang w:val="hu-HU" w:eastAsia="en-US"/>
        </w:rPr>
      </w:pPr>
    </w:p>
    <w:p w14:paraId="4314E378" w14:textId="77777777" w:rsidR="00A14720" w:rsidRPr="00F6526C" w:rsidRDefault="00A14720" w:rsidP="004017C1">
      <w:pPr>
        <w:autoSpaceDE w:val="0"/>
        <w:autoSpaceDN w:val="0"/>
        <w:adjustRightInd w:val="0"/>
        <w:spacing w:line="271" w:lineRule="auto"/>
        <w:outlineLvl w:val="2"/>
        <w:rPr>
          <w:rFonts w:eastAsia="Times New Roman"/>
          <w:snapToGrid/>
          <w:szCs w:val="22"/>
          <w:u w:val="single"/>
          <w:lang w:val="hu-HU" w:eastAsia="en-US"/>
        </w:rPr>
      </w:pPr>
      <w:r w:rsidRPr="00F6526C">
        <w:rPr>
          <w:rFonts w:eastAsia="Times New Roman"/>
          <w:snapToGrid/>
          <w:szCs w:val="22"/>
          <w:u w:val="single"/>
          <w:lang w:val="hu-HU" w:eastAsia="en-US"/>
        </w:rPr>
        <w:t>Ibuprofén</w:t>
      </w:r>
    </w:p>
    <w:p w14:paraId="136749F7" w14:textId="00CEFBD2" w:rsidR="00A14720" w:rsidRPr="00F6526C" w:rsidRDefault="00A14720" w:rsidP="00E8277D">
      <w:pPr>
        <w:autoSpaceDE w:val="0"/>
        <w:autoSpaceDN w:val="0"/>
        <w:adjustRightInd w:val="0"/>
        <w:spacing w:line="271" w:lineRule="auto"/>
        <w:rPr>
          <w:rFonts w:eastAsia="Times New Roman"/>
          <w:snapToGrid/>
          <w:szCs w:val="22"/>
          <w:lang w:val="hu-HU" w:eastAsia="en-US"/>
        </w:rPr>
      </w:pPr>
      <w:r w:rsidRPr="00F6526C">
        <w:rPr>
          <w:rFonts w:eastAsia="Times New Roman"/>
          <w:snapToGrid/>
          <w:spacing w:val="-2"/>
          <w:szCs w:val="22"/>
          <w:lang w:val="hu-HU" w:eastAsia="en-US"/>
        </w:rPr>
        <w:t>Állatkísérletekben az</w:t>
      </w:r>
      <w:r w:rsidRPr="00F6526C">
        <w:rPr>
          <w:rFonts w:eastAsia="Times New Roman"/>
          <w:snapToGrid/>
          <w:szCs w:val="22"/>
          <w:lang w:val="hu-HU" w:eastAsia="en-US"/>
        </w:rPr>
        <w:t xml:space="preserve"> ibuprofén szubkrónikus és </w:t>
      </w:r>
      <w:r w:rsidRPr="00F6526C">
        <w:rPr>
          <w:rFonts w:eastAsia="Times New Roman"/>
          <w:bCs/>
          <w:iCs/>
          <w:snapToGrid/>
          <w:color w:val="000000"/>
          <w:spacing w:val="-2"/>
          <w:w w:val="102"/>
          <w:szCs w:val="22"/>
          <w:lang w:val="hu-HU" w:eastAsia="en-US"/>
        </w:rPr>
        <w:t>krónikus</w:t>
      </w:r>
      <w:r w:rsidRPr="00F6526C">
        <w:rPr>
          <w:rFonts w:eastAsia="Times New Roman"/>
          <w:snapToGrid/>
          <w:szCs w:val="22"/>
          <w:lang w:val="hu-HU" w:eastAsia="en-US"/>
        </w:rPr>
        <w:t xml:space="preserve"> </w:t>
      </w:r>
      <w:r w:rsidRPr="00F6526C">
        <w:rPr>
          <w:rFonts w:eastAsia="Times New Roman"/>
          <w:bCs/>
          <w:iCs/>
          <w:snapToGrid/>
          <w:color w:val="000000"/>
          <w:spacing w:val="-2"/>
          <w:szCs w:val="22"/>
          <w:lang w:val="hu-HU" w:eastAsia="hu-HU"/>
        </w:rPr>
        <w:t xml:space="preserve">toxicitását főleg az emésztőrendszer sérülései és fekélyei </w:t>
      </w:r>
      <w:r w:rsidRPr="00F6526C">
        <w:rPr>
          <w:rFonts w:eastAsia="Times New Roman"/>
          <w:bCs/>
          <w:iCs/>
          <w:snapToGrid/>
          <w:color w:val="000000"/>
          <w:spacing w:val="-2"/>
          <w:w w:val="102"/>
          <w:szCs w:val="22"/>
          <w:lang w:val="hu-HU" w:eastAsia="hu-HU"/>
        </w:rPr>
        <w:t>form</w:t>
      </w:r>
      <w:r w:rsidRPr="00F6526C">
        <w:rPr>
          <w:rFonts w:eastAsia="Times New Roman"/>
          <w:bCs/>
          <w:iCs/>
          <w:snapToGrid/>
          <w:color w:val="000000"/>
          <w:spacing w:val="-2"/>
          <w:szCs w:val="22"/>
          <w:lang w:val="hu-HU" w:eastAsia="hu-HU"/>
        </w:rPr>
        <w:t xml:space="preserve">ájában figyelték meg. Az </w:t>
      </w:r>
      <w:r w:rsidRPr="00F6526C">
        <w:rPr>
          <w:rFonts w:eastAsia="Times New Roman"/>
          <w:bCs/>
          <w:i/>
          <w:iCs/>
          <w:snapToGrid/>
          <w:color w:val="000000"/>
          <w:spacing w:val="-2"/>
          <w:szCs w:val="22"/>
          <w:lang w:val="hu-HU" w:eastAsia="hu-HU"/>
        </w:rPr>
        <w:t>in vitro</w:t>
      </w:r>
      <w:r w:rsidRPr="00F6526C">
        <w:rPr>
          <w:rFonts w:eastAsia="Times New Roman"/>
          <w:bCs/>
          <w:iCs/>
          <w:snapToGrid/>
          <w:color w:val="000000"/>
          <w:spacing w:val="-2"/>
          <w:szCs w:val="22"/>
          <w:lang w:val="hu-HU" w:eastAsia="hu-HU"/>
        </w:rPr>
        <w:t xml:space="preserve"> és </w:t>
      </w:r>
      <w:r w:rsidRPr="00F6526C">
        <w:rPr>
          <w:rFonts w:eastAsia="Times New Roman"/>
          <w:bCs/>
          <w:i/>
          <w:iCs/>
          <w:snapToGrid/>
          <w:color w:val="000000"/>
          <w:spacing w:val="-2"/>
          <w:szCs w:val="22"/>
          <w:lang w:val="hu-HU" w:eastAsia="hu-HU"/>
        </w:rPr>
        <w:t>in vivo</w:t>
      </w:r>
      <w:r w:rsidRPr="00F6526C">
        <w:rPr>
          <w:rFonts w:eastAsia="Times New Roman"/>
          <w:bCs/>
          <w:iCs/>
          <w:snapToGrid/>
          <w:color w:val="000000"/>
          <w:spacing w:val="-2"/>
          <w:szCs w:val="22"/>
          <w:lang w:val="hu-HU" w:eastAsia="hu-HU"/>
        </w:rPr>
        <w:t xml:space="preserve"> vizsgálatok nem nyújtottak klinikailag releváns bizonyítékot az ibuprofén mutagén potenciáljára. A patkányokon és egereken végzett vizsgálatokban nem találtak bizonyítékot az ibuprofén karcinogén hatásaira. Az ibuprofén az ovuláció gátlásához vezetett nyulak</w:t>
      </w:r>
      <w:r w:rsidR="008D6FFB">
        <w:rPr>
          <w:rFonts w:eastAsia="Times New Roman"/>
          <w:bCs/>
          <w:iCs/>
          <w:snapToGrid/>
          <w:color w:val="000000"/>
          <w:spacing w:val="-2"/>
          <w:szCs w:val="22"/>
          <w:lang w:val="hu-HU" w:eastAsia="hu-HU"/>
        </w:rPr>
        <w:t>nál</w:t>
      </w:r>
      <w:r w:rsidRPr="00F6526C">
        <w:rPr>
          <w:rFonts w:eastAsia="Times New Roman"/>
          <w:bCs/>
          <w:iCs/>
          <w:snapToGrid/>
          <w:color w:val="000000"/>
          <w:spacing w:val="-2"/>
          <w:szCs w:val="22"/>
          <w:lang w:val="hu-HU" w:eastAsia="hu-HU"/>
        </w:rPr>
        <w:t>, valamint az implantáció zavarához különböző állatfajok</w:t>
      </w:r>
      <w:r w:rsidR="008D6FFB">
        <w:rPr>
          <w:rFonts w:eastAsia="Times New Roman"/>
          <w:bCs/>
          <w:iCs/>
          <w:snapToGrid/>
          <w:color w:val="000000"/>
          <w:spacing w:val="-2"/>
          <w:szCs w:val="22"/>
          <w:lang w:val="hu-HU" w:eastAsia="hu-HU"/>
        </w:rPr>
        <w:t>nál</w:t>
      </w:r>
      <w:r w:rsidRPr="00F6526C">
        <w:rPr>
          <w:rFonts w:eastAsia="Times New Roman"/>
          <w:bCs/>
          <w:iCs/>
          <w:snapToGrid/>
          <w:color w:val="000000"/>
          <w:spacing w:val="-2"/>
          <w:szCs w:val="22"/>
          <w:lang w:val="hu-HU" w:eastAsia="hu-HU"/>
        </w:rPr>
        <w:t xml:space="preserve"> (nyúl, patkány, egér). A kísérleti vizsgálatok igazolták, hogy az ibuprofén átjut a méhlepényen. Az anyára toxikus dózisokban a születési rendellenességek (kamrai szeptumdefektusok) megnőtt gyakoriságát figyelték meg</w:t>
      </w:r>
      <w:r w:rsidRPr="00F6526C">
        <w:rPr>
          <w:rFonts w:eastAsia="Times New Roman"/>
          <w:snapToGrid/>
          <w:szCs w:val="22"/>
          <w:lang w:val="hu-HU" w:eastAsia="en-US"/>
        </w:rPr>
        <w:t>.</w:t>
      </w:r>
    </w:p>
    <w:p w14:paraId="7C8D3443" w14:textId="77777777" w:rsidR="00A14720" w:rsidRPr="00F6526C" w:rsidRDefault="00A14720" w:rsidP="00E8277D">
      <w:pPr>
        <w:autoSpaceDE w:val="0"/>
        <w:autoSpaceDN w:val="0"/>
        <w:adjustRightInd w:val="0"/>
        <w:spacing w:line="271" w:lineRule="auto"/>
        <w:rPr>
          <w:rFonts w:eastAsia="Times New Roman"/>
          <w:snapToGrid/>
          <w:szCs w:val="22"/>
          <w:lang w:val="hu-HU" w:eastAsia="en-US"/>
        </w:rPr>
      </w:pPr>
    </w:p>
    <w:p w14:paraId="501ADCA2" w14:textId="77777777" w:rsidR="00A14720" w:rsidRPr="00F6526C" w:rsidRDefault="00A14720" w:rsidP="004017C1">
      <w:pPr>
        <w:autoSpaceDE w:val="0"/>
        <w:autoSpaceDN w:val="0"/>
        <w:adjustRightInd w:val="0"/>
        <w:spacing w:line="271" w:lineRule="auto"/>
        <w:outlineLvl w:val="2"/>
        <w:rPr>
          <w:rFonts w:eastAsia="Times New Roman"/>
          <w:snapToGrid/>
          <w:szCs w:val="22"/>
          <w:u w:val="single"/>
          <w:lang w:val="hu-HU" w:eastAsia="en-US"/>
        </w:rPr>
      </w:pPr>
      <w:r w:rsidRPr="00F6526C">
        <w:rPr>
          <w:rFonts w:eastAsia="Times New Roman"/>
          <w:snapToGrid/>
          <w:szCs w:val="22"/>
          <w:u w:val="single"/>
          <w:lang w:val="hu-HU" w:eastAsia="en-US"/>
        </w:rPr>
        <w:t>Paracetamol</w:t>
      </w:r>
    </w:p>
    <w:p w14:paraId="318F1B14" w14:textId="4E83FC7F" w:rsidR="00A14720" w:rsidRPr="00F6526C" w:rsidRDefault="00A14720" w:rsidP="00E8277D">
      <w:pPr>
        <w:autoSpaceDE w:val="0"/>
        <w:autoSpaceDN w:val="0"/>
        <w:adjustRightInd w:val="0"/>
        <w:spacing w:line="271" w:lineRule="auto"/>
        <w:rPr>
          <w:rFonts w:eastAsia="Times New Roman"/>
          <w:snapToGrid/>
          <w:szCs w:val="22"/>
          <w:lang w:val="hu-HU" w:eastAsia="en-US"/>
        </w:rPr>
      </w:pPr>
      <w:r w:rsidRPr="00F6526C">
        <w:rPr>
          <w:rFonts w:eastAsia="Times New Roman"/>
          <w:snapToGrid/>
          <w:szCs w:val="22"/>
          <w:lang w:val="hu-HU" w:eastAsia="en-US"/>
        </w:rPr>
        <w:t xml:space="preserve">A paracetamol hepatotoxikus </w:t>
      </w:r>
      <w:r w:rsidRPr="00F6526C">
        <w:rPr>
          <w:rFonts w:eastAsia="Times New Roman"/>
          <w:snapToGrid/>
          <w:color w:val="000000"/>
          <w:szCs w:val="22"/>
          <w:lang w:val="hu-HU" w:eastAsia="en-US"/>
        </w:rPr>
        <w:t>dózis</w:t>
      </w:r>
      <w:r w:rsidRPr="00F6526C">
        <w:rPr>
          <w:rFonts w:eastAsia="Times New Roman"/>
          <w:snapToGrid/>
          <w:szCs w:val="22"/>
          <w:lang w:val="hu-HU" w:eastAsia="en-US"/>
        </w:rPr>
        <w:t xml:space="preserve">okban genotoxikus és </w:t>
      </w:r>
      <w:r w:rsidRPr="00F6526C">
        <w:rPr>
          <w:rFonts w:eastAsia="Times New Roman"/>
          <w:bCs/>
          <w:iCs/>
          <w:snapToGrid/>
          <w:color w:val="000000"/>
          <w:spacing w:val="-2"/>
          <w:szCs w:val="22"/>
          <w:lang w:val="hu-HU" w:eastAsia="en-US"/>
        </w:rPr>
        <w:t>karcinogén</w:t>
      </w:r>
      <w:r w:rsidRPr="00F6526C">
        <w:rPr>
          <w:rFonts w:eastAsia="Times New Roman"/>
          <w:snapToGrid/>
          <w:szCs w:val="22"/>
          <w:lang w:val="hu-HU" w:eastAsia="en-US"/>
        </w:rPr>
        <w:t xml:space="preserve"> potenciált mutatott (máj</w:t>
      </w:r>
      <w:r w:rsidR="008D6FFB">
        <w:rPr>
          <w:rFonts w:eastAsia="Times New Roman"/>
          <w:snapToGrid/>
          <w:szCs w:val="22"/>
          <w:lang w:val="hu-HU" w:eastAsia="en-US"/>
        </w:rPr>
        <w:t>-</w:t>
      </w:r>
      <w:r w:rsidRPr="00F6526C">
        <w:rPr>
          <w:rFonts w:eastAsia="Times New Roman"/>
          <w:snapToGrid/>
          <w:szCs w:val="22"/>
          <w:lang w:val="hu-HU" w:eastAsia="en-US"/>
        </w:rPr>
        <w:t xml:space="preserve"> és húgyhólyag</w:t>
      </w:r>
      <w:r w:rsidRPr="00F6526C">
        <w:rPr>
          <w:rFonts w:eastAsia="Times New Roman"/>
          <w:bCs/>
          <w:iCs/>
          <w:snapToGrid/>
          <w:color w:val="000000"/>
          <w:spacing w:val="-2"/>
          <w:szCs w:val="22"/>
          <w:lang w:val="hu-HU" w:eastAsia="en-US"/>
        </w:rPr>
        <w:t>tumor</w:t>
      </w:r>
      <w:r w:rsidRPr="00F6526C">
        <w:rPr>
          <w:rFonts w:eastAsia="Times New Roman"/>
          <w:snapToGrid/>
          <w:szCs w:val="22"/>
          <w:lang w:val="hu-HU" w:eastAsia="en-US"/>
        </w:rPr>
        <w:t>ok) egerekn</w:t>
      </w:r>
      <w:r w:rsidR="008D6FFB">
        <w:rPr>
          <w:rFonts w:eastAsia="Times New Roman"/>
          <w:snapToGrid/>
          <w:szCs w:val="22"/>
          <w:lang w:val="hu-HU" w:eastAsia="en-US"/>
        </w:rPr>
        <w:t>él</w:t>
      </w:r>
      <w:r w:rsidRPr="00F6526C">
        <w:rPr>
          <w:rFonts w:eastAsia="Times New Roman"/>
          <w:snapToGrid/>
          <w:szCs w:val="22"/>
          <w:lang w:val="hu-HU" w:eastAsia="en-US"/>
        </w:rPr>
        <w:t xml:space="preserve"> és patkányokn</w:t>
      </w:r>
      <w:r w:rsidR="008D6FFB">
        <w:rPr>
          <w:rFonts w:eastAsia="Times New Roman"/>
          <w:snapToGrid/>
          <w:szCs w:val="22"/>
          <w:lang w:val="hu-HU" w:eastAsia="en-US"/>
        </w:rPr>
        <w:t>ál</w:t>
      </w:r>
      <w:r w:rsidRPr="00F6526C">
        <w:rPr>
          <w:rFonts w:eastAsia="Times New Roman"/>
          <w:snapToGrid/>
          <w:szCs w:val="22"/>
          <w:lang w:val="hu-HU" w:eastAsia="en-US"/>
        </w:rPr>
        <w:t xml:space="preserve">. Mindazonáltal figyelembe veszik, hogy ez a genotoxikus és </w:t>
      </w:r>
      <w:r w:rsidRPr="00F6526C">
        <w:rPr>
          <w:rFonts w:eastAsia="Times New Roman"/>
          <w:bCs/>
          <w:iCs/>
          <w:snapToGrid/>
          <w:color w:val="000000"/>
          <w:spacing w:val="-2"/>
          <w:szCs w:val="22"/>
          <w:lang w:val="hu-HU" w:eastAsia="en-US"/>
        </w:rPr>
        <w:t>karcinogén aktivitás a paracetamol metabolizmusának változásaihoz kapcsolódik nagy dózisokban/</w:t>
      </w:r>
      <w:r w:rsidRPr="00F6526C">
        <w:rPr>
          <w:rFonts w:eastAsia="Times New Roman"/>
          <w:bCs/>
          <w:iCs/>
          <w:noProof/>
          <w:snapToGrid/>
          <w:color w:val="000000"/>
          <w:spacing w:val="-2"/>
          <w:szCs w:val="22"/>
          <w:lang w:val="hu-HU" w:eastAsia="en-US"/>
        </w:rPr>
        <w:t>koncentráció</w:t>
      </w:r>
      <w:r w:rsidRPr="00F6526C">
        <w:rPr>
          <w:rFonts w:eastAsia="Times New Roman"/>
          <w:bCs/>
          <w:iCs/>
          <w:snapToGrid/>
          <w:color w:val="000000"/>
          <w:spacing w:val="-2"/>
          <w:szCs w:val="22"/>
          <w:lang w:val="hu-HU" w:eastAsia="en-US"/>
        </w:rPr>
        <w:t>kban, és nem jelent veszélyt a klinikai alkalmazásra.</w:t>
      </w:r>
    </w:p>
    <w:p w14:paraId="5A0E9B24" w14:textId="77777777" w:rsidR="00A14720" w:rsidRPr="00F6526C" w:rsidRDefault="00A14720" w:rsidP="00E8277D">
      <w:pPr>
        <w:autoSpaceDE w:val="0"/>
        <w:autoSpaceDN w:val="0"/>
        <w:adjustRightInd w:val="0"/>
        <w:spacing w:line="271" w:lineRule="auto"/>
        <w:rPr>
          <w:rFonts w:eastAsia="Times New Roman"/>
          <w:snapToGrid/>
          <w:szCs w:val="22"/>
          <w:lang w:val="hu-HU" w:eastAsia="en-US"/>
        </w:rPr>
      </w:pPr>
    </w:p>
    <w:p w14:paraId="7D629BDA" w14:textId="041CE8F9" w:rsidR="00A14720" w:rsidRPr="00F6526C" w:rsidRDefault="00A14720" w:rsidP="00E8277D">
      <w:pPr>
        <w:autoSpaceDE w:val="0"/>
        <w:autoSpaceDN w:val="0"/>
        <w:adjustRightInd w:val="0"/>
        <w:spacing w:line="271" w:lineRule="auto"/>
        <w:rPr>
          <w:rFonts w:eastAsia="Times New Roman"/>
          <w:snapToGrid/>
          <w:szCs w:val="22"/>
          <w:lang w:val="hu-HU" w:eastAsia="en-US"/>
        </w:rPr>
      </w:pPr>
      <w:r w:rsidRPr="00F6526C">
        <w:rPr>
          <w:rFonts w:eastAsia="Times New Roman"/>
          <w:bCs/>
          <w:iCs/>
          <w:snapToGrid/>
          <w:color w:val="000000"/>
          <w:spacing w:val="-2"/>
          <w:w w:val="102"/>
          <w:szCs w:val="22"/>
          <w:lang w:val="hu-HU" w:eastAsia="en-US"/>
        </w:rPr>
        <w:t xml:space="preserve">A reprodukcióra és fejlődésre gyakorolt </w:t>
      </w:r>
      <w:r w:rsidRPr="00F6526C">
        <w:rPr>
          <w:rFonts w:eastAsia="Times New Roman"/>
          <w:bCs/>
          <w:iCs/>
          <w:snapToGrid/>
          <w:color w:val="000000"/>
          <w:spacing w:val="-2"/>
          <w:w w:val="102"/>
          <w:szCs w:val="22"/>
          <w:lang w:val="hu-HU" w:eastAsia="hu-HU"/>
        </w:rPr>
        <w:t>toxicitás</w:t>
      </w:r>
      <w:r w:rsidRPr="00F6526C">
        <w:rPr>
          <w:rFonts w:eastAsia="Times New Roman"/>
          <w:bCs/>
          <w:iCs/>
          <w:snapToGrid/>
          <w:color w:val="000000"/>
          <w:spacing w:val="-2"/>
          <w:w w:val="102"/>
          <w:szCs w:val="22"/>
          <w:lang w:val="hu-HU" w:eastAsia="en-US"/>
        </w:rPr>
        <w:t xml:space="preserve"> kiértékelésére a jelenleg elfogadott standardok használatával végzett hagyományos vizsgálatok nem hozzáférhetők</w:t>
      </w:r>
      <w:r w:rsidRPr="00F6526C">
        <w:rPr>
          <w:rFonts w:eastAsia="Times New Roman"/>
          <w:snapToGrid/>
          <w:szCs w:val="22"/>
          <w:lang w:val="hu-HU" w:eastAsia="en-US"/>
        </w:rPr>
        <w:t>.</w:t>
      </w:r>
    </w:p>
    <w:p w14:paraId="1D5370AF" w14:textId="77777777" w:rsidR="00F45C51" w:rsidRPr="00F6526C" w:rsidRDefault="00F45C51" w:rsidP="00E8277D">
      <w:pPr>
        <w:spacing w:line="240" w:lineRule="auto"/>
        <w:rPr>
          <w:lang w:val="hu-HU"/>
        </w:rPr>
      </w:pPr>
    </w:p>
    <w:p w14:paraId="2516AD63" w14:textId="77777777" w:rsidR="00F45C51" w:rsidRPr="00F6526C" w:rsidRDefault="00F45C51" w:rsidP="00082A8E">
      <w:pPr>
        <w:spacing w:line="240" w:lineRule="auto"/>
        <w:rPr>
          <w:lang w:val="hu-HU"/>
        </w:rPr>
      </w:pPr>
    </w:p>
    <w:p w14:paraId="7C31A13E" w14:textId="6EE172F9" w:rsidR="00F45C51" w:rsidRPr="00F6526C" w:rsidRDefault="00FC0857" w:rsidP="003C6EFD">
      <w:pPr>
        <w:spacing w:before="120" w:after="120" w:line="240" w:lineRule="auto"/>
        <w:ind w:left="567" w:hanging="567"/>
        <w:outlineLvl w:val="0"/>
        <w:rPr>
          <w:rFonts w:eastAsia="Times New Roman"/>
          <w:b/>
          <w:noProof/>
          <w:snapToGrid/>
          <w:szCs w:val="22"/>
          <w:lang w:val="hu-HU" w:eastAsia="en-US"/>
        </w:rPr>
      </w:pPr>
      <w:r w:rsidRPr="00F6526C">
        <w:rPr>
          <w:rFonts w:eastAsia="Times New Roman"/>
          <w:b/>
          <w:noProof/>
          <w:snapToGrid/>
          <w:szCs w:val="22"/>
          <w:lang w:val="hu-HU" w:eastAsia="en-US"/>
        </w:rPr>
        <w:t>6.</w:t>
      </w:r>
      <w:r w:rsidRPr="00F6526C">
        <w:rPr>
          <w:rFonts w:eastAsia="Times New Roman"/>
          <w:b/>
          <w:noProof/>
          <w:snapToGrid/>
          <w:szCs w:val="22"/>
          <w:lang w:val="hu-HU" w:eastAsia="en-US"/>
        </w:rPr>
        <w:tab/>
        <w:t>GYÓGYSZERÉSZETI JELLEMZŐK</w:t>
      </w:r>
    </w:p>
    <w:p w14:paraId="1703C123" w14:textId="77777777" w:rsidR="00F45C51" w:rsidRPr="00F6526C" w:rsidRDefault="00FC0857" w:rsidP="003C6EFD">
      <w:pPr>
        <w:spacing w:before="240" w:after="120" w:line="240" w:lineRule="auto"/>
        <w:ind w:left="567" w:hanging="567"/>
        <w:outlineLvl w:val="0"/>
        <w:rPr>
          <w:rFonts w:eastAsia="Times New Roman"/>
          <w:b/>
          <w:noProof/>
          <w:snapToGrid/>
          <w:szCs w:val="22"/>
          <w:lang w:val="hu-HU" w:eastAsia="en-US"/>
        </w:rPr>
      </w:pPr>
      <w:r w:rsidRPr="00F6526C">
        <w:rPr>
          <w:rFonts w:eastAsia="Times New Roman"/>
          <w:b/>
          <w:noProof/>
          <w:snapToGrid/>
          <w:szCs w:val="22"/>
          <w:lang w:val="hu-HU" w:eastAsia="en-US"/>
        </w:rPr>
        <w:t>6.1</w:t>
      </w:r>
      <w:r w:rsidRPr="00F6526C">
        <w:rPr>
          <w:rFonts w:eastAsia="Times New Roman"/>
          <w:b/>
          <w:noProof/>
          <w:snapToGrid/>
          <w:szCs w:val="22"/>
          <w:lang w:val="hu-HU" w:eastAsia="en-US"/>
        </w:rPr>
        <w:tab/>
        <w:t>Segédanyagok felsorolása</w:t>
      </w:r>
    </w:p>
    <w:p w14:paraId="061507B4" w14:textId="77777777" w:rsidR="00F45C51" w:rsidRPr="00F6526C" w:rsidRDefault="00F45C51" w:rsidP="00082A8E">
      <w:pPr>
        <w:spacing w:line="240" w:lineRule="auto"/>
        <w:rPr>
          <w:rFonts w:eastAsia="Times New Roman"/>
          <w:noProof/>
          <w:snapToGrid/>
          <w:szCs w:val="22"/>
          <w:lang w:val="hu-HU" w:eastAsia="en-US"/>
        </w:rPr>
      </w:pPr>
    </w:p>
    <w:p w14:paraId="7FE494E2" w14:textId="77777777" w:rsidR="003C6EFD" w:rsidRPr="00F6526C" w:rsidRDefault="003C6EFD" w:rsidP="003C6EFD">
      <w:pPr>
        <w:rPr>
          <w:szCs w:val="22"/>
          <w:lang w:val="hu-HU"/>
        </w:rPr>
      </w:pPr>
      <w:r w:rsidRPr="00F6526C">
        <w:rPr>
          <w:szCs w:val="22"/>
          <w:lang w:val="hu-HU"/>
        </w:rPr>
        <w:t>Cisztein-hidroklorid-monohidrát</w:t>
      </w:r>
    </w:p>
    <w:p w14:paraId="5A04A96D" w14:textId="4F3961D6" w:rsidR="003C6EFD" w:rsidRPr="00F6526C" w:rsidRDefault="00CA5AB2" w:rsidP="00082A8E">
      <w:pPr>
        <w:spacing w:line="240" w:lineRule="auto"/>
        <w:rPr>
          <w:szCs w:val="22"/>
          <w:lang w:val="hu-HU"/>
        </w:rPr>
      </w:pPr>
      <w:r w:rsidRPr="00F6526C">
        <w:rPr>
          <w:szCs w:val="22"/>
          <w:lang w:val="hu-HU"/>
        </w:rPr>
        <w:t>Dinátrium-</w:t>
      </w:r>
      <w:r w:rsidR="008D6FFB">
        <w:rPr>
          <w:szCs w:val="22"/>
          <w:lang w:val="hu-HU"/>
        </w:rPr>
        <w:t>hidrogén-</w:t>
      </w:r>
      <w:r w:rsidRPr="00F6526C">
        <w:rPr>
          <w:szCs w:val="22"/>
          <w:lang w:val="hu-HU"/>
        </w:rPr>
        <w:t>foszfát</w:t>
      </w:r>
      <w:r w:rsidRPr="00F6526C">
        <w:rPr>
          <w:szCs w:val="22"/>
          <w:lang w:val="hu-HU"/>
        </w:rPr>
        <w:noBreakHyphen/>
        <w:t>dihidrát</w:t>
      </w:r>
    </w:p>
    <w:p w14:paraId="5C9EBB6A" w14:textId="4AC665F3" w:rsidR="0041330B" w:rsidRPr="00F6526C" w:rsidRDefault="00541304" w:rsidP="0041330B">
      <w:pPr>
        <w:rPr>
          <w:lang w:val="hu-HU"/>
        </w:rPr>
      </w:pPr>
      <w:r w:rsidRPr="00F6526C">
        <w:rPr>
          <w:lang w:val="hu-HU"/>
        </w:rPr>
        <w:t>Mannit</w:t>
      </w:r>
    </w:p>
    <w:p w14:paraId="5F4566F4" w14:textId="77777777" w:rsidR="00AE7543" w:rsidRPr="00F6526C" w:rsidRDefault="00AE7543" w:rsidP="00AE7543">
      <w:pPr>
        <w:autoSpaceDE w:val="0"/>
        <w:autoSpaceDN w:val="0"/>
        <w:adjustRightInd w:val="0"/>
        <w:spacing w:line="240" w:lineRule="auto"/>
        <w:rPr>
          <w:szCs w:val="22"/>
          <w:lang w:val="hu-HU"/>
        </w:rPr>
      </w:pPr>
      <w:r w:rsidRPr="00F6526C">
        <w:rPr>
          <w:szCs w:val="22"/>
          <w:lang w:val="hu-HU"/>
        </w:rPr>
        <w:t>Sósav (a pH beállításához)</w:t>
      </w:r>
    </w:p>
    <w:p w14:paraId="4B7589CC" w14:textId="4D33D3E9" w:rsidR="00CA5AB2" w:rsidRPr="00F6526C" w:rsidRDefault="003C346F" w:rsidP="00082A8E">
      <w:pPr>
        <w:spacing w:line="240" w:lineRule="auto"/>
        <w:rPr>
          <w:szCs w:val="22"/>
          <w:lang w:val="hu-HU"/>
        </w:rPr>
      </w:pPr>
      <w:r w:rsidRPr="00F6526C">
        <w:rPr>
          <w:szCs w:val="22"/>
          <w:lang w:val="hu-HU"/>
        </w:rPr>
        <w:t>Nátrium</w:t>
      </w:r>
      <w:r w:rsidRPr="00F6526C">
        <w:rPr>
          <w:szCs w:val="22"/>
          <w:lang w:val="hu-HU"/>
        </w:rPr>
        <w:noBreakHyphen/>
        <w:t>hidroxid (a pH beállításhoz)</w:t>
      </w:r>
    </w:p>
    <w:p w14:paraId="585567F6" w14:textId="30AD6DC9" w:rsidR="003C346F" w:rsidRPr="00F6526C" w:rsidRDefault="00007BBC" w:rsidP="00C3059B">
      <w:pPr>
        <w:autoSpaceDE w:val="0"/>
        <w:autoSpaceDN w:val="0"/>
        <w:adjustRightInd w:val="0"/>
        <w:spacing w:line="240" w:lineRule="auto"/>
        <w:rPr>
          <w:szCs w:val="22"/>
          <w:lang w:val="hu-HU"/>
        </w:rPr>
      </w:pPr>
      <w:r w:rsidRPr="00F6526C">
        <w:rPr>
          <w:szCs w:val="22"/>
          <w:lang w:val="hu-HU"/>
        </w:rPr>
        <w:t>Injekcióhoz való víz</w:t>
      </w:r>
    </w:p>
    <w:p w14:paraId="4744D86D" w14:textId="77777777" w:rsidR="00353909" w:rsidRPr="00F6526C" w:rsidRDefault="00353909" w:rsidP="00C3059B">
      <w:pPr>
        <w:autoSpaceDE w:val="0"/>
        <w:autoSpaceDN w:val="0"/>
        <w:adjustRightInd w:val="0"/>
        <w:spacing w:line="240" w:lineRule="auto"/>
        <w:rPr>
          <w:szCs w:val="22"/>
          <w:lang w:val="hu-HU"/>
        </w:rPr>
      </w:pPr>
    </w:p>
    <w:p w14:paraId="10712BAD" w14:textId="77777777" w:rsidR="00F45C51" w:rsidRPr="00F6526C" w:rsidRDefault="00FC0857" w:rsidP="0052332A">
      <w:pPr>
        <w:spacing w:before="240" w:after="120" w:line="240" w:lineRule="auto"/>
        <w:ind w:left="567" w:hanging="567"/>
        <w:outlineLvl w:val="0"/>
        <w:rPr>
          <w:rFonts w:eastAsia="Times New Roman"/>
          <w:b/>
          <w:noProof/>
          <w:snapToGrid/>
          <w:szCs w:val="22"/>
          <w:lang w:val="hu-HU" w:eastAsia="en-US"/>
        </w:rPr>
      </w:pPr>
      <w:r w:rsidRPr="00F6526C">
        <w:rPr>
          <w:rFonts w:eastAsia="Times New Roman"/>
          <w:b/>
          <w:noProof/>
          <w:snapToGrid/>
          <w:szCs w:val="22"/>
          <w:lang w:val="hu-HU" w:eastAsia="en-US"/>
        </w:rPr>
        <w:lastRenderedPageBreak/>
        <w:t>6.2</w:t>
      </w:r>
      <w:r w:rsidRPr="00F6526C">
        <w:rPr>
          <w:rFonts w:eastAsia="Times New Roman"/>
          <w:b/>
          <w:noProof/>
          <w:snapToGrid/>
          <w:szCs w:val="22"/>
          <w:lang w:val="hu-HU" w:eastAsia="en-US"/>
        </w:rPr>
        <w:tab/>
        <w:t>Inkompatibilitások</w:t>
      </w:r>
    </w:p>
    <w:p w14:paraId="3FDF94CA" w14:textId="441EEBE7" w:rsidR="00F45C51" w:rsidRPr="00F6526C" w:rsidRDefault="00F45C51" w:rsidP="00082A8E">
      <w:pPr>
        <w:spacing w:line="240" w:lineRule="auto"/>
        <w:rPr>
          <w:rFonts w:eastAsia="Times New Roman"/>
          <w:noProof/>
          <w:snapToGrid/>
          <w:szCs w:val="22"/>
          <w:lang w:val="hu-HU" w:eastAsia="en-US"/>
        </w:rPr>
      </w:pPr>
    </w:p>
    <w:p w14:paraId="157FB838" w14:textId="085984E6" w:rsidR="00077267" w:rsidRPr="00F6526C" w:rsidRDefault="00FC0857" w:rsidP="00082A8E">
      <w:pPr>
        <w:spacing w:line="240" w:lineRule="auto"/>
        <w:rPr>
          <w:rFonts w:eastAsia="Times New Roman"/>
          <w:noProof/>
          <w:snapToGrid/>
          <w:szCs w:val="22"/>
          <w:lang w:val="hu-HU" w:eastAsia="en-US"/>
        </w:rPr>
      </w:pPr>
      <w:r w:rsidRPr="00F6526C">
        <w:rPr>
          <w:rFonts w:eastAsia="Times New Roman"/>
          <w:noProof/>
          <w:snapToGrid/>
          <w:szCs w:val="22"/>
          <w:lang w:val="hu-HU" w:eastAsia="en-US"/>
        </w:rPr>
        <w:t>Kompatibilitási vizsgálatok hiányában ez a gyógyszer ne</w:t>
      </w:r>
      <w:r w:rsidR="0052332A" w:rsidRPr="00F6526C">
        <w:rPr>
          <w:rFonts w:eastAsia="Times New Roman"/>
          <w:noProof/>
          <w:snapToGrid/>
          <w:szCs w:val="22"/>
          <w:lang w:val="hu-HU" w:eastAsia="en-US"/>
        </w:rPr>
        <w:t>m keverhető más gyógyszerekkel.</w:t>
      </w:r>
    </w:p>
    <w:p w14:paraId="0795C602" w14:textId="77777777" w:rsidR="00F45C51" w:rsidRPr="00F6526C" w:rsidRDefault="00F45C51" w:rsidP="00497F75">
      <w:pPr>
        <w:tabs>
          <w:tab w:val="clear" w:pos="567"/>
          <w:tab w:val="left" w:pos="2280"/>
        </w:tabs>
        <w:spacing w:line="240" w:lineRule="auto"/>
        <w:rPr>
          <w:lang w:val="hu-HU"/>
        </w:rPr>
      </w:pPr>
    </w:p>
    <w:p w14:paraId="17D9FADE" w14:textId="77777777" w:rsidR="00F45C51" w:rsidRPr="00F6526C" w:rsidRDefault="00FC0857" w:rsidP="0052332A">
      <w:pPr>
        <w:spacing w:before="240" w:after="120" w:line="240" w:lineRule="auto"/>
        <w:ind w:left="567" w:hanging="567"/>
        <w:outlineLvl w:val="0"/>
        <w:rPr>
          <w:rFonts w:eastAsia="Times New Roman"/>
          <w:b/>
          <w:noProof/>
          <w:snapToGrid/>
          <w:szCs w:val="22"/>
          <w:lang w:val="hu-HU" w:eastAsia="en-US"/>
        </w:rPr>
      </w:pPr>
      <w:r w:rsidRPr="00F6526C">
        <w:rPr>
          <w:rFonts w:eastAsia="Times New Roman"/>
          <w:b/>
          <w:noProof/>
          <w:snapToGrid/>
          <w:szCs w:val="22"/>
          <w:lang w:val="hu-HU" w:eastAsia="en-US"/>
        </w:rPr>
        <w:t>6.3</w:t>
      </w:r>
      <w:r w:rsidRPr="00F6526C">
        <w:rPr>
          <w:rFonts w:eastAsia="Times New Roman"/>
          <w:b/>
          <w:noProof/>
          <w:snapToGrid/>
          <w:szCs w:val="22"/>
          <w:lang w:val="hu-HU" w:eastAsia="en-US"/>
        </w:rPr>
        <w:tab/>
        <w:t>Felhasználhatósági időtartam</w:t>
      </w:r>
    </w:p>
    <w:p w14:paraId="2079DCB5" w14:textId="77777777" w:rsidR="00F45C51" w:rsidRPr="00F6526C" w:rsidRDefault="00F45C51" w:rsidP="00082A8E">
      <w:pPr>
        <w:spacing w:line="240" w:lineRule="auto"/>
        <w:rPr>
          <w:rFonts w:eastAsia="Times New Roman"/>
          <w:noProof/>
          <w:snapToGrid/>
          <w:szCs w:val="22"/>
          <w:lang w:val="hu-HU" w:eastAsia="en-US"/>
        </w:rPr>
      </w:pPr>
    </w:p>
    <w:p w14:paraId="01C474E3" w14:textId="4B1AD3E6" w:rsidR="00F45C51" w:rsidRPr="00F6526C" w:rsidRDefault="00FC0857" w:rsidP="00082A8E">
      <w:pPr>
        <w:spacing w:line="240" w:lineRule="auto"/>
        <w:rPr>
          <w:rFonts w:eastAsia="Times New Roman"/>
          <w:noProof/>
          <w:snapToGrid/>
          <w:szCs w:val="22"/>
          <w:lang w:val="hu-HU" w:eastAsia="en-US"/>
        </w:rPr>
      </w:pPr>
      <w:r w:rsidRPr="00F6526C">
        <w:rPr>
          <w:rFonts w:eastAsia="Times New Roman"/>
          <w:noProof/>
          <w:snapToGrid/>
          <w:szCs w:val="22"/>
          <w:lang w:val="hu-HU" w:eastAsia="en-US"/>
        </w:rPr>
        <w:t>2 év</w:t>
      </w:r>
      <w:r w:rsidR="005B503A" w:rsidRPr="00F6526C">
        <w:rPr>
          <w:rFonts w:eastAsia="Times New Roman"/>
          <w:noProof/>
          <w:snapToGrid/>
          <w:szCs w:val="22"/>
          <w:lang w:val="hu-HU" w:eastAsia="en-US"/>
        </w:rPr>
        <w:t>.</w:t>
      </w:r>
    </w:p>
    <w:p w14:paraId="06550572" w14:textId="77777777" w:rsidR="00E47CF4" w:rsidRPr="00F6526C" w:rsidRDefault="00E47CF4" w:rsidP="00082A8E">
      <w:pPr>
        <w:spacing w:line="240" w:lineRule="auto"/>
        <w:rPr>
          <w:rFonts w:eastAsia="Times New Roman"/>
          <w:noProof/>
          <w:snapToGrid/>
          <w:szCs w:val="22"/>
          <w:lang w:val="hu-HU" w:eastAsia="en-US"/>
        </w:rPr>
      </w:pPr>
    </w:p>
    <w:p w14:paraId="1939D171" w14:textId="589F7DDD" w:rsidR="00077267" w:rsidRPr="00F6526C" w:rsidRDefault="00FC0857" w:rsidP="00DD52DD">
      <w:pPr>
        <w:spacing w:before="240" w:after="120" w:line="240" w:lineRule="auto"/>
        <w:ind w:left="567" w:hanging="567"/>
        <w:outlineLvl w:val="0"/>
        <w:rPr>
          <w:rFonts w:eastAsia="Times New Roman"/>
          <w:b/>
          <w:noProof/>
          <w:snapToGrid/>
          <w:szCs w:val="22"/>
          <w:lang w:val="hu-HU" w:eastAsia="en-US"/>
        </w:rPr>
      </w:pPr>
      <w:r w:rsidRPr="00F6526C">
        <w:rPr>
          <w:rFonts w:eastAsia="Times New Roman"/>
          <w:b/>
          <w:noProof/>
          <w:snapToGrid/>
          <w:szCs w:val="22"/>
          <w:lang w:val="hu-HU" w:eastAsia="en-US"/>
        </w:rPr>
        <w:t>6.4</w:t>
      </w:r>
      <w:r w:rsidRPr="00F6526C">
        <w:rPr>
          <w:rFonts w:eastAsia="Times New Roman"/>
          <w:b/>
          <w:noProof/>
          <w:snapToGrid/>
          <w:szCs w:val="22"/>
          <w:lang w:val="hu-HU" w:eastAsia="en-US"/>
        </w:rPr>
        <w:tab/>
        <w:t>Különleges tárolási előírások</w:t>
      </w:r>
    </w:p>
    <w:p w14:paraId="7F2B5328" w14:textId="77777777" w:rsidR="00DD52DD" w:rsidRPr="00F6526C" w:rsidRDefault="00DD52DD" w:rsidP="00DD52DD">
      <w:pPr>
        <w:spacing w:line="240" w:lineRule="auto"/>
        <w:ind w:left="567" w:hanging="567"/>
        <w:outlineLvl w:val="0"/>
        <w:rPr>
          <w:rFonts w:eastAsia="Times New Roman"/>
          <w:b/>
          <w:noProof/>
          <w:snapToGrid/>
          <w:szCs w:val="22"/>
          <w:lang w:val="hu-HU" w:eastAsia="en-US"/>
        </w:rPr>
      </w:pPr>
    </w:p>
    <w:p w14:paraId="79AC744D" w14:textId="41E3615C" w:rsidR="00DD52DD" w:rsidRPr="00F6526C" w:rsidRDefault="00DD52DD" w:rsidP="00986804">
      <w:pPr>
        <w:spacing w:line="240" w:lineRule="auto"/>
        <w:rPr>
          <w:rFonts w:eastAsia="Times New Roman"/>
          <w:noProof/>
          <w:snapToGrid/>
          <w:szCs w:val="22"/>
          <w:lang w:val="hu-HU" w:eastAsia="en-US"/>
        </w:rPr>
      </w:pPr>
      <w:r w:rsidRPr="00F6526C">
        <w:rPr>
          <w:rFonts w:eastAsia="Times New Roman"/>
          <w:noProof/>
          <w:snapToGrid/>
          <w:szCs w:val="22"/>
          <w:lang w:val="hu-HU" w:eastAsia="en-US"/>
        </w:rPr>
        <w:t>Legfeljebb 25 °C-on tárolandó. Hűtőszekrényben nem tárolható! Nem fagyasztható! A fénytől való védelem érdekében az eredeti dobozban tárolandó.</w:t>
      </w:r>
    </w:p>
    <w:p w14:paraId="473004E3" w14:textId="77777777" w:rsidR="00077267" w:rsidRPr="00F6526C" w:rsidRDefault="00077267" w:rsidP="00082A8E">
      <w:pPr>
        <w:spacing w:line="240" w:lineRule="auto"/>
        <w:rPr>
          <w:rFonts w:eastAsia="Times New Roman"/>
          <w:noProof/>
          <w:snapToGrid/>
          <w:szCs w:val="22"/>
          <w:lang w:val="hu-HU" w:eastAsia="en-US"/>
        </w:rPr>
      </w:pPr>
    </w:p>
    <w:p w14:paraId="372FAC75" w14:textId="3AF7DCB2" w:rsidR="00353909" w:rsidRPr="00F6526C" w:rsidRDefault="00FC0857" w:rsidP="00353909">
      <w:pPr>
        <w:spacing w:before="240" w:after="120" w:line="240" w:lineRule="auto"/>
        <w:ind w:left="567" w:hanging="567"/>
        <w:outlineLvl w:val="0"/>
        <w:rPr>
          <w:rFonts w:eastAsia="Times New Roman"/>
          <w:b/>
          <w:noProof/>
          <w:snapToGrid/>
          <w:szCs w:val="22"/>
          <w:lang w:val="hu-HU" w:eastAsia="en-US"/>
        </w:rPr>
      </w:pPr>
      <w:r w:rsidRPr="00F6526C">
        <w:rPr>
          <w:rFonts w:eastAsia="Times New Roman"/>
          <w:b/>
          <w:noProof/>
          <w:snapToGrid/>
          <w:szCs w:val="22"/>
          <w:lang w:val="hu-HU" w:eastAsia="en-US"/>
        </w:rPr>
        <w:t>6.5</w:t>
      </w:r>
      <w:r w:rsidRPr="00F6526C">
        <w:rPr>
          <w:rFonts w:eastAsia="Times New Roman"/>
          <w:b/>
          <w:noProof/>
          <w:snapToGrid/>
          <w:szCs w:val="22"/>
          <w:lang w:val="hu-HU" w:eastAsia="en-US"/>
        </w:rPr>
        <w:tab/>
        <w:t xml:space="preserve">Csomagolás típusa és kiszerelése </w:t>
      </w:r>
    </w:p>
    <w:p w14:paraId="51DA6A7C" w14:textId="77777777" w:rsidR="00353909" w:rsidRPr="00F6526C" w:rsidRDefault="00353909" w:rsidP="00353909">
      <w:pPr>
        <w:spacing w:line="240" w:lineRule="auto"/>
        <w:ind w:left="567" w:hanging="567"/>
        <w:outlineLvl w:val="0"/>
        <w:rPr>
          <w:rFonts w:eastAsia="Times New Roman"/>
          <w:b/>
          <w:noProof/>
          <w:snapToGrid/>
          <w:szCs w:val="22"/>
          <w:lang w:val="hu-HU" w:eastAsia="en-US"/>
        </w:rPr>
      </w:pPr>
    </w:p>
    <w:p w14:paraId="2F47978F" w14:textId="3F36F6CA" w:rsidR="00077267" w:rsidRPr="00F6526C" w:rsidRDefault="006D4655" w:rsidP="00082A8E">
      <w:pPr>
        <w:spacing w:line="240" w:lineRule="auto"/>
        <w:rPr>
          <w:rFonts w:eastAsia="Times New Roman"/>
          <w:noProof/>
          <w:snapToGrid/>
          <w:szCs w:val="22"/>
          <w:lang w:val="hu-HU" w:eastAsia="en-US"/>
        </w:rPr>
      </w:pPr>
      <w:r>
        <w:rPr>
          <w:rFonts w:eastAsia="Times New Roman"/>
          <w:noProof/>
          <w:snapToGrid/>
          <w:szCs w:val="22"/>
          <w:lang w:val="hu-HU" w:eastAsia="en-US"/>
        </w:rPr>
        <w:t>Elomen</w:t>
      </w:r>
      <w:r w:rsidR="00194F66" w:rsidRPr="00F6526C">
        <w:rPr>
          <w:rFonts w:eastAsia="Times New Roman"/>
          <w:noProof/>
          <w:snapToGrid/>
          <w:szCs w:val="22"/>
          <w:lang w:val="hu-HU" w:eastAsia="en-US"/>
        </w:rPr>
        <w:t xml:space="preserve"> 1000 mg/300 mg oldatos infúzió </w:t>
      </w:r>
      <w:r w:rsidR="00ED5FF3" w:rsidRPr="00F6526C">
        <w:rPr>
          <w:rFonts w:eastAsia="Times New Roman"/>
          <w:noProof/>
          <w:snapToGrid/>
          <w:szCs w:val="22"/>
          <w:lang w:val="hu-HU" w:eastAsia="en-US"/>
        </w:rPr>
        <w:t xml:space="preserve">100 ml infúziós oldat színtelen, átlátszó II. </w:t>
      </w:r>
      <w:r w:rsidR="00A92631" w:rsidRPr="00F6526C">
        <w:rPr>
          <w:rFonts w:eastAsia="Times New Roman"/>
          <w:noProof/>
          <w:snapToGrid/>
          <w:szCs w:val="22"/>
          <w:lang w:val="hu-HU" w:eastAsia="en-US"/>
        </w:rPr>
        <w:t>t</w:t>
      </w:r>
      <w:r w:rsidR="00ED5FF3" w:rsidRPr="00F6526C">
        <w:rPr>
          <w:rFonts w:eastAsia="Times New Roman"/>
          <w:noProof/>
          <w:snapToGrid/>
          <w:szCs w:val="22"/>
          <w:lang w:val="hu-HU" w:eastAsia="en-US"/>
        </w:rPr>
        <w:t>ípusú injekciós üvegben, szürke, brómbutil-gumidugóval és lepattintható alumínium kupakkal lezárt üvegben.</w:t>
      </w:r>
      <w:r w:rsidR="00B87A43" w:rsidRPr="00F6526C">
        <w:rPr>
          <w:rFonts w:eastAsia="Times New Roman"/>
          <w:noProof/>
          <w:snapToGrid/>
          <w:szCs w:val="22"/>
          <w:lang w:val="hu-HU" w:eastAsia="en-US"/>
        </w:rPr>
        <w:t xml:space="preserve"> </w:t>
      </w:r>
      <w:r w:rsidR="00B87A43" w:rsidRPr="00F6526C">
        <w:rPr>
          <w:rStyle w:val="hps"/>
          <w:szCs w:val="22"/>
          <w:lang w:val="hu-HU"/>
        </w:rPr>
        <w:t xml:space="preserve">10 db </w:t>
      </w:r>
      <w:r w:rsidR="00194F66" w:rsidRPr="00F6526C">
        <w:rPr>
          <w:rStyle w:val="hps"/>
          <w:szCs w:val="22"/>
          <w:lang w:val="hu-HU"/>
        </w:rPr>
        <w:t>injekciós üvege</w:t>
      </w:r>
      <w:r w:rsidR="00B87A43" w:rsidRPr="00F6526C">
        <w:rPr>
          <w:rStyle w:val="hps"/>
          <w:szCs w:val="22"/>
          <w:lang w:val="hu-HU"/>
        </w:rPr>
        <w:t xml:space="preserve">t tartalmazó </w:t>
      </w:r>
      <w:r w:rsidR="00E47CF4" w:rsidRPr="00F6526C">
        <w:rPr>
          <w:rStyle w:val="hps"/>
          <w:szCs w:val="22"/>
          <w:lang w:val="hu-HU"/>
        </w:rPr>
        <w:t>karton</w:t>
      </w:r>
      <w:r w:rsidR="00B87A43" w:rsidRPr="00F6526C">
        <w:rPr>
          <w:rStyle w:val="hps"/>
          <w:szCs w:val="22"/>
          <w:lang w:val="hu-HU"/>
        </w:rPr>
        <w:t>dobozban.</w:t>
      </w:r>
    </w:p>
    <w:p w14:paraId="57417C93" w14:textId="77777777" w:rsidR="00E47CF4" w:rsidRPr="00F6526C" w:rsidRDefault="00E47CF4" w:rsidP="00082A8E">
      <w:pPr>
        <w:spacing w:line="240" w:lineRule="auto"/>
        <w:rPr>
          <w:rFonts w:eastAsia="Times New Roman"/>
          <w:noProof/>
          <w:snapToGrid/>
          <w:szCs w:val="22"/>
          <w:lang w:val="hu-HU" w:eastAsia="en-US"/>
        </w:rPr>
      </w:pPr>
    </w:p>
    <w:p w14:paraId="688E0869" w14:textId="575488E0" w:rsidR="00F45C51" w:rsidRPr="00F6526C" w:rsidRDefault="00FC0857" w:rsidP="009E0C00">
      <w:pPr>
        <w:spacing w:before="240" w:after="120" w:line="240" w:lineRule="auto"/>
        <w:ind w:left="567" w:hanging="567"/>
        <w:outlineLvl w:val="0"/>
        <w:rPr>
          <w:rFonts w:eastAsia="Times New Roman"/>
          <w:b/>
          <w:noProof/>
          <w:snapToGrid/>
          <w:szCs w:val="22"/>
          <w:lang w:val="hu-HU" w:eastAsia="en-US"/>
        </w:rPr>
      </w:pPr>
      <w:r w:rsidRPr="00F6526C">
        <w:rPr>
          <w:rFonts w:eastAsia="Times New Roman"/>
          <w:b/>
          <w:noProof/>
          <w:snapToGrid/>
          <w:szCs w:val="22"/>
          <w:lang w:val="hu-HU" w:eastAsia="en-US"/>
        </w:rPr>
        <w:t>6.6</w:t>
      </w:r>
      <w:r w:rsidRPr="00F6526C">
        <w:rPr>
          <w:rFonts w:eastAsia="Times New Roman"/>
          <w:b/>
          <w:noProof/>
          <w:snapToGrid/>
          <w:szCs w:val="22"/>
          <w:lang w:val="hu-HU" w:eastAsia="en-US"/>
        </w:rPr>
        <w:tab/>
        <w:t>A megsemmisítésre vonat</w:t>
      </w:r>
      <w:r w:rsidR="009B313F" w:rsidRPr="00F6526C">
        <w:rPr>
          <w:rFonts w:eastAsia="Times New Roman"/>
          <w:b/>
          <w:noProof/>
          <w:snapToGrid/>
          <w:szCs w:val="22"/>
          <w:lang w:val="hu-HU" w:eastAsia="en-US"/>
        </w:rPr>
        <w:t xml:space="preserve">kozó különleges óvintézkedések </w:t>
      </w:r>
      <w:r w:rsidRPr="00F6526C">
        <w:rPr>
          <w:rFonts w:eastAsia="Times New Roman"/>
          <w:b/>
          <w:noProof/>
          <w:snapToGrid/>
          <w:szCs w:val="22"/>
          <w:lang w:val="hu-HU" w:eastAsia="en-US"/>
        </w:rPr>
        <w:t>és egyéb, a készítmény keze</w:t>
      </w:r>
      <w:r w:rsidR="009B313F" w:rsidRPr="00F6526C">
        <w:rPr>
          <w:rFonts w:eastAsia="Times New Roman"/>
          <w:b/>
          <w:noProof/>
          <w:snapToGrid/>
          <w:szCs w:val="22"/>
          <w:lang w:val="hu-HU" w:eastAsia="en-US"/>
        </w:rPr>
        <w:t>lésével kapcsolatos információk</w:t>
      </w:r>
    </w:p>
    <w:p w14:paraId="2BE59E94" w14:textId="3AA683D1" w:rsidR="00F45C51" w:rsidRPr="00F6526C" w:rsidRDefault="002B45B5" w:rsidP="009E0C00">
      <w:pPr>
        <w:tabs>
          <w:tab w:val="clear" w:pos="567"/>
          <w:tab w:val="left" w:pos="0"/>
        </w:tabs>
        <w:spacing w:line="240" w:lineRule="auto"/>
        <w:outlineLvl w:val="0"/>
        <w:rPr>
          <w:rFonts w:eastAsia="Times New Roman"/>
          <w:noProof/>
          <w:snapToGrid/>
          <w:szCs w:val="22"/>
          <w:lang w:val="hu-HU" w:eastAsia="en-US"/>
        </w:rPr>
      </w:pPr>
      <w:r w:rsidRPr="00F6526C">
        <w:rPr>
          <w:rFonts w:eastAsia="Times New Roman"/>
          <w:noProof/>
          <w:snapToGrid/>
          <w:szCs w:val="22"/>
          <w:lang w:val="hu-HU" w:eastAsia="en-US"/>
        </w:rPr>
        <w:t>Beadás előtt a</w:t>
      </w:r>
      <w:r w:rsidR="00DD2DF7">
        <w:rPr>
          <w:rFonts w:eastAsia="Times New Roman"/>
          <w:noProof/>
          <w:snapToGrid/>
          <w:szCs w:val="22"/>
          <w:lang w:val="hu-HU" w:eastAsia="en-US"/>
        </w:rPr>
        <w:t>z</w:t>
      </w:r>
      <w:r w:rsidRPr="00F6526C">
        <w:rPr>
          <w:rFonts w:eastAsia="Times New Roman"/>
          <w:noProof/>
          <w:snapToGrid/>
          <w:szCs w:val="22"/>
          <w:lang w:val="hu-HU" w:eastAsia="en-US"/>
        </w:rPr>
        <w:t xml:space="preserve"> </w:t>
      </w:r>
      <w:r w:rsidR="006D4655">
        <w:rPr>
          <w:rFonts w:eastAsia="Times New Roman"/>
          <w:noProof/>
          <w:snapToGrid/>
          <w:szCs w:val="22"/>
          <w:lang w:val="hu-HU" w:eastAsia="en-US"/>
        </w:rPr>
        <w:t>Elomen</w:t>
      </w:r>
      <w:r w:rsidRPr="00F6526C">
        <w:rPr>
          <w:rFonts w:eastAsia="Times New Roman"/>
          <w:noProof/>
          <w:snapToGrid/>
          <w:szCs w:val="22"/>
          <w:lang w:val="hu-HU" w:eastAsia="en-US"/>
        </w:rPr>
        <w:t xml:space="preserve"> 1000 mg/300 mg oldatos infúzió</w:t>
      </w:r>
      <w:r w:rsidR="009E0C00" w:rsidRPr="00F6526C">
        <w:rPr>
          <w:rFonts w:eastAsia="Times New Roman"/>
          <w:noProof/>
          <w:snapToGrid/>
          <w:szCs w:val="22"/>
          <w:lang w:val="hu-HU" w:eastAsia="en-US"/>
        </w:rPr>
        <w:t>t szabad szemmel meg kell vizsgálni, hogy nem tartalmaz-e részecskéket, illetve nem színeződött-e el. Ha szabad szemmel látható átlátszatlan részecskék, elszíneződés vagy más idegen részecskék figyelhetők meg benne, az oldatot nem szabad felhasználni.</w:t>
      </w:r>
    </w:p>
    <w:p w14:paraId="4B907EA1" w14:textId="77777777" w:rsidR="00CB52CD" w:rsidRPr="00F6526C" w:rsidRDefault="00CB52CD" w:rsidP="009E0C00">
      <w:pPr>
        <w:tabs>
          <w:tab w:val="clear" w:pos="567"/>
          <w:tab w:val="left" w:pos="0"/>
        </w:tabs>
        <w:spacing w:line="240" w:lineRule="auto"/>
        <w:outlineLvl w:val="0"/>
        <w:rPr>
          <w:rFonts w:eastAsia="Times New Roman"/>
          <w:noProof/>
          <w:snapToGrid/>
          <w:szCs w:val="22"/>
          <w:lang w:val="hu-HU" w:eastAsia="en-US"/>
        </w:rPr>
      </w:pPr>
    </w:p>
    <w:p w14:paraId="73CB8F27" w14:textId="5959E63A" w:rsidR="0055064A" w:rsidRPr="00F6526C" w:rsidRDefault="002B45B5" w:rsidP="00783B5C">
      <w:pPr>
        <w:tabs>
          <w:tab w:val="clear" w:pos="567"/>
          <w:tab w:val="left" w:pos="0"/>
        </w:tabs>
        <w:spacing w:line="240" w:lineRule="auto"/>
        <w:outlineLvl w:val="0"/>
        <w:rPr>
          <w:rFonts w:eastAsia="Times New Roman"/>
          <w:noProof/>
          <w:snapToGrid/>
          <w:szCs w:val="22"/>
          <w:lang w:val="hu-HU" w:eastAsia="en-US"/>
        </w:rPr>
      </w:pPr>
      <w:r w:rsidRPr="00F6526C">
        <w:rPr>
          <w:rFonts w:eastAsia="Times New Roman"/>
          <w:noProof/>
          <w:snapToGrid/>
          <w:szCs w:val="22"/>
          <w:lang w:val="hu-HU" w:eastAsia="en-US"/>
        </w:rPr>
        <w:t>Kompatibilitási vizsgálatok hiányában ez a gyógyszer nem keverhető oldószerekkel.</w:t>
      </w:r>
      <w:r w:rsidR="0055064A" w:rsidRPr="00F6526C">
        <w:rPr>
          <w:rFonts w:eastAsia="Times New Roman"/>
          <w:noProof/>
          <w:snapToGrid/>
          <w:szCs w:val="22"/>
          <w:lang w:val="hu-HU" w:eastAsia="en-US"/>
        </w:rPr>
        <w:t xml:space="preserve"> Amennyiben egy adaghoz kevesebb, mint egy teljes injekciós üveg szükséges, a megfelelő mennyiség felhasználása után a fennmaradó oldatot ki kell dobni (lásd még a 4.2 pontot).</w:t>
      </w:r>
    </w:p>
    <w:p w14:paraId="364119D3" w14:textId="77777777" w:rsidR="00A472D2" w:rsidRPr="00F6526C" w:rsidRDefault="00A472D2">
      <w:pPr>
        <w:tabs>
          <w:tab w:val="clear" w:pos="567"/>
          <w:tab w:val="left" w:pos="0"/>
        </w:tabs>
        <w:spacing w:line="240" w:lineRule="auto"/>
        <w:outlineLvl w:val="0"/>
        <w:rPr>
          <w:rFonts w:eastAsia="Times New Roman"/>
          <w:noProof/>
          <w:snapToGrid/>
          <w:szCs w:val="22"/>
          <w:lang w:val="hu-HU" w:eastAsia="en-US"/>
        </w:rPr>
      </w:pPr>
    </w:p>
    <w:p w14:paraId="7A888FE3" w14:textId="211BBA00" w:rsidR="00A472D2" w:rsidRDefault="001B6772">
      <w:pPr>
        <w:tabs>
          <w:tab w:val="clear" w:pos="567"/>
          <w:tab w:val="left" w:pos="0"/>
        </w:tabs>
        <w:spacing w:line="240" w:lineRule="auto"/>
        <w:outlineLvl w:val="0"/>
        <w:rPr>
          <w:rFonts w:eastAsia="Times New Roman"/>
          <w:noProof/>
          <w:snapToGrid/>
          <w:szCs w:val="22"/>
          <w:lang w:val="hu-HU" w:eastAsia="en-US"/>
        </w:rPr>
      </w:pPr>
      <w:r w:rsidRPr="00F6526C">
        <w:rPr>
          <w:rFonts w:eastAsia="Times New Roman"/>
          <w:noProof/>
          <w:snapToGrid/>
          <w:szCs w:val="22"/>
          <w:lang w:val="hu-HU" w:eastAsia="en-US"/>
        </w:rPr>
        <w:t>A</w:t>
      </w:r>
      <w:r w:rsidR="00DD2DF7">
        <w:rPr>
          <w:rFonts w:eastAsia="Times New Roman"/>
          <w:noProof/>
          <w:snapToGrid/>
          <w:szCs w:val="22"/>
          <w:lang w:val="hu-HU" w:eastAsia="en-US"/>
        </w:rPr>
        <w:t>z</w:t>
      </w:r>
      <w:r w:rsidRPr="00F6526C">
        <w:rPr>
          <w:rFonts w:eastAsia="Times New Roman"/>
          <w:noProof/>
          <w:snapToGrid/>
          <w:szCs w:val="22"/>
          <w:lang w:val="hu-HU" w:eastAsia="en-US"/>
        </w:rPr>
        <w:t xml:space="preserve"> </w:t>
      </w:r>
      <w:r w:rsidR="006D4655">
        <w:rPr>
          <w:rFonts w:eastAsia="Times New Roman"/>
          <w:noProof/>
          <w:snapToGrid/>
          <w:szCs w:val="22"/>
          <w:lang w:val="hu-HU" w:eastAsia="en-US"/>
        </w:rPr>
        <w:t>Elomen</w:t>
      </w:r>
      <w:r w:rsidRPr="00F6526C">
        <w:rPr>
          <w:rFonts w:eastAsia="Times New Roman"/>
          <w:noProof/>
          <w:snapToGrid/>
          <w:szCs w:val="22"/>
          <w:lang w:val="hu-HU" w:eastAsia="en-US"/>
        </w:rPr>
        <w:t xml:space="preserve"> 1000 mg/300 mg oldatos </w:t>
      </w:r>
      <w:r w:rsidR="00DD2DF7">
        <w:rPr>
          <w:rFonts w:eastAsia="Times New Roman"/>
          <w:noProof/>
          <w:snapToGrid/>
          <w:szCs w:val="22"/>
          <w:lang w:val="hu-HU" w:eastAsia="en-US"/>
        </w:rPr>
        <w:t xml:space="preserve">infúzió </w:t>
      </w:r>
      <w:r w:rsidRPr="00F6526C">
        <w:rPr>
          <w:rFonts w:eastAsia="Times New Roman"/>
          <w:noProof/>
          <w:snapToGrid/>
          <w:szCs w:val="22"/>
          <w:lang w:val="hu-HU" w:eastAsia="en-US"/>
        </w:rPr>
        <w:t>kizárólag egyszeri alkalmazásra használható. Nem tartalmaz antimikro</w:t>
      </w:r>
      <w:r w:rsidR="0069682C" w:rsidRPr="00F6526C">
        <w:rPr>
          <w:rFonts w:eastAsia="Times New Roman"/>
          <w:noProof/>
          <w:snapToGrid/>
          <w:szCs w:val="22"/>
          <w:lang w:val="hu-HU" w:eastAsia="en-US"/>
        </w:rPr>
        <w:t>biális tartósítószert. A</w:t>
      </w:r>
      <w:r w:rsidRPr="00F6526C">
        <w:rPr>
          <w:rFonts w:eastAsia="Times New Roman"/>
          <w:noProof/>
          <w:snapToGrid/>
          <w:szCs w:val="22"/>
          <w:lang w:val="hu-HU" w:eastAsia="en-US"/>
        </w:rPr>
        <w:t xml:space="preserve"> fel nem használt oldatot meg kell semmisíteni.</w:t>
      </w:r>
    </w:p>
    <w:p w14:paraId="7F6735AD" w14:textId="57D7D444" w:rsidR="00CC5E7C" w:rsidRDefault="00CC5E7C">
      <w:pPr>
        <w:tabs>
          <w:tab w:val="clear" w:pos="567"/>
          <w:tab w:val="left" w:pos="0"/>
        </w:tabs>
        <w:spacing w:line="240" w:lineRule="auto"/>
        <w:outlineLvl w:val="0"/>
        <w:rPr>
          <w:rFonts w:eastAsia="Times New Roman"/>
          <w:noProof/>
          <w:snapToGrid/>
          <w:szCs w:val="22"/>
          <w:lang w:val="hu-HU" w:eastAsia="en-US"/>
        </w:rPr>
      </w:pPr>
    </w:p>
    <w:p w14:paraId="5577B50E" w14:textId="3FBB5A02" w:rsidR="00CC5E7C" w:rsidRPr="00C30F10" w:rsidRDefault="00CC5E7C" w:rsidP="00857B46">
      <w:pPr>
        <w:rPr>
          <w:szCs w:val="22"/>
          <w:lang w:val="hu-HU" w:eastAsia="ar-SA"/>
        </w:rPr>
      </w:pPr>
      <w:r w:rsidRPr="00C30F10">
        <w:rPr>
          <w:b/>
          <w:szCs w:val="22"/>
          <w:lang w:val="hu-HU" w:eastAsia="ar-SA"/>
        </w:rPr>
        <w:t>Megjegyzés</w:t>
      </w:r>
      <w:r w:rsidR="00DD2DF7" w:rsidRPr="00C30F10">
        <w:rPr>
          <w:b/>
          <w:szCs w:val="22"/>
          <w:lang w:val="hu-HU" w:eastAsia="ar-SA"/>
        </w:rPr>
        <w:t>:</w:t>
      </w:r>
      <w:r w:rsidRPr="00C30F10">
        <w:rPr>
          <w:b/>
          <w:szCs w:val="22"/>
          <w:lang w:val="hu-HU" w:eastAsia="ar-SA"/>
        </w:rPr>
        <w:t xml:space="preserve"> </w:t>
      </w:r>
      <w:r w:rsidR="00DD2DF7" w:rsidRPr="00DD2DF7">
        <w:rPr>
          <w:szCs w:val="22"/>
        </w:rPr>
        <w:sym w:font="Wingdings" w:char="F058"/>
      </w:r>
      <w:r w:rsidRPr="00C30F10">
        <w:rPr>
          <w:szCs w:val="22"/>
          <w:lang w:val="hu-HU" w:eastAsia="ar-SA"/>
        </w:rPr>
        <w:t xml:space="preserve"> (egy keresztes)</w:t>
      </w:r>
    </w:p>
    <w:p w14:paraId="6C69CCE0" w14:textId="77777777" w:rsidR="00CC5E7C" w:rsidRPr="00C30F10" w:rsidRDefault="00CC5E7C" w:rsidP="00783B5C">
      <w:pPr>
        <w:keepNext/>
        <w:suppressAutoHyphens/>
        <w:spacing w:line="240" w:lineRule="auto"/>
        <w:outlineLvl w:val="0"/>
        <w:rPr>
          <w:b/>
          <w:bCs/>
          <w:szCs w:val="22"/>
          <w:lang w:val="hu-HU" w:eastAsia="ar-SA"/>
        </w:rPr>
      </w:pPr>
      <w:r w:rsidRPr="00C30F10">
        <w:rPr>
          <w:b/>
          <w:szCs w:val="22"/>
          <w:lang w:val="hu-HU" w:eastAsia="ar-SA"/>
        </w:rPr>
        <w:t xml:space="preserve">Osztályozás: </w:t>
      </w:r>
      <w:r w:rsidRPr="00C30F10">
        <w:rPr>
          <w:b/>
          <w:lang w:val="hu-HU"/>
        </w:rPr>
        <w:t>II./3 csoport</w:t>
      </w:r>
    </w:p>
    <w:p w14:paraId="31E591B5" w14:textId="618C81B4" w:rsidR="00CC5E7C" w:rsidRPr="00C30F10" w:rsidRDefault="00CC5E7C" w:rsidP="00857B46">
      <w:pPr>
        <w:spacing w:line="240" w:lineRule="auto"/>
        <w:rPr>
          <w:b/>
          <w:szCs w:val="22"/>
          <w:highlight w:val="yellow"/>
          <w:lang w:val="hu-HU"/>
        </w:rPr>
      </w:pPr>
      <w:r w:rsidRPr="00C30F10">
        <w:rPr>
          <w:szCs w:val="24"/>
          <w:lang w:val="hu-HU" w:eastAsia="hu-HU"/>
        </w:rPr>
        <w:t xml:space="preserve">Korlátozott érvényű orvosi rendelvényhez kötött, az egészségügyről szóló 1997. évi CLIV. </w:t>
      </w:r>
      <w:r w:rsidR="00DD2DF7" w:rsidRPr="00C30F10">
        <w:rPr>
          <w:szCs w:val="24"/>
          <w:lang w:val="hu-HU" w:eastAsia="hu-HU"/>
        </w:rPr>
        <w:t>t</w:t>
      </w:r>
      <w:r w:rsidRPr="00C30F10">
        <w:rPr>
          <w:szCs w:val="24"/>
          <w:lang w:val="hu-HU" w:eastAsia="hu-HU"/>
        </w:rPr>
        <w:t>örvény 3.</w:t>
      </w:r>
      <w:r w:rsidR="00DD2DF7" w:rsidRPr="00C30F10">
        <w:rPr>
          <w:szCs w:val="24"/>
          <w:lang w:val="hu-HU" w:eastAsia="hu-HU"/>
        </w:rPr>
        <w:t> </w:t>
      </w:r>
      <w:r w:rsidRPr="00C30F10">
        <w:rPr>
          <w:szCs w:val="24"/>
          <w:lang w:val="hu-HU" w:eastAsia="hu-HU"/>
        </w:rPr>
        <w:t>§-ának ga) pontja szerinti rendelőintézeti járóbeteg-szakellátást vagy fekvőbeteg-szakellátást nyújtó szolgáltatók által biztosított körülmények között alkalmazható gyógyszer (I).</w:t>
      </w:r>
    </w:p>
    <w:p w14:paraId="0DF725B3" w14:textId="77777777" w:rsidR="00CC5E7C" w:rsidRPr="00F6526C" w:rsidRDefault="00CC5E7C">
      <w:pPr>
        <w:tabs>
          <w:tab w:val="clear" w:pos="567"/>
          <w:tab w:val="left" w:pos="0"/>
        </w:tabs>
        <w:spacing w:line="240" w:lineRule="auto"/>
        <w:outlineLvl w:val="0"/>
        <w:rPr>
          <w:rFonts w:eastAsia="Times New Roman"/>
          <w:noProof/>
          <w:snapToGrid/>
          <w:szCs w:val="22"/>
          <w:lang w:val="hu-HU" w:eastAsia="en-US"/>
        </w:rPr>
      </w:pPr>
    </w:p>
    <w:p w14:paraId="2B49FC80" w14:textId="77777777" w:rsidR="00F45C51" w:rsidRPr="00F6526C" w:rsidRDefault="00F45C51">
      <w:pPr>
        <w:spacing w:line="240" w:lineRule="auto"/>
        <w:outlineLvl w:val="0"/>
        <w:rPr>
          <w:b/>
          <w:lang w:val="hu-HU"/>
        </w:rPr>
      </w:pPr>
    </w:p>
    <w:p w14:paraId="506883DB" w14:textId="77777777" w:rsidR="00F45C51" w:rsidRPr="00C30F10" w:rsidRDefault="00FC0857" w:rsidP="00857B46">
      <w:pPr>
        <w:spacing w:before="120" w:after="120" w:line="240" w:lineRule="auto"/>
        <w:ind w:left="567" w:hanging="567"/>
        <w:outlineLvl w:val="0"/>
        <w:rPr>
          <w:rFonts w:eastAsia="Times New Roman"/>
          <w:b/>
          <w:noProof/>
          <w:snapToGrid/>
          <w:szCs w:val="22"/>
          <w:lang w:val="pt-PT" w:eastAsia="en-US"/>
        </w:rPr>
      </w:pPr>
      <w:r w:rsidRPr="00C30F10">
        <w:rPr>
          <w:rFonts w:eastAsia="Times New Roman"/>
          <w:b/>
          <w:noProof/>
          <w:snapToGrid/>
          <w:szCs w:val="22"/>
          <w:lang w:val="pt-PT" w:eastAsia="en-US"/>
        </w:rPr>
        <w:t>7.</w:t>
      </w:r>
      <w:r w:rsidRPr="00C30F10">
        <w:rPr>
          <w:rFonts w:eastAsia="Times New Roman"/>
          <w:b/>
          <w:noProof/>
          <w:snapToGrid/>
          <w:szCs w:val="22"/>
          <w:lang w:val="pt-PT" w:eastAsia="en-US"/>
        </w:rPr>
        <w:tab/>
        <w:t>A FORGALOMBA HOZATALI ENGEDÉLY JOGOSULTJA</w:t>
      </w:r>
    </w:p>
    <w:p w14:paraId="0CDD6FF1" w14:textId="77777777" w:rsidR="006E7C86" w:rsidRDefault="006E7C86" w:rsidP="006E7C86">
      <w:pPr>
        <w:rPr>
          <w:snapToGrid/>
          <w:sz w:val="24"/>
          <w:lang w:val="en-US" w:eastAsia="hu-HU"/>
        </w:rPr>
      </w:pPr>
      <w:r>
        <w:rPr>
          <w:lang w:val="en-US"/>
        </w:rPr>
        <w:t>AFT Pharmaceuticals (EUR) Limited</w:t>
      </w:r>
    </w:p>
    <w:p w14:paraId="261C18DD" w14:textId="77777777" w:rsidR="006E7C86" w:rsidRDefault="006E7C86" w:rsidP="006E7C86">
      <w:pPr>
        <w:rPr>
          <w:lang w:val="en-US"/>
        </w:rPr>
      </w:pPr>
      <w:r>
        <w:rPr>
          <w:lang w:val="en-US"/>
        </w:rPr>
        <w:t>Sinnottstown Business Park,</w:t>
      </w:r>
    </w:p>
    <w:p w14:paraId="1EF2A57D" w14:textId="77777777" w:rsidR="006E7C86" w:rsidRDefault="006E7C86" w:rsidP="006E7C86">
      <w:pPr>
        <w:rPr>
          <w:lang w:val="en-US"/>
        </w:rPr>
      </w:pPr>
      <w:r>
        <w:rPr>
          <w:lang w:val="en-US"/>
        </w:rPr>
        <w:t>Sinnottstown Lane,</w:t>
      </w:r>
    </w:p>
    <w:p w14:paraId="5DC35FA9" w14:textId="77777777" w:rsidR="006E7C86" w:rsidRDefault="006E7C86" w:rsidP="006E7C86">
      <w:pPr>
        <w:rPr>
          <w:lang w:val="en-US"/>
        </w:rPr>
      </w:pPr>
      <w:r>
        <w:rPr>
          <w:lang w:val="en-US"/>
        </w:rPr>
        <w:t>Drinagh, Wexford,</w:t>
      </w:r>
    </w:p>
    <w:p w14:paraId="2B39B987" w14:textId="77777777" w:rsidR="006E7C86" w:rsidRDefault="006E7C86" w:rsidP="006E7C86">
      <w:pPr>
        <w:rPr>
          <w:lang w:val="en-US"/>
        </w:rPr>
      </w:pPr>
      <w:r>
        <w:rPr>
          <w:lang w:val="en-US"/>
        </w:rPr>
        <w:t>Y35 AKX5</w:t>
      </w:r>
    </w:p>
    <w:p w14:paraId="608F2F6E" w14:textId="77777777" w:rsidR="006E7C86" w:rsidRDefault="006E7C86" w:rsidP="006E7C86">
      <w:pPr>
        <w:rPr>
          <w:lang w:val="en-US"/>
        </w:rPr>
      </w:pPr>
      <w:r>
        <w:rPr>
          <w:lang w:val="en-US"/>
        </w:rPr>
        <w:t>Írország</w:t>
      </w:r>
    </w:p>
    <w:p w14:paraId="586A6720" w14:textId="74AF5AB7" w:rsidR="00F45C51" w:rsidRPr="00C30F10" w:rsidRDefault="00F45C51" w:rsidP="00082A8E">
      <w:pPr>
        <w:spacing w:line="240" w:lineRule="auto"/>
        <w:ind w:left="567" w:hanging="567"/>
        <w:outlineLvl w:val="0"/>
        <w:rPr>
          <w:b/>
          <w:lang w:val="pt-PT"/>
        </w:rPr>
      </w:pPr>
    </w:p>
    <w:p w14:paraId="06380EBA" w14:textId="77777777" w:rsidR="000C1099" w:rsidRPr="00C30F10" w:rsidRDefault="000C1099" w:rsidP="00082A8E">
      <w:pPr>
        <w:spacing w:line="240" w:lineRule="auto"/>
        <w:ind w:left="567" w:hanging="567"/>
        <w:outlineLvl w:val="0"/>
        <w:rPr>
          <w:b/>
          <w:lang w:val="pt-PT"/>
        </w:rPr>
      </w:pPr>
    </w:p>
    <w:p w14:paraId="050318DC" w14:textId="77777777" w:rsidR="00F45C51" w:rsidRPr="00C30F10" w:rsidRDefault="00FC0857" w:rsidP="00082A8E">
      <w:pPr>
        <w:spacing w:line="240" w:lineRule="auto"/>
        <w:ind w:left="567" w:hanging="567"/>
        <w:outlineLvl w:val="0"/>
        <w:rPr>
          <w:rFonts w:eastAsia="Times New Roman"/>
          <w:b/>
          <w:noProof/>
          <w:snapToGrid/>
          <w:szCs w:val="22"/>
          <w:lang w:val="pt-PT" w:eastAsia="en-US"/>
        </w:rPr>
      </w:pPr>
      <w:r w:rsidRPr="00C30F10">
        <w:rPr>
          <w:rFonts w:eastAsia="Times New Roman"/>
          <w:b/>
          <w:noProof/>
          <w:snapToGrid/>
          <w:szCs w:val="22"/>
          <w:lang w:val="pt-PT" w:eastAsia="en-US"/>
        </w:rPr>
        <w:t>8.</w:t>
      </w:r>
      <w:r w:rsidRPr="00C30F10">
        <w:rPr>
          <w:rFonts w:eastAsia="Times New Roman"/>
          <w:b/>
          <w:noProof/>
          <w:snapToGrid/>
          <w:szCs w:val="22"/>
          <w:lang w:val="pt-PT" w:eastAsia="en-US"/>
        </w:rPr>
        <w:tab/>
        <w:t>A FORGALOMBA HOZATALI ENGEDÉLY SZÁMA(I)</w:t>
      </w:r>
    </w:p>
    <w:p w14:paraId="62DD686A" w14:textId="77777777" w:rsidR="00F45C51" w:rsidRPr="00C30F10" w:rsidRDefault="00F45C51" w:rsidP="00082A8E">
      <w:pPr>
        <w:spacing w:line="240" w:lineRule="auto"/>
        <w:ind w:left="567" w:hanging="567"/>
        <w:outlineLvl w:val="0"/>
        <w:rPr>
          <w:b/>
          <w:lang w:val="pt-PT"/>
        </w:rPr>
      </w:pPr>
    </w:p>
    <w:p w14:paraId="62FBA90F" w14:textId="5FA6CE54" w:rsidR="00EC221F" w:rsidRPr="00C30F10" w:rsidRDefault="00376643" w:rsidP="00082A8E">
      <w:pPr>
        <w:spacing w:line="240" w:lineRule="auto"/>
        <w:rPr>
          <w:iCs/>
          <w:lang w:val="pt-PT"/>
        </w:rPr>
      </w:pPr>
      <w:r w:rsidRPr="00C30F10">
        <w:rPr>
          <w:iCs/>
          <w:lang w:val="pt-PT"/>
        </w:rPr>
        <w:t>OGYI-T-23693/01</w:t>
      </w:r>
      <w:r w:rsidR="00783B5C" w:rsidRPr="00C30F10">
        <w:rPr>
          <w:iCs/>
          <w:lang w:val="pt-PT"/>
        </w:rPr>
        <w:tab/>
      </w:r>
      <w:r w:rsidRPr="00C30F10">
        <w:rPr>
          <w:iCs/>
          <w:lang w:val="pt-PT"/>
        </w:rPr>
        <w:t>10</w:t>
      </w:r>
      <w:r w:rsidR="00783B5C" w:rsidRPr="00C30F10">
        <w:rPr>
          <w:iCs/>
          <w:lang w:val="pt-PT"/>
        </w:rPr>
        <w:t>×</w:t>
      </w:r>
      <w:r w:rsidR="00783B5C" w:rsidRPr="00C30F10">
        <w:rPr>
          <w:iCs/>
          <w:lang w:val="pt-PT"/>
        </w:rPr>
        <w:tab/>
      </w:r>
      <w:r w:rsidRPr="00C30F10">
        <w:rPr>
          <w:iCs/>
          <w:lang w:val="pt-PT"/>
        </w:rPr>
        <w:t>I</w:t>
      </w:r>
      <w:r w:rsidRPr="00C30F10">
        <w:rPr>
          <w:iCs/>
          <w:lang w:val="pt-PT"/>
        </w:rPr>
        <w:lastRenderedPageBreak/>
        <w:t>I</w:t>
      </w:r>
      <w:r w:rsidR="00783B5C" w:rsidRPr="00C30F10">
        <w:rPr>
          <w:iCs/>
          <w:lang w:val="pt-PT"/>
        </w:rPr>
        <w:t>-</w:t>
      </w:r>
      <w:r w:rsidRPr="00C30F10">
        <w:rPr>
          <w:iCs/>
          <w:lang w:val="pt-PT"/>
        </w:rPr>
        <w:t>es típusú injekciós üveg</w:t>
      </w:r>
    </w:p>
    <w:p w14:paraId="6B919CA2" w14:textId="77777777" w:rsidR="00F45C51" w:rsidRPr="00C30F10" w:rsidRDefault="00F45C51" w:rsidP="00082A8E">
      <w:pPr>
        <w:spacing w:line="240" w:lineRule="auto"/>
        <w:ind w:left="567" w:hanging="567"/>
        <w:outlineLvl w:val="0"/>
        <w:rPr>
          <w:b/>
          <w:lang w:val="pt-PT"/>
        </w:rPr>
      </w:pPr>
    </w:p>
    <w:p w14:paraId="4C32DA2D" w14:textId="77777777" w:rsidR="00CA6136" w:rsidRPr="00C30F10" w:rsidRDefault="00CA6136" w:rsidP="00082A8E">
      <w:pPr>
        <w:spacing w:line="240" w:lineRule="auto"/>
        <w:ind w:left="567" w:hanging="567"/>
        <w:outlineLvl w:val="0"/>
        <w:rPr>
          <w:b/>
          <w:lang w:val="pt-PT"/>
        </w:rPr>
      </w:pPr>
    </w:p>
    <w:p w14:paraId="55E8DCC5" w14:textId="77777777" w:rsidR="00F45C51" w:rsidRPr="00C30F10" w:rsidRDefault="00FC0857" w:rsidP="00082A8E">
      <w:pPr>
        <w:spacing w:line="240" w:lineRule="auto"/>
        <w:ind w:left="567" w:hanging="567"/>
        <w:outlineLvl w:val="0"/>
        <w:rPr>
          <w:b/>
          <w:lang w:val="pt-PT"/>
        </w:rPr>
      </w:pPr>
      <w:r w:rsidRPr="00C30F10">
        <w:rPr>
          <w:rFonts w:eastAsia="Times New Roman"/>
          <w:b/>
          <w:noProof/>
          <w:snapToGrid/>
          <w:szCs w:val="22"/>
          <w:lang w:val="pt-PT" w:eastAsia="en-US"/>
        </w:rPr>
        <w:t>9.</w:t>
      </w:r>
      <w:r w:rsidRPr="00C30F10">
        <w:rPr>
          <w:rFonts w:eastAsia="Times New Roman"/>
          <w:b/>
          <w:noProof/>
          <w:snapToGrid/>
          <w:szCs w:val="22"/>
          <w:lang w:val="pt-PT" w:eastAsia="en-US"/>
        </w:rPr>
        <w:tab/>
        <w:t>A FORGALOMBA HOZATALI ENGEDÉLY ELSŐ KIADÁSÁNAK/ MEGÚJÍTÁSÁNAK</w:t>
      </w:r>
      <w:r w:rsidRPr="00C30F10">
        <w:rPr>
          <w:b/>
          <w:lang w:val="pt-PT"/>
        </w:rPr>
        <w:t xml:space="preserve"> DÁTUMA</w:t>
      </w:r>
    </w:p>
    <w:p w14:paraId="616A4509" w14:textId="77777777" w:rsidR="00F45C51" w:rsidRPr="00C30F10" w:rsidRDefault="00F45C51" w:rsidP="00082A8E">
      <w:pPr>
        <w:spacing w:line="240" w:lineRule="auto"/>
        <w:rPr>
          <w:rFonts w:eastAsia="Times New Roman"/>
          <w:noProof/>
          <w:snapToGrid/>
          <w:szCs w:val="22"/>
          <w:lang w:val="pt-PT" w:eastAsia="en-US"/>
        </w:rPr>
      </w:pPr>
    </w:p>
    <w:p w14:paraId="792C60D2" w14:textId="22FDA85F" w:rsidR="00F45C51" w:rsidRPr="00C30F10" w:rsidRDefault="00FC0857" w:rsidP="00082A8E">
      <w:pPr>
        <w:spacing w:line="240" w:lineRule="auto"/>
        <w:rPr>
          <w:rFonts w:eastAsia="Times New Roman"/>
          <w:noProof/>
          <w:snapToGrid/>
          <w:szCs w:val="22"/>
          <w:lang w:val="pt-PT" w:eastAsia="en-US"/>
        </w:rPr>
      </w:pPr>
      <w:r w:rsidRPr="00C30F10">
        <w:rPr>
          <w:rFonts w:eastAsia="Times New Roman"/>
          <w:noProof/>
          <w:snapToGrid/>
          <w:szCs w:val="22"/>
          <w:lang w:val="pt-PT" w:eastAsia="en-US"/>
        </w:rPr>
        <w:t>A forgalomba hozatali engedély első kiadásának dátuma</w:t>
      </w:r>
      <w:r w:rsidR="00111AC4" w:rsidRPr="00C30F10">
        <w:rPr>
          <w:rFonts w:eastAsia="Times New Roman"/>
          <w:noProof/>
          <w:snapToGrid/>
          <w:szCs w:val="22"/>
          <w:lang w:val="pt-PT" w:eastAsia="en-US"/>
        </w:rPr>
        <w:t xml:space="preserve">: </w:t>
      </w:r>
      <w:r w:rsidR="00376643" w:rsidRPr="00C30F10">
        <w:rPr>
          <w:rFonts w:eastAsia="Times New Roman"/>
          <w:noProof/>
          <w:snapToGrid/>
          <w:szCs w:val="22"/>
          <w:lang w:val="pt-PT" w:eastAsia="en-US"/>
        </w:rPr>
        <w:t>2020. július 1.</w:t>
      </w:r>
    </w:p>
    <w:p w14:paraId="29E3822A" w14:textId="77777777" w:rsidR="00F45C51" w:rsidRPr="00C30F10" w:rsidRDefault="00F45C51" w:rsidP="00082A8E">
      <w:pPr>
        <w:spacing w:line="240" w:lineRule="auto"/>
        <w:rPr>
          <w:rFonts w:eastAsia="Times New Roman"/>
          <w:noProof/>
          <w:snapToGrid/>
          <w:szCs w:val="22"/>
          <w:lang w:val="pt-PT" w:eastAsia="en-US"/>
        </w:rPr>
      </w:pPr>
    </w:p>
    <w:p w14:paraId="18055AAE" w14:textId="77777777" w:rsidR="00CA6136" w:rsidRPr="00C30F10" w:rsidRDefault="00CA6136" w:rsidP="00082A8E">
      <w:pPr>
        <w:spacing w:line="240" w:lineRule="auto"/>
        <w:rPr>
          <w:rFonts w:eastAsia="Times New Roman"/>
          <w:noProof/>
          <w:snapToGrid/>
          <w:szCs w:val="22"/>
          <w:lang w:val="pt-PT" w:eastAsia="en-US"/>
        </w:rPr>
      </w:pPr>
    </w:p>
    <w:p w14:paraId="20747B63" w14:textId="77777777" w:rsidR="00F45C51" w:rsidRPr="00C30F10" w:rsidRDefault="00FC0857" w:rsidP="00082A8E">
      <w:pPr>
        <w:spacing w:line="240" w:lineRule="auto"/>
        <w:ind w:left="567" w:hanging="567"/>
        <w:outlineLvl w:val="0"/>
        <w:rPr>
          <w:b/>
          <w:lang w:val="pt-PT"/>
        </w:rPr>
      </w:pPr>
      <w:r w:rsidRPr="00C30F10">
        <w:rPr>
          <w:rFonts w:eastAsia="Times New Roman"/>
          <w:b/>
          <w:noProof/>
          <w:snapToGrid/>
          <w:szCs w:val="22"/>
          <w:lang w:val="pt-PT" w:eastAsia="en-US"/>
        </w:rPr>
        <w:t>10.</w:t>
      </w:r>
      <w:r w:rsidRPr="00C30F10">
        <w:rPr>
          <w:rFonts w:eastAsia="Times New Roman"/>
          <w:b/>
          <w:noProof/>
          <w:snapToGrid/>
          <w:szCs w:val="22"/>
          <w:lang w:val="pt-PT" w:eastAsia="en-US"/>
        </w:rPr>
        <w:tab/>
        <w:t>A SZÖVEG ELLENŐRZÉSÉNEK DÁTUMA</w:t>
      </w:r>
    </w:p>
    <w:p w14:paraId="0AF0B514" w14:textId="77777777" w:rsidR="00F45C51" w:rsidRPr="00C30F10" w:rsidRDefault="00F45C51" w:rsidP="00082A8E">
      <w:pPr>
        <w:spacing w:line="240" w:lineRule="auto"/>
        <w:ind w:left="567" w:hanging="567"/>
        <w:outlineLvl w:val="0"/>
        <w:rPr>
          <w:rFonts w:eastAsia="Times New Roman"/>
          <w:b/>
          <w:noProof/>
          <w:snapToGrid/>
          <w:szCs w:val="22"/>
          <w:lang w:val="pt-PT" w:eastAsia="en-US"/>
        </w:rPr>
      </w:pPr>
    </w:p>
    <w:p w14:paraId="1A20AA6F" w14:textId="2B080366" w:rsidR="00F45C51" w:rsidRPr="00C30F10" w:rsidRDefault="006E7C86" w:rsidP="00CA6136">
      <w:pPr>
        <w:spacing w:line="240" w:lineRule="auto"/>
        <w:rPr>
          <w:lang w:val="pt-PT"/>
        </w:rPr>
      </w:pPr>
      <w:r>
        <w:rPr>
          <w:lang w:val="pt-PT"/>
        </w:rPr>
        <w:t>2026. augusztus 07.</w:t>
      </w:r>
    </w:p>
    <w:p w14:paraId="5F072E0E" w14:textId="526EE6B7" w:rsidR="003F4160" w:rsidRPr="00C30F10" w:rsidRDefault="003F4160" w:rsidP="00CA6136">
      <w:pPr>
        <w:spacing w:line="240" w:lineRule="auto"/>
        <w:rPr>
          <w:lang w:val="pt-PT"/>
        </w:rPr>
      </w:pPr>
    </w:p>
    <w:p w14:paraId="0395EDE0" w14:textId="77777777" w:rsidR="003F4160" w:rsidRPr="00C30F10" w:rsidRDefault="003F4160" w:rsidP="00CA6136">
      <w:pPr>
        <w:spacing w:line="240" w:lineRule="auto"/>
        <w:rPr>
          <w:lang w:val="pt-PT"/>
        </w:rPr>
      </w:pPr>
    </w:p>
    <w:sectPr w:rsidR="003F4160" w:rsidRPr="00C30F10" w:rsidSect="002D1F2D">
      <w:headerReference w:type="default" r:id="rId11"/>
      <w:footerReference w:type="default" r:id="rId12"/>
      <w:footerReference w:type="first" r:id="rId13"/>
      <w:endnotePr>
        <w:numFmt w:val="decimal"/>
      </w:endnotePr>
      <w:pgSz w:w="11907" w:h="16840" w:code="9"/>
      <w:pgMar w:top="1134" w:right="1418" w:bottom="1134" w:left="1418" w:header="737" w:footer="73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A812CF" w14:textId="77777777" w:rsidR="001C111E" w:rsidRDefault="001C111E">
      <w:pPr>
        <w:spacing w:line="240" w:lineRule="auto"/>
      </w:pPr>
      <w:r>
        <w:separator/>
      </w:r>
    </w:p>
  </w:endnote>
  <w:endnote w:type="continuationSeparator" w:id="0">
    <w:p w14:paraId="5327EF86" w14:textId="77777777" w:rsidR="001C111E" w:rsidRDefault="001C111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horndale">
    <w:altName w:val="Times New Roman"/>
    <w:charset w:val="00"/>
    <w:family w:val="roman"/>
    <w:pitch w:val="variable"/>
    <w:sig w:usb0="00000003" w:usb1="00000000" w:usb2="00000000" w:usb3="00000000" w:csb0="00000001" w:csb1="00000000"/>
  </w:font>
  <w:font w:name="StarSymbol">
    <w:altName w:val="Calibri"/>
    <w:charset w:val="00"/>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Helvetica">
    <w:panose1 w:val="020B0604020202020204"/>
    <w:charset w:val="EE"/>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lbany">
    <w:altName w:val="Arial"/>
    <w:charset w:val="00"/>
    <w:family w:val="swiss"/>
    <w:pitch w:val="variable"/>
  </w:font>
  <w:font w:name="HG Mincho Light J">
    <w:altName w:val="Times New Roman"/>
    <w:charset w:val="EE"/>
    <w:family w:val="auto"/>
    <w:pitch w:val="variable"/>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4EB65D" w14:textId="63A6C181" w:rsidR="000E3AA6" w:rsidRDefault="000E3AA6">
    <w:pPr>
      <w:pStyle w:val="llb"/>
      <w:tabs>
        <w:tab w:val="right" w:pos="8931"/>
      </w:tabs>
      <w:ind w:right="96"/>
      <w:jc w:val="center"/>
    </w:pPr>
    <w:r>
      <w:rPr>
        <w:szCs w:val="24"/>
      </w:rPr>
      <w:fldChar w:fldCharType="begin"/>
    </w:r>
    <w:r>
      <w:rPr>
        <w:szCs w:val="24"/>
      </w:rPr>
      <w:instrText xml:space="preserve"> EQ </w:instrText>
    </w:r>
    <w:r>
      <w:rPr>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9BF40C" w14:textId="22871FA9" w:rsidR="000E3AA6" w:rsidRPr="004017C1" w:rsidRDefault="009B4019" w:rsidP="004017C1">
    <w:pPr>
      <w:pStyle w:val="llb"/>
      <w:tabs>
        <w:tab w:val="right" w:pos="8931"/>
      </w:tabs>
      <w:ind w:right="96"/>
      <w:rPr>
        <w:rFonts w:ascii="Times New Roman" w:hAnsi="Times New Roman"/>
        <w:sz w:val="18"/>
        <w:szCs w:val="18"/>
      </w:rPr>
    </w:pPr>
    <w:r w:rsidRPr="009B4019">
      <w:rPr>
        <w:rFonts w:ascii="Times New Roman" w:hAnsi="Times New Roman"/>
        <w:sz w:val="18"/>
        <w:szCs w:val="18"/>
      </w:rPr>
      <w:t>NNGYK/ETGY/</w:t>
    </w:r>
    <w:r w:rsidR="006E7C86">
      <w:rPr>
        <w:rFonts w:ascii="Times New Roman" w:hAnsi="Times New Roman"/>
        <w:sz w:val="18"/>
        <w:szCs w:val="18"/>
      </w:rPr>
      <w:t>19083/2026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3A63D6" w14:textId="77777777" w:rsidR="001C111E" w:rsidRDefault="001C111E">
      <w:pPr>
        <w:spacing w:line="240" w:lineRule="auto"/>
      </w:pPr>
      <w:r>
        <w:separator/>
      </w:r>
    </w:p>
  </w:footnote>
  <w:footnote w:type="continuationSeparator" w:id="0">
    <w:p w14:paraId="522A877D" w14:textId="77777777" w:rsidR="001C111E" w:rsidRDefault="001C111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791422"/>
      <w:docPartObj>
        <w:docPartGallery w:val="Page Numbers (Top of Page)"/>
        <w:docPartUnique/>
      </w:docPartObj>
    </w:sdtPr>
    <w:sdtEndPr>
      <w:rPr>
        <w:sz w:val="18"/>
        <w:szCs w:val="18"/>
      </w:rPr>
    </w:sdtEndPr>
    <w:sdtContent>
      <w:p w14:paraId="031EAE85" w14:textId="716C2F18" w:rsidR="000E3AA6" w:rsidRPr="00BC3FA2" w:rsidRDefault="000E3AA6" w:rsidP="00BC3FA2">
        <w:pPr>
          <w:pStyle w:val="lfej"/>
          <w:jc w:val="center"/>
          <w:rPr>
            <w:sz w:val="18"/>
            <w:szCs w:val="18"/>
          </w:rPr>
        </w:pPr>
        <w:r w:rsidRPr="00BC3FA2">
          <w:rPr>
            <w:sz w:val="18"/>
            <w:szCs w:val="18"/>
          </w:rPr>
          <w:fldChar w:fldCharType="begin"/>
        </w:r>
        <w:r w:rsidRPr="00BC3FA2">
          <w:rPr>
            <w:sz w:val="18"/>
            <w:szCs w:val="18"/>
          </w:rPr>
          <w:instrText>PAGE   \* MERGEFORMAT</w:instrText>
        </w:r>
        <w:r w:rsidRPr="00BC3FA2">
          <w:rPr>
            <w:sz w:val="18"/>
            <w:szCs w:val="18"/>
          </w:rPr>
          <w:fldChar w:fldCharType="separate"/>
        </w:r>
        <w:r w:rsidR="00545A77" w:rsidRPr="00545A77">
          <w:rPr>
            <w:noProof/>
            <w:sz w:val="18"/>
            <w:szCs w:val="18"/>
            <w:lang w:val="hu-HU"/>
          </w:rPr>
          <w:t>20</w:t>
        </w:r>
        <w:r w:rsidRPr="00BC3FA2">
          <w:rPr>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00000001"/>
    <w:multiLevelType w:val="multilevel"/>
    <w:tmpl w:val="00000001"/>
    <w:name w:val="WW8Num1"/>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2" w15:restartNumberingAfterBreak="0">
    <w:nsid w:val="00000002"/>
    <w:multiLevelType w:val="multilevel"/>
    <w:tmpl w:val="00000002"/>
    <w:name w:val="WW8Num2"/>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3" w15:restartNumberingAfterBreak="0">
    <w:nsid w:val="00000003"/>
    <w:multiLevelType w:val="multilevel"/>
    <w:tmpl w:val="00000003"/>
    <w:name w:val="WW8Num3"/>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4" w15:restartNumberingAfterBreak="0">
    <w:nsid w:val="00000004"/>
    <w:multiLevelType w:val="multilevel"/>
    <w:tmpl w:val="00000004"/>
    <w:name w:val="WW8Num4"/>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5" w15:restartNumberingAfterBreak="0">
    <w:nsid w:val="00000005"/>
    <w:multiLevelType w:val="multilevel"/>
    <w:tmpl w:val="00000005"/>
    <w:name w:val="WW8Num5"/>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6" w15:restartNumberingAfterBreak="0">
    <w:nsid w:val="00000006"/>
    <w:multiLevelType w:val="multilevel"/>
    <w:tmpl w:val="00000006"/>
    <w:name w:val="WW8Num6"/>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7" w15:restartNumberingAfterBreak="0">
    <w:nsid w:val="00000007"/>
    <w:multiLevelType w:val="multilevel"/>
    <w:tmpl w:val="00000007"/>
    <w:name w:val="WW8Num7"/>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8" w15:restartNumberingAfterBreak="0">
    <w:nsid w:val="00000008"/>
    <w:multiLevelType w:val="multilevel"/>
    <w:tmpl w:val="00000008"/>
    <w:name w:val="WW8Num8"/>
    <w:lvl w:ilvl="0">
      <w:numFmt w:val="bullet"/>
      <w:lvlText w:val="-"/>
      <w:lvlJc w:val="left"/>
      <w:pPr>
        <w:tabs>
          <w:tab w:val="num" w:pos="360"/>
        </w:tabs>
      </w:pPr>
      <w:rPr>
        <w:rFonts w:ascii="Thorndale" w:hAnsi="Thorndale"/>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9" w15:restartNumberingAfterBreak="0">
    <w:nsid w:val="00000009"/>
    <w:multiLevelType w:val="multilevel"/>
    <w:tmpl w:val="00000009"/>
    <w:name w:val="WW8Num9"/>
    <w:lvl w:ilvl="0">
      <w:numFmt w:val="bullet"/>
      <w:lvlText w:val="-"/>
      <w:lvlJc w:val="left"/>
      <w:pPr>
        <w:tabs>
          <w:tab w:val="num" w:pos="360"/>
        </w:tabs>
      </w:pPr>
      <w:rPr>
        <w:rFonts w:ascii="Thorndale" w:hAnsi="Thorndale"/>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10" w15:restartNumberingAfterBreak="0">
    <w:nsid w:val="000900ED"/>
    <w:multiLevelType w:val="hybridMultilevel"/>
    <w:tmpl w:val="3D08C984"/>
    <w:lvl w:ilvl="0" w:tplc="BB8A5242">
      <w:start w:val="1"/>
      <w:numFmt w:val="bullet"/>
      <w:pStyle w:val="Cmsor1"/>
      <w:lvlText w:val=""/>
      <w:lvlJc w:val="left"/>
      <w:pPr>
        <w:tabs>
          <w:tab w:val="num" w:pos="360"/>
        </w:tabs>
        <w:ind w:left="360" w:hanging="360"/>
      </w:pPr>
      <w:rPr>
        <w:rFonts w:ascii="Symbol" w:hAnsi="Symbol" w:hint="default"/>
      </w:rPr>
    </w:lvl>
    <w:lvl w:ilvl="1" w:tplc="30602AA0" w:tentative="1">
      <w:start w:val="1"/>
      <w:numFmt w:val="bullet"/>
      <w:pStyle w:val="Cmsor2"/>
      <w:lvlText w:val="o"/>
      <w:lvlJc w:val="left"/>
      <w:pPr>
        <w:tabs>
          <w:tab w:val="num" w:pos="1080"/>
        </w:tabs>
        <w:ind w:left="1080" w:hanging="360"/>
      </w:pPr>
      <w:rPr>
        <w:rFonts w:ascii="Courier New" w:hAnsi="Courier New" w:hint="default"/>
      </w:rPr>
    </w:lvl>
    <w:lvl w:ilvl="2" w:tplc="B8147B0A" w:tentative="1">
      <w:start w:val="1"/>
      <w:numFmt w:val="bullet"/>
      <w:pStyle w:val="Cmsor3"/>
      <w:lvlText w:val=""/>
      <w:lvlJc w:val="left"/>
      <w:pPr>
        <w:tabs>
          <w:tab w:val="num" w:pos="1800"/>
        </w:tabs>
        <w:ind w:left="1800" w:hanging="360"/>
      </w:pPr>
      <w:rPr>
        <w:rFonts w:ascii="Wingdings" w:hAnsi="Wingdings" w:hint="default"/>
      </w:rPr>
    </w:lvl>
    <w:lvl w:ilvl="3" w:tplc="A9828CBC" w:tentative="1">
      <w:start w:val="1"/>
      <w:numFmt w:val="bullet"/>
      <w:pStyle w:val="Cmsor4"/>
      <w:lvlText w:val=""/>
      <w:lvlJc w:val="left"/>
      <w:pPr>
        <w:tabs>
          <w:tab w:val="num" w:pos="2520"/>
        </w:tabs>
        <w:ind w:left="2520" w:hanging="360"/>
      </w:pPr>
      <w:rPr>
        <w:rFonts w:ascii="Symbol" w:hAnsi="Symbol" w:hint="default"/>
      </w:rPr>
    </w:lvl>
    <w:lvl w:ilvl="4" w:tplc="6F4C3F64" w:tentative="1">
      <w:start w:val="1"/>
      <w:numFmt w:val="bullet"/>
      <w:pStyle w:val="Cmsor5"/>
      <w:lvlText w:val="o"/>
      <w:lvlJc w:val="left"/>
      <w:pPr>
        <w:tabs>
          <w:tab w:val="num" w:pos="3240"/>
        </w:tabs>
        <w:ind w:left="3240" w:hanging="360"/>
      </w:pPr>
      <w:rPr>
        <w:rFonts w:ascii="Courier New" w:hAnsi="Courier New" w:hint="default"/>
      </w:rPr>
    </w:lvl>
    <w:lvl w:ilvl="5" w:tplc="6B98266E" w:tentative="1">
      <w:start w:val="1"/>
      <w:numFmt w:val="bullet"/>
      <w:pStyle w:val="Cmsor6"/>
      <w:lvlText w:val=""/>
      <w:lvlJc w:val="left"/>
      <w:pPr>
        <w:tabs>
          <w:tab w:val="num" w:pos="3960"/>
        </w:tabs>
        <w:ind w:left="3960" w:hanging="360"/>
      </w:pPr>
      <w:rPr>
        <w:rFonts w:ascii="Wingdings" w:hAnsi="Wingdings" w:hint="default"/>
      </w:rPr>
    </w:lvl>
    <w:lvl w:ilvl="6" w:tplc="D20477BC" w:tentative="1">
      <w:start w:val="1"/>
      <w:numFmt w:val="bullet"/>
      <w:pStyle w:val="Cmsor7"/>
      <w:lvlText w:val=""/>
      <w:lvlJc w:val="left"/>
      <w:pPr>
        <w:tabs>
          <w:tab w:val="num" w:pos="4680"/>
        </w:tabs>
        <w:ind w:left="4680" w:hanging="360"/>
      </w:pPr>
      <w:rPr>
        <w:rFonts w:ascii="Symbol" w:hAnsi="Symbol" w:hint="default"/>
      </w:rPr>
    </w:lvl>
    <w:lvl w:ilvl="7" w:tplc="D16E176A" w:tentative="1">
      <w:start w:val="1"/>
      <w:numFmt w:val="bullet"/>
      <w:pStyle w:val="Cmsor8"/>
      <w:lvlText w:val="o"/>
      <w:lvlJc w:val="left"/>
      <w:pPr>
        <w:tabs>
          <w:tab w:val="num" w:pos="5400"/>
        </w:tabs>
        <w:ind w:left="5400" w:hanging="360"/>
      </w:pPr>
      <w:rPr>
        <w:rFonts w:ascii="Courier New" w:hAnsi="Courier New" w:hint="default"/>
      </w:rPr>
    </w:lvl>
    <w:lvl w:ilvl="8" w:tplc="926CA5F0" w:tentative="1">
      <w:start w:val="1"/>
      <w:numFmt w:val="bullet"/>
      <w:pStyle w:val="Cmsor9"/>
      <w:lvlText w:val=""/>
      <w:lvlJc w:val="left"/>
      <w:pPr>
        <w:tabs>
          <w:tab w:val="num" w:pos="6120"/>
        </w:tabs>
        <w:ind w:left="6120" w:hanging="360"/>
      </w:pPr>
      <w:rPr>
        <w:rFonts w:ascii="Wingdings" w:hAnsi="Wingdings" w:hint="default"/>
      </w:rPr>
    </w:lvl>
  </w:abstractNum>
  <w:abstractNum w:abstractNumId="11" w15:restartNumberingAfterBreak="0">
    <w:nsid w:val="0325458F"/>
    <w:multiLevelType w:val="hybridMultilevel"/>
    <w:tmpl w:val="65BC51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5D6023E"/>
    <w:multiLevelType w:val="hybridMultilevel"/>
    <w:tmpl w:val="7C66DA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B45155D"/>
    <w:multiLevelType w:val="hybridMultilevel"/>
    <w:tmpl w:val="AF50379A"/>
    <w:lvl w:ilvl="0" w:tplc="8ACE7F26">
      <w:start w:val="4"/>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0CC2107"/>
    <w:multiLevelType w:val="multilevel"/>
    <w:tmpl w:val="00E6F7F6"/>
    <w:name w:val="WW8Num32"/>
    <w:lvl w:ilvl="0">
      <w:numFmt w:val="bullet"/>
      <w:lvlText w:val="-"/>
      <w:lvlJc w:val="left"/>
      <w:pPr>
        <w:tabs>
          <w:tab w:val="num" w:pos="360"/>
        </w:tabs>
        <w:ind w:left="357" w:hanging="357"/>
      </w:pPr>
      <w:rPr>
        <w:rFonts w:ascii="Thorndale" w:hAnsi="Thorndale" w:hint="default"/>
      </w:rPr>
    </w:lvl>
    <w:lvl w:ilvl="1">
      <w:start w:val="1"/>
      <w:numFmt w:val="decimal"/>
      <w:lvlText w:val="%2."/>
      <w:lvlJc w:val="left"/>
      <w:pPr>
        <w:tabs>
          <w:tab w:val="num" w:pos="0"/>
        </w:tabs>
        <w:ind w:left="0" w:firstLine="0"/>
      </w:pPr>
      <w:rPr>
        <w:rFonts w:cs="Times New Roman" w:hint="default"/>
      </w:rPr>
    </w:lvl>
    <w:lvl w:ilvl="2">
      <w:start w:val="1"/>
      <w:numFmt w:val="decimal"/>
      <w:lvlText w:val="%3."/>
      <w:lvlJc w:val="left"/>
      <w:pPr>
        <w:tabs>
          <w:tab w:val="num" w:pos="0"/>
        </w:tabs>
        <w:ind w:left="0" w:firstLine="0"/>
      </w:pPr>
      <w:rPr>
        <w:rFonts w:cs="Times New Roman" w:hint="default"/>
      </w:rPr>
    </w:lvl>
    <w:lvl w:ilvl="3">
      <w:start w:val="1"/>
      <w:numFmt w:val="decimal"/>
      <w:lvlText w:val="%4."/>
      <w:lvlJc w:val="left"/>
      <w:pPr>
        <w:tabs>
          <w:tab w:val="num" w:pos="0"/>
        </w:tabs>
        <w:ind w:left="0" w:firstLine="0"/>
      </w:pPr>
      <w:rPr>
        <w:rFonts w:cs="Times New Roman" w:hint="default"/>
      </w:rPr>
    </w:lvl>
    <w:lvl w:ilvl="4">
      <w:start w:val="1"/>
      <w:numFmt w:val="decimal"/>
      <w:lvlText w:val="%5."/>
      <w:lvlJc w:val="left"/>
      <w:pPr>
        <w:tabs>
          <w:tab w:val="num" w:pos="0"/>
        </w:tabs>
        <w:ind w:left="0" w:firstLine="0"/>
      </w:pPr>
      <w:rPr>
        <w:rFonts w:cs="Times New Roman" w:hint="default"/>
      </w:rPr>
    </w:lvl>
    <w:lvl w:ilvl="5">
      <w:start w:val="1"/>
      <w:numFmt w:val="decimal"/>
      <w:lvlText w:val="%6."/>
      <w:lvlJc w:val="left"/>
      <w:pPr>
        <w:tabs>
          <w:tab w:val="num" w:pos="0"/>
        </w:tabs>
        <w:ind w:left="0" w:firstLine="0"/>
      </w:pPr>
      <w:rPr>
        <w:rFonts w:cs="Times New Roman" w:hint="default"/>
      </w:rPr>
    </w:lvl>
    <w:lvl w:ilvl="6">
      <w:start w:val="1"/>
      <w:numFmt w:val="decimal"/>
      <w:lvlText w:val="%7."/>
      <w:lvlJc w:val="left"/>
      <w:pPr>
        <w:tabs>
          <w:tab w:val="num" w:pos="0"/>
        </w:tabs>
        <w:ind w:left="0" w:firstLine="0"/>
      </w:pPr>
      <w:rPr>
        <w:rFonts w:cs="Times New Roman" w:hint="default"/>
      </w:rPr>
    </w:lvl>
    <w:lvl w:ilvl="7">
      <w:start w:val="1"/>
      <w:numFmt w:val="decimal"/>
      <w:lvlText w:val="%8."/>
      <w:lvlJc w:val="left"/>
      <w:pPr>
        <w:tabs>
          <w:tab w:val="num" w:pos="0"/>
        </w:tabs>
        <w:ind w:left="0" w:firstLine="0"/>
      </w:pPr>
      <w:rPr>
        <w:rFonts w:cs="Times New Roman" w:hint="default"/>
      </w:rPr>
    </w:lvl>
    <w:lvl w:ilvl="8">
      <w:start w:val="1"/>
      <w:numFmt w:val="decimal"/>
      <w:lvlText w:val="%9."/>
      <w:lvlJc w:val="left"/>
      <w:pPr>
        <w:tabs>
          <w:tab w:val="num" w:pos="0"/>
        </w:tabs>
        <w:ind w:left="0" w:firstLine="0"/>
      </w:pPr>
      <w:rPr>
        <w:rFonts w:cs="Times New Roman" w:hint="default"/>
      </w:rPr>
    </w:lvl>
  </w:abstractNum>
  <w:abstractNum w:abstractNumId="15" w15:restartNumberingAfterBreak="0">
    <w:nsid w:val="1D8659AE"/>
    <w:multiLevelType w:val="hybridMultilevel"/>
    <w:tmpl w:val="7BA015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7D3153E"/>
    <w:multiLevelType w:val="multilevel"/>
    <w:tmpl w:val="00000003"/>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17" w15:restartNumberingAfterBreak="0">
    <w:nsid w:val="2E541609"/>
    <w:multiLevelType w:val="hybridMultilevel"/>
    <w:tmpl w:val="1E5AABE8"/>
    <w:lvl w:ilvl="0" w:tplc="8D100F92">
      <w:start w:val="1"/>
      <w:numFmt w:val="decimal"/>
      <w:lvlText w:val="%1."/>
      <w:lvlJc w:val="left"/>
      <w:pPr>
        <w:tabs>
          <w:tab w:val="num" w:pos="570"/>
        </w:tabs>
        <w:ind w:left="570" w:hanging="570"/>
      </w:pPr>
      <w:rPr>
        <w:rFonts w:cs="Times New Roman" w:hint="default"/>
      </w:rPr>
    </w:lvl>
    <w:lvl w:ilvl="1" w:tplc="A1A01B70" w:tentative="1">
      <w:start w:val="1"/>
      <w:numFmt w:val="lowerLetter"/>
      <w:lvlText w:val="%2."/>
      <w:lvlJc w:val="left"/>
      <w:pPr>
        <w:tabs>
          <w:tab w:val="num" w:pos="1080"/>
        </w:tabs>
        <w:ind w:left="1080" w:hanging="360"/>
      </w:pPr>
      <w:rPr>
        <w:rFonts w:cs="Times New Roman"/>
      </w:rPr>
    </w:lvl>
    <w:lvl w:ilvl="2" w:tplc="1DB2BE2E" w:tentative="1">
      <w:start w:val="1"/>
      <w:numFmt w:val="lowerRoman"/>
      <w:lvlText w:val="%3."/>
      <w:lvlJc w:val="right"/>
      <w:pPr>
        <w:tabs>
          <w:tab w:val="num" w:pos="1800"/>
        </w:tabs>
        <w:ind w:left="1800" w:hanging="180"/>
      </w:pPr>
      <w:rPr>
        <w:rFonts w:cs="Times New Roman"/>
      </w:rPr>
    </w:lvl>
    <w:lvl w:ilvl="3" w:tplc="82E8A7F4" w:tentative="1">
      <w:start w:val="1"/>
      <w:numFmt w:val="decimal"/>
      <w:lvlText w:val="%4."/>
      <w:lvlJc w:val="left"/>
      <w:pPr>
        <w:tabs>
          <w:tab w:val="num" w:pos="2520"/>
        </w:tabs>
        <w:ind w:left="2520" w:hanging="360"/>
      </w:pPr>
      <w:rPr>
        <w:rFonts w:cs="Times New Roman"/>
      </w:rPr>
    </w:lvl>
    <w:lvl w:ilvl="4" w:tplc="CB2CF2E8" w:tentative="1">
      <w:start w:val="1"/>
      <w:numFmt w:val="lowerLetter"/>
      <w:lvlText w:val="%5."/>
      <w:lvlJc w:val="left"/>
      <w:pPr>
        <w:tabs>
          <w:tab w:val="num" w:pos="3240"/>
        </w:tabs>
        <w:ind w:left="3240" w:hanging="360"/>
      </w:pPr>
      <w:rPr>
        <w:rFonts w:cs="Times New Roman"/>
      </w:rPr>
    </w:lvl>
    <w:lvl w:ilvl="5" w:tplc="4C40900A" w:tentative="1">
      <w:start w:val="1"/>
      <w:numFmt w:val="lowerRoman"/>
      <w:lvlText w:val="%6."/>
      <w:lvlJc w:val="right"/>
      <w:pPr>
        <w:tabs>
          <w:tab w:val="num" w:pos="3960"/>
        </w:tabs>
        <w:ind w:left="3960" w:hanging="180"/>
      </w:pPr>
      <w:rPr>
        <w:rFonts w:cs="Times New Roman"/>
      </w:rPr>
    </w:lvl>
    <w:lvl w:ilvl="6" w:tplc="49A23828" w:tentative="1">
      <w:start w:val="1"/>
      <w:numFmt w:val="decimal"/>
      <w:lvlText w:val="%7."/>
      <w:lvlJc w:val="left"/>
      <w:pPr>
        <w:tabs>
          <w:tab w:val="num" w:pos="4680"/>
        </w:tabs>
        <w:ind w:left="4680" w:hanging="360"/>
      </w:pPr>
      <w:rPr>
        <w:rFonts w:cs="Times New Roman"/>
      </w:rPr>
    </w:lvl>
    <w:lvl w:ilvl="7" w:tplc="E454FB7C" w:tentative="1">
      <w:start w:val="1"/>
      <w:numFmt w:val="lowerLetter"/>
      <w:lvlText w:val="%8."/>
      <w:lvlJc w:val="left"/>
      <w:pPr>
        <w:tabs>
          <w:tab w:val="num" w:pos="5400"/>
        </w:tabs>
        <w:ind w:left="5400" w:hanging="360"/>
      </w:pPr>
      <w:rPr>
        <w:rFonts w:cs="Times New Roman"/>
      </w:rPr>
    </w:lvl>
    <w:lvl w:ilvl="8" w:tplc="654436A4" w:tentative="1">
      <w:start w:val="1"/>
      <w:numFmt w:val="lowerRoman"/>
      <w:lvlText w:val="%9."/>
      <w:lvlJc w:val="right"/>
      <w:pPr>
        <w:tabs>
          <w:tab w:val="num" w:pos="6120"/>
        </w:tabs>
        <w:ind w:left="6120" w:hanging="180"/>
      </w:pPr>
      <w:rPr>
        <w:rFonts w:cs="Times New Roman"/>
      </w:rPr>
    </w:lvl>
  </w:abstractNum>
  <w:abstractNum w:abstractNumId="18" w15:restartNumberingAfterBreak="0">
    <w:nsid w:val="305901AA"/>
    <w:multiLevelType w:val="hybridMultilevel"/>
    <w:tmpl w:val="1D9647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67B38EF"/>
    <w:multiLevelType w:val="hybridMultilevel"/>
    <w:tmpl w:val="AA2628FE"/>
    <w:lvl w:ilvl="0" w:tplc="576A0B84">
      <w:start w:val="1"/>
      <w:numFmt w:val="bullet"/>
      <w:lvlText w:val="-"/>
      <w:lvlJc w:val="left"/>
      <w:pPr>
        <w:ind w:left="720" w:hanging="360"/>
      </w:pPr>
      <w:rPr>
        <w:rFonts w:ascii="Times New Roman" w:eastAsia="Batang"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473A5184"/>
    <w:multiLevelType w:val="hybridMultilevel"/>
    <w:tmpl w:val="0AEC69E8"/>
    <w:lvl w:ilvl="0" w:tplc="2D86F05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B5955BC"/>
    <w:multiLevelType w:val="hybridMultilevel"/>
    <w:tmpl w:val="9056A01C"/>
    <w:name w:val="WW8Num3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F1A67E5"/>
    <w:multiLevelType w:val="hybridMultilevel"/>
    <w:tmpl w:val="FFFAB8B6"/>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3" w15:restartNumberingAfterBreak="0">
    <w:nsid w:val="576F07EE"/>
    <w:multiLevelType w:val="hybridMultilevel"/>
    <w:tmpl w:val="E9CCD38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 w15:restartNumberingAfterBreak="0">
    <w:nsid w:val="58B56C73"/>
    <w:multiLevelType w:val="hybridMultilevel"/>
    <w:tmpl w:val="5BA42128"/>
    <w:lvl w:ilvl="0" w:tplc="1728DD04">
      <w:start w:val="2"/>
      <w:numFmt w:val="decimal"/>
      <w:lvlText w:val="%1."/>
      <w:lvlJc w:val="left"/>
      <w:pPr>
        <w:tabs>
          <w:tab w:val="num" w:pos="570"/>
        </w:tabs>
        <w:ind w:left="570" w:hanging="570"/>
      </w:pPr>
      <w:rPr>
        <w:rFonts w:cs="Times New Roman" w:hint="default"/>
      </w:rPr>
    </w:lvl>
    <w:lvl w:ilvl="1" w:tplc="9F1CA632" w:tentative="1">
      <w:start w:val="1"/>
      <w:numFmt w:val="lowerLetter"/>
      <w:lvlText w:val="%2."/>
      <w:lvlJc w:val="left"/>
      <w:pPr>
        <w:tabs>
          <w:tab w:val="num" w:pos="1080"/>
        </w:tabs>
        <w:ind w:left="1080" w:hanging="360"/>
      </w:pPr>
      <w:rPr>
        <w:rFonts w:cs="Times New Roman"/>
      </w:rPr>
    </w:lvl>
    <w:lvl w:ilvl="2" w:tplc="3494A1AC" w:tentative="1">
      <w:start w:val="1"/>
      <w:numFmt w:val="lowerRoman"/>
      <w:lvlText w:val="%3."/>
      <w:lvlJc w:val="right"/>
      <w:pPr>
        <w:tabs>
          <w:tab w:val="num" w:pos="1800"/>
        </w:tabs>
        <w:ind w:left="1800" w:hanging="180"/>
      </w:pPr>
      <w:rPr>
        <w:rFonts w:cs="Times New Roman"/>
      </w:rPr>
    </w:lvl>
    <w:lvl w:ilvl="3" w:tplc="DDE8A656" w:tentative="1">
      <w:start w:val="1"/>
      <w:numFmt w:val="decimal"/>
      <w:lvlText w:val="%4."/>
      <w:lvlJc w:val="left"/>
      <w:pPr>
        <w:tabs>
          <w:tab w:val="num" w:pos="2520"/>
        </w:tabs>
        <w:ind w:left="2520" w:hanging="360"/>
      </w:pPr>
      <w:rPr>
        <w:rFonts w:cs="Times New Roman"/>
      </w:rPr>
    </w:lvl>
    <w:lvl w:ilvl="4" w:tplc="A156D7B0" w:tentative="1">
      <w:start w:val="1"/>
      <w:numFmt w:val="lowerLetter"/>
      <w:lvlText w:val="%5."/>
      <w:lvlJc w:val="left"/>
      <w:pPr>
        <w:tabs>
          <w:tab w:val="num" w:pos="3240"/>
        </w:tabs>
        <w:ind w:left="3240" w:hanging="360"/>
      </w:pPr>
      <w:rPr>
        <w:rFonts w:cs="Times New Roman"/>
      </w:rPr>
    </w:lvl>
    <w:lvl w:ilvl="5" w:tplc="2A3818D2" w:tentative="1">
      <w:start w:val="1"/>
      <w:numFmt w:val="lowerRoman"/>
      <w:lvlText w:val="%6."/>
      <w:lvlJc w:val="right"/>
      <w:pPr>
        <w:tabs>
          <w:tab w:val="num" w:pos="3960"/>
        </w:tabs>
        <w:ind w:left="3960" w:hanging="180"/>
      </w:pPr>
      <w:rPr>
        <w:rFonts w:cs="Times New Roman"/>
      </w:rPr>
    </w:lvl>
    <w:lvl w:ilvl="6" w:tplc="93C68A3E" w:tentative="1">
      <w:start w:val="1"/>
      <w:numFmt w:val="decimal"/>
      <w:lvlText w:val="%7."/>
      <w:lvlJc w:val="left"/>
      <w:pPr>
        <w:tabs>
          <w:tab w:val="num" w:pos="4680"/>
        </w:tabs>
        <w:ind w:left="4680" w:hanging="360"/>
      </w:pPr>
      <w:rPr>
        <w:rFonts w:cs="Times New Roman"/>
      </w:rPr>
    </w:lvl>
    <w:lvl w:ilvl="7" w:tplc="FFC242A2" w:tentative="1">
      <w:start w:val="1"/>
      <w:numFmt w:val="lowerLetter"/>
      <w:lvlText w:val="%8."/>
      <w:lvlJc w:val="left"/>
      <w:pPr>
        <w:tabs>
          <w:tab w:val="num" w:pos="5400"/>
        </w:tabs>
        <w:ind w:left="5400" w:hanging="360"/>
      </w:pPr>
      <w:rPr>
        <w:rFonts w:cs="Times New Roman"/>
      </w:rPr>
    </w:lvl>
    <w:lvl w:ilvl="8" w:tplc="D23001B4" w:tentative="1">
      <w:start w:val="1"/>
      <w:numFmt w:val="lowerRoman"/>
      <w:lvlText w:val="%9."/>
      <w:lvlJc w:val="right"/>
      <w:pPr>
        <w:tabs>
          <w:tab w:val="num" w:pos="6120"/>
        </w:tabs>
        <w:ind w:left="6120" w:hanging="180"/>
      </w:pPr>
      <w:rPr>
        <w:rFonts w:cs="Times New Roman"/>
      </w:rPr>
    </w:lvl>
  </w:abstractNum>
  <w:abstractNum w:abstractNumId="25" w15:restartNumberingAfterBreak="0">
    <w:nsid w:val="5F36654F"/>
    <w:multiLevelType w:val="hybridMultilevel"/>
    <w:tmpl w:val="A61E7246"/>
    <w:name w:val="WW8Num32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61E6B83"/>
    <w:multiLevelType w:val="hybridMultilevel"/>
    <w:tmpl w:val="7ACEA2AE"/>
    <w:lvl w:ilvl="0" w:tplc="2D86F05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AF87E31"/>
    <w:multiLevelType w:val="hybridMultilevel"/>
    <w:tmpl w:val="C21AFB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23770B2"/>
    <w:multiLevelType w:val="hybridMultilevel"/>
    <w:tmpl w:val="3CC243A6"/>
    <w:lvl w:ilvl="0" w:tplc="04090001">
      <w:start w:val="1"/>
      <w:numFmt w:val="bullet"/>
      <w:lvlText w:val=""/>
      <w:lvlJc w:val="left"/>
      <w:pPr>
        <w:ind w:left="778" w:hanging="360"/>
      </w:pPr>
      <w:rPr>
        <w:rFonts w:ascii="Symbol" w:hAnsi="Symbol" w:hint="default"/>
      </w:rPr>
    </w:lvl>
    <w:lvl w:ilvl="1" w:tplc="04090003" w:tentative="1">
      <w:start w:val="1"/>
      <w:numFmt w:val="bullet"/>
      <w:lvlText w:val="o"/>
      <w:lvlJc w:val="left"/>
      <w:pPr>
        <w:ind w:left="1498" w:hanging="360"/>
      </w:pPr>
      <w:rPr>
        <w:rFonts w:ascii="Courier New" w:hAnsi="Courier New" w:cs="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cs="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cs="Courier New" w:hint="default"/>
      </w:rPr>
    </w:lvl>
    <w:lvl w:ilvl="8" w:tplc="04090005" w:tentative="1">
      <w:start w:val="1"/>
      <w:numFmt w:val="bullet"/>
      <w:lvlText w:val=""/>
      <w:lvlJc w:val="left"/>
      <w:pPr>
        <w:ind w:left="6538" w:hanging="360"/>
      </w:pPr>
      <w:rPr>
        <w:rFonts w:ascii="Wingdings" w:hAnsi="Wingdings" w:hint="default"/>
      </w:rPr>
    </w:lvl>
  </w:abstractNum>
  <w:abstractNum w:abstractNumId="29" w15:restartNumberingAfterBreak="0">
    <w:nsid w:val="73F8300D"/>
    <w:multiLevelType w:val="hybridMultilevel"/>
    <w:tmpl w:val="2DAC86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A100D28"/>
    <w:multiLevelType w:val="hybridMultilevel"/>
    <w:tmpl w:val="979479BE"/>
    <w:lvl w:ilvl="0" w:tplc="DC2E70C8">
      <w:start w:val="1"/>
      <w:numFmt w:val="upperLetter"/>
      <w:lvlText w:val="%1."/>
      <w:lvlJc w:val="left"/>
      <w:pPr>
        <w:ind w:left="5670" w:hanging="5670"/>
      </w:pPr>
      <w:rPr>
        <w:b/>
      </w:rPr>
    </w:lvl>
    <w:lvl w:ilvl="1" w:tplc="4A38CCA0">
      <w:start w:val="17"/>
      <w:numFmt w:val="decimal"/>
      <w:lvlText w:val="%2."/>
      <w:lvlJc w:val="left"/>
      <w:pPr>
        <w:ind w:left="1650" w:hanging="570"/>
      </w:pPr>
      <w:rPr>
        <w:b/>
        <w:i w:val="0"/>
      </w:rPr>
    </w:lvl>
    <w:lvl w:ilvl="2" w:tplc="BECC42DC">
      <w:start w:val="1"/>
      <w:numFmt w:val="lowerRoman"/>
      <w:lvlText w:val="%3."/>
      <w:lvlJc w:val="right"/>
      <w:pPr>
        <w:ind w:left="2160" w:hanging="180"/>
      </w:pPr>
    </w:lvl>
    <w:lvl w:ilvl="3" w:tplc="62E673F2">
      <w:start w:val="1"/>
      <w:numFmt w:val="decimal"/>
      <w:lvlText w:val="%4."/>
      <w:lvlJc w:val="left"/>
      <w:pPr>
        <w:ind w:left="2880" w:hanging="360"/>
      </w:pPr>
    </w:lvl>
    <w:lvl w:ilvl="4" w:tplc="7BC46A90">
      <w:start w:val="1"/>
      <w:numFmt w:val="lowerLetter"/>
      <w:lvlText w:val="%5."/>
      <w:lvlJc w:val="left"/>
      <w:pPr>
        <w:ind w:left="3600" w:hanging="360"/>
      </w:pPr>
    </w:lvl>
    <w:lvl w:ilvl="5" w:tplc="ADA4E400">
      <w:start w:val="1"/>
      <w:numFmt w:val="lowerRoman"/>
      <w:lvlText w:val="%6."/>
      <w:lvlJc w:val="right"/>
      <w:pPr>
        <w:ind w:left="4320" w:hanging="180"/>
      </w:pPr>
    </w:lvl>
    <w:lvl w:ilvl="6" w:tplc="9A74BF74">
      <w:start w:val="1"/>
      <w:numFmt w:val="decimal"/>
      <w:lvlText w:val="%7."/>
      <w:lvlJc w:val="left"/>
      <w:pPr>
        <w:ind w:left="5040" w:hanging="360"/>
      </w:pPr>
    </w:lvl>
    <w:lvl w:ilvl="7" w:tplc="7DB4DF5E">
      <w:start w:val="1"/>
      <w:numFmt w:val="lowerLetter"/>
      <w:lvlText w:val="%8."/>
      <w:lvlJc w:val="left"/>
      <w:pPr>
        <w:ind w:left="5760" w:hanging="360"/>
      </w:pPr>
    </w:lvl>
    <w:lvl w:ilvl="8" w:tplc="AEF694AA">
      <w:start w:val="1"/>
      <w:numFmt w:val="lowerRoman"/>
      <w:lvlText w:val="%9."/>
      <w:lvlJc w:val="right"/>
      <w:pPr>
        <w:ind w:left="6480" w:hanging="180"/>
      </w:pPr>
    </w:lvl>
  </w:abstractNum>
  <w:abstractNum w:abstractNumId="31" w15:restartNumberingAfterBreak="0">
    <w:nsid w:val="7CD12DB0"/>
    <w:multiLevelType w:val="hybridMultilevel"/>
    <w:tmpl w:val="F6A6C214"/>
    <w:lvl w:ilvl="0" w:tplc="2D86F05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42194701">
    <w:abstractNumId w:val="24"/>
  </w:num>
  <w:num w:numId="2" w16cid:durableId="68969868">
    <w:abstractNumId w:val="17"/>
  </w:num>
  <w:num w:numId="3" w16cid:durableId="1771855033">
    <w:abstractNumId w:val="10"/>
  </w:num>
  <w:num w:numId="4" w16cid:durableId="710229921">
    <w:abstractNumId w:val="0"/>
    <w:lvlOverride w:ilvl="0">
      <w:lvl w:ilvl="0">
        <w:start w:val="1"/>
        <w:numFmt w:val="bullet"/>
        <w:lvlText w:val="-"/>
        <w:lvlJc w:val="left"/>
        <w:pPr>
          <w:ind w:left="360" w:hanging="360"/>
        </w:pPr>
      </w:lvl>
    </w:lvlOverride>
  </w:num>
  <w:num w:numId="5" w16cid:durableId="732779234">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55208730">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1265652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364896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8021071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3783287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85421165">
    <w:abstractNumId w:val="8"/>
  </w:num>
  <w:num w:numId="12" w16cid:durableId="1510103818">
    <w:abstractNumId w:val="30"/>
    <w:lvlOverride w:ilvl="0">
      <w:startOverride w:val="1"/>
    </w:lvlOverride>
    <w:lvlOverride w:ilvl="1">
      <w:startOverride w:val="1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53113467">
    <w:abstractNumId w:val="18"/>
  </w:num>
  <w:num w:numId="14" w16cid:durableId="1484740386">
    <w:abstractNumId w:val="15"/>
  </w:num>
  <w:num w:numId="15" w16cid:durableId="487285324">
    <w:abstractNumId w:val="12"/>
  </w:num>
  <w:num w:numId="16" w16cid:durableId="1755932271">
    <w:abstractNumId w:val="27"/>
  </w:num>
  <w:num w:numId="17" w16cid:durableId="650597293">
    <w:abstractNumId w:val="29"/>
  </w:num>
  <w:num w:numId="18" w16cid:durableId="1541935990">
    <w:abstractNumId w:val="20"/>
  </w:num>
  <w:num w:numId="19" w16cid:durableId="1336495518">
    <w:abstractNumId w:val="19"/>
  </w:num>
  <w:num w:numId="20" w16cid:durableId="43259248">
    <w:abstractNumId w:val="13"/>
  </w:num>
  <w:num w:numId="21" w16cid:durableId="206141620">
    <w:abstractNumId w:val="31"/>
  </w:num>
  <w:num w:numId="22" w16cid:durableId="1819346905">
    <w:abstractNumId w:val="26"/>
  </w:num>
  <w:num w:numId="23" w16cid:durableId="1473601081">
    <w:abstractNumId w:val="23"/>
  </w:num>
  <w:num w:numId="24" w16cid:durableId="2032612037">
    <w:abstractNumId w:val="11"/>
  </w:num>
  <w:num w:numId="25" w16cid:durableId="2032761597">
    <w:abstractNumId w:val="28"/>
  </w:num>
  <w:num w:numId="26" w16cid:durableId="822546582">
    <w:abstractNumId w:val="16"/>
  </w:num>
  <w:num w:numId="27" w16cid:durableId="1161120943">
    <w:abstractNumId w:val="14"/>
  </w:num>
  <w:num w:numId="28" w16cid:durableId="2099865590">
    <w:abstractNumId w:val="21"/>
  </w:num>
  <w:num w:numId="29" w16cid:durableId="1513760895">
    <w:abstractNumId w:val="25"/>
  </w:num>
  <w:num w:numId="30" w16cid:durableId="1106116677">
    <w:abstractNumId w:val="2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812D16"/>
    <w:rsid w:val="00000D62"/>
    <w:rsid w:val="00001587"/>
    <w:rsid w:val="00001B46"/>
    <w:rsid w:val="0000362A"/>
    <w:rsid w:val="00003CB6"/>
    <w:rsid w:val="00005701"/>
    <w:rsid w:val="00005B98"/>
    <w:rsid w:val="00006494"/>
    <w:rsid w:val="00007528"/>
    <w:rsid w:val="00007BBC"/>
    <w:rsid w:val="000110A3"/>
    <w:rsid w:val="00011404"/>
    <w:rsid w:val="000114E5"/>
    <w:rsid w:val="0001164F"/>
    <w:rsid w:val="000121D6"/>
    <w:rsid w:val="000150D3"/>
    <w:rsid w:val="000166C1"/>
    <w:rsid w:val="00016FEC"/>
    <w:rsid w:val="000177FF"/>
    <w:rsid w:val="000200DF"/>
    <w:rsid w:val="00020AE8"/>
    <w:rsid w:val="00020F2C"/>
    <w:rsid w:val="00021AAB"/>
    <w:rsid w:val="00023374"/>
    <w:rsid w:val="00023EE9"/>
    <w:rsid w:val="00023F29"/>
    <w:rsid w:val="00024BF5"/>
    <w:rsid w:val="0002544E"/>
    <w:rsid w:val="00025C9F"/>
    <w:rsid w:val="00025EBE"/>
    <w:rsid w:val="00030445"/>
    <w:rsid w:val="000318C7"/>
    <w:rsid w:val="0003278D"/>
    <w:rsid w:val="00033FDB"/>
    <w:rsid w:val="00034204"/>
    <w:rsid w:val="000344F6"/>
    <w:rsid w:val="00036493"/>
    <w:rsid w:val="00042263"/>
    <w:rsid w:val="000422C9"/>
    <w:rsid w:val="00042398"/>
    <w:rsid w:val="00043F0F"/>
    <w:rsid w:val="00044042"/>
    <w:rsid w:val="00044F30"/>
    <w:rsid w:val="00044F37"/>
    <w:rsid w:val="00046DCE"/>
    <w:rsid w:val="000474D2"/>
    <w:rsid w:val="00047617"/>
    <w:rsid w:val="0004787C"/>
    <w:rsid w:val="000479C5"/>
    <w:rsid w:val="00047F0B"/>
    <w:rsid w:val="00050DFD"/>
    <w:rsid w:val="00050FD3"/>
    <w:rsid w:val="00051703"/>
    <w:rsid w:val="00053809"/>
    <w:rsid w:val="000538C2"/>
    <w:rsid w:val="00053914"/>
    <w:rsid w:val="00053EFA"/>
    <w:rsid w:val="00054756"/>
    <w:rsid w:val="00055DD5"/>
    <w:rsid w:val="000560C5"/>
    <w:rsid w:val="00056833"/>
    <w:rsid w:val="00056C49"/>
    <w:rsid w:val="00056FE0"/>
    <w:rsid w:val="00057F8D"/>
    <w:rsid w:val="000603C8"/>
    <w:rsid w:val="00060656"/>
    <w:rsid w:val="000606B0"/>
    <w:rsid w:val="000608A4"/>
    <w:rsid w:val="00060AA1"/>
    <w:rsid w:val="00060BA3"/>
    <w:rsid w:val="000623C3"/>
    <w:rsid w:val="0006247C"/>
    <w:rsid w:val="00062566"/>
    <w:rsid w:val="000631FD"/>
    <w:rsid w:val="000632A9"/>
    <w:rsid w:val="00063E4A"/>
    <w:rsid w:val="00067111"/>
    <w:rsid w:val="0006755F"/>
    <w:rsid w:val="00067D12"/>
    <w:rsid w:val="00070B1E"/>
    <w:rsid w:val="00071071"/>
    <w:rsid w:val="00071F65"/>
    <w:rsid w:val="00071F8A"/>
    <w:rsid w:val="00073E04"/>
    <w:rsid w:val="000740C1"/>
    <w:rsid w:val="000750C8"/>
    <w:rsid w:val="0007628D"/>
    <w:rsid w:val="000770D2"/>
    <w:rsid w:val="00077267"/>
    <w:rsid w:val="0007752B"/>
    <w:rsid w:val="00080AB8"/>
    <w:rsid w:val="00081AD3"/>
    <w:rsid w:val="00081DAB"/>
    <w:rsid w:val="0008235E"/>
    <w:rsid w:val="00082A8E"/>
    <w:rsid w:val="0008436E"/>
    <w:rsid w:val="000855CA"/>
    <w:rsid w:val="00086472"/>
    <w:rsid w:val="00090515"/>
    <w:rsid w:val="0009351E"/>
    <w:rsid w:val="0009431F"/>
    <w:rsid w:val="00094588"/>
    <w:rsid w:val="0009479A"/>
    <w:rsid w:val="00095E44"/>
    <w:rsid w:val="0009755A"/>
    <w:rsid w:val="000A1232"/>
    <w:rsid w:val="000A13ED"/>
    <w:rsid w:val="000A1FD6"/>
    <w:rsid w:val="000A277F"/>
    <w:rsid w:val="000A3693"/>
    <w:rsid w:val="000A481C"/>
    <w:rsid w:val="000A4874"/>
    <w:rsid w:val="000A752B"/>
    <w:rsid w:val="000B0097"/>
    <w:rsid w:val="000B101F"/>
    <w:rsid w:val="000B1F4B"/>
    <w:rsid w:val="000B220B"/>
    <w:rsid w:val="000B2F27"/>
    <w:rsid w:val="000B2F58"/>
    <w:rsid w:val="000B32FD"/>
    <w:rsid w:val="000B3762"/>
    <w:rsid w:val="000B37A8"/>
    <w:rsid w:val="000B51D9"/>
    <w:rsid w:val="000B5E1A"/>
    <w:rsid w:val="000B5F5F"/>
    <w:rsid w:val="000B6240"/>
    <w:rsid w:val="000B6770"/>
    <w:rsid w:val="000B6E55"/>
    <w:rsid w:val="000B7C56"/>
    <w:rsid w:val="000C1099"/>
    <w:rsid w:val="000C1738"/>
    <w:rsid w:val="000C1B73"/>
    <w:rsid w:val="000C2B54"/>
    <w:rsid w:val="000C308F"/>
    <w:rsid w:val="000C5A4E"/>
    <w:rsid w:val="000C635D"/>
    <w:rsid w:val="000C700C"/>
    <w:rsid w:val="000C7F49"/>
    <w:rsid w:val="000D0327"/>
    <w:rsid w:val="000D0A30"/>
    <w:rsid w:val="000D1AEE"/>
    <w:rsid w:val="000D1F4F"/>
    <w:rsid w:val="000D4BB7"/>
    <w:rsid w:val="000D4D07"/>
    <w:rsid w:val="000D7535"/>
    <w:rsid w:val="000D768B"/>
    <w:rsid w:val="000E0192"/>
    <w:rsid w:val="000E0FD8"/>
    <w:rsid w:val="000E163C"/>
    <w:rsid w:val="000E165D"/>
    <w:rsid w:val="000E1BAF"/>
    <w:rsid w:val="000E1D9B"/>
    <w:rsid w:val="000E223E"/>
    <w:rsid w:val="000E2491"/>
    <w:rsid w:val="000E2B6A"/>
    <w:rsid w:val="000E2EA9"/>
    <w:rsid w:val="000E2EEA"/>
    <w:rsid w:val="000E3839"/>
    <w:rsid w:val="000E3AA6"/>
    <w:rsid w:val="000E42D4"/>
    <w:rsid w:val="000E42FA"/>
    <w:rsid w:val="000E46A3"/>
    <w:rsid w:val="000E4C3F"/>
    <w:rsid w:val="000E5726"/>
    <w:rsid w:val="000E6C94"/>
    <w:rsid w:val="000E7995"/>
    <w:rsid w:val="000F00E3"/>
    <w:rsid w:val="000F06F4"/>
    <w:rsid w:val="000F0C5B"/>
    <w:rsid w:val="000F0EFA"/>
    <w:rsid w:val="000F16FD"/>
    <w:rsid w:val="000F1BB2"/>
    <w:rsid w:val="000F3F94"/>
    <w:rsid w:val="000F45AA"/>
    <w:rsid w:val="00100D07"/>
    <w:rsid w:val="00101CAD"/>
    <w:rsid w:val="001028D1"/>
    <w:rsid w:val="00103501"/>
    <w:rsid w:val="00103B2D"/>
    <w:rsid w:val="00103CD2"/>
    <w:rsid w:val="00104061"/>
    <w:rsid w:val="00104EDE"/>
    <w:rsid w:val="00107236"/>
    <w:rsid w:val="001101A2"/>
    <w:rsid w:val="001106F7"/>
    <w:rsid w:val="00110E9B"/>
    <w:rsid w:val="00111AC4"/>
    <w:rsid w:val="00111F79"/>
    <w:rsid w:val="00112EDA"/>
    <w:rsid w:val="00114174"/>
    <w:rsid w:val="00114E76"/>
    <w:rsid w:val="00114E9D"/>
    <w:rsid w:val="0011794E"/>
    <w:rsid w:val="00117C1D"/>
    <w:rsid w:val="00121D73"/>
    <w:rsid w:val="00122AD8"/>
    <w:rsid w:val="00122D9F"/>
    <w:rsid w:val="0012338B"/>
    <w:rsid w:val="00123688"/>
    <w:rsid w:val="00123F1E"/>
    <w:rsid w:val="00124C9C"/>
    <w:rsid w:val="00124CAB"/>
    <w:rsid w:val="00125E3F"/>
    <w:rsid w:val="0012627B"/>
    <w:rsid w:val="00126A10"/>
    <w:rsid w:val="00126B66"/>
    <w:rsid w:val="00127562"/>
    <w:rsid w:val="00127C1D"/>
    <w:rsid w:val="00130037"/>
    <w:rsid w:val="001301C2"/>
    <w:rsid w:val="00131748"/>
    <w:rsid w:val="00132975"/>
    <w:rsid w:val="00133366"/>
    <w:rsid w:val="00133572"/>
    <w:rsid w:val="001337FC"/>
    <w:rsid w:val="001354A7"/>
    <w:rsid w:val="00135814"/>
    <w:rsid w:val="00135BBE"/>
    <w:rsid w:val="0013601F"/>
    <w:rsid w:val="00136D7A"/>
    <w:rsid w:val="0014042A"/>
    <w:rsid w:val="00140FDE"/>
    <w:rsid w:val="00141470"/>
    <w:rsid w:val="00141540"/>
    <w:rsid w:val="0014210C"/>
    <w:rsid w:val="00143AD5"/>
    <w:rsid w:val="001445BE"/>
    <w:rsid w:val="00144819"/>
    <w:rsid w:val="001449DF"/>
    <w:rsid w:val="0014569B"/>
    <w:rsid w:val="00145BC2"/>
    <w:rsid w:val="001464CA"/>
    <w:rsid w:val="001517D9"/>
    <w:rsid w:val="001518B1"/>
    <w:rsid w:val="00151BA4"/>
    <w:rsid w:val="00151E9D"/>
    <w:rsid w:val="00152F3B"/>
    <w:rsid w:val="00154164"/>
    <w:rsid w:val="0015704C"/>
    <w:rsid w:val="00161E87"/>
    <w:rsid w:val="0016231F"/>
    <w:rsid w:val="00162620"/>
    <w:rsid w:val="00162EDD"/>
    <w:rsid w:val="001638E5"/>
    <w:rsid w:val="00163CBC"/>
    <w:rsid w:val="00163D6C"/>
    <w:rsid w:val="0016566C"/>
    <w:rsid w:val="00165BCB"/>
    <w:rsid w:val="00167735"/>
    <w:rsid w:val="00167B3C"/>
    <w:rsid w:val="001710DC"/>
    <w:rsid w:val="0017265B"/>
    <w:rsid w:val="001727F0"/>
    <w:rsid w:val="00172B06"/>
    <w:rsid w:val="00174F99"/>
    <w:rsid w:val="001752D8"/>
    <w:rsid w:val="00175931"/>
    <w:rsid w:val="00176B25"/>
    <w:rsid w:val="00177766"/>
    <w:rsid w:val="001779BA"/>
    <w:rsid w:val="00180A4B"/>
    <w:rsid w:val="001812A5"/>
    <w:rsid w:val="001815E8"/>
    <w:rsid w:val="0018187D"/>
    <w:rsid w:val="0018224D"/>
    <w:rsid w:val="0018238B"/>
    <w:rsid w:val="00183419"/>
    <w:rsid w:val="0018394A"/>
    <w:rsid w:val="001845DF"/>
    <w:rsid w:val="00186A9D"/>
    <w:rsid w:val="001874A6"/>
    <w:rsid w:val="0018765B"/>
    <w:rsid w:val="00187936"/>
    <w:rsid w:val="00190913"/>
    <w:rsid w:val="0019093D"/>
    <w:rsid w:val="00191BA2"/>
    <w:rsid w:val="00191DFF"/>
    <w:rsid w:val="00194F66"/>
    <w:rsid w:val="00195F65"/>
    <w:rsid w:val="00196F2B"/>
    <w:rsid w:val="001A07E2"/>
    <w:rsid w:val="001A1EEE"/>
    <w:rsid w:val="001A2018"/>
    <w:rsid w:val="001A2E17"/>
    <w:rsid w:val="001A3756"/>
    <w:rsid w:val="001A3BE0"/>
    <w:rsid w:val="001A53C9"/>
    <w:rsid w:val="001A6C9A"/>
    <w:rsid w:val="001A6F34"/>
    <w:rsid w:val="001A757B"/>
    <w:rsid w:val="001B01C8"/>
    <w:rsid w:val="001B0DDB"/>
    <w:rsid w:val="001B13F6"/>
    <w:rsid w:val="001B1747"/>
    <w:rsid w:val="001B1B4E"/>
    <w:rsid w:val="001B2D44"/>
    <w:rsid w:val="001B5DAD"/>
    <w:rsid w:val="001B6772"/>
    <w:rsid w:val="001B6E45"/>
    <w:rsid w:val="001B752A"/>
    <w:rsid w:val="001B75E1"/>
    <w:rsid w:val="001C111E"/>
    <w:rsid w:val="001C12E0"/>
    <w:rsid w:val="001C35E9"/>
    <w:rsid w:val="001C36BD"/>
    <w:rsid w:val="001C3733"/>
    <w:rsid w:val="001C4025"/>
    <w:rsid w:val="001C4C82"/>
    <w:rsid w:val="001C5B30"/>
    <w:rsid w:val="001C6502"/>
    <w:rsid w:val="001C6E07"/>
    <w:rsid w:val="001D0492"/>
    <w:rsid w:val="001D05EA"/>
    <w:rsid w:val="001D1562"/>
    <w:rsid w:val="001D23D9"/>
    <w:rsid w:val="001D370B"/>
    <w:rsid w:val="001D3C05"/>
    <w:rsid w:val="001D47C1"/>
    <w:rsid w:val="001D52E3"/>
    <w:rsid w:val="001D6A28"/>
    <w:rsid w:val="001D6AF4"/>
    <w:rsid w:val="001E0CC1"/>
    <w:rsid w:val="001E134A"/>
    <w:rsid w:val="001E1CD5"/>
    <w:rsid w:val="001E3CC0"/>
    <w:rsid w:val="001E4326"/>
    <w:rsid w:val="001E43D8"/>
    <w:rsid w:val="001E64BD"/>
    <w:rsid w:val="001E64D1"/>
    <w:rsid w:val="001E77C3"/>
    <w:rsid w:val="001E77F1"/>
    <w:rsid w:val="001F0209"/>
    <w:rsid w:val="001F04A6"/>
    <w:rsid w:val="001F090B"/>
    <w:rsid w:val="001F180A"/>
    <w:rsid w:val="001F1A28"/>
    <w:rsid w:val="001F35E8"/>
    <w:rsid w:val="001F38F9"/>
    <w:rsid w:val="001F4014"/>
    <w:rsid w:val="001F445E"/>
    <w:rsid w:val="001F5302"/>
    <w:rsid w:val="0020024D"/>
    <w:rsid w:val="00200F71"/>
    <w:rsid w:val="00201213"/>
    <w:rsid w:val="00201323"/>
    <w:rsid w:val="0020165E"/>
    <w:rsid w:val="002023F1"/>
    <w:rsid w:val="00202E50"/>
    <w:rsid w:val="00205180"/>
    <w:rsid w:val="00205914"/>
    <w:rsid w:val="00205FB6"/>
    <w:rsid w:val="002065B6"/>
    <w:rsid w:val="00207F81"/>
    <w:rsid w:val="002109F4"/>
    <w:rsid w:val="00211B2E"/>
    <w:rsid w:val="00211FDA"/>
    <w:rsid w:val="002122B6"/>
    <w:rsid w:val="002124FB"/>
    <w:rsid w:val="00212650"/>
    <w:rsid w:val="002126AD"/>
    <w:rsid w:val="00213FD8"/>
    <w:rsid w:val="00214B14"/>
    <w:rsid w:val="00215E74"/>
    <w:rsid w:val="002160C2"/>
    <w:rsid w:val="00217D6E"/>
    <w:rsid w:val="00217E6E"/>
    <w:rsid w:val="00220ED9"/>
    <w:rsid w:val="002222D5"/>
    <w:rsid w:val="00222BB9"/>
    <w:rsid w:val="00224115"/>
    <w:rsid w:val="002258D6"/>
    <w:rsid w:val="002262A5"/>
    <w:rsid w:val="00226DFC"/>
    <w:rsid w:val="00226F4C"/>
    <w:rsid w:val="002274FB"/>
    <w:rsid w:val="002309D2"/>
    <w:rsid w:val="002310C7"/>
    <w:rsid w:val="00232C83"/>
    <w:rsid w:val="0023315B"/>
    <w:rsid w:val="0023368C"/>
    <w:rsid w:val="002347FE"/>
    <w:rsid w:val="0023571F"/>
    <w:rsid w:val="00235DA3"/>
    <w:rsid w:val="002362CC"/>
    <w:rsid w:val="0024178D"/>
    <w:rsid w:val="002421D4"/>
    <w:rsid w:val="00243A74"/>
    <w:rsid w:val="00245DCF"/>
    <w:rsid w:val="00246C65"/>
    <w:rsid w:val="00247021"/>
    <w:rsid w:val="00247834"/>
    <w:rsid w:val="002509B8"/>
    <w:rsid w:val="00250C35"/>
    <w:rsid w:val="0025130C"/>
    <w:rsid w:val="00251CC3"/>
    <w:rsid w:val="0025261B"/>
    <w:rsid w:val="00252FFB"/>
    <w:rsid w:val="00253F0D"/>
    <w:rsid w:val="002542A8"/>
    <w:rsid w:val="00254685"/>
    <w:rsid w:val="00260975"/>
    <w:rsid w:val="00260A11"/>
    <w:rsid w:val="00260EC2"/>
    <w:rsid w:val="0026169A"/>
    <w:rsid w:val="00262763"/>
    <w:rsid w:val="00262A7E"/>
    <w:rsid w:val="002630E0"/>
    <w:rsid w:val="002634CC"/>
    <w:rsid w:val="00263A86"/>
    <w:rsid w:val="00264BEA"/>
    <w:rsid w:val="00271032"/>
    <w:rsid w:val="00273C1C"/>
    <w:rsid w:val="00273D10"/>
    <w:rsid w:val="00273E3E"/>
    <w:rsid w:val="00274147"/>
    <w:rsid w:val="002743C4"/>
    <w:rsid w:val="00275189"/>
    <w:rsid w:val="0027538B"/>
    <w:rsid w:val="002756DC"/>
    <w:rsid w:val="00276437"/>
    <w:rsid w:val="0028032D"/>
    <w:rsid w:val="0028063F"/>
    <w:rsid w:val="002806D2"/>
    <w:rsid w:val="00280740"/>
    <w:rsid w:val="0028282C"/>
    <w:rsid w:val="00283B02"/>
    <w:rsid w:val="00283C5D"/>
    <w:rsid w:val="00283D5A"/>
    <w:rsid w:val="002844B0"/>
    <w:rsid w:val="00285586"/>
    <w:rsid w:val="00285A4E"/>
    <w:rsid w:val="00286322"/>
    <w:rsid w:val="00290C3B"/>
    <w:rsid w:val="00291607"/>
    <w:rsid w:val="0029347B"/>
    <w:rsid w:val="0029379F"/>
    <w:rsid w:val="00293E0B"/>
    <w:rsid w:val="00295222"/>
    <w:rsid w:val="00296C1F"/>
    <w:rsid w:val="002979B9"/>
    <w:rsid w:val="002A0C34"/>
    <w:rsid w:val="002A1B59"/>
    <w:rsid w:val="002A1D35"/>
    <w:rsid w:val="002A41E6"/>
    <w:rsid w:val="002A5250"/>
    <w:rsid w:val="002A5FCF"/>
    <w:rsid w:val="002A616F"/>
    <w:rsid w:val="002A7C47"/>
    <w:rsid w:val="002B0455"/>
    <w:rsid w:val="002B09DD"/>
    <w:rsid w:val="002B2829"/>
    <w:rsid w:val="002B2BEE"/>
    <w:rsid w:val="002B2F76"/>
    <w:rsid w:val="002B35C5"/>
    <w:rsid w:val="002B38E7"/>
    <w:rsid w:val="002B3935"/>
    <w:rsid w:val="002B3C5C"/>
    <w:rsid w:val="002B406A"/>
    <w:rsid w:val="002B41D4"/>
    <w:rsid w:val="002B45B5"/>
    <w:rsid w:val="002B4DB4"/>
    <w:rsid w:val="002B543F"/>
    <w:rsid w:val="002B6076"/>
    <w:rsid w:val="002B7A3D"/>
    <w:rsid w:val="002B7B9B"/>
    <w:rsid w:val="002B7D73"/>
    <w:rsid w:val="002C06E3"/>
    <w:rsid w:val="002C0801"/>
    <w:rsid w:val="002C147C"/>
    <w:rsid w:val="002C18E6"/>
    <w:rsid w:val="002C33B3"/>
    <w:rsid w:val="002C44B0"/>
    <w:rsid w:val="002C4E07"/>
    <w:rsid w:val="002C5419"/>
    <w:rsid w:val="002C54AA"/>
    <w:rsid w:val="002C676D"/>
    <w:rsid w:val="002C68A4"/>
    <w:rsid w:val="002C69DA"/>
    <w:rsid w:val="002C7331"/>
    <w:rsid w:val="002C78C5"/>
    <w:rsid w:val="002D0586"/>
    <w:rsid w:val="002D1023"/>
    <w:rsid w:val="002D1459"/>
    <w:rsid w:val="002D1470"/>
    <w:rsid w:val="002D14E8"/>
    <w:rsid w:val="002D1F2D"/>
    <w:rsid w:val="002D21CF"/>
    <w:rsid w:val="002D2625"/>
    <w:rsid w:val="002D4705"/>
    <w:rsid w:val="002D5B65"/>
    <w:rsid w:val="002D6396"/>
    <w:rsid w:val="002D6A18"/>
    <w:rsid w:val="002D7E5E"/>
    <w:rsid w:val="002E0410"/>
    <w:rsid w:val="002E07AC"/>
    <w:rsid w:val="002E07EF"/>
    <w:rsid w:val="002E0D06"/>
    <w:rsid w:val="002E1843"/>
    <w:rsid w:val="002E4E94"/>
    <w:rsid w:val="002E5940"/>
    <w:rsid w:val="002E7DA5"/>
    <w:rsid w:val="002F1F28"/>
    <w:rsid w:val="002F2527"/>
    <w:rsid w:val="002F43CA"/>
    <w:rsid w:val="002F57AA"/>
    <w:rsid w:val="002F592D"/>
    <w:rsid w:val="002F6AEA"/>
    <w:rsid w:val="002F6D74"/>
    <w:rsid w:val="002F714C"/>
    <w:rsid w:val="002F77BF"/>
    <w:rsid w:val="002F7D1A"/>
    <w:rsid w:val="003004A2"/>
    <w:rsid w:val="00300800"/>
    <w:rsid w:val="00302968"/>
    <w:rsid w:val="00302993"/>
    <w:rsid w:val="0030359E"/>
    <w:rsid w:val="00303DD5"/>
    <w:rsid w:val="003046D6"/>
    <w:rsid w:val="00305123"/>
    <w:rsid w:val="003062F8"/>
    <w:rsid w:val="00310764"/>
    <w:rsid w:val="00310D54"/>
    <w:rsid w:val="0031567A"/>
    <w:rsid w:val="00316712"/>
    <w:rsid w:val="00316ACC"/>
    <w:rsid w:val="00317176"/>
    <w:rsid w:val="00320203"/>
    <w:rsid w:val="003206B3"/>
    <w:rsid w:val="0032120D"/>
    <w:rsid w:val="00322002"/>
    <w:rsid w:val="00323890"/>
    <w:rsid w:val="00324129"/>
    <w:rsid w:val="003247B0"/>
    <w:rsid w:val="00325E81"/>
    <w:rsid w:val="00326B5E"/>
    <w:rsid w:val="00327355"/>
    <w:rsid w:val="00327D49"/>
    <w:rsid w:val="00332E57"/>
    <w:rsid w:val="00333647"/>
    <w:rsid w:val="0033486D"/>
    <w:rsid w:val="00335176"/>
    <w:rsid w:val="003367C4"/>
    <w:rsid w:val="00336D8E"/>
    <w:rsid w:val="003376B3"/>
    <w:rsid w:val="00341F90"/>
    <w:rsid w:val="003422BC"/>
    <w:rsid w:val="00342AD6"/>
    <w:rsid w:val="003431AF"/>
    <w:rsid w:val="003444A3"/>
    <w:rsid w:val="00344A4A"/>
    <w:rsid w:val="003456A9"/>
    <w:rsid w:val="00345903"/>
    <w:rsid w:val="00345EDE"/>
    <w:rsid w:val="00347776"/>
    <w:rsid w:val="00351453"/>
    <w:rsid w:val="00351A91"/>
    <w:rsid w:val="003520C4"/>
    <w:rsid w:val="003533AE"/>
    <w:rsid w:val="00353909"/>
    <w:rsid w:val="00355860"/>
    <w:rsid w:val="00355BAB"/>
    <w:rsid w:val="00355E14"/>
    <w:rsid w:val="003563B1"/>
    <w:rsid w:val="00357898"/>
    <w:rsid w:val="00360B46"/>
    <w:rsid w:val="00361280"/>
    <w:rsid w:val="003615F1"/>
    <w:rsid w:val="00361A6E"/>
    <w:rsid w:val="00362983"/>
    <w:rsid w:val="00362F98"/>
    <w:rsid w:val="00363D7F"/>
    <w:rsid w:val="00367C66"/>
    <w:rsid w:val="0037095D"/>
    <w:rsid w:val="003719DB"/>
    <w:rsid w:val="00372203"/>
    <w:rsid w:val="0037233D"/>
    <w:rsid w:val="0037235F"/>
    <w:rsid w:val="003724FB"/>
    <w:rsid w:val="003728DD"/>
    <w:rsid w:val="00373135"/>
    <w:rsid w:val="003736EF"/>
    <w:rsid w:val="003737E3"/>
    <w:rsid w:val="00374291"/>
    <w:rsid w:val="00374493"/>
    <w:rsid w:val="00374F4A"/>
    <w:rsid w:val="00375009"/>
    <w:rsid w:val="003750CE"/>
    <w:rsid w:val="00376643"/>
    <w:rsid w:val="00377FDD"/>
    <w:rsid w:val="00380D80"/>
    <w:rsid w:val="003810EC"/>
    <w:rsid w:val="0038128D"/>
    <w:rsid w:val="00381E38"/>
    <w:rsid w:val="00382B94"/>
    <w:rsid w:val="00383C3D"/>
    <w:rsid w:val="00384EB3"/>
    <w:rsid w:val="00385A7E"/>
    <w:rsid w:val="00385D2F"/>
    <w:rsid w:val="00386C66"/>
    <w:rsid w:val="003906F8"/>
    <w:rsid w:val="003908FA"/>
    <w:rsid w:val="0039135F"/>
    <w:rsid w:val="003935EE"/>
    <w:rsid w:val="0039408A"/>
    <w:rsid w:val="0039673D"/>
    <w:rsid w:val="00396FBF"/>
    <w:rsid w:val="00397893"/>
    <w:rsid w:val="003A1C42"/>
    <w:rsid w:val="003A2CF0"/>
    <w:rsid w:val="003A31F0"/>
    <w:rsid w:val="003A3359"/>
    <w:rsid w:val="003A33C4"/>
    <w:rsid w:val="003A33D3"/>
    <w:rsid w:val="003A3880"/>
    <w:rsid w:val="003A4789"/>
    <w:rsid w:val="003A5604"/>
    <w:rsid w:val="003A5BC5"/>
    <w:rsid w:val="003A5D55"/>
    <w:rsid w:val="003A6C3A"/>
    <w:rsid w:val="003A75E6"/>
    <w:rsid w:val="003B060E"/>
    <w:rsid w:val="003B1BD0"/>
    <w:rsid w:val="003B255B"/>
    <w:rsid w:val="003B3193"/>
    <w:rsid w:val="003B3317"/>
    <w:rsid w:val="003B52D4"/>
    <w:rsid w:val="003B5947"/>
    <w:rsid w:val="003B5AD5"/>
    <w:rsid w:val="003B6473"/>
    <w:rsid w:val="003B774A"/>
    <w:rsid w:val="003C163D"/>
    <w:rsid w:val="003C16DE"/>
    <w:rsid w:val="003C1CA5"/>
    <w:rsid w:val="003C1EC7"/>
    <w:rsid w:val="003C315F"/>
    <w:rsid w:val="003C346F"/>
    <w:rsid w:val="003C3643"/>
    <w:rsid w:val="003C3BDE"/>
    <w:rsid w:val="003C3FD0"/>
    <w:rsid w:val="003C592D"/>
    <w:rsid w:val="003C64A0"/>
    <w:rsid w:val="003C6EFD"/>
    <w:rsid w:val="003C7BA3"/>
    <w:rsid w:val="003D21C8"/>
    <w:rsid w:val="003D2303"/>
    <w:rsid w:val="003D3B64"/>
    <w:rsid w:val="003D4015"/>
    <w:rsid w:val="003D4CF0"/>
    <w:rsid w:val="003D4E9C"/>
    <w:rsid w:val="003D593A"/>
    <w:rsid w:val="003D7B05"/>
    <w:rsid w:val="003E038E"/>
    <w:rsid w:val="003E0D78"/>
    <w:rsid w:val="003E3277"/>
    <w:rsid w:val="003E3A1D"/>
    <w:rsid w:val="003E5FE4"/>
    <w:rsid w:val="003E6CA0"/>
    <w:rsid w:val="003F0D12"/>
    <w:rsid w:val="003F1DF3"/>
    <w:rsid w:val="003F2FDE"/>
    <w:rsid w:val="003F330B"/>
    <w:rsid w:val="003F3935"/>
    <w:rsid w:val="003F4160"/>
    <w:rsid w:val="003F418F"/>
    <w:rsid w:val="003F470E"/>
    <w:rsid w:val="003F5756"/>
    <w:rsid w:val="003F669A"/>
    <w:rsid w:val="003F6FDF"/>
    <w:rsid w:val="004016F5"/>
    <w:rsid w:val="004017C1"/>
    <w:rsid w:val="0040206F"/>
    <w:rsid w:val="00402995"/>
    <w:rsid w:val="004045AA"/>
    <w:rsid w:val="00404823"/>
    <w:rsid w:val="00404A0D"/>
    <w:rsid w:val="00405229"/>
    <w:rsid w:val="00405CC9"/>
    <w:rsid w:val="00407D1F"/>
    <w:rsid w:val="00410E7D"/>
    <w:rsid w:val="00411946"/>
    <w:rsid w:val="0041330B"/>
    <w:rsid w:val="004138DE"/>
    <w:rsid w:val="00414B2F"/>
    <w:rsid w:val="004155F0"/>
    <w:rsid w:val="00415E58"/>
    <w:rsid w:val="00416231"/>
    <w:rsid w:val="00416C9B"/>
    <w:rsid w:val="004179C1"/>
    <w:rsid w:val="00417C60"/>
    <w:rsid w:val="0042027D"/>
    <w:rsid w:val="004208AB"/>
    <w:rsid w:val="004212CF"/>
    <w:rsid w:val="004216AB"/>
    <w:rsid w:val="004219EF"/>
    <w:rsid w:val="004226CC"/>
    <w:rsid w:val="00422BA9"/>
    <w:rsid w:val="00422D26"/>
    <w:rsid w:val="00423827"/>
    <w:rsid w:val="004264A1"/>
    <w:rsid w:val="00426B76"/>
    <w:rsid w:val="00426CD9"/>
    <w:rsid w:val="00430627"/>
    <w:rsid w:val="00430FEB"/>
    <w:rsid w:val="004310EE"/>
    <w:rsid w:val="00433677"/>
    <w:rsid w:val="00433DCE"/>
    <w:rsid w:val="004340D5"/>
    <w:rsid w:val="00434880"/>
    <w:rsid w:val="004359A0"/>
    <w:rsid w:val="00435D90"/>
    <w:rsid w:val="004406C1"/>
    <w:rsid w:val="00440E1F"/>
    <w:rsid w:val="00442C1B"/>
    <w:rsid w:val="004460E9"/>
    <w:rsid w:val="00447B6F"/>
    <w:rsid w:val="00447C1F"/>
    <w:rsid w:val="00450395"/>
    <w:rsid w:val="004507E5"/>
    <w:rsid w:val="0045095B"/>
    <w:rsid w:val="00450DD7"/>
    <w:rsid w:val="00451C1F"/>
    <w:rsid w:val="00451F4B"/>
    <w:rsid w:val="00452589"/>
    <w:rsid w:val="00453C11"/>
    <w:rsid w:val="004557B0"/>
    <w:rsid w:val="00457946"/>
    <w:rsid w:val="00457BB9"/>
    <w:rsid w:val="00457D8B"/>
    <w:rsid w:val="00460A17"/>
    <w:rsid w:val="004620A4"/>
    <w:rsid w:val="00464634"/>
    <w:rsid w:val="00464B3D"/>
    <w:rsid w:val="00465A9A"/>
    <w:rsid w:val="00467479"/>
    <w:rsid w:val="00467835"/>
    <w:rsid w:val="004701AC"/>
    <w:rsid w:val="00470CB5"/>
    <w:rsid w:val="00471EAB"/>
    <w:rsid w:val="004723EE"/>
    <w:rsid w:val="0047451B"/>
    <w:rsid w:val="00475A92"/>
    <w:rsid w:val="0047658F"/>
    <w:rsid w:val="00477BB9"/>
    <w:rsid w:val="00477FC7"/>
    <w:rsid w:val="00481D39"/>
    <w:rsid w:val="00483373"/>
    <w:rsid w:val="00483990"/>
    <w:rsid w:val="00484793"/>
    <w:rsid w:val="00487366"/>
    <w:rsid w:val="004873E4"/>
    <w:rsid w:val="0049072C"/>
    <w:rsid w:val="00490742"/>
    <w:rsid w:val="00490FD1"/>
    <w:rsid w:val="0049122E"/>
    <w:rsid w:val="00491AD2"/>
    <w:rsid w:val="004921DA"/>
    <w:rsid w:val="004935C0"/>
    <w:rsid w:val="00493B43"/>
    <w:rsid w:val="00493D3E"/>
    <w:rsid w:val="00494EB1"/>
    <w:rsid w:val="00494F35"/>
    <w:rsid w:val="00495908"/>
    <w:rsid w:val="00495F3A"/>
    <w:rsid w:val="00496414"/>
    <w:rsid w:val="00497A38"/>
    <w:rsid w:val="00497F75"/>
    <w:rsid w:val="004A2056"/>
    <w:rsid w:val="004A3815"/>
    <w:rsid w:val="004A43C4"/>
    <w:rsid w:val="004A45BD"/>
    <w:rsid w:val="004A4656"/>
    <w:rsid w:val="004A77B0"/>
    <w:rsid w:val="004B1CED"/>
    <w:rsid w:val="004B34A7"/>
    <w:rsid w:val="004B386A"/>
    <w:rsid w:val="004B3B06"/>
    <w:rsid w:val="004B4643"/>
    <w:rsid w:val="004B4AD0"/>
    <w:rsid w:val="004B62E7"/>
    <w:rsid w:val="004B6D68"/>
    <w:rsid w:val="004B7F67"/>
    <w:rsid w:val="004C1994"/>
    <w:rsid w:val="004C2F42"/>
    <w:rsid w:val="004C58DE"/>
    <w:rsid w:val="004C606B"/>
    <w:rsid w:val="004C77EC"/>
    <w:rsid w:val="004C7D6D"/>
    <w:rsid w:val="004D4080"/>
    <w:rsid w:val="004D64AC"/>
    <w:rsid w:val="004D7970"/>
    <w:rsid w:val="004E00F4"/>
    <w:rsid w:val="004E05FD"/>
    <w:rsid w:val="004E104B"/>
    <w:rsid w:val="004E1A0D"/>
    <w:rsid w:val="004E1DC2"/>
    <w:rsid w:val="004E23F5"/>
    <w:rsid w:val="004E38A8"/>
    <w:rsid w:val="004E63E5"/>
    <w:rsid w:val="004E6B76"/>
    <w:rsid w:val="004E7BF4"/>
    <w:rsid w:val="004F3540"/>
    <w:rsid w:val="004F3AB1"/>
    <w:rsid w:val="004F3BFD"/>
    <w:rsid w:val="004F546B"/>
    <w:rsid w:val="004F5624"/>
    <w:rsid w:val="004F5DA4"/>
    <w:rsid w:val="004F62B2"/>
    <w:rsid w:val="004F6424"/>
    <w:rsid w:val="0050401C"/>
    <w:rsid w:val="005040CD"/>
    <w:rsid w:val="00505229"/>
    <w:rsid w:val="00505336"/>
    <w:rsid w:val="00505EDB"/>
    <w:rsid w:val="00506D18"/>
    <w:rsid w:val="00506E62"/>
    <w:rsid w:val="00507300"/>
    <w:rsid w:val="005079B4"/>
    <w:rsid w:val="00507F98"/>
    <w:rsid w:val="005108A3"/>
    <w:rsid w:val="0051091F"/>
    <w:rsid w:val="00510F6E"/>
    <w:rsid w:val="005118AE"/>
    <w:rsid w:val="00512595"/>
    <w:rsid w:val="0051437B"/>
    <w:rsid w:val="005151DA"/>
    <w:rsid w:val="0051587A"/>
    <w:rsid w:val="005158FA"/>
    <w:rsid w:val="005165AB"/>
    <w:rsid w:val="005169AD"/>
    <w:rsid w:val="005208B9"/>
    <w:rsid w:val="005221F0"/>
    <w:rsid w:val="0052332A"/>
    <w:rsid w:val="00524807"/>
    <w:rsid w:val="00524E46"/>
    <w:rsid w:val="00525361"/>
    <w:rsid w:val="0052577C"/>
    <w:rsid w:val="00525FF9"/>
    <w:rsid w:val="00526DFD"/>
    <w:rsid w:val="00526FA0"/>
    <w:rsid w:val="005274EB"/>
    <w:rsid w:val="005275CA"/>
    <w:rsid w:val="00527B33"/>
    <w:rsid w:val="00527B76"/>
    <w:rsid w:val="005315D4"/>
    <w:rsid w:val="00531AFC"/>
    <w:rsid w:val="00531D11"/>
    <w:rsid w:val="00532D3F"/>
    <w:rsid w:val="0053383B"/>
    <w:rsid w:val="0053386D"/>
    <w:rsid w:val="00534F65"/>
    <w:rsid w:val="00535145"/>
    <w:rsid w:val="00536568"/>
    <w:rsid w:val="0053789A"/>
    <w:rsid w:val="005378E3"/>
    <w:rsid w:val="0053791F"/>
    <w:rsid w:val="00540F95"/>
    <w:rsid w:val="00541304"/>
    <w:rsid w:val="005446EF"/>
    <w:rsid w:val="00545A77"/>
    <w:rsid w:val="00546D51"/>
    <w:rsid w:val="00547538"/>
    <w:rsid w:val="005477EA"/>
    <w:rsid w:val="0055064A"/>
    <w:rsid w:val="005512F1"/>
    <w:rsid w:val="00553BFA"/>
    <w:rsid w:val="00553D8D"/>
    <w:rsid w:val="00555AB3"/>
    <w:rsid w:val="00555AD7"/>
    <w:rsid w:val="0055608E"/>
    <w:rsid w:val="005565FE"/>
    <w:rsid w:val="00557755"/>
    <w:rsid w:val="0056077E"/>
    <w:rsid w:val="005608B9"/>
    <w:rsid w:val="00560FC7"/>
    <w:rsid w:val="00561E41"/>
    <w:rsid w:val="005629EE"/>
    <w:rsid w:val="00562BC2"/>
    <w:rsid w:val="00563DB0"/>
    <w:rsid w:val="005648FA"/>
    <w:rsid w:val="00564D50"/>
    <w:rsid w:val="005655B6"/>
    <w:rsid w:val="0056676F"/>
    <w:rsid w:val="00567346"/>
    <w:rsid w:val="005725AD"/>
    <w:rsid w:val="00572674"/>
    <w:rsid w:val="0057371B"/>
    <w:rsid w:val="005737B4"/>
    <w:rsid w:val="00573B49"/>
    <w:rsid w:val="00573FC7"/>
    <w:rsid w:val="00574616"/>
    <w:rsid w:val="00574B81"/>
    <w:rsid w:val="00574EFD"/>
    <w:rsid w:val="00575EB8"/>
    <w:rsid w:val="00581D1A"/>
    <w:rsid w:val="00582A9B"/>
    <w:rsid w:val="005832AB"/>
    <w:rsid w:val="0058437C"/>
    <w:rsid w:val="00584E35"/>
    <w:rsid w:val="00585401"/>
    <w:rsid w:val="00585FD7"/>
    <w:rsid w:val="0058606E"/>
    <w:rsid w:val="00587706"/>
    <w:rsid w:val="0059059C"/>
    <w:rsid w:val="00590C20"/>
    <w:rsid w:val="005912DB"/>
    <w:rsid w:val="00593030"/>
    <w:rsid w:val="005935F4"/>
    <w:rsid w:val="0059517B"/>
    <w:rsid w:val="00596319"/>
    <w:rsid w:val="00596EA0"/>
    <w:rsid w:val="00597452"/>
    <w:rsid w:val="005A346E"/>
    <w:rsid w:val="005A4918"/>
    <w:rsid w:val="005A5896"/>
    <w:rsid w:val="005A7313"/>
    <w:rsid w:val="005A73CF"/>
    <w:rsid w:val="005B14D5"/>
    <w:rsid w:val="005B409C"/>
    <w:rsid w:val="005B503A"/>
    <w:rsid w:val="005B798B"/>
    <w:rsid w:val="005C0BF4"/>
    <w:rsid w:val="005C1FAE"/>
    <w:rsid w:val="005C2162"/>
    <w:rsid w:val="005C344F"/>
    <w:rsid w:val="005C39E8"/>
    <w:rsid w:val="005C3E30"/>
    <w:rsid w:val="005C44CC"/>
    <w:rsid w:val="005C5660"/>
    <w:rsid w:val="005C7731"/>
    <w:rsid w:val="005C77DF"/>
    <w:rsid w:val="005D01B6"/>
    <w:rsid w:val="005D020C"/>
    <w:rsid w:val="005D23C2"/>
    <w:rsid w:val="005D33F1"/>
    <w:rsid w:val="005D354A"/>
    <w:rsid w:val="005D397A"/>
    <w:rsid w:val="005D4B68"/>
    <w:rsid w:val="005D51A8"/>
    <w:rsid w:val="005D6328"/>
    <w:rsid w:val="005E11C1"/>
    <w:rsid w:val="005E2563"/>
    <w:rsid w:val="005E2C8E"/>
    <w:rsid w:val="005E394C"/>
    <w:rsid w:val="005E42BF"/>
    <w:rsid w:val="005E4341"/>
    <w:rsid w:val="005E477D"/>
    <w:rsid w:val="005E4E70"/>
    <w:rsid w:val="005E6599"/>
    <w:rsid w:val="005E65BB"/>
    <w:rsid w:val="005E69AC"/>
    <w:rsid w:val="005E6F7B"/>
    <w:rsid w:val="005E7138"/>
    <w:rsid w:val="005E7DFE"/>
    <w:rsid w:val="005F0DA0"/>
    <w:rsid w:val="005F1C8E"/>
    <w:rsid w:val="005F36DC"/>
    <w:rsid w:val="005F4409"/>
    <w:rsid w:val="005F4914"/>
    <w:rsid w:val="005F6103"/>
    <w:rsid w:val="005F62B7"/>
    <w:rsid w:val="005F6869"/>
    <w:rsid w:val="005F6BB9"/>
    <w:rsid w:val="005F7E35"/>
    <w:rsid w:val="00600138"/>
    <w:rsid w:val="00603148"/>
    <w:rsid w:val="006034EC"/>
    <w:rsid w:val="00604E7C"/>
    <w:rsid w:val="00606FC7"/>
    <w:rsid w:val="00610456"/>
    <w:rsid w:val="0061056A"/>
    <w:rsid w:val="00610ED7"/>
    <w:rsid w:val="00611473"/>
    <w:rsid w:val="0061147A"/>
    <w:rsid w:val="00611B36"/>
    <w:rsid w:val="0061357D"/>
    <w:rsid w:val="00613A34"/>
    <w:rsid w:val="00614122"/>
    <w:rsid w:val="00615ADA"/>
    <w:rsid w:val="00615CC5"/>
    <w:rsid w:val="00615F9D"/>
    <w:rsid w:val="00617DD1"/>
    <w:rsid w:val="006221CD"/>
    <w:rsid w:val="006237D8"/>
    <w:rsid w:val="00623C61"/>
    <w:rsid w:val="00625735"/>
    <w:rsid w:val="0062584E"/>
    <w:rsid w:val="006266A9"/>
    <w:rsid w:val="00630426"/>
    <w:rsid w:val="006316C1"/>
    <w:rsid w:val="006319AD"/>
    <w:rsid w:val="00631ED4"/>
    <w:rsid w:val="00633BC7"/>
    <w:rsid w:val="00633DD5"/>
    <w:rsid w:val="00635E9C"/>
    <w:rsid w:val="00635FDC"/>
    <w:rsid w:val="00636719"/>
    <w:rsid w:val="00636F63"/>
    <w:rsid w:val="00637163"/>
    <w:rsid w:val="00637B41"/>
    <w:rsid w:val="00637FBC"/>
    <w:rsid w:val="006409E7"/>
    <w:rsid w:val="006414EE"/>
    <w:rsid w:val="00641D3A"/>
    <w:rsid w:val="006420D1"/>
    <w:rsid w:val="0064290B"/>
    <w:rsid w:val="00642976"/>
    <w:rsid w:val="00642D0A"/>
    <w:rsid w:val="006432EA"/>
    <w:rsid w:val="0064492A"/>
    <w:rsid w:val="00646130"/>
    <w:rsid w:val="00646FE1"/>
    <w:rsid w:val="006470ED"/>
    <w:rsid w:val="00647E20"/>
    <w:rsid w:val="00652A38"/>
    <w:rsid w:val="00654E09"/>
    <w:rsid w:val="00655F56"/>
    <w:rsid w:val="00660727"/>
    <w:rsid w:val="00660732"/>
    <w:rsid w:val="00661140"/>
    <w:rsid w:val="0066140B"/>
    <w:rsid w:val="00661853"/>
    <w:rsid w:val="00661F8C"/>
    <w:rsid w:val="00662706"/>
    <w:rsid w:val="00665D69"/>
    <w:rsid w:val="00667893"/>
    <w:rsid w:val="00670D8E"/>
    <w:rsid w:val="006710DD"/>
    <w:rsid w:val="006714D3"/>
    <w:rsid w:val="00671E0B"/>
    <w:rsid w:val="00673200"/>
    <w:rsid w:val="00673B8A"/>
    <w:rsid w:val="00674B9B"/>
    <w:rsid w:val="0067501E"/>
    <w:rsid w:val="006773D2"/>
    <w:rsid w:val="00680191"/>
    <w:rsid w:val="00680929"/>
    <w:rsid w:val="006815B6"/>
    <w:rsid w:val="00681A41"/>
    <w:rsid w:val="006821B2"/>
    <w:rsid w:val="0068277F"/>
    <w:rsid w:val="00682A76"/>
    <w:rsid w:val="00682BC9"/>
    <w:rsid w:val="00682BCE"/>
    <w:rsid w:val="00682EC4"/>
    <w:rsid w:val="00683723"/>
    <w:rsid w:val="006837D9"/>
    <w:rsid w:val="006838C0"/>
    <w:rsid w:val="006844D2"/>
    <w:rsid w:val="00685901"/>
    <w:rsid w:val="00685BB9"/>
    <w:rsid w:val="00685D08"/>
    <w:rsid w:val="00685D5F"/>
    <w:rsid w:val="00685E4D"/>
    <w:rsid w:val="00690127"/>
    <w:rsid w:val="00691826"/>
    <w:rsid w:val="00691BFF"/>
    <w:rsid w:val="00695227"/>
    <w:rsid w:val="006953C1"/>
    <w:rsid w:val="00695822"/>
    <w:rsid w:val="00696175"/>
    <w:rsid w:val="0069682C"/>
    <w:rsid w:val="00696EB2"/>
    <w:rsid w:val="006972B4"/>
    <w:rsid w:val="00697510"/>
    <w:rsid w:val="006A16E9"/>
    <w:rsid w:val="006A18FE"/>
    <w:rsid w:val="006A1DCF"/>
    <w:rsid w:val="006A47E4"/>
    <w:rsid w:val="006A48F0"/>
    <w:rsid w:val="006A4D6A"/>
    <w:rsid w:val="006A5297"/>
    <w:rsid w:val="006A5450"/>
    <w:rsid w:val="006A5928"/>
    <w:rsid w:val="006A7027"/>
    <w:rsid w:val="006A7964"/>
    <w:rsid w:val="006B0199"/>
    <w:rsid w:val="006B0532"/>
    <w:rsid w:val="006B0A32"/>
    <w:rsid w:val="006B0BD8"/>
    <w:rsid w:val="006B0C84"/>
    <w:rsid w:val="006B1E3F"/>
    <w:rsid w:val="006B22A3"/>
    <w:rsid w:val="006B285F"/>
    <w:rsid w:val="006B3279"/>
    <w:rsid w:val="006B5B56"/>
    <w:rsid w:val="006B66AA"/>
    <w:rsid w:val="006B6D37"/>
    <w:rsid w:val="006B6D6E"/>
    <w:rsid w:val="006B7CDB"/>
    <w:rsid w:val="006B7E62"/>
    <w:rsid w:val="006C0251"/>
    <w:rsid w:val="006C10F5"/>
    <w:rsid w:val="006C2B9A"/>
    <w:rsid w:val="006C2D11"/>
    <w:rsid w:val="006C2DA3"/>
    <w:rsid w:val="006C35AC"/>
    <w:rsid w:val="006C38EA"/>
    <w:rsid w:val="006C39BB"/>
    <w:rsid w:val="006C4502"/>
    <w:rsid w:val="006C4BAB"/>
    <w:rsid w:val="006C7D6C"/>
    <w:rsid w:val="006D0DDE"/>
    <w:rsid w:val="006D10E3"/>
    <w:rsid w:val="006D159F"/>
    <w:rsid w:val="006D2F02"/>
    <w:rsid w:val="006D3E87"/>
    <w:rsid w:val="006D4655"/>
    <w:rsid w:val="006D4900"/>
    <w:rsid w:val="006D4DFC"/>
    <w:rsid w:val="006D5E91"/>
    <w:rsid w:val="006D75DA"/>
    <w:rsid w:val="006D75DF"/>
    <w:rsid w:val="006E0796"/>
    <w:rsid w:val="006E14E6"/>
    <w:rsid w:val="006E1729"/>
    <w:rsid w:val="006E1AEE"/>
    <w:rsid w:val="006E1F6F"/>
    <w:rsid w:val="006E23AC"/>
    <w:rsid w:val="006E2DBF"/>
    <w:rsid w:val="006E3B9C"/>
    <w:rsid w:val="006E43F9"/>
    <w:rsid w:val="006E51A2"/>
    <w:rsid w:val="006E5557"/>
    <w:rsid w:val="006E5E74"/>
    <w:rsid w:val="006E7C86"/>
    <w:rsid w:val="006F09AB"/>
    <w:rsid w:val="006F0DE2"/>
    <w:rsid w:val="006F1ADA"/>
    <w:rsid w:val="006F2E92"/>
    <w:rsid w:val="006F3495"/>
    <w:rsid w:val="006F364C"/>
    <w:rsid w:val="006F417D"/>
    <w:rsid w:val="006F45CF"/>
    <w:rsid w:val="006F5428"/>
    <w:rsid w:val="006F5C83"/>
    <w:rsid w:val="006F67CC"/>
    <w:rsid w:val="006F7031"/>
    <w:rsid w:val="00701C2D"/>
    <w:rsid w:val="00702162"/>
    <w:rsid w:val="00702286"/>
    <w:rsid w:val="00703141"/>
    <w:rsid w:val="00703930"/>
    <w:rsid w:val="00704070"/>
    <w:rsid w:val="00705744"/>
    <w:rsid w:val="0070610E"/>
    <w:rsid w:val="00706FEA"/>
    <w:rsid w:val="00707759"/>
    <w:rsid w:val="00710081"/>
    <w:rsid w:val="00710A23"/>
    <w:rsid w:val="00710B0D"/>
    <w:rsid w:val="00711960"/>
    <w:rsid w:val="00712F78"/>
    <w:rsid w:val="00713083"/>
    <w:rsid w:val="007135D7"/>
    <w:rsid w:val="00713CB5"/>
    <w:rsid w:val="007153E5"/>
    <w:rsid w:val="0071558B"/>
    <w:rsid w:val="00717997"/>
    <w:rsid w:val="00721189"/>
    <w:rsid w:val="007216D5"/>
    <w:rsid w:val="007221C3"/>
    <w:rsid w:val="00722571"/>
    <w:rsid w:val="00722F2C"/>
    <w:rsid w:val="007253A4"/>
    <w:rsid w:val="007254D1"/>
    <w:rsid w:val="00725B32"/>
    <w:rsid w:val="00725B3C"/>
    <w:rsid w:val="007264B0"/>
    <w:rsid w:val="00731A93"/>
    <w:rsid w:val="00732C7A"/>
    <w:rsid w:val="00733144"/>
    <w:rsid w:val="00733D54"/>
    <w:rsid w:val="0073649E"/>
    <w:rsid w:val="00736829"/>
    <w:rsid w:val="0073684E"/>
    <w:rsid w:val="00736A4F"/>
    <w:rsid w:val="00736E76"/>
    <w:rsid w:val="00736EAD"/>
    <w:rsid w:val="007373E4"/>
    <w:rsid w:val="00737753"/>
    <w:rsid w:val="00740CE9"/>
    <w:rsid w:val="00740DC8"/>
    <w:rsid w:val="00741D41"/>
    <w:rsid w:val="007428E3"/>
    <w:rsid w:val="00743511"/>
    <w:rsid w:val="0074394E"/>
    <w:rsid w:val="0074427F"/>
    <w:rsid w:val="0074439B"/>
    <w:rsid w:val="00745E52"/>
    <w:rsid w:val="00745ECE"/>
    <w:rsid w:val="00746075"/>
    <w:rsid w:val="007471D2"/>
    <w:rsid w:val="00750ABC"/>
    <w:rsid w:val="00750D0A"/>
    <w:rsid w:val="00751863"/>
    <w:rsid w:val="00751D93"/>
    <w:rsid w:val="00752300"/>
    <w:rsid w:val="00753D86"/>
    <w:rsid w:val="007546F8"/>
    <w:rsid w:val="00755BAB"/>
    <w:rsid w:val="00757BA2"/>
    <w:rsid w:val="0076080E"/>
    <w:rsid w:val="00761324"/>
    <w:rsid w:val="007615E5"/>
    <w:rsid w:val="00761D06"/>
    <w:rsid w:val="00763920"/>
    <w:rsid w:val="0076411D"/>
    <w:rsid w:val="007650F8"/>
    <w:rsid w:val="007670F8"/>
    <w:rsid w:val="007671D4"/>
    <w:rsid w:val="00770A85"/>
    <w:rsid w:val="00771B43"/>
    <w:rsid w:val="00772F2D"/>
    <w:rsid w:val="00773DC9"/>
    <w:rsid w:val="0077572E"/>
    <w:rsid w:val="00775CD7"/>
    <w:rsid w:val="0078031B"/>
    <w:rsid w:val="00780F4B"/>
    <w:rsid w:val="00781EBC"/>
    <w:rsid w:val="00782706"/>
    <w:rsid w:val="00783B5C"/>
    <w:rsid w:val="00783C18"/>
    <w:rsid w:val="007842C8"/>
    <w:rsid w:val="00784F44"/>
    <w:rsid w:val="00785DEF"/>
    <w:rsid w:val="00786672"/>
    <w:rsid w:val="00787213"/>
    <w:rsid w:val="007872CF"/>
    <w:rsid w:val="007902A5"/>
    <w:rsid w:val="00790636"/>
    <w:rsid w:val="0079201C"/>
    <w:rsid w:val="00792495"/>
    <w:rsid w:val="0079307F"/>
    <w:rsid w:val="007939E8"/>
    <w:rsid w:val="007947C4"/>
    <w:rsid w:val="00795CE1"/>
    <w:rsid w:val="0079634E"/>
    <w:rsid w:val="007970E4"/>
    <w:rsid w:val="00797990"/>
    <w:rsid w:val="00797C98"/>
    <w:rsid w:val="007A053D"/>
    <w:rsid w:val="007A06AC"/>
    <w:rsid w:val="007A24A9"/>
    <w:rsid w:val="007A40EE"/>
    <w:rsid w:val="007A53FB"/>
    <w:rsid w:val="007B081A"/>
    <w:rsid w:val="007B1014"/>
    <w:rsid w:val="007B103F"/>
    <w:rsid w:val="007B1484"/>
    <w:rsid w:val="007B1A10"/>
    <w:rsid w:val="007B3AE3"/>
    <w:rsid w:val="007B6659"/>
    <w:rsid w:val="007B7663"/>
    <w:rsid w:val="007B76AB"/>
    <w:rsid w:val="007B7DBD"/>
    <w:rsid w:val="007C02E2"/>
    <w:rsid w:val="007C098C"/>
    <w:rsid w:val="007C3165"/>
    <w:rsid w:val="007C45D3"/>
    <w:rsid w:val="007C597B"/>
    <w:rsid w:val="007C61CB"/>
    <w:rsid w:val="007C637A"/>
    <w:rsid w:val="007C760C"/>
    <w:rsid w:val="007D0015"/>
    <w:rsid w:val="007D08FD"/>
    <w:rsid w:val="007D0AD2"/>
    <w:rsid w:val="007D1584"/>
    <w:rsid w:val="007D18C8"/>
    <w:rsid w:val="007D1AD1"/>
    <w:rsid w:val="007D2044"/>
    <w:rsid w:val="007D2D55"/>
    <w:rsid w:val="007D4F33"/>
    <w:rsid w:val="007D65C7"/>
    <w:rsid w:val="007D74D2"/>
    <w:rsid w:val="007D79B5"/>
    <w:rsid w:val="007E09F0"/>
    <w:rsid w:val="007E1C7F"/>
    <w:rsid w:val="007E2334"/>
    <w:rsid w:val="007E23CE"/>
    <w:rsid w:val="007E29C4"/>
    <w:rsid w:val="007E2CE7"/>
    <w:rsid w:val="007E42EF"/>
    <w:rsid w:val="007E43D0"/>
    <w:rsid w:val="007E4EA8"/>
    <w:rsid w:val="007E4FDA"/>
    <w:rsid w:val="007E54F8"/>
    <w:rsid w:val="007E5987"/>
    <w:rsid w:val="007E5BD8"/>
    <w:rsid w:val="007E5C6C"/>
    <w:rsid w:val="007E6601"/>
    <w:rsid w:val="007E6886"/>
    <w:rsid w:val="007E7BF9"/>
    <w:rsid w:val="007F0212"/>
    <w:rsid w:val="007F02BC"/>
    <w:rsid w:val="007F09C0"/>
    <w:rsid w:val="007F1901"/>
    <w:rsid w:val="007F1A40"/>
    <w:rsid w:val="007F1D17"/>
    <w:rsid w:val="007F235A"/>
    <w:rsid w:val="007F246A"/>
    <w:rsid w:val="007F2E65"/>
    <w:rsid w:val="007F2F4B"/>
    <w:rsid w:val="007F38AF"/>
    <w:rsid w:val="007F3B9D"/>
    <w:rsid w:val="007F421C"/>
    <w:rsid w:val="007F43BA"/>
    <w:rsid w:val="007F45D1"/>
    <w:rsid w:val="007F6849"/>
    <w:rsid w:val="007F6C19"/>
    <w:rsid w:val="007F6D77"/>
    <w:rsid w:val="007F6DC3"/>
    <w:rsid w:val="007F7261"/>
    <w:rsid w:val="007F7EEC"/>
    <w:rsid w:val="008006B4"/>
    <w:rsid w:val="00800C46"/>
    <w:rsid w:val="00801A3F"/>
    <w:rsid w:val="00802849"/>
    <w:rsid w:val="00803695"/>
    <w:rsid w:val="00803FD4"/>
    <w:rsid w:val="0080481C"/>
    <w:rsid w:val="0080494A"/>
    <w:rsid w:val="00804A38"/>
    <w:rsid w:val="00804C54"/>
    <w:rsid w:val="008056DD"/>
    <w:rsid w:val="00806951"/>
    <w:rsid w:val="0081104C"/>
    <w:rsid w:val="00811D2A"/>
    <w:rsid w:val="00812334"/>
    <w:rsid w:val="00812D16"/>
    <w:rsid w:val="00813417"/>
    <w:rsid w:val="008145A0"/>
    <w:rsid w:val="00814EA9"/>
    <w:rsid w:val="00815A82"/>
    <w:rsid w:val="0081668E"/>
    <w:rsid w:val="00817A54"/>
    <w:rsid w:val="00817A6B"/>
    <w:rsid w:val="00817C04"/>
    <w:rsid w:val="00820FAF"/>
    <w:rsid w:val="008213A5"/>
    <w:rsid w:val="00821865"/>
    <w:rsid w:val="00822A6C"/>
    <w:rsid w:val="0082327D"/>
    <w:rsid w:val="00823B34"/>
    <w:rsid w:val="0082433D"/>
    <w:rsid w:val="008257E5"/>
    <w:rsid w:val="00826139"/>
    <w:rsid w:val="00826509"/>
    <w:rsid w:val="00826BB3"/>
    <w:rsid w:val="0083354D"/>
    <w:rsid w:val="00833C7B"/>
    <w:rsid w:val="008345E6"/>
    <w:rsid w:val="00834BF5"/>
    <w:rsid w:val="0083561B"/>
    <w:rsid w:val="00835C01"/>
    <w:rsid w:val="0083685F"/>
    <w:rsid w:val="00836C13"/>
    <w:rsid w:val="008371F6"/>
    <w:rsid w:val="00837D78"/>
    <w:rsid w:val="00840D79"/>
    <w:rsid w:val="00842A21"/>
    <w:rsid w:val="008431CC"/>
    <w:rsid w:val="008439BF"/>
    <w:rsid w:val="008450A5"/>
    <w:rsid w:val="00845DAD"/>
    <w:rsid w:val="00847109"/>
    <w:rsid w:val="00850760"/>
    <w:rsid w:val="00851150"/>
    <w:rsid w:val="00852789"/>
    <w:rsid w:val="008537ED"/>
    <w:rsid w:val="00853C1D"/>
    <w:rsid w:val="00853C62"/>
    <w:rsid w:val="008548E7"/>
    <w:rsid w:val="00854B2F"/>
    <w:rsid w:val="00855386"/>
    <w:rsid w:val="00856237"/>
    <w:rsid w:val="00856354"/>
    <w:rsid w:val="008568E1"/>
    <w:rsid w:val="008568F2"/>
    <w:rsid w:val="00856BE9"/>
    <w:rsid w:val="0085769C"/>
    <w:rsid w:val="008578F8"/>
    <w:rsid w:val="00857B46"/>
    <w:rsid w:val="00860566"/>
    <w:rsid w:val="0086165C"/>
    <w:rsid w:val="00861B26"/>
    <w:rsid w:val="00862EED"/>
    <w:rsid w:val="008630A0"/>
    <w:rsid w:val="00863148"/>
    <w:rsid w:val="0086430D"/>
    <w:rsid w:val="008643FC"/>
    <w:rsid w:val="00864529"/>
    <w:rsid w:val="008649B9"/>
    <w:rsid w:val="00865A0F"/>
    <w:rsid w:val="008669F9"/>
    <w:rsid w:val="0086784F"/>
    <w:rsid w:val="00870394"/>
    <w:rsid w:val="0087073B"/>
    <w:rsid w:val="00872C82"/>
    <w:rsid w:val="00873ABB"/>
    <w:rsid w:val="008754D3"/>
    <w:rsid w:val="00877065"/>
    <w:rsid w:val="008770D4"/>
    <w:rsid w:val="008770F3"/>
    <w:rsid w:val="0088127F"/>
    <w:rsid w:val="008815EF"/>
    <w:rsid w:val="00884251"/>
    <w:rsid w:val="00885273"/>
    <w:rsid w:val="00885F2C"/>
    <w:rsid w:val="00885F53"/>
    <w:rsid w:val="00886386"/>
    <w:rsid w:val="008863EB"/>
    <w:rsid w:val="0088701C"/>
    <w:rsid w:val="00887BA4"/>
    <w:rsid w:val="0089174C"/>
    <w:rsid w:val="00892818"/>
    <w:rsid w:val="00892EB4"/>
    <w:rsid w:val="0089499B"/>
    <w:rsid w:val="00894ACA"/>
    <w:rsid w:val="00894E87"/>
    <w:rsid w:val="00894EC5"/>
    <w:rsid w:val="00895411"/>
    <w:rsid w:val="008957AC"/>
    <w:rsid w:val="00895E5F"/>
    <w:rsid w:val="008967B5"/>
    <w:rsid w:val="00897245"/>
    <w:rsid w:val="008973AC"/>
    <w:rsid w:val="008A03AC"/>
    <w:rsid w:val="008A186D"/>
    <w:rsid w:val="008A20BE"/>
    <w:rsid w:val="008A267B"/>
    <w:rsid w:val="008A2B4E"/>
    <w:rsid w:val="008A345A"/>
    <w:rsid w:val="008A37EE"/>
    <w:rsid w:val="008A3BF2"/>
    <w:rsid w:val="008A3DB9"/>
    <w:rsid w:val="008A4E1E"/>
    <w:rsid w:val="008A53A7"/>
    <w:rsid w:val="008A65C4"/>
    <w:rsid w:val="008A6A5C"/>
    <w:rsid w:val="008A7316"/>
    <w:rsid w:val="008B07E8"/>
    <w:rsid w:val="008B1817"/>
    <w:rsid w:val="008B35F0"/>
    <w:rsid w:val="008B500A"/>
    <w:rsid w:val="008B752C"/>
    <w:rsid w:val="008C0840"/>
    <w:rsid w:val="008C1610"/>
    <w:rsid w:val="008C1DB2"/>
    <w:rsid w:val="008C2F1E"/>
    <w:rsid w:val="008C30E5"/>
    <w:rsid w:val="008C3B5B"/>
    <w:rsid w:val="008C409F"/>
    <w:rsid w:val="008C602D"/>
    <w:rsid w:val="008C6B4A"/>
    <w:rsid w:val="008C6BCC"/>
    <w:rsid w:val="008D098D"/>
    <w:rsid w:val="008D09E7"/>
    <w:rsid w:val="008D135A"/>
    <w:rsid w:val="008D2205"/>
    <w:rsid w:val="008D2331"/>
    <w:rsid w:val="008D236F"/>
    <w:rsid w:val="008D299A"/>
    <w:rsid w:val="008D2E9B"/>
    <w:rsid w:val="008D36CD"/>
    <w:rsid w:val="008D3928"/>
    <w:rsid w:val="008D3DA3"/>
    <w:rsid w:val="008D4380"/>
    <w:rsid w:val="008D48D1"/>
    <w:rsid w:val="008D5B7E"/>
    <w:rsid w:val="008D6FFB"/>
    <w:rsid w:val="008D779D"/>
    <w:rsid w:val="008E1B02"/>
    <w:rsid w:val="008E37EB"/>
    <w:rsid w:val="008E384B"/>
    <w:rsid w:val="008F1730"/>
    <w:rsid w:val="008F1AE4"/>
    <w:rsid w:val="008F1DCE"/>
    <w:rsid w:val="008F2596"/>
    <w:rsid w:val="008F2C49"/>
    <w:rsid w:val="008F4FB0"/>
    <w:rsid w:val="008F5ADE"/>
    <w:rsid w:val="008F6217"/>
    <w:rsid w:val="008F6BBA"/>
    <w:rsid w:val="008F769E"/>
    <w:rsid w:val="008F77E7"/>
    <w:rsid w:val="008F7CFF"/>
    <w:rsid w:val="008F7ED1"/>
    <w:rsid w:val="009008F3"/>
    <w:rsid w:val="00900FDE"/>
    <w:rsid w:val="00901A03"/>
    <w:rsid w:val="00901C8D"/>
    <w:rsid w:val="00901E73"/>
    <w:rsid w:val="00902694"/>
    <w:rsid w:val="009027BC"/>
    <w:rsid w:val="00904A4D"/>
    <w:rsid w:val="00904B77"/>
    <w:rsid w:val="00905BFB"/>
    <w:rsid w:val="00905D16"/>
    <w:rsid w:val="00905EE9"/>
    <w:rsid w:val="009060A7"/>
    <w:rsid w:val="009065F4"/>
    <w:rsid w:val="009075A7"/>
    <w:rsid w:val="009076AF"/>
    <w:rsid w:val="0090771B"/>
    <w:rsid w:val="00910FBA"/>
    <w:rsid w:val="0091154E"/>
    <w:rsid w:val="00911D39"/>
    <w:rsid w:val="00912B9F"/>
    <w:rsid w:val="009168DF"/>
    <w:rsid w:val="00917C0F"/>
    <w:rsid w:val="00917D2A"/>
    <w:rsid w:val="009201D3"/>
    <w:rsid w:val="0092040E"/>
    <w:rsid w:val="00920C6C"/>
    <w:rsid w:val="00921986"/>
    <w:rsid w:val="0092253D"/>
    <w:rsid w:val="009227D9"/>
    <w:rsid w:val="0092387B"/>
    <w:rsid w:val="009244CA"/>
    <w:rsid w:val="009248BC"/>
    <w:rsid w:val="00924AF4"/>
    <w:rsid w:val="009253FC"/>
    <w:rsid w:val="00925D35"/>
    <w:rsid w:val="00925D9E"/>
    <w:rsid w:val="00927791"/>
    <w:rsid w:val="009301D6"/>
    <w:rsid w:val="00930607"/>
    <w:rsid w:val="00930D0A"/>
    <w:rsid w:val="00931CF4"/>
    <w:rsid w:val="00932806"/>
    <w:rsid w:val="009329BA"/>
    <w:rsid w:val="0093304D"/>
    <w:rsid w:val="00934234"/>
    <w:rsid w:val="009356C6"/>
    <w:rsid w:val="009356D3"/>
    <w:rsid w:val="009358A6"/>
    <w:rsid w:val="00936344"/>
    <w:rsid w:val="00936939"/>
    <w:rsid w:val="00936B21"/>
    <w:rsid w:val="0094053B"/>
    <w:rsid w:val="009407AD"/>
    <w:rsid w:val="00942000"/>
    <w:rsid w:val="00942040"/>
    <w:rsid w:val="00942C9F"/>
    <w:rsid w:val="00945631"/>
    <w:rsid w:val="00947549"/>
    <w:rsid w:val="00947C08"/>
    <w:rsid w:val="0095119D"/>
    <w:rsid w:val="00951BDD"/>
    <w:rsid w:val="00952E2A"/>
    <w:rsid w:val="00953C41"/>
    <w:rsid w:val="00955DC8"/>
    <w:rsid w:val="00956476"/>
    <w:rsid w:val="0095793C"/>
    <w:rsid w:val="0096040D"/>
    <w:rsid w:val="0096111E"/>
    <w:rsid w:val="00961125"/>
    <w:rsid w:val="00961951"/>
    <w:rsid w:val="0096220B"/>
    <w:rsid w:val="00963BD1"/>
    <w:rsid w:val="009643D9"/>
    <w:rsid w:val="00965C36"/>
    <w:rsid w:val="00966441"/>
    <w:rsid w:val="00966B1F"/>
    <w:rsid w:val="0096749F"/>
    <w:rsid w:val="00970C06"/>
    <w:rsid w:val="0097330A"/>
    <w:rsid w:val="00974518"/>
    <w:rsid w:val="00975039"/>
    <w:rsid w:val="00975B88"/>
    <w:rsid w:val="00980FE0"/>
    <w:rsid w:val="00983A15"/>
    <w:rsid w:val="00983D7E"/>
    <w:rsid w:val="0098631A"/>
    <w:rsid w:val="009864B7"/>
    <w:rsid w:val="00986804"/>
    <w:rsid w:val="00986862"/>
    <w:rsid w:val="00986B73"/>
    <w:rsid w:val="009872F0"/>
    <w:rsid w:val="00992650"/>
    <w:rsid w:val="009927BB"/>
    <w:rsid w:val="009928B7"/>
    <w:rsid w:val="00992AB8"/>
    <w:rsid w:val="0099321A"/>
    <w:rsid w:val="009943F4"/>
    <w:rsid w:val="009960B7"/>
    <w:rsid w:val="00996C67"/>
    <w:rsid w:val="00996E1C"/>
    <w:rsid w:val="00997986"/>
    <w:rsid w:val="009A09F6"/>
    <w:rsid w:val="009A1B3A"/>
    <w:rsid w:val="009A1B72"/>
    <w:rsid w:val="009A2983"/>
    <w:rsid w:val="009A324E"/>
    <w:rsid w:val="009A3D53"/>
    <w:rsid w:val="009A3F25"/>
    <w:rsid w:val="009A524F"/>
    <w:rsid w:val="009A5B0F"/>
    <w:rsid w:val="009A5C87"/>
    <w:rsid w:val="009B103D"/>
    <w:rsid w:val="009B313F"/>
    <w:rsid w:val="009B369C"/>
    <w:rsid w:val="009B395B"/>
    <w:rsid w:val="009B39D3"/>
    <w:rsid w:val="009B4019"/>
    <w:rsid w:val="009B421B"/>
    <w:rsid w:val="009B5344"/>
    <w:rsid w:val="009B536C"/>
    <w:rsid w:val="009B6496"/>
    <w:rsid w:val="009B69D5"/>
    <w:rsid w:val="009C01DA"/>
    <w:rsid w:val="009C070E"/>
    <w:rsid w:val="009C1655"/>
    <w:rsid w:val="009C1FE7"/>
    <w:rsid w:val="009C20CC"/>
    <w:rsid w:val="009C3558"/>
    <w:rsid w:val="009C3E53"/>
    <w:rsid w:val="009C5449"/>
    <w:rsid w:val="009C562E"/>
    <w:rsid w:val="009C602A"/>
    <w:rsid w:val="009C7531"/>
    <w:rsid w:val="009D00E2"/>
    <w:rsid w:val="009D0E36"/>
    <w:rsid w:val="009D220C"/>
    <w:rsid w:val="009D221F"/>
    <w:rsid w:val="009D23C5"/>
    <w:rsid w:val="009D53E0"/>
    <w:rsid w:val="009D5AFF"/>
    <w:rsid w:val="009D5E2D"/>
    <w:rsid w:val="009D5FB5"/>
    <w:rsid w:val="009D65B3"/>
    <w:rsid w:val="009D732A"/>
    <w:rsid w:val="009D7E88"/>
    <w:rsid w:val="009E09F0"/>
    <w:rsid w:val="009E0C00"/>
    <w:rsid w:val="009E19E8"/>
    <w:rsid w:val="009E1C2C"/>
    <w:rsid w:val="009E1CF4"/>
    <w:rsid w:val="009E377C"/>
    <w:rsid w:val="009E3AA6"/>
    <w:rsid w:val="009E458A"/>
    <w:rsid w:val="009E5DFC"/>
    <w:rsid w:val="009E6CED"/>
    <w:rsid w:val="009E77B4"/>
    <w:rsid w:val="009E7B3E"/>
    <w:rsid w:val="009F1789"/>
    <w:rsid w:val="009F36D2"/>
    <w:rsid w:val="009F3FA2"/>
    <w:rsid w:val="009F4504"/>
    <w:rsid w:val="009F502C"/>
    <w:rsid w:val="009F603B"/>
    <w:rsid w:val="009F6987"/>
    <w:rsid w:val="009F6B5E"/>
    <w:rsid w:val="009F720F"/>
    <w:rsid w:val="00A00CFB"/>
    <w:rsid w:val="00A010E7"/>
    <w:rsid w:val="00A01A17"/>
    <w:rsid w:val="00A01A60"/>
    <w:rsid w:val="00A02C07"/>
    <w:rsid w:val="00A0391D"/>
    <w:rsid w:val="00A039F6"/>
    <w:rsid w:val="00A048EF"/>
    <w:rsid w:val="00A04F67"/>
    <w:rsid w:val="00A076F9"/>
    <w:rsid w:val="00A07997"/>
    <w:rsid w:val="00A07F87"/>
    <w:rsid w:val="00A1026A"/>
    <w:rsid w:val="00A11692"/>
    <w:rsid w:val="00A11B05"/>
    <w:rsid w:val="00A11CD0"/>
    <w:rsid w:val="00A120D8"/>
    <w:rsid w:val="00A125AB"/>
    <w:rsid w:val="00A12B81"/>
    <w:rsid w:val="00A14720"/>
    <w:rsid w:val="00A15C2B"/>
    <w:rsid w:val="00A15F86"/>
    <w:rsid w:val="00A206ED"/>
    <w:rsid w:val="00A20806"/>
    <w:rsid w:val="00A20A77"/>
    <w:rsid w:val="00A20BEF"/>
    <w:rsid w:val="00A20C7F"/>
    <w:rsid w:val="00A212DF"/>
    <w:rsid w:val="00A21547"/>
    <w:rsid w:val="00A21BD8"/>
    <w:rsid w:val="00A229E0"/>
    <w:rsid w:val="00A22DBA"/>
    <w:rsid w:val="00A254CF"/>
    <w:rsid w:val="00A25992"/>
    <w:rsid w:val="00A25BFF"/>
    <w:rsid w:val="00A27522"/>
    <w:rsid w:val="00A275FD"/>
    <w:rsid w:val="00A27809"/>
    <w:rsid w:val="00A2796E"/>
    <w:rsid w:val="00A330C5"/>
    <w:rsid w:val="00A349B7"/>
    <w:rsid w:val="00A34A2C"/>
    <w:rsid w:val="00A34D76"/>
    <w:rsid w:val="00A365D0"/>
    <w:rsid w:val="00A36C54"/>
    <w:rsid w:val="00A37428"/>
    <w:rsid w:val="00A402B8"/>
    <w:rsid w:val="00A4360E"/>
    <w:rsid w:val="00A44312"/>
    <w:rsid w:val="00A443A6"/>
    <w:rsid w:val="00A44479"/>
    <w:rsid w:val="00A45A1A"/>
    <w:rsid w:val="00A472D2"/>
    <w:rsid w:val="00A47C20"/>
    <w:rsid w:val="00A47F32"/>
    <w:rsid w:val="00A52A30"/>
    <w:rsid w:val="00A53220"/>
    <w:rsid w:val="00A538E6"/>
    <w:rsid w:val="00A53946"/>
    <w:rsid w:val="00A540C1"/>
    <w:rsid w:val="00A56800"/>
    <w:rsid w:val="00A56D3D"/>
    <w:rsid w:val="00A56D7E"/>
    <w:rsid w:val="00A5729F"/>
    <w:rsid w:val="00A57404"/>
    <w:rsid w:val="00A575BD"/>
    <w:rsid w:val="00A57AB2"/>
    <w:rsid w:val="00A60258"/>
    <w:rsid w:val="00A60EEC"/>
    <w:rsid w:val="00A62896"/>
    <w:rsid w:val="00A63031"/>
    <w:rsid w:val="00A6328C"/>
    <w:rsid w:val="00A65BD9"/>
    <w:rsid w:val="00A65C1E"/>
    <w:rsid w:val="00A663B5"/>
    <w:rsid w:val="00A66718"/>
    <w:rsid w:val="00A70750"/>
    <w:rsid w:val="00A70B31"/>
    <w:rsid w:val="00A70ED2"/>
    <w:rsid w:val="00A710F8"/>
    <w:rsid w:val="00A71382"/>
    <w:rsid w:val="00A719BE"/>
    <w:rsid w:val="00A72A72"/>
    <w:rsid w:val="00A759FE"/>
    <w:rsid w:val="00A760D1"/>
    <w:rsid w:val="00A766DB"/>
    <w:rsid w:val="00A76D67"/>
    <w:rsid w:val="00A776B8"/>
    <w:rsid w:val="00A8089A"/>
    <w:rsid w:val="00A80DD3"/>
    <w:rsid w:val="00A8168E"/>
    <w:rsid w:val="00A823AB"/>
    <w:rsid w:val="00A827A3"/>
    <w:rsid w:val="00A8447C"/>
    <w:rsid w:val="00A84610"/>
    <w:rsid w:val="00A84F73"/>
    <w:rsid w:val="00A85093"/>
    <w:rsid w:val="00A85357"/>
    <w:rsid w:val="00A902DD"/>
    <w:rsid w:val="00A91617"/>
    <w:rsid w:val="00A91C3C"/>
    <w:rsid w:val="00A920F9"/>
    <w:rsid w:val="00A921EF"/>
    <w:rsid w:val="00A92631"/>
    <w:rsid w:val="00A92EED"/>
    <w:rsid w:val="00A93207"/>
    <w:rsid w:val="00A9328C"/>
    <w:rsid w:val="00A9432C"/>
    <w:rsid w:val="00A9482B"/>
    <w:rsid w:val="00A94C8F"/>
    <w:rsid w:val="00A95230"/>
    <w:rsid w:val="00A95A45"/>
    <w:rsid w:val="00A96278"/>
    <w:rsid w:val="00A96CD8"/>
    <w:rsid w:val="00A96FA8"/>
    <w:rsid w:val="00A976BB"/>
    <w:rsid w:val="00A9770A"/>
    <w:rsid w:val="00A97A85"/>
    <w:rsid w:val="00AA0072"/>
    <w:rsid w:val="00AA0DD3"/>
    <w:rsid w:val="00AA1980"/>
    <w:rsid w:val="00AA1C07"/>
    <w:rsid w:val="00AA2CED"/>
    <w:rsid w:val="00AA3688"/>
    <w:rsid w:val="00AA3EF8"/>
    <w:rsid w:val="00AA5887"/>
    <w:rsid w:val="00AA5AB5"/>
    <w:rsid w:val="00AA7213"/>
    <w:rsid w:val="00AA72CF"/>
    <w:rsid w:val="00AB06DB"/>
    <w:rsid w:val="00AB0E1A"/>
    <w:rsid w:val="00AB1480"/>
    <w:rsid w:val="00AB19F8"/>
    <w:rsid w:val="00AB2A61"/>
    <w:rsid w:val="00AB3A12"/>
    <w:rsid w:val="00AB4C95"/>
    <w:rsid w:val="00AB5A8D"/>
    <w:rsid w:val="00AB5C95"/>
    <w:rsid w:val="00AB5FA4"/>
    <w:rsid w:val="00AB6642"/>
    <w:rsid w:val="00AB7E6E"/>
    <w:rsid w:val="00AC1918"/>
    <w:rsid w:val="00AC2341"/>
    <w:rsid w:val="00AC2EFE"/>
    <w:rsid w:val="00AC3515"/>
    <w:rsid w:val="00AC3930"/>
    <w:rsid w:val="00AC3AB1"/>
    <w:rsid w:val="00AC41C8"/>
    <w:rsid w:val="00AC647A"/>
    <w:rsid w:val="00AC68C6"/>
    <w:rsid w:val="00AC72EC"/>
    <w:rsid w:val="00AC75AA"/>
    <w:rsid w:val="00AC79C1"/>
    <w:rsid w:val="00AC7CA4"/>
    <w:rsid w:val="00AD0630"/>
    <w:rsid w:val="00AD25EE"/>
    <w:rsid w:val="00AD3C85"/>
    <w:rsid w:val="00AD4A64"/>
    <w:rsid w:val="00AD4B1D"/>
    <w:rsid w:val="00AD51E9"/>
    <w:rsid w:val="00AD598F"/>
    <w:rsid w:val="00AD619B"/>
    <w:rsid w:val="00AD6D09"/>
    <w:rsid w:val="00AD72A5"/>
    <w:rsid w:val="00AD7B84"/>
    <w:rsid w:val="00AE098E"/>
    <w:rsid w:val="00AE0BBA"/>
    <w:rsid w:val="00AE2291"/>
    <w:rsid w:val="00AE25C8"/>
    <w:rsid w:val="00AE4113"/>
    <w:rsid w:val="00AE42BE"/>
    <w:rsid w:val="00AE4380"/>
    <w:rsid w:val="00AE47DE"/>
    <w:rsid w:val="00AE4DA5"/>
    <w:rsid w:val="00AE52C0"/>
    <w:rsid w:val="00AE5524"/>
    <w:rsid w:val="00AE5525"/>
    <w:rsid w:val="00AE6381"/>
    <w:rsid w:val="00AE656F"/>
    <w:rsid w:val="00AE6830"/>
    <w:rsid w:val="00AE6A28"/>
    <w:rsid w:val="00AE743A"/>
    <w:rsid w:val="00AE7543"/>
    <w:rsid w:val="00AE7D78"/>
    <w:rsid w:val="00AF0902"/>
    <w:rsid w:val="00AF0EEC"/>
    <w:rsid w:val="00AF1565"/>
    <w:rsid w:val="00AF411A"/>
    <w:rsid w:val="00AF438E"/>
    <w:rsid w:val="00AF45CA"/>
    <w:rsid w:val="00AF533A"/>
    <w:rsid w:val="00AF5CEE"/>
    <w:rsid w:val="00AF6099"/>
    <w:rsid w:val="00AF62C6"/>
    <w:rsid w:val="00AF719C"/>
    <w:rsid w:val="00AF7506"/>
    <w:rsid w:val="00B007DD"/>
    <w:rsid w:val="00B0098A"/>
    <w:rsid w:val="00B01016"/>
    <w:rsid w:val="00B0146E"/>
    <w:rsid w:val="00B0212C"/>
    <w:rsid w:val="00B027CB"/>
    <w:rsid w:val="00B0352B"/>
    <w:rsid w:val="00B03A26"/>
    <w:rsid w:val="00B03A73"/>
    <w:rsid w:val="00B0447F"/>
    <w:rsid w:val="00B06321"/>
    <w:rsid w:val="00B0636B"/>
    <w:rsid w:val="00B07223"/>
    <w:rsid w:val="00B074F8"/>
    <w:rsid w:val="00B11400"/>
    <w:rsid w:val="00B11E34"/>
    <w:rsid w:val="00B13247"/>
    <w:rsid w:val="00B145CD"/>
    <w:rsid w:val="00B17D86"/>
    <w:rsid w:val="00B17FAB"/>
    <w:rsid w:val="00B2014A"/>
    <w:rsid w:val="00B20514"/>
    <w:rsid w:val="00B2099F"/>
    <w:rsid w:val="00B229E5"/>
    <w:rsid w:val="00B22C5F"/>
    <w:rsid w:val="00B23687"/>
    <w:rsid w:val="00B24E06"/>
    <w:rsid w:val="00B25710"/>
    <w:rsid w:val="00B2724E"/>
    <w:rsid w:val="00B27B03"/>
    <w:rsid w:val="00B301B0"/>
    <w:rsid w:val="00B30DCD"/>
    <w:rsid w:val="00B311B8"/>
    <w:rsid w:val="00B31B62"/>
    <w:rsid w:val="00B33711"/>
    <w:rsid w:val="00B33DC3"/>
    <w:rsid w:val="00B3482A"/>
    <w:rsid w:val="00B34889"/>
    <w:rsid w:val="00B353AC"/>
    <w:rsid w:val="00B35D4C"/>
    <w:rsid w:val="00B3652E"/>
    <w:rsid w:val="00B37550"/>
    <w:rsid w:val="00B37785"/>
    <w:rsid w:val="00B402C6"/>
    <w:rsid w:val="00B4150A"/>
    <w:rsid w:val="00B41DC1"/>
    <w:rsid w:val="00B41DF9"/>
    <w:rsid w:val="00B43058"/>
    <w:rsid w:val="00B44155"/>
    <w:rsid w:val="00B46EC7"/>
    <w:rsid w:val="00B47D31"/>
    <w:rsid w:val="00B50A91"/>
    <w:rsid w:val="00B51929"/>
    <w:rsid w:val="00B51F32"/>
    <w:rsid w:val="00B52022"/>
    <w:rsid w:val="00B52187"/>
    <w:rsid w:val="00B5399B"/>
    <w:rsid w:val="00B53D3A"/>
    <w:rsid w:val="00B54691"/>
    <w:rsid w:val="00B553A6"/>
    <w:rsid w:val="00B5744E"/>
    <w:rsid w:val="00B57559"/>
    <w:rsid w:val="00B60CCD"/>
    <w:rsid w:val="00B60E6D"/>
    <w:rsid w:val="00B62852"/>
    <w:rsid w:val="00B62854"/>
    <w:rsid w:val="00B62EF1"/>
    <w:rsid w:val="00B640CC"/>
    <w:rsid w:val="00B645B6"/>
    <w:rsid w:val="00B64DAE"/>
    <w:rsid w:val="00B666C5"/>
    <w:rsid w:val="00B6671A"/>
    <w:rsid w:val="00B667BF"/>
    <w:rsid w:val="00B66AB2"/>
    <w:rsid w:val="00B6797D"/>
    <w:rsid w:val="00B67C09"/>
    <w:rsid w:val="00B67EF4"/>
    <w:rsid w:val="00B67FD4"/>
    <w:rsid w:val="00B70259"/>
    <w:rsid w:val="00B7050F"/>
    <w:rsid w:val="00B71DED"/>
    <w:rsid w:val="00B735B8"/>
    <w:rsid w:val="00B73B5A"/>
    <w:rsid w:val="00B74858"/>
    <w:rsid w:val="00B74C50"/>
    <w:rsid w:val="00B752EB"/>
    <w:rsid w:val="00B76A4E"/>
    <w:rsid w:val="00B7782D"/>
    <w:rsid w:val="00B77BE4"/>
    <w:rsid w:val="00B81236"/>
    <w:rsid w:val="00B812BE"/>
    <w:rsid w:val="00B8137B"/>
    <w:rsid w:val="00B816FE"/>
    <w:rsid w:val="00B81D87"/>
    <w:rsid w:val="00B8510B"/>
    <w:rsid w:val="00B86608"/>
    <w:rsid w:val="00B87847"/>
    <w:rsid w:val="00B87A43"/>
    <w:rsid w:val="00B90477"/>
    <w:rsid w:val="00B9053B"/>
    <w:rsid w:val="00B92AA5"/>
    <w:rsid w:val="00B957DB"/>
    <w:rsid w:val="00B96744"/>
    <w:rsid w:val="00BA0225"/>
    <w:rsid w:val="00BA036C"/>
    <w:rsid w:val="00BA1A52"/>
    <w:rsid w:val="00BA352D"/>
    <w:rsid w:val="00BA5448"/>
    <w:rsid w:val="00BA55ED"/>
    <w:rsid w:val="00BA6419"/>
    <w:rsid w:val="00BA6550"/>
    <w:rsid w:val="00BB0EDC"/>
    <w:rsid w:val="00BB205B"/>
    <w:rsid w:val="00BB2437"/>
    <w:rsid w:val="00BB2F21"/>
    <w:rsid w:val="00BB32A1"/>
    <w:rsid w:val="00BB3642"/>
    <w:rsid w:val="00BB3F17"/>
    <w:rsid w:val="00BB66AB"/>
    <w:rsid w:val="00BB68F6"/>
    <w:rsid w:val="00BC0AD6"/>
    <w:rsid w:val="00BC1500"/>
    <w:rsid w:val="00BC3584"/>
    <w:rsid w:val="00BC3FA2"/>
    <w:rsid w:val="00BC41B4"/>
    <w:rsid w:val="00BC4673"/>
    <w:rsid w:val="00BC7B13"/>
    <w:rsid w:val="00BD5B0B"/>
    <w:rsid w:val="00BD69BB"/>
    <w:rsid w:val="00BE0AA9"/>
    <w:rsid w:val="00BE1905"/>
    <w:rsid w:val="00BE1AE4"/>
    <w:rsid w:val="00BE1CB6"/>
    <w:rsid w:val="00BE2A1F"/>
    <w:rsid w:val="00BE42F4"/>
    <w:rsid w:val="00BE4ED6"/>
    <w:rsid w:val="00BE54F3"/>
    <w:rsid w:val="00BE5810"/>
    <w:rsid w:val="00BE5F67"/>
    <w:rsid w:val="00BE6067"/>
    <w:rsid w:val="00BE7920"/>
    <w:rsid w:val="00BE793B"/>
    <w:rsid w:val="00BE7B48"/>
    <w:rsid w:val="00BF2CD1"/>
    <w:rsid w:val="00BF2DC2"/>
    <w:rsid w:val="00BF3241"/>
    <w:rsid w:val="00BF3242"/>
    <w:rsid w:val="00BF4B6A"/>
    <w:rsid w:val="00BF5135"/>
    <w:rsid w:val="00BF5FA5"/>
    <w:rsid w:val="00C009F5"/>
    <w:rsid w:val="00C01129"/>
    <w:rsid w:val="00C01B51"/>
    <w:rsid w:val="00C02239"/>
    <w:rsid w:val="00C022E1"/>
    <w:rsid w:val="00C02819"/>
    <w:rsid w:val="00C0308C"/>
    <w:rsid w:val="00C0398D"/>
    <w:rsid w:val="00C0539F"/>
    <w:rsid w:val="00C06384"/>
    <w:rsid w:val="00C100FB"/>
    <w:rsid w:val="00C11E4C"/>
    <w:rsid w:val="00C1332A"/>
    <w:rsid w:val="00C14792"/>
    <w:rsid w:val="00C14954"/>
    <w:rsid w:val="00C15616"/>
    <w:rsid w:val="00C16BEB"/>
    <w:rsid w:val="00C16C77"/>
    <w:rsid w:val="00C1743B"/>
    <w:rsid w:val="00C17931"/>
    <w:rsid w:val="00C17A4E"/>
    <w:rsid w:val="00C17D23"/>
    <w:rsid w:val="00C20CA6"/>
    <w:rsid w:val="00C2176F"/>
    <w:rsid w:val="00C22953"/>
    <w:rsid w:val="00C229FC"/>
    <w:rsid w:val="00C23398"/>
    <w:rsid w:val="00C23484"/>
    <w:rsid w:val="00C23B23"/>
    <w:rsid w:val="00C24740"/>
    <w:rsid w:val="00C24A9A"/>
    <w:rsid w:val="00C26418"/>
    <w:rsid w:val="00C26C22"/>
    <w:rsid w:val="00C27B03"/>
    <w:rsid w:val="00C3059B"/>
    <w:rsid w:val="00C3089B"/>
    <w:rsid w:val="00C30F10"/>
    <w:rsid w:val="00C311FF"/>
    <w:rsid w:val="00C32973"/>
    <w:rsid w:val="00C34B40"/>
    <w:rsid w:val="00C35836"/>
    <w:rsid w:val="00C3745E"/>
    <w:rsid w:val="00C41CD3"/>
    <w:rsid w:val="00C41D29"/>
    <w:rsid w:val="00C43438"/>
    <w:rsid w:val="00C43DF2"/>
    <w:rsid w:val="00C43EB7"/>
    <w:rsid w:val="00C44264"/>
    <w:rsid w:val="00C46251"/>
    <w:rsid w:val="00C46485"/>
    <w:rsid w:val="00C4790F"/>
    <w:rsid w:val="00C47FC0"/>
    <w:rsid w:val="00C5072A"/>
    <w:rsid w:val="00C528CC"/>
    <w:rsid w:val="00C536CF"/>
    <w:rsid w:val="00C53ABD"/>
    <w:rsid w:val="00C53AD3"/>
    <w:rsid w:val="00C53C94"/>
    <w:rsid w:val="00C56E1B"/>
    <w:rsid w:val="00C57741"/>
    <w:rsid w:val="00C60B41"/>
    <w:rsid w:val="00C614DF"/>
    <w:rsid w:val="00C6210E"/>
    <w:rsid w:val="00C624D3"/>
    <w:rsid w:val="00C62568"/>
    <w:rsid w:val="00C628A2"/>
    <w:rsid w:val="00C639B0"/>
    <w:rsid w:val="00C64143"/>
    <w:rsid w:val="00C6434D"/>
    <w:rsid w:val="00C651B0"/>
    <w:rsid w:val="00C652E5"/>
    <w:rsid w:val="00C659F1"/>
    <w:rsid w:val="00C66261"/>
    <w:rsid w:val="00C67446"/>
    <w:rsid w:val="00C67FD4"/>
    <w:rsid w:val="00C70FA5"/>
    <w:rsid w:val="00C71763"/>
    <w:rsid w:val="00C7352F"/>
    <w:rsid w:val="00C7356B"/>
    <w:rsid w:val="00C766B8"/>
    <w:rsid w:val="00C7697F"/>
    <w:rsid w:val="00C81181"/>
    <w:rsid w:val="00C8136C"/>
    <w:rsid w:val="00C82FFA"/>
    <w:rsid w:val="00C85521"/>
    <w:rsid w:val="00C863EE"/>
    <w:rsid w:val="00C8738E"/>
    <w:rsid w:val="00C8782E"/>
    <w:rsid w:val="00C879CA"/>
    <w:rsid w:val="00C90AD8"/>
    <w:rsid w:val="00C92646"/>
    <w:rsid w:val="00C9316A"/>
    <w:rsid w:val="00C93708"/>
    <w:rsid w:val="00C9380B"/>
    <w:rsid w:val="00C93B5E"/>
    <w:rsid w:val="00C93EAE"/>
    <w:rsid w:val="00C93FF3"/>
    <w:rsid w:val="00C9524B"/>
    <w:rsid w:val="00C95D8D"/>
    <w:rsid w:val="00C97217"/>
    <w:rsid w:val="00C97896"/>
    <w:rsid w:val="00CA24F2"/>
    <w:rsid w:val="00CA2883"/>
    <w:rsid w:val="00CA2AEF"/>
    <w:rsid w:val="00CA37C9"/>
    <w:rsid w:val="00CA5AB2"/>
    <w:rsid w:val="00CA5BB5"/>
    <w:rsid w:val="00CA6136"/>
    <w:rsid w:val="00CA6BC5"/>
    <w:rsid w:val="00CA6BCC"/>
    <w:rsid w:val="00CA6C30"/>
    <w:rsid w:val="00CA71DA"/>
    <w:rsid w:val="00CB49F0"/>
    <w:rsid w:val="00CB5032"/>
    <w:rsid w:val="00CB52CD"/>
    <w:rsid w:val="00CB57CE"/>
    <w:rsid w:val="00CB5C65"/>
    <w:rsid w:val="00CB61C0"/>
    <w:rsid w:val="00CB62AC"/>
    <w:rsid w:val="00CB6C6A"/>
    <w:rsid w:val="00CB75A4"/>
    <w:rsid w:val="00CB77EA"/>
    <w:rsid w:val="00CB7DF6"/>
    <w:rsid w:val="00CC303F"/>
    <w:rsid w:val="00CC3C96"/>
    <w:rsid w:val="00CC5B0F"/>
    <w:rsid w:val="00CC5E7C"/>
    <w:rsid w:val="00CC6884"/>
    <w:rsid w:val="00CC6FEA"/>
    <w:rsid w:val="00CD077C"/>
    <w:rsid w:val="00CD1191"/>
    <w:rsid w:val="00CD1ACE"/>
    <w:rsid w:val="00CD342A"/>
    <w:rsid w:val="00CD3940"/>
    <w:rsid w:val="00CD3B1F"/>
    <w:rsid w:val="00CD4E32"/>
    <w:rsid w:val="00CD7E60"/>
    <w:rsid w:val="00CE0E81"/>
    <w:rsid w:val="00CE230A"/>
    <w:rsid w:val="00CE231F"/>
    <w:rsid w:val="00CE2882"/>
    <w:rsid w:val="00CE3AE5"/>
    <w:rsid w:val="00CE462A"/>
    <w:rsid w:val="00CE4ECD"/>
    <w:rsid w:val="00CE5429"/>
    <w:rsid w:val="00CE6690"/>
    <w:rsid w:val="00CE6A0B"/>
    <w:rsid w:val="00CF0950"/>
    <w:rsid w:val="00CF3B07"/>
    <w:rsid w:val="00CF4189"/>
    <w:rsid w:val="00CF4C13"/>
    <w:rsid w:val="00CF4DC9"/>
    <w:rsid w:val="00CF4F90"/>
    <w:rsid w:val="00CF5223"/>
    <w:rsid w:val="00CF5C15"/>
    <w:rsid w:val="00CF60E3"/>
    <w:rsid w:val="00CF625A"/>
    <w:rsid w:val="00CF6334"/>
    <w:rsid w:val="00CF6384"/>
    <w:rsid w:val="00CF6902"/>
    <w:rsid w:val="00CF7924"/>
    <w:rsid w:val="00D004BD"/>
    <w:rsid w:val="00D02347"/>
    <w:rsid w:val="00D061AA"/>
    <w:rsid w:val="00D06E88"/>
    <w:rsid w:val="00D0750E"/>
    <w:rsid w:val="00D07EF9"/>
    <w:rsid w:val="00D1050A"/>
    <w:rsid w:val="00D107FB"/>
    <w:rsid w:val="00D10E96"/>
    <w:rsid w:val="00D11F90"/>
    <w:rsid w:val="00D1321A"/>
    <w:rsid w:val="00D13527"/>
    <w:rsid w:val="00D159E0"/>
    <w:rsid w:val="00D15E4E"/>
    <w:rsid w:val="00D161AC"/>
    <w:rsid w:val="00D174E6"/>
    <w:rsid w:val="00D17601"/>
    <w:rsid w:val="00D20D6E"/>
    <w:rsid w:val="00D21300"/>
    <w:rsid w:val="00D22C6D"/>
    <w:rsid w:val="00D230DC"/>
    <w:rsid w:val="00D2313B"/>
    <w:rsid w:val="00D231B6"/>
    <w:rsid w:val="00D23BA6"/>
    <w:rsid w:val="00D27379"/>
    <w:rsid w:val="00D2783F"/>
    <w:rsid w:val="00D27D71"/>
    <w:rsid w:val="00D30325"/>
    <w:rsid w:val="00D303E8"/>
    <w:rsid w:val="00D31BA6"/>
    <w:rsid w:val="00D31EB9"/>
    <w:rsid w:val="00D32144"/>
    <w:rsid w:val="00D335E1"/>
    <w:rsid w:val="00D35FEA"/>
    <w:rsid w:val="00D366E4"/>
    <w:rsid w:val="00D416E5"/>
    <w:rsid w:val="00D423AC"/>
    <w:rsid w:val="00D44DC6"/>
    <w:rsid w:val="00D469BE"/>
    <w:rsid w:val="00D46D38"/>
    <w:rsid w:val="00D47467"/>
    <w:rsid w:val="00D503F9"/>
    <w:rsid w:val="00D5081A"/>
    <w:rsid w:val="00D5114D"/>
    <w:rsid w:val="00D514E5"/>
    <w:rsid w:val="00D539D5"/>
    <w:rsid w:val="00D544D5"/>
    <w:rsid w:val="00D5508E"/>
    <w:rsid w:val="00D602DE"/>
    <w:rsid w:val="00D6096A"/>
    <w:rsid w:val="00D60ABE"/>
    <w:rsid w:val="00D60CB8"/>
    <w:rsid w:val="00D60CE5"/>
    <w:rsid w:val="00D61811"/>
    <w:rsid w:val="00D61B70"/>
    <w:rsid w:val="00D62055"/>
    <w:rsid w:val="00D63F9F"/>
    <w:rsid w:val="00D646D3"/>
    <w:rsid w:val="00D66264"/>
    <w:rsid w:val="00D662F2"/>
    <w:rsid w:val="00D665F1"/>
    <w:rsid w:val="00D6711E"/>
    <w:rsid w:val="00D67EF6"/>
    <w:rsid w:val="00D73044"/>
    <w:rsid w:val="00D7329E"/>
    <w:rsid w:val="00D73B08"/>
    <w:rsid w:val="00D74BE7"/>
    <w:rsid w:val="00D74E9E"/>
    <w:rsid w:val="00D76ADD"/>
    <w:rsid w:val="00D772FA"/>
    <w:rsid w:val="00D80127"/>
    <w:rsid w:val="00D805D1"/>
    <w:rsid w:val="00D80E43"/>
    <w:rsid w:val="00D81C72"/>
    <w:rsid w:val="00D820D4"/>
    <w:rsid w:val="00D82FD7"/>
    <w:rsid w:val="00D83549"/>
    <w:rsid w:val="00D84FA6"/>
    <w:rsid w:val="00D85ECC"/>
    <w:rsid w:val="00D864C7"/>
    <w:rsid w:val="00D86552"/>
    <w:rsid w:val="00D86EB7"/>
    <w:rsid w:val="00D86F5A"/>
    <w:rsid w:val="00D90582"/>
    <w:rsid w:val="00D91449"/>
    <w:rsid w:val="00D92B5E"/>
    <w:rsid w:val="00D93365"/>
    <w:rsid w:val="00D93388"/>
    <w:rsid w:val="00D95457"/>
    <w:rsid w:val="00D965A5"/>
    <w:rsid w:val="00D97A7B"/>
    <w:rsid w:val="00DA0D4C"/>
    <w:rsid w:val="00DA1259"/>
    <w:rsid w:val="00DA141D"/>
    <w:rsid w:val="00DA1AAD"/>
    <w:rsid w:val="00DA1BE8"/>
    <w:rsid w:val="00DA1E08"/>
    <w:rsid w:val="00DA2862"/>
    <w:rsid w:val="00DA2B3D"/>
    <w:rsid w:val="00DA2C56"/>
    <w:rsid w:val="00DA34F1"/>
    <w:rsid w:val="00DA4A52"/>
    <w:rsid w:val="00DA4FBC"/>
    <w:rsid w:val="00DA7457"/>
    <w:rsid w:val="00DB055B"/>
    <w:rsid w:val="00DB0F17"/>
    <w:rsid w:val="00DB2995"/>
    <w:rsid w:val="00DB2ED0"/>
    <w:rsid w:val="00DB308C"/>
    <w:rsid w:val="00DB38F0"/>
    <w:rsid w:val="00DB3EE8"/>
    <w:rsid w:val="00DB42FE"/>
    <w:rsid w:val="00DB4701"/>
    <w:rsid w:val="00DB4BAA"/>
    <w:rsid w:val="00DB59C0"/>
    <w:rsid w:val="00DB742C"/>
    <w:rsid w:val="00DB77C7"/>
    <w:rsid w:val="00DB7AA0"/>
    <w:rsid w:val="00DB7E46"/>
    <w:rsid w:val="00DB7F22"/>
    <w:rsid w:val="00DB7FF3"/>
    <w:rsid w:val="00DC0146"/>
    <w:rsid w:val="00DC0349"/>
    <w:rsid w:val="00DC03EE"/>
    <w:rsid w:val="00DC1BA1"/>
    <w:rsid w:val="00DC36B8"/>
    <w:rsid w:val="00DC3B24"/>
    <w:rsid w:val="00DC4CAB"/>
    <w:rsid w:val="00DC53BB"/>
    <w:rsid w:val="00DC53E9"/>
    <w:rsid w:val="00DC53F2"/>
    <w:rsid w:val="00DC6B01"/>
    <w:rsid w:val="00DC7797"/>
    <w:rsid w:val="00DD078A"/>
    <w:rsid w:val="00DD1737"/>
    <w:rsid w:val="00DD2DF7"/>
    <w:rsid w:val="00DD34E1"/>
    <w:rsid w:val="00DD36CF"/>
    <w:rsid w:val="00DD3A35"/>
    <w:rsid w:val="00DD3CC9"/>
    <w:rsid w:val="00DD525A"/>
    <w:rsid w:val="00DD52DD"/>
    <w:rsid w:val="00DD6B32"/>
    <w:rsid w:val="00DD7032"/>
    <w:rsid w:val="00DD7667"/>
    <w:rsid w:val="00DD777C"/>
    <w:rsid w:val="00DD7AEF"/>
    <w:rsid w:val="00DE0299"/>
    <w:rsid w:val="00DE0D75"/>
    <w:rsid w:val="00DE1236"/>
    <w:rsid w:val="00DE19EB"/>
    <w:rsid w:val="00DE1A68"/>
    <w:rsid w:val="00DE25BA"/>
    <w:rsid w:val="00DE5B0F"/>
    <w:rsid w:val="00DE6001"/>
    <w:rsid w:val="00DE7B3F"/>
    <w:rsid w:val="00DF0308"/>
    <w:rsid w:val="00DF19EA"/>
    <w:rsid w:val="00DF1A7B"/>
    <w:rsid w:val="00DF2CB1"/>
    <w:rsid w:val="00DF33CF"/>
    <w:rsid w:val="00DF5139"/>
    <w:rsid w:val="00DF5E25"/>
    <w:rsid w:val="00DF67EF"/>
    <w:rsid w:val="00DF69F9"/>
    <w:rsid w:val="00DF7EDE"/>
    <w:rsid w:val="00E00330"/>
    <w:rsid w:val="00E02B50"/>
    <w:rsid w:val="00E02D81"/>
    <w:rsid w:val="00E03CC9"/>
    <w:rsid w:val="00E03D82"/>
    <w:rsid w:val="00E049DD"/>
    <w:rsid w:val="00E04B08"/>
    <w:rsid w:val="00E04B3F"/>
    <w:rsid w:val="00E060C1"/>
    <w:rsid w:val="00E06B1E"/>
    <w:rsid w:val="00E07787"/>
    <w:rsid w:val="00E07C2C"/>
    <w:rsid w:val="00E07FBC"/>
    <w:rsid w:val="00E10AAF"/>
    <w:rsid w:val="00E10CD0"/>
    <w:rsid w:val="00E115D0"/>
    <w:rsid w:val="00E1258C"/>
    <w:rsid w:val="00E147D5"/>
    <w:rsid w:val="00E14C0E"/>
    <w:rsid w:val="00E16642"/>
    <w:rsid w:val="00E1787C"/>
    <w:rsid w:val="00E2249E"/>
    <w:rsid w:val="00E22B76"/>
    <w:rsid w:val="00E234F1"/>
    <w:rsid w:val="00E24762"/>
    <w:rsid w:val="00E254E9"/>
    <w:rsid w:val="00E25AF8"/>
    <w:rsid w:val="00E26277"/>
    <w:rsid w:val="00E26C55"/>
    <w:rsid w:val="00E26F6C"/>
    <w:rsid w:val="00E27EC3"/>
    <w:rsid w:val="00E320A0"/>
    <w:rsid w:val="00E326EA"/>
    <w:rsid w:val="00E32E0B"/>
    <w:rsid w:val="00E336A9"/>
    <w:rsid w:val="00E34B1F"/>
    <w:rsid w:val="00E34CA3"/>
    <w:rsid w:val="00E35215"/>
    <w:rsid w:val="00E37DA6"/>
    <w:rsid w:val="00E37F69"/>
    <w:rsid w:val="00E37FE3"/>
    <w:rsid w:val="00E41087"/>
    <w:rsid w:val="00E415F2"/>
    <w:rsid w:val="00E428A6"/>
    <w:rsid w:val="00E4352D"/>
    <w:rsid w:val="00E43AAA"/>
    <w:rsid w:val="00E44C62"/>
    <w:rsid w:val="00E4602C"/>
    <w:rsid w:val="00E47CF4"/>
    <w:rsid w:val="00E5096C"/>
    <w:rsid w:val="00E543F2"/>
    <w:rsid w:val="00E54EF2"/>
    <w:rsid w:val="00E555E7"/>
    <w:rsid w:val="00E55FD9"/>
    <w:rsid w:val="00E56060"/>
    <w:rsid w:val="00E577F2"/>
    <w:rsid w:val="00E60DC5"/>
    <w:rsid w:val="00E6114C"/>
    <w:rsid w:val="00E6199B"/>
    <w:rsid w:val="00E61A93"/>
    <w:rsid w:val="00E61C18"/>
    <w:rsid w:val="00E6231F"/>
    <w:rsid w:val="00E63559"/>
    <w:rsid w:val="00E64F64"/>
    <w:rsid w:val="00E664B1"/>
    <w:rsid w:val="00E66A37"/>
    <w:rsid w:val="00E67180"/>
    <w:rsid w:val="00E6734A"/>
    <w:rsid w:val="00E676E2"/>
    <w:rsid w:val="00E67DAA"/>
    <w:rsid w:val="00E70497"/>
    <w:rsid w:val="00E709E5"/>
    <w:rsid w:val="00E70A9B"/>
    <w:rsid w:val="00E74FA5"/>
    <w:rsid w:val="00E756A8"/>
    <w:rsid w:val="00E758CF"/>
    <w:rsid w:val="00E76032"/>
    <w:rsid w:val="00E7628A"/>
    <w:rsid w:val="00E76840"/>
    <w:rsid w:val="00E768F2"/>
    <w:rsid w:val="00E77A2D"/>
    <w:rsid w:val="00E77E9E"/>
    <w:rsid w:val="00E812D1"/>
    <w:rsid w:val="00E81B3B"/>
    <w:rsid w:val="00E81DED"/>
    <w:rsid w:val="00E82316"/>
    <w:rsid w:val="00E825B3"/>
    <w:rsid w:val="00E8277D"/>
    <w:rsid w:val="00E84019"/>
    <w:rsid w:val="00E84152"/>
    <w:rsid w:val="00E84644"/>
    <w:rsid w:val="00E849DE"/>
    <w:rsid w:val="00E85948"/>
    <w:rsid w:val="00E86536"/>
    <w:rsid w:val="00E87EE7"/>
    <w:rsid w:val="00E9167E"/>
    <w:rsid w:val="00E922A4"/>
    <w:rsid w:val="00E93F3F"/>
    <w:rsid w:val="00E94543"/>
    <w:rsid w:val="00E9594F"/>
    <w:rsid w:val="00E95979"/>
    <w:rsid w:val="00E95BAF"/>
    <w:rsid w:val="00E96AF2"/>
    <w:rsid w:val="00E96CDE"/>
    <w:rsid w:val="00E97944"/>
    <w:rsid w:val="00EA05D9"/>
    <w:rsid w:val="00EA0C7F"/>
    <w:rsid w:val="00EA1104"/>
    <w:rsid w:val="00EA1846"/>
    <w:rsid w:val="00EA18E1"/>
    <w:rsid w:val="00EA3B8C"/>
    <w:rsid w:val="00EA3D48"/>
    <w:rsid w:val="00EA5257"/>
    <w:rsid w:val="00EA59B6"/>
    <w:rsid w:val="00EB0433"/>
    <w:rsid w:val="00EB07AA"/>
    <w:rsid w:val="00EB0BAB"/>
    <w:rsid w:val="00EB1B8B"/>
    <w:rsid w:val="00EB3C54"/>
    <w:rsid w:val="00EB4951"/>
    <w:rsid w:val="00EB686D"/>
    <w:rsid w:val="00EC0045"/>
    <w:rsid w:val="00EC098E"/>
    <w:rsid w:val="00EC0BCB"/>
    <w:rsid w:val="00EC0E71"/>
    <w:rsid w:val="00EC1EAB"/>
    <w:rsid w:val="00EC221F"/>
    <w:rsid w:val="00EC270D"/>
    <w:rsid w:val="00EC2F39"/>
    <w:rsid w:val="00EC3338"/>
    <w:rsid w:val="00EC39A0"/>
    <w:rsid w:val="00EC47EA"/>
    <w:rsid w:val="00EC4C49"/>
    <w:rsid w:val="00EC56B0"/>
    <w:rsid w:val="00EC5EFC"/>
    <w:rsid w:val="00EC60E9"/>
    <w:rsid w:val="00EC6376"/>
    <w:rsid w:val="00EC723A"/>
    <w:rsid w:val="00EC799E"/>
    <w:rsid w:val="00ED2584"/>
    <w:rsid w:val="00ED281F"/>
    <w:rsid w:val="00ED2B03"/>
    <w:rsid w:val="00ED49E3"/>
    <w:rsid w:val="00ED50F6"/>
    <w:rsid w:val="00ED5FF3"/>
    <w:rsid w:val="00ED613A"/>
    <w:rsid w:val="00ED6CFA"/>
    <w:rsid w:val="00ED6D53"/>
    <w:rsid w:val="00EE0F99"/>
    <w:rsid w:val="00EE1855"/>
    <w:rsid w:val="00EE1E68"/>
    <w:rsid w:val="00EE2B68"/>
    <w:rsid w:val="00EE6382"/>
    <w:rsid w:val="00EE6D70"/>
    <w:rsid w:val="00EF0141"/>
    <w:rsid w:val="00EF1297"/>
    <w:rsid w:val="00EF1386"/>
    <w:rsid w:val="00EF1B33"/>
    <w:rsid w:val="00EF2491"/>
    <w:rsid w:val="00EF256B"/>
    <w:rsid w:val="00EF2BFA"/>
    <w:rsid w:val="00EF4FAB"/>
    <w:rsid w:val="00EF5277"/>
    <w:rsid w:val="00EF52FB"/>
    <w:rsid w:val="00EF54CA"/>
    <w:rsid w:val="00EF5CAD"/>
    <w:rsid w:val="00EF611F"/>
    <w:rsid w:val="00EF6A7E"/>
    <w:rsid w:val="00EF71DF"/>
    <w:rsid w:val="00F02B68"/>
    <w:rsid w:val="00F03E38"/>
    <w:rsid w:val="00F04AD4"/>
    <w:rsid w:val="00F04F84"/>
    <w:rsid w:val="00F0755A"/>
    <w:rsid w:val="00F07A38"/>
    <w:rsid w:val="00F07E9D"/>
    <w:rsid w:val="00F1030E"/>
    <w:rsid w:val="00F10925"/>
    <w:rsid w:val="00F12490"/>
    <w:rsid w:val="00F12F6C"/>
    <w:rsid w:val="00F12F7D"/>
    <w:rsid w:val="00F13852"/>
    <w:rsid w:val="00F1396D"/>
    <w:rsid w:val="00F13DAE"/>
    <w:rsid w:val="00F14B71"/>
    <w:rsid w:val="00F153C4"/>
    <w:rsid w:val="00F155BC"/>
    <w:rsid w:val="00F157D8"/>
    <w:rsid w:val="00F172C9"/>
    <w:rsid w:val="00F201AD"/>
    <w:rsid w:val="00F21481"/>
    <w:rsid w:val="00F21972"/>
    <w:rsid w:val="00F222BB"/>
    <w:rsid w:val="00F23941"/>
    <w:rsid w:val="00F2491A"/>
    <w:rsid w:val="00F24C6C"/>
    <w:rsid w:val="00F24EF6"/>
    <w:rsid w:val="00F254E4"/>
    <w:rsid w:val="00F257A4"/>
    <w:rsid w:val="00F25F5E"/>
    <w:rsid w:val="00F26209"/>
    <w:rsid w:val="00F27AE8"/>
    <w:rsid w:val="00F319CA"/>
    <w:rsid w:val="00F33873"/>
    <w:rsid w:val="00F33AC1"/>
    <w:rsid w:val="00F340D0"/>
    <w:rsid w:val="00F35D19"/>
    <w:rsid w:val="00F37007"/>
    <w:rsid w:val="00F3760A"/>
    <w:rsid w:val="00F377FB"/>
    <w:rsid w:val="00F41269"/>
    <w:rsid w:val="00F41319"/>
    <w:rsid w:val="00F41905"/>
    <w:rsid w:val="00F41CC9"/>
    <w:rsid w:val="00F42326"/>
    <w:rsid w:val="00F43F0A"/>
    <w:rsid w:val="00F44B13"/>
    <w:rsid w:val="00F44FAB"/>
    <w:rsid w:val="00F45BE7"/>
    <w:rsid w:val="00F45C51"/>
    <w:rsid w:val="00F463D7"/>
    <w:rsid w:val="00F47F7E"/>
    <w:rsid w:val="00F50163"/>
    <w:rsid w:val="00F506DB"/>
    <w:rsid w:val="00F508B4"/>
    <w:rsid w:val="00F50EB8"/>
    <w:rsid w:val="00F510E2"/>
    <w:rsid w:val="00F515F1"/>
    <w:rsid w:val="00F51757"/>
    <w:rsid w:val="00F5194B"/>
    <w:rsid w:val="00F52269"/>
    <w:rsid w:val="00F5273A"/>
    <w:rsid w:val="00F52D6B"/>
    <w:rsid w:val="00F53DD5"/>
    <w:rsid w:val="00F546FB"/>
    <w:rsid w:val="00F54F7A"/>
    <w:rsid w:val="00F55335"/>
    <w:rsid w:val="00F56C6A"/>
    <w:rsid w:val="00F57D1C"/>
    <w:rsid w:val="00F6086A"/>
    <w:rsid w:val="00F60C7B"/>
    <w:rsid w:val="00F61E02"/>
    <w:rsid w:val="00F62824"/>
    <w:rsid w:val="00F62D7C"/>
    <w:rsid w:val="00F634C8"/>
    <w:rsid w:val="00F636AB"/>
    <w:rsid w:val="00F63822"/>
    <w:rsid w:val="00F63B90"/>
    <w:rsid w:val="00F6526C"/>
    <w:rsid w:val="00F67155"/>
    <w:rsid w:val="00F67DA7"/>
    <w:rsid w:val="00F700B1"/>
    <w:rsid w:val="00F7058F"/>
    <w:rsid w:val="00F70D21"/>
    <w:rsid w:val="00F70FEF"/>
    <w:rsid w:val="00F729E0"/>
    <w:rsid w:val="00F7365E"/>
    <w:rsid w:val="00F74483"/>
    <w:rsid w:val="00F74F3A"/>
    <w:rsid w:val="00F75C02"/>
    <w:rsid w:val="00F77ECB"/>
    <w:rsid w:val="00F81E47"/>
    <w:rsid w:val="00F824EF"/>
    <w:rsid w:val="00F82EE2"/>
    <w:rsid w:val="00F831FC"/>
    <w:rsid w:val="00F85FED"/>
    <w:rsid w:val="00F86474"/>
    <w:rsid w:val="00F868B4"/>
    <w:rsid w:val="00F8730A"/>
    <w:rsid w:val="00F87D77"/>
    <w:rsid w:val="00F904E6"/>
    <w:rsid w:val="00F90601"/>
    <w:rsid w:val="00F90DC3"/>
    <w:rsid w:val="00F917CD"/>
    <w:rsid w:val="00F91F66"/>
    <w:rsid w:val="00F92B3C"/>
    <w:rsid w:val="00F92FB0"/>
    <w:rsid w:val="00F95184"/>
    <w:rsid w:val="00F95340"/>
    <w:rsid w:val="00F961BB"/>
    <w:rsid w:val="00F9639B"/>
    <w:rsid w:val="00F970A6"/>
    <w:rsid w:val="00F970B6"/>
    <w:rsid w:val="00F97287"/>
    <w:rsid w:val="00F97406"/>
    <w:rsid w:val="00F97C58"/>
    <w:rsid w:val="00FA072C"/>
    <w:rsid w:val="00FA0FE1"/>
    <w:rsid w:val="00FA6D97"/>
    <w:rsid w:val="00FA6E03"/>
    <w:rsid w:val="00FB11BE"/>
    <w:rsid w:val="00FB1357"/>
    <w:rsid w:val="00FB13FA"/>
    <w:rsid w:val="00FB1B56"/>
    <w:rsid w:val="00FB29FC"/>
    <w:rsid w:val="00FB2C4A"/>
    <w:rsid w:val="00FB4C6F"/>
    <w:rsid w:val="00FB615F"/>
    <w:rsid w:val="00FB6181"/>
    <w:rsid w:val="00FC01D9"/>
    <w:rsid w:val="00FC04FC"/>
    <w:rsid w:val="00FC0857"/>
    <w:rsid w:val="00FC1FE4"/>
    <w:rsid w:val="00FC5E76"/>
    <w:rsid w:val="00FC69CF"/>
    <w:rsid w:val="00FC6B85"/>
    <w:rsid w:val="00FC7214"/>
    <w:rsid w:val="00FC76B8"/>
    <w:rsid w:val="00FD0B70"/>
    <w:rsid w:val="00FD11B8"/>
    <w:rsid w:val="00FD1440"/>
    <w:rsid w:val="00FD1489"/>
    <w:rsid w:val="00FD1782"/>
    <w:rsid w:val="00FD1941"/>
    <w:rsid w:val="00FD2DA9"/>
    <w:rsid w:val="00FD34F4"/>
    <w:rsid w:val="00FD3BE5"/>
    <w:rsid w:val="00FD3E97"/>
    <w:rsid w:val="00FD4542"/>
    <w:rsid w:val="00FD48D3"/>
    <w:rsid w:val="00FD59F1"/>
    <w:rsid w:val="00FD6FE2"/>
    <w:rsid w:val="00FD7383"/>
    <w:rsid w:val="00FD74CB"/>
    <w:rsid w:val="00FD7543"/>
    <w:rsid w:val="00FD7BF5"/>
    <w:rsid w:val="00FE0472"/>
    <w:rsid w:val="00FE08F8"/>
    <w:rsid w:val="00FE0DC0"/>
    <w:rsid w:val="00FE185C"/>
    <w:rsid w:val="00FE1B9F"/>
    <w:rsid w:val="00FE1BC1"/>
    <w:rsid w:val="00FE3734"/>
    <w:rsid w:val="00FE3C5F"/>
    <w:rsid w:val="00FE3FC0"/>
    <w:rsid w:val="00FE4705"/>
    <w:rsid w:val="00FE557C"/>
    <w:rsid w:val="00FE5ABF"/>
    <w:rsid w:val="00FE6D45"/>
    <w:rsid w:val="00FE7801"/>
    <w:rsid w:val="00FF0AEC"/>
    <w:rsid w:val="00FF3042"/>
    <w:rsid w:val="00FF47A7"/>
    <w:rsid w:val="00FF4C3A"/>
    <w:rsid w:val="00FF518D"/>
    <w:rsid w:val="00FF521E"/>
    <w:rsid w:val="00FF624B"/>
    <w:rsid w:val="00FF62F4"/>
    <w:rsid w:val="00FF6519"/>
    <w:rsid w:val="00FF741E"/>
  </w:rsids>
  <m:mathPr>
    <m:mathFont m:val="Cambria Math"/>
    <m:brkBin m:val="before"/>
    <m:brkBinSub m:val="--"/>
    <m:smallFrac m:val="0"/>
    <m:dispDef/>
    <m:lMargin m:val="0"/>
    <m:rMargin m:val="0"/>
    <m:defJc m:val="centerGroup"/>
    <m:wrapRight/>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47CC63"/>
  <w15:docId w15:val="{719E4BC3-F41D-4E6E-8656-910DEC7D5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0E2EEA"/>
    <w:pPr>
      <w:tabs>
        <w:tab w:val="left" w:pos="567"/>
      </w:tabs>
      <w:spacing w:line="260" w:lineRule="exact"/>
    </w:pPr>
    <w:rPr>
      <w:snapToGrid w:val="0"/>
      <w:sz w:val="22"/>
      <w:lang w:eastAsia="zh-CN"/>
    </w:rPr>
  </w:style>
  <w:style w:type="paragraph" w:styleId="Cmsor1">
    <w:name w:val="heading 1"/>
    <w:basedOn w:val="Norml"/>
    <w:next w:val="Norml"/>
    <w:link w:val="Cmsor1Char"/>
    <w:qFormat/>
    <w:rsid w:val="00A21BD8"/>
    <w:pPr>
      <w:numPr>
        <w:numId w:val="3"/>
      </w:numPr>
      <w:tabs>
        <w:tab w:val="clear" w:pos="567"/>
      </w:tabs>
      <w:suppressAutoHyphens/>
      <w:spacing w:before="240" w:after="120"/>
      <w:outlineLvl w:val="0"/>
    </w:pPr>
    <w:rPr>
      <w:rFonts w:eastAsia="Times New Roman"/>
      <w:b/>
      <w:caps/>
      <w:snapToGrid/>
      <w:sz w:val="26"/>
      <w:lang w:val="en-US"/>
    </w:rPr>
  </w:style>
  <w:style w:type="paragraph" w:styleId="Cmsor2">
    <w:name w:val="heading 2"/>
    <w:basedOn w:val="Norml"/>
    <w:next w:val="Norml"/>
    <w:link w:val="Cmsor2Char"/>
    <w:qFormat/>
    <w:rsid w:val="00A21BD8"/>
    <w:pPr>
      <w:keepNext/>
      <w:numPr>
        <w:ilvl w:val="1"/>
        <w:numId w:val="3"/>
      </w:numPr>
      <w:tabs>
        <w:tab w:val="clear" w:pos="567"/>
      </w:tabs>
      <w:suppressAutoHyphens/>
      <w:spacing w:before="240" w:after="60"/>
      <w:outlineLvl w:val="1"/>
    </w:pPr>
    <w:rPr>
      <w:rFonts w:ascii="Helvetica" w:eastAsia="Times New Roman" w:hAnsi="Helvetica"/>
      <w:b/>
      <w:i/>
      <w:snapToGrid/>
      <w:sz w:val="24"/>
      <w:lang w:val="hu-HU"/>
    </w:rPr>
  </w:style>
  <w:style w:type="paragraph" w:styleId="Cmsor3">
    <w:name w:val="heading 3"/>
    <w:basedOn w:val="Norml"/>
    <w:next w:val="Norml"/>
    <w:link w:val="Cmsor3Char"/>
    <w:qFormat/>
    <w:rsid w:val="00A21BD8"/>
    <w:pPr>
      <w:keepNext/>
      <w:keepLines/>
      <w:numPr>
        <w:ilvl w:val="2"/>
        <w:numId w:val="3"/>
      </w:numPr>
      <w:tabs>
        <w:tab w:val="clear" w:pos="567"/>
      </w:tabs>
      <w:suppressAutoHyphens/>
      <w:spacing w:before="120" w:after="80"/>
      <w:outlineLvl w:val="2"/>
    </w:pPr>
    <w:rPr>
      <w:rFonts w:eastAsia="Times New Roman"/>
      <w:b/>
      <w:snapToGrid/>
      <w:kern w:val="1"/>
      <w:sz w:val="24"/>
      <w:lang w:val="en-US"/>
    </w:rPr>
  </w:style>
  <w:style w:type="paragraph" w:styleId="Cmsor4">
    <w:name w:val="heading 4"/>
    <w:basedOn w:val="Norml"/>
    <w:next w:val="Norml"/>
    <w:link w:val="Cmsor4Char"/>
    <w:qFormat/>
    <w:rsid w:val="00A21BD8"/>
    <w:pPr>
      <w:keepNext/>
      <w:numPr>
        <w:ilvl w:val="3"/>
        <w:numId w:val="3"/>
      </w:numPr>
      <w:tabs>
        <w:tab w:val="clear" w:pos="567"/>
      </w:tabs>
      <w:suppressAutoHyphens/>
      <w:jc w:val="both"/>
      <w:outlineLvl w:val="3"/>
    </w:pPr>
    <w:rPr>
      <w:rFonts w:eastAsia="Times New Roman"/>
      <w:b/>
      <w:snapToGrid/>
    </w:rPr>
  </w:style>
  <w:style w:type="paragraph" w:styleId="Cmsor5">
    <w:name w:val="heading 5"/>
    <w:basedOn w:val="Norml"/>
    <w:next w:val="Norml"/>
    <w:link w:val="Cmsor5Char"/>
    <w:qFormat/>
    <w:rsid w:val="00A21BD8"/>
    <w:pPr>
      <w:keepNext/>
      <w:numPr>
        <w:ilvl w:val="4"/>
        <w:numId w:val="3"/>
      </w:numPr>
      <w:tabs>
        <w:tab w:val="clear" w:pos="567"/>
      </w:tabs>
      <w:suppressAutoHyphens/>
      <w:jc w:val="both"/>
      <w:outlineLvl w:val="4"/>
    </w:pPr>
    <w:rPr>
      <w:rFonts w:eastAsia="Times New Roman"/>
      <w:snapToGrid/>
    </w:rPr>
  </w:style>
  <w:style w:type="paragraph" w:styleId="Cmsor6">
    <w:name w:val="heading 6"/>
    <w:basedOn w:val="Norml"/>
    <w:next w:val="Norml"/>
    <w:link w:val="Cmsor6Char"/>
    <w:qFormat/>
    <w:rsid w:val="00A21BD8"/>
    <w:pPr>
      <w:keepNext/>
      <w:numPr>
        <w:ilvl w:val="5"/>
        <w:numId w:val="3"/>
      </w:numPr>
      <w:tabs>
        <w:tab w:val="left" w:pos="4536"/>
      </w:tabs>
      <w:suppressAutoHyphens/>
      <w:outlineLvl w:val="5"/>
    </w:pPr>
    <w:rPr>
      <w:rFonts w:eastAsia="Times New Roman"/>
      <w:i/>
      <w:snapToGrid/>
      <w:lang w:val="hu-HU"/>
    </w:rPr>
  </w:style>
  <w:style w:type="paragraph" w:styleId="Cmsor7">
    <w:name w:val="heading 7"/>
    <w:basedOn w:val="Norml"/>
    <w:next w:val="Norml"/>
    <w:link w:val="Cmsor7Char"/>
    <w:qFormat/>
    <w:rsid w:val="00A21BD8"/>
    <w:pPr>
      <w:keepNext/>
      <w:numPr>
        <w:ilvl w:val="6"/>
        <w:numId w:val="3"/>
      </w:numPr>
      <w:tabs>
        <w:tab w:val="left" w:pos="4536"/>
      </w:tabs>
      <w:suppressAutoHyphens/>
      <w:jc w:val="both"/>
      <w:outlineLvl w:val="6"/>
    </w:pPr>
    <w:rPr>
      <w:rFonts w:eastAsia="Times New Roman"/>
      <w:i/>
      <w:snapToGrid/>
      <w:lang w:val="hu-HU"/>
    </w:rPr>
  </w:style>
  <w:style w:type="paragraph" w:styleId="Cmsor8">
    <w:name w:val="heading 8"/>
    <w:basedOn w:val="Norml"/>
    <w:next w:val="Norml"/>
    <w:link w:val="Cmsor8Char"/>
    <w:qFormat/>
    <w:rsid w:val="00A21BD8"/>
    <w:pPr>
      <w:keepNext/>
      <w:numPr>
        <w:ilvl w:val="7"/>
        <w:numId w:val="3"/>
      </w:numPr>
      <w:tabs>
        <w:tab w:val="clear" w:pos="567"/>
      </w:tabs>
      <w:suppressAutoHyphens/>
      <w:jc w:val="both"/>
      <w:outlineLvl w:val="7"/>
    </w:pPr>
    <w:rPr>
      <w:rFonts w:eastAsia="Times New Roman"/>
      <w:b/>
      <w:i/>
      <w:snapToGrid/>
      <w:lang w:val="hu-HU"/>
    </w:rPr>
  </w:style>
  <w:style w:type="paragraph" w:styleId="Cmsor9">
    <w:name w:val="heading 9"/>
    <w:basedOn w:val="Norml"/>
    <w:next w:val="Norml"/>
    <w:link w:val="Cmsor9Char"/>
    <w:qFormat/>
    <w:rsid w:val="00A21BD8"/>
    <w:pPr>
      <w:keepNext/>
      <w:numPr>
        <w:ilvl w:val="8"/>
        <w:numId w:val="3"/>
      </w:numPr>
      <w:tabs>
        <w:tab w:val="clear" w:pos="567"/>
      </w:tabs>
      <w:suppressAutoHyphens/>
      <w:jc w:val="both"/>
      <w:outlineLvl w:val="8"/>
    </w:pPr>
    <w:rPr>
      <w:rFonts w:eastAsia="Times New Roman"/>
      <w:b/>
      <w:i/>
      <w:snapToGrid/>
      <w:lang w:val="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lb">
    <w:name w:val="footer"/>
    <w:basedOn w:val="Norml"/>
    <w:link w:val="llbChar"/>
    <w:rsid w:val="00A21BD8"/>
    <w:pPr>
      <w:tabs>
        <w:tab w:val="center" w:pos="4536"/>
        <w:tab w:val="right" w:pos="8306"/>
      </w:tabs>
    </w:pPr>
    <w:rPr>
      <w:rFonts w:ascii="Arial" w:hAnsi="Arial"/>
      <w:noProof/>
      <w:sz w:val="16"/>
      <w:lang w:val="en-US"/>
    </w:rPr>
  </w:style>
  <w:style w:type="character" w:customStyle="1" w:styleId="llbChar">
    <w:name w:val="Élőláb Char"/>
    <w:link w:val="llb"/>
    <w:rPr>
      <w:rFonts w:ascii="Arial" w:hAnsi="Arial"/>
      <w:noProof/>
      <w:snapToGrid w:val="0"/>
      <w:sz w:val="16"/>
    </w:rPr>
  </w:style>
  <w:style w:type="character" w:styleId="Oldalszm">
    <w:name w:val="page number"/>
    <w:rPr>
      <w:rFonts w:cs="Times New Roman"/>
    </w:rPr>
  </w:style>
  <w:style w:type="character" w:styleId="Hiperhivatkozs">
    <w:name w:val="Hyperlink"/>
    <w:rPr>
      <w:rFonts w:cs="Times New Roman"/>
      <w:color w:val="0000FF"/>
      <w:u w:val="single"/>
    </w:rPr>
  </w:style>
  <w:style w:type="character" w:customStyle="1" w:styleId="tw4winMark">
    <w:name w:val="tw4winMark"/>
    <w:uiPriority w:val="99"/>
    <w:rPr>
      <w:rFonts w:ascii="Courier New" w:hAnsi="Courier New"/>
      <w:vanish/>
      <w:color w:val="800080"/>
      <w:vertAlign w:val="subscript"/>
    </w:rPr>
  </w:style>
  <w:style w:type="character" w:customStyle="1" w:styleId="tw4winError">
    <w:name w:val="tw4winError"/>
    <w:uiPriority w:val="99"/>
    <w:rPr>
      <w:rFonts w:ascii="Courier New" w:hAnsi="Courier New"/>
      <w:color w:val="00FF00"/>
      <w:sz w:val="40"/>
    </w:rPr>
  </w:style>
  <w:style w:type="character" w:customStyle="1" w:styleId="tw4winTerm">
    <w:name w:val="tw4winTerm"/>
    <w:uiPriority w:val="99"/>
    <w:rPr>
      <w:color w:val="0000FF"/>
    </w:rPr>
  </w:style>
  <w:style w:type="character" w:customStyle="1" w:styleId="tw4winPopup">
    <w:name w:val="tw4winPopup"/>
    <w:uiPriority w:val="99"/>
    <w:rPr>
      <w:rFonts w:ascii="Courier New" w:hAnsi="Courier New"/>
      <w:noProof/>
      <w:color w:val="008000"/>
    </w:rPr>
  </w:style>
  <w:style w:type="character" w:customStyle="1" w:styleId="tw4winJump">
    <w:name w:val="tw4winJump"/>
    <w:uiPriority w:val="99"/>
    <w:rPr>
      <w:rFonts w:ascii="Courier New" w:hAnsi="Courier New"/>
      <w:noProof/>
      <w:color w:val="008080"/>
    </w:rPr>
  </w:style>
  <w:style w:type="character" w:customStyle="1" w:styleId="tw4winExternal">
    <w:name w:val="tw4winExternal"/>
    <w:uiPriority w:val="99"/>
    <w:rPr>
      <w:rFonts w:ascii="Courier New" w:hAnsi="Courier New"/>
      <w:noProof/>
      <w:color w:val="808080"/>
    </w:rPr>
  </w:style>
  <w:style w:type="character" w:customStyle="1" w:styleId="tw4winInternal">
    <w:name w:val="tw4winInternal"/>
    <w:uiPriority w:val="99"/>
    <w:rPr>
      <w:rFonts w:ascii="Courier New" w:hAnsi="Courier New"/>
      <w:noProof/>
      <w:color w:val="FF0000"/>
    </w:rPr>
  </w:style>
  <w:style w:type="character" w:customStyle="1" w:styleId="DONOTTRANSLATE">
    <w:name w:val="DO_NOT_TRANSLATE"/>
    <w:uiPriority w:val="99"/>
    <w:rPr>
      <w:rFonts w:ascii="Courier New" w:hAnsi="Courier New"/>
      <w:noProof/>
      <w:color w:val="800000"/>
    </w:rPr>
  </w:style>
  <w:style w:type="paragraph" w:styleId="Buborkszveg">
    <w:name w:val="Balloon Text"/>
    <w:basedOn w:val="Norml"/>
    <w:link w:val="BuborkszvegChar"/>
    <w:rsid w:val="00A21BD8"/>
    <w:pPr>
      <w:spacing w:line="240" w:lineRule="auto"/>
    </w:pPr>
    <w:rPr>
      <w:rFonts w:ascii="Tahoma" w:hAnsi="Tahoma" w:cs="Tahoma"/>
      <w:sz w:val="16"/>
      <w:szCs w:val="16"/>
    </w:rPr>
  </w:style>
  <w:style w:type="character" w:customStyle="1" w:styleId="BuborkszvegChar">
    <w:name w:val="Buborékszöveg Char"/>
    <w:link w:val="Buborkszveg"/>
    <w:rsid w:val="00B145CD"/>
    <w:rPr>
      <w:rFonts w:ascii="Tahoma" w:hAnsi="Tahoma" w:cs="Tahoma"/>
      <w:snapToGrid w:val="0"/>
      <w:sz w:val="16"/>
      <w:szCs w:val="16"/>
      <w:lang w:val="en-GB"/>
    </w:rPr>
  </w:style>
  <w:style w:type="paragraph" w:styleId="lfej">
    <w:name w:val="header"/>
    <w:basedOn w:val="Norml"/>
    <w:link w:val="lfejChar"/>
    <w:uiPriority w:val="99"/>
    <w:rsid w:val="00A21BD8"/>
    <w:pPr>
      <w:tabs>
        <w:tab w:val="clear" w:pos="567"/>
        <w:tab w:val="center" w:pos="4320"/>
        <w:tab w:val="right" w:pos="8640"/>
      </w:tabs>
    </w:pPr>
  </w:style>
  <w:style w:type="character" w:styleId="Jegyzethivatkozs">
    <w:name w:val="annotation reference"/>
    <w:semiHidden/>
    <w:rsid w:val="0029347B"/>
    <w:rPr>
      <w:sz w:val="16"/>
      <w:szCs w:val="16"/>
    </w:rPr>
  </w:style>
  <w:style w:type="paragraph" w:styleId="Jegyzetszveg">
    <w:name w:val="annotation text"/>
    <w:basedOn w:val="Norml"/>
    <w:semiHidden/>
    <w:rsid w:val="00A21BD8"/>
    <w:rPr>
      <w:sz w:val="20"/>
    </w:rPr>
  </w:style>
  <w:style w:type="paragraph" w:styleId="Megjegyzstrgya">
    <w:name w:val="annotation subject"/>
    <w:basedOn w:val="Jegyzetszveg"/>
    <w:next w:val="Jegyzetszveg"/>
    <w:semiHidden/>
    <w:rsid w:val="0029347B"/>
    <w:rPr>
      <w:b/>
      <w:bCs/>
    </w:rPr>
  </w:style>
  <w:style w:type="paragraph" w:customStyle="1" w:styleId="EMEAEnBodyText">
    <w:name w:val="EMEA En Body Text"/>
    <w:basedOn w:val="Norml"/>
    <w:rsid w:val="00704070"/>
    <w:pPr>
      <w:tabs>
        <w:tab w:val="clear" w:pos="567"/>
      </w:tabs>
      <w:spacing w:before="120" w:after="120" w:line="240" w:lineRule="auto"/>
      <w:jc w:val="both"/>
    </w:pPr>
    <w:rPr>
      <w:rFonts w:eastAsia="Times New Roman"/>
      <w:snapToGrid/>
      <w:lang w:val="en-US" w:eastAsia="en-US"/>
    </w:rPr>
  </w:style>
  <w:style w:type="character" w:customStyle="1" w:styleId="Cmsor1Char">
    <w:name w:val="Címsor 1 Char"/>
    <w:link w:val="Cmsor1"/>
    <w:rsid w:val="00A21BD8"/>
    <w:rPr>
      <w:rFonts w:eastAsia="Times New Roman"/>
      <w:b/>
      <w:caps/>
      <w:sz w:val="26"/>
      <w:lang w:val="en-US" w:eastAsia="zh-CN"/>
    </w:rPr>
  </w:style>
  <w:style w:type="character" w:customStyle="1" w:styleId="Cmsor2Char">
    <w:name w:val="Címsor 2 Char"/>
    <w:link w:val="Cmsor2"/>
    <w:rsid w:val="00A21BD8"/>
    <w:rPr>
      <w:rFonts w:ascii="Helvetica" w:eastAsia="Times New Roman" w:hAnsi="Helvetica"/>
      <w:b/>
      <w:i/>
      <w:sz w:val="24"/>
      <w:lang w:val="hu-HU" w:eastAsia="zh-CN"/>
    </w:rPr>
  </w:style>
  <w:style w:type="character" w:customStyle="1" w:styleId="Cmsor3Char">
    <w:name w:val="Címsor 3 Char"/>
    <w:link w:val="Cmsor3"/>
    <w:rsid w:val="00A21BD8"/>
    <w:rPr>
      <w:rFonts w:eastAsia="Times New Roman"/>
      <w:b/>
      <w:kern w:val="1"/>
      <w:sz w:val="24"/>
      <w:lang w:val="en-US" w:eastAsia="zh-CN"/>
    </w:rPr>
  </w:style>
  <w:style w:type="character" w:customStyle="1" w:styleId="Cmsor4Char">
    <w:name w:val="Címsor 4 Char"/>
    <w:link w:val="Cmsor4"/>
    <w:rsid w:val="00A21BD8"/>
    <w:rPr>
      <w:rFonts w:eastAsia="Times New Roman"/>
      <w:b/>
      <w:sz w:val="22"/>
      <w:lang w:eastAsia="zh-CN"/>
    </w:rPr>
  </w:style>
  <w:style w:type="character" w:customStyle="1" w:styleId="Cmsor5Char">
    <w:name w:val="Címsor 5 Char"/>
    <w:link w:val="Cmsor5"/>
    <w:rsid w:val="00A21BD8"/>
    <w:rPr>
      <w:rFonts w:eastAsia="Times New Roman"/>
      <w:sz w:val="22"/>
      <w:lang w:eastAsia="zh-CN"/>
    </w:rPr>
  </w:style>
  <w:style w:type="character" w:customStyle="1" w:styleId="Cmsor6Char">
    <w:name w:val="Címsor 6 Char"/>
    <w:link w:val="Cmsor6"/>
    <w:rsid w:val="00A21BD8"/>
    <w:rPr>
      <w:rFonts w:eastAsia="Times New Roman"/>
      <w:i/>
      <w:sz w:val="22"/>
      <w:lang w:val="hu-HU" w:eastAsia="zh-CN"/>
    </w:rPr>
  </w:style>
  <w:style w:type="character" w:customStyle="1" w:styleId="Cmsor7Char">
    <w:name w:val="Címsor 7 Char"/>
    <w:link w:val="Cmsor7"/>
    <w:rsid w:val="00A21BD8"/>
    <w:rPr>
      <w:rFonts w:eastAsia="Times New Roman"/>
      <w:i/>
      <w:sz w:val="22"/>
      <w:lang w:val="hu-HU" w:eastAsia="zh-CN"/>
    </w:rPr>
  </w:style>
  <w:style w:type="character" w:customStyle="1" w:styleId="Cmsor8Char">
    <w:name w:val="Címsor 8 Char"/>
    <w:link w:val="Cmsor8"/>
    <w:rsid w:val="00A21BD8"/>
    <w:rPr>
      <w:rFonts w:eastAsia="Times New Roman"/>
      <w:b/>
      <w:i/>
      <w:sz w:val="22"/>
      <w:lang w:val="hu-HU" w:eastAsia="zh-CN"/>
    </w:rPr>
  </w:style>
  <w:style w:type="character" w:customStyle="1" w:styleId="Cmsor9Char">
    <w:name w:val="Címsor 9 Char"/>
    <w:link w:val="Cmsor9"/>
    <w:rsid w:val="00A21BD8"/>
    <w:rPr>
      <w:rFonts w:eastAsia="Times New Roman"/>
      <w:b/>
      <w:i/>
      <w:sz w:val="22"/>
      <w:lang w:val="hu-HU" w:eastAsia="zh-CN"/>
    </w:rPr>
  </w:style>
  <w:style w:type="character" w:styleId="Mrltotthiperhivatkozs">
    <w:name w:val="FollowedHyperlink"/>
    <w:rsid w:val="00A21BD8"/>
    <w:rPr>
      <w:color w:val="800080"/>
      <w:u w:val="single"/>
    </w:rPr>
  </w:style>
  <w:style w:type="paragraph" w:styleId="Szvegtrzs">
    <w:name w:val="Body Text"/>
    <w:basedOn w:val="Norml"/>
    <w:link w:val="SzvegtrzsChar"/>
    <w:rsid w:val="00A21BD8"/>
    <w:pPr>
      <w:tabs>
        <w:tab w:val="clear" w:pos="567"/>
      </w:tabs>
      <w:suppressAutoHyphens/>
    </w:pPr>
    <w:rPr>
      <w:rFonts w:eastAsia="Times New Roman"/>
      <w:b/>
      <w:i/>
      <w:snapToGrid/>
      <w:lang w:val="hu-HU"/>
    </w:rPr>
  </w:style>
  <w:style w:type="character" w:customStyle="1" w:styleId="SzvegtrzsChar">
    <w:name w:val="Szövegtörzs Char"/>
    <w:link w:val="Szvegtrzs"/>
    <w:rsid w:val="00A21BD8"/>
    <w:rPr>
      <w:rFonts w:eastAsia="Times New Roman"/>
      <w:b/>
      <w:i/>
      <w:sz w:val="22"/>
      <w:lang w:val="hu-HU"/>
    </w:rPr>
  </w:style>
  <w:style w:type="paragraph" w:styleId="Lista">
    <w:name w:val="List"/>
    <w:basedOn w:val="Szvegtrzs"/>
    <w:rsid w:val="00A21BD8"/>
    <w:rPr>
      <w:rFonts w:cs="Tahoma"/>
    </w:rPr>
  </w:style>
  <w:style w:type="paragraph" w:styleId="Szvegtrzsbehzssal">
    <w:name w:val="Body Text Indent"/>
    <w:basedOn w:val="Norml"/>
    <w:link w:val="SzvegtrzsbehzssalChar"/>
    <w:rsid w:val="00A21BD8"/>
    <w:pPr>
      <w:tabs>
        <w:tab w:val="clear" w:pos="567"/>
      </w:tabs>
      <w:suppressAutoHyphens/>
      <w:spacing w:line="260" w:lineRule="atLeast"/>
      <w:ind w:left="567" w:hanging="567"/>
    </w:pPr>
    <w:rPr>
      <w:rFonts w:eastAsia="Times New Roman"/>
      <w:b/>
      <w:snapToGrid/>
      <w:color w:val="808080"/>
      <w:lang w:val="hu-HU"/>
    </w:rPr>
  </w:style>
  <w:style w:type="character" w:customStyle="1" w:styleId="SzvegtrzsbehzssalChar">
    <w:name w:val="Szövegtörzs behúzással Char"/>
    <w:link w:val="Szvegtrzsbehzssal"/>
    <w:rsid w:val="00A21BD8"/>
    <w:rPr>
      <w:rFonts w:eastAsia="Times New Roman"/>
      <w:b/>
      <w:color w:val="808080"/>
      <w:sz w:val="22"/>
      <w:lang w:val="hu-HU"/>
    </w:rPr>
  </w:style>
  <w:style w:type="paragraph" w:styleId="Bortkcm">
    <w:name w:val="envelope address"/>
    <w:basedOn w:val="Norml"/>
    <w:next w:val="Szvegtrzs"/>
    <w:rsid w:val="00A21BD8"/>
    <w:pPr>
      <w:keepNext/>
      <w:tabs>
        <w:tab w:val="clear" w:pos="567"/>
      </w:tabs>
      <w:suppressAutoHyphens/>
      <w:spacing w:before="240" w:after="120"/>
    </w:pPr>
    <w:rPr>
      <w:rFonts w:ascii="Albany" w:eastAsia="HG Mincho Light J" w:hAnsi="Albany"/>
      <w:snapToGrid/>
      <w:sz w:val="28"/>
      <w:lang w:val="hu-HU"/>
    </w:rPr>
  </w:style>
  <w:style w:type="paragraph" w:styleId="Lbjegyzetszveg">
    <w:name w:val="footnote text"/>
    <w:basedOn w:val="Norml"/>
    <w:link w:val="LbjegyzetszvegChar"/>
    <w:rsid w:val="00A21BD8"/>
    <w:pPr>
      <w:tabs>
        <w:tab w:val="clear" w:pos="567"/>
      </w:tabs>
      <w:suppressAutoHyphens/>
    </w:pPr>
    <w:rPr>
      <w:rFonts w:eastAsia="Times New Roman"/>
      <w:snapToGrid/>
      <w:sz w:val="20"/>
      <w:lang w:val="hu-HU"/>
    </w:rPr>
  </w:style>
  <w:style w:type="character" w:customStyle="1" w:styleId="LbjegyzetszvegChar">
    <w:name w:val="Lábjegyzetszöveg Char"/>
    <w:link w:val="Lbjegyzetszveg"/>
    <w:rsid w:val="00A21BD8"/>
    <w:rPr>
      <w:rFonts w:eastAsia="Times New Roman"/>
      <w:lang w:val="hu-HU"/>
    </w:rPr>
  </w:style>
  <w:style w:type="paragraph" w:styleId="Vgjegyzetszvege">
    <w:name w:val="endnote text"/>
    <w:basedOn w:val="Norml"/>
    <w:next w:val="Norml"/>
    <w:link w:val="VgjegyzetszvegeChar"/>
    <w:rsid w:val="00A21BD8"/>
    <w:pPr>
      <w:tabs>
        <w:tab w:val="clear" w:pos="567"/>
      </w:tabs>
      <w:suppressAutoHyphens/>
      <w:spacing w:line="260" w:lineRule="atLeast"/>
    </w:pPr>
    <w:rPr>
      <w:rFonts w:eastAsia="Times New Roman"/>
      <w:snapToGrid/>
      <w:lang w:val="hu-HU"/>
    </w:rPr>
  </w:style>
  <w:style w:type="character" w:customStyle="1" w:styleId="VgjegyzetszvegeChar">
    <w:name w:val="Végjegyzet szövege Char"/>
    <w:link w:val="Vgjegyzetszvege"/>
    <w:rsid w:val="00A21BD8"/>
    <w:rPr>
      <w:rFonts w:eastAsia="Times New Roman"/>
      <w:sz w:val="22"/>
      <w:lang w:val="hu-HU"/>
    </w:rPr>
  </w:style>
  <w:style w:type="paragraph" w:styleId="Szvegblokk">
    <w:name w:val="Block Text"/>
    <w:basedOn w:val="Norml"/>
    <w:rsid w:val="00A21BD8"/>
    <w:pPr>
      <w:tabs>
        <w:tab w:val="clear" w:pos="567"/>
      </w:tabs>
      <w:suppressAutoHyphens/>
      <w:spacing w:line="260" w:lineRule="atLeast"/>
      <w:ind w:left="567" w:right="-2" w:hanging="567"/>
    </w:pPr>
    <w:rPr>
      <w:rFonts w:eastAsia="Times New Roman"/>
      <w:b/>
      <w:snapToGrid/>
      <w:lang w:val="hu-HU"/>
    </w:rPr>
  </w:style>
  <w:style w:type="paragraph" w:customStyle="1" w:styleId="Buborkszveg1">
    <w:name w:val="Buborékszöveg1"/>
    <w:basedOn w:val="Norml"/>
    <w:semiHidden/>
    <w:rsid w:val="00A21BD8"/>
    <w:pPr>
      <w:tabs>
        <w:tab w:val="clear" w:pos="567"/>
      </w:tabs>
      <w:suppressAutoHyphens/>
    </w:pPr>
    <w:rPr>
      <w:rFonts w:ascii="Tahoma" w:eastAsia="Times New Roman" w:hAnsi="Tahoma" w:cs="Tahoma"/>
      <w:snapToGrid/>
      <w:sz w:val="16"/>
      <w:szCs w:val="16"/>
      <w:lang w:val="hu-HU"/>
    </w:rPr>
  </w:style>
  <w:style w:type="paragraph" w:styleId="Listaszerbekezds">
    <w:name w:val="List Paragraph"/>
    <w:basedOn w:val="Norml"/>
    <w:uiPriority w:val="1"/>
    <w:qFormat/>
    <w:rsid w:val="00050FD3"/>
    <w:pPr>
      <w:ind w:left="720"/>
      <w:contextualSpacing/>
    </w:pPr>
  </w:style>
  <w:style w:type="character" w:customStyle="1" w:styleId="st">
    <w:name w:val="st"/>
    <w:basedOn w:val="Bekezdsalapbettpusa"/>
    <w:rsid w:val="005275CA"/>
  </w:style>
  <w:style w:type="character" w:customStyle="1" w:styleId="hps">
    <w:name w:val="hps"/>
    <w:basedOn w:val="Bekezdsalapbettpusa"/>
    <w:rsid w:val="00B87A43"/>
  </w:style>
  <w:style w:type="paragraph" w:customStyle="1" w:styleId="Default">
    <w:name w:val="Default"/>
    <w:rsid w:val="00C01B51"/>
    <w:pPr>
      <w:autoSpaceDE w:val="0"/>
      <w:autoSpaceDN w:val="0"/>
      <w:adjustRightInd w:val="0"/>
    </w:pPr>
    <w:rPr>
      <w:rFonts w:ascii="Verdana" w:eastAsia="Calibri" w:hAnsi="Verdana" w:cs="Verdana"/>
      <w:color w:val="000000"/>
      <w:sz w:val="24"/>
      <w:szCs w:val="24"/>
      <w:lang w:val="hu-HU" w:eastAsia="en-US"/>
    </w:rPr>
  </w:style>
  <w:style w:type="paragraph" w:styleId="Vltozat">
    <w:name w:val="Revision"/>
    <w:hidden/>
    <w:uiPriority w:val="99"/>
    <w:semiHidden/>
    <w:rsid w:val="00DD2DF7"/>
    <w:rPr>
      <w:snapToGrid w:val="0"/>
      <w:sz w:val="22"/>
      <w:lang w:eastAsia="zh-CN"/>
    </w:rPr>
  </w:style>
  <w:style w:type="character" w:customStyle="1" w:styleId="lfejChar">
    <w:name w:val="Élőfej Char"/>
    <w:basedOn w:val="Bekezdsalapbettpusa"/>
    <w:link w:val="lfej"/>
    <w:uiPriority w:val="99"/>
    <w:rsid w:val="00783B5C"/>
    <w:rPr>
      <w:snapToGrid w:val="0"/>
      <w:sz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82182">
      <w:bodyDiv w:val="1"/>
      <w:marLeft w:val="0"/>
      <w:marRight w:val="0"/>
      <w:marTop w:val="0"/>
      <w:marBottom w:val="0"/>
      <w:divBdr>
        <w:top w:val="none" w:sz="0" w:space="0" w:color="auto"/>
        <w:left w:val="none" w:sz="0" w:space="0" w:color="auto"/>
        <w:bottom w:val="none" w:sz="0" w:space="0" w:color="auto"/>
        <w:right w:val="none" w:sz="0" w:space="0" w:color="auto"/>
      </w:divBdr>
    </w:div>
    <w:div w:id="240602809">
      <w:bodyDiv w:val="1"/>
      <w:marLeft w:val="0"/>
      <w:marRight w:val="0"/>
      <w:marTop w:val="0"/>
      <w:marBottom w:val="0"/>
      <w:divBdr>
        <w:top w:val="none" w:sz="0" w:space="0" w:color="auto"/>
        <w:left w:val="none" w:sz="0" w:space="0" w:color="auto"/>
        <w:bottom w:val="none" w:sz="0" w:space="0" w:color="auto"/>
        <w:right w:val="none" w:sz="0" w:space="0" w:color="auto"/>
      </w:divBdr>
    </w:div>
    <w:div w:id="295641428">
      <w:bodyDiv w:val="1"/>
      <w:marLeft w:val="0"/>
      <w:marRight w:val="0"/>
      <w:marTop w:val="0"/>
      <w:marBottom w:val="0"/>
      <w:divBdr>
        <w:top w:val="none" w:sz="0" w:space="0" w:color="auto"/>
        <w:left w:val="none" w:sz="0" w:space="0" w:color="auto"/>
        <w:bottom w:val="none" w:sz="0" w:space="0" w:color="auto"/>
        <w:right w:val="none" w:sz="0" w:space="0" w:color="auto"/>
      </w:divBdr>
    </w:div>
    <w:div w:id="297612663">
      <w:bodyDiv w:val="1"/>
      <w:marLeft w:val="0"/>
      <w:marRight w:val="0"/>
      <w:marTop w:val="0"/>
      <w:marBottom w:val="0"/>
      <w:divBdr>
        <w:top w:val="none" w:sz="0" w:space="0" w:color="auto"/>
        <w:left w:val="none" w:sz="0" w:space="0" w:color="auto"/>
        <w:bottom w:val="none" w:sz="0" w:space="0" w:color="auto"/>
        <w:right w:val="none" w:sz="0" w:space="0" w:color="auto"/>
      </w:divBdr>
    </w:div>
    <w:div w:id="334037839">
      <w:bodyDiv w:val="1"/>
      <w:marLeft w:val="0"/>
      <w:marRight w:val="0"/>
      <w:marTop w:val="0"/>
      <w:marBottom w:val="0"/>
      <w:divBdr>
        <w:top w:val="none" w:sz="0" w:space="0" w:color="auto"/>
        <w:left w:val="none" w:sz="0" w:space="0" w:color="auto"/>
        <w:bottom w:val="none" w:sz="0" w:space="0" w:color="auto"/>
        <w:right w:val="none" w:sz="0" w:space="0" w:color="auto"/>
      </w:divBdr>
    </w:div>
    <w:div w:id="419569787">
      <w:bodyDiv w:val="1"/>
      <w:marLeft w:val="0"/>
      <w:marRight w:val="0"/>
      <w:marTop w:val="0"/>
      <w:marBottom w:val="0"/>
      <w:divBdr>
        <w:top w:val="none" w:sz="0" w:space="0" w:color="auto"/>
        <w:left w:val="none" w:sz="0" w:space="0" w:color="auto"/>
        <w:bottom w:val="none" w:sz="0" w:space="0" w:color="auto"/>
        <w:right w:val="none" w:sz="0" w:space="0" w:color="auto"/>
      </w:divBdr>
    </w:div>
    <w:div w:id="451023641">
      <w:bodyDiv w:val="1"/>
      <w:marLeft w:val="0"/>
      <w:marRight w:val="0"/>
      <w:marTop w:val="0"/>
      <w:marBottom w:val="0"/>
      <w:divBdr>
        <w:top w:val="none" w:sz="0" w:space="0" w:color="auto"/>
        <w:left w:val="none" w:sz="0" w:space="0" w:color="auto"/>
        <w:bottom w:val="none" w:sz="0" w:space="0" w:color="auto"/>
        <w:right w:val="none" w:sz="0" w:space="0" w:color="auto"/>
      </w:divBdr>
    </w:div>
    <w:div w:id="585844614">
      <w:bodyDiv w:val="1"/>
      <w:marLeft w:val="0"/>
      <w:marRight w:val="0"/>
      <w:marTop w:val="0"/>
      <w:marBottom w:val="0"/>
      <w:divBdr>
        <w:top w:val="none" w:sz="0" w:space="0" w:color="auto"/>
        <w:left w:val="none" w:sz="0" w:space="0" w:color="auto"/>
        <w:bottom w:val="none" w:sz="0" w:space="0" w:color="auto"/>
        <w:right w:val="none" w:sz="0" w:space="0" w:color="auto"/>
      </w:divBdr>
    </w:div>
    <w:div w:id="665863583">
      <w:bodyDiv w:val="1"/>
      <w:marLeft w:val="0"/>
      <w:marRight w:val="0"/>
      <w:marTop w:val="0"/>
      <w:marBottom w:val="0"/>
      <w:divBdr>
        <w:top w:val="none" w:sz="0" w:space="0" w:color="auto"/>
        <w:left w:val="none" w:sz="0" w:space="0" w:color="auto"/>
        <w:bottom w:val="none" w:sz="0" w:space="0" w:color="auto"/>
        <w:right w:val="none" w:sz="0" w:space="0" w:color="auto"/>
      </w:divBdr>
    </w:div>
    <w:div w:id="682708533">
      <w:bodyDiv w:val="1"/>
      <w:marLeft w:val="0"/>
      <w:marRight w:val="0"/>
      <w:marTop w:val="0"/>
      <w:marBottom w:val="0"/>
      <w:divBdr>
        <w:top w:val="none" w:sz="0" w:space="0" w:color="auto"/>
        <w:left w:val="none" w:sz="0" w:space="0" w:color="auto"/>
        <w:bottom w:val="none" w:sz="0" w:space="0" w:color="auto"/>
        <w:right w:val="none" w:sz="0" w:space="0" w:color="auto"/>
      </w:divBdr>
    </w:div>
    <w:div w:id="704478352">
      <w:bodyDiv w:val="1"/>
      <w:marLeft w:val="0"/>
      <w:marRight w:val="0"/>
      <w:marTop w:val="0"/>
      <w:marBottom w:val="0"/>
      <w:divBdr>
        <w:top w:val="none" w:sz="0" w:space="0" w:color="auto"/>
        <w:left w:val="none" w:sz="0" w:space="0" w:color="auto"/>
        <w:bottom w:val="none" w:sz="0" w:space="0" w:color="auto"/>
        <w:right w:val="none" w:sz="0" w:space="0" w:color="auto"/>
      </w:divBdr>
    </w:div>
    <w:div w:id="787505124">
      <w:bodyDiv w:val="1"/>
      <w:marLeft w:val="0"/>
      <w:marRight w:val="0"/>
      <w:marTop w:val="0"/>
      <w:marBottom w:val="0"/>
      <w:divBdr>
        <w:top w:val="none" w:sz="0" w:space="0" w:color="auto"/>
        <w:left w:val="none" w:sz="0" w:space="0" w:color="auto"/>
        <w:bottom w:val="none" w:sz="0" w:space="0" w:color="auto"/>
        <w:right w:val="none" w:sz="0" w:space="0" w:color="auto"/>
      </w:divBdr>
    </w:div>
    <w:div w:id="805856080">
      <w:bodyDiv w:val="1"/>
      <w:marLeft w:val="0"/>
      <w:marRight w:val="0"/>
      <w:marTop w:val="0"/>
      <w:marBottom w:val="0"/>
      <w:divBdr>
        <w:top w:val="none" w:sz="0" w:space="0" w:color="auto"/>
        <w:left w:val="none" w:sz="0" w:space="0" w:color="auto"/>
        <w:bottom w:val="none" w:sz="0" w:space="0" w:color="auto"/>
        <w:right w:val="none" w:sz="0" w:space="0" w:color="auto"/>
      </w:divBdr>
    </w:div>
    <w:div w:id="847911503">
      <w:bodyDiv w:val="1"/>
      <w:marLeft w:val="0"/>
      <w:marRight w:val="0"/>
      <w:marTop w:val="0"/>
      <w:marBottom w:val="0"/>
      <w:divBdr>
        <w:top w:val="none" w:sz="0" w:space="0" w:color="auto"/>
        <w:left w:val="none" w:sz="0" w:space="0" w:color="auto"/>
        <w:bottom w:val="none" w:sz="0" w:space="0" w:color="auto"/>
        <w:right w:val="none" w:sz="0" w:space="0" w:color="auto"/>
      </w:divBdr>
    </w:div>
    <w:div w:id="903688369">
      <w:bodyDiv w:val="1"/>
      <w:marLeft w:val="0"/>
      <w:marRight w:val="0"/>
      <w:marTop w:val="0"/>
      <w:marBottom w:val="0"/>
      <w:divBdr>
        <w:top w:val="none" w:sz="0" w:space="0" w:color="auto"/>
        <w:left w:val="none" w:sz="0" w:space="0" w:color="auto"/>
        <w:bottom w:val="none" w:sz="0" w:space="0" w:color="auto"/>
        <w:right w:val="none" w:sz="0" w:space="0" w:color="auto"/>
      </w:divBdr>
    </w:div>
    <w:div w:id="1239754974">
      <w:bodyDiv w:val="1"/>
      <w:marLeft w:val="0"/>
      <w:marRight w:val="0"/>
      <w:marTop w:val="0"/>
      <w:marBottom w:val="0"/>
      <w:divBdr>
        <w:top w:val="none" w:sz="0" w:space="0" w:color="auto"/>
        <w:left w:val="none" w:sz="0" w:space="0" w:color="auto"/>
        <w:bottom w:val="none" w:sz="0" w:space="0" w:color="auto"/>
        <w:right w:val="none" w:sz="0" w:space="0" w:color="auto"/>
      </w:divBdr>
    </w:div>
    <w:div w:id="1452090336">
      <w:bodyDiv w:val="1"/>
      <w:marLeft w:val="0"/>
      <w:marRight w:val="0"/>
      <w:marTop w:val="0"/>
      <w:marBottom w:val="0"/>
      <w:divBdr>
        <w:top w:val="none" w:sz="0" w:space="0" w:color="auto"/>
        <w:left w:val="none" w:sz="0" w:space="0" w:color="auto"/>
        <w:bottom w:val="none" w:sz="0" w:space="0" w:color="auto"/>
        <w:right w:val="none" w:sz="0" w:space="0" w:color="auto"/>
      </w:divBdr>
    </w:div>
    <w:div w:id="1563908568">
      <w:bodyDiv w:val="1"/>
      <w:marLeft w:val="0"/>
      <w:marRight w:val="0"/>
      <w:marTop w:val="0"/>
      <w:marBottom w:val="0"/>
      <w:divBdr>
        <w:top w:val="none" w:sz="0" w:space="0" w:color="auto"/>
        <w:left w:val="none" w:sz="0" w:space="0" w:color="auto"/>
        <w:bottom w:val="none" w:sz="0" w:space="0" w:color="auto"/>
        <w:right w:val="none" w:sz="0" w:space="0" w:color="auto"/>
      </w:divBdr>
    </w:div>
    <w:div w:id="1689259842">
      <w:bodyDiv w:val="1"/>
      <w:marLeft w:val="0"/>
      <w:marRight w:val="0"/>
      <w:marTop w:val="0"/>
      <w:marBottom w:val="0"/>
      <w:divBdr>
        <w:top w:val="none" w:sz="0" w:space="0" w:color="auto"/>
        <w:left w:val="none" w:sz="0" w:space="0" w:color="auto"/>
        <w:bottom w:val="none" w:sz="0" w:space="0" w:color="auto"/>
        <w:right w:val="none" w:sz="0" w:space="0" w:color="auto"/>
      </w:divBdr>
    </w:div>
    <w:div w:id="17348136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ema.europa.eu/docs/en_GB/document_library/Template_or_form/2013/03/WC500139752.doc"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69A9A603-EF38-4DFB-BA1C-24C1C87FE5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7380</Words>
  <Characters>50925</Characters>
  <Application>Microsoft Office Word</Application>
  <DocSecurity>0</DocSecurity>
  <Lines>424</Lines>
  <Paragraphs>116</Paragraphs>
  <ScaleCrop>false</ScaleCrop>
  <HeadingPairs>
    <vt:vector size="8" baseType="variant">
      <vt:variant>
        <vt:lpstr>Cím</vt:lpstr>
      </vt:variant>
      <vt:variant>
        <vt:i4>1</vt:i4>
      </vt:variant>
      <vt:variant>
        <vt:lpstr>Título</vt:lpstr>
      </vt:variant>
      <vt:variant>
        <vt:i4>1</vt:i4>
      </vt:variant>
      <vt:variant>
        <vt:lpstr>Títulos</vt:lpstr>
      </vt:variant>
      <vt:variant>
        <vt:i4>98</vt:i4>
      </vt:variant>
      <vt:variant>
        <vt:lpstr>Title</vt:lpstr>
      </vt:variant>
      <vt:variant>
        <vt:i4>1</vt:i4>
      </vt:variant>
    </vt:vector>
  </HeadingPairs>
  <TitlesOfParts>
    <vt:vector size="101" baseType="lpstr">
      <vt:lpstr>Hreferralspcclean_hu</vt:lpstr>
      <vt:lpstr>Hreferralspcclean_hu</vt:lpstr>
      <vt:lpstr>4.	KLINIKAI JELLEMZŐK</vt:lpstr>
      <vt:lpstr/>
      <vt:lpstr>4.1	Terápiás javallatok</vt:lpstr>
      <vt:lpstr/>
      <vt:lpstr>4.2	Adagolás és alkalmazás</vt:lpstr>
      <vt:lpstr/>
      <vt:lpstr>4.3	Ellenjavallatok</vt:lpstr>
      <vt:lpstr/>
      <vt:lpstr>A gyógyszer ellenjavallt:</vt:lpstr>
      <vt:lpstr>paracetamollal, ibuprofénnel, egyéb NSAID‑okkal vagy a 6.1 pontban felsorolt bár</vt:lpstr>
      <vt:lpstr>súlyos szívelégtelenségben (NYHA IV. stádium);</vt:lpstr>
      <vt:lpstr>aktív alkoholizmusban szenvedő betegek esetén, mivel a túlzott mértékű alkoholfo</vt:lpstr>
      <vt:lpstr>acetilszalicilsav  vagy más NSAID‑ok alkalmazása során jelentkező hörgőgörcs, as</vt:lpstr>
      <vt:lpstr>korábbi NSAID‑kezelés kapcsán fellépő gastrointestinalis vérzés vagy perforatio </vt:lpstr>
      <vt:lpstr>aktív, vagy a kórelőzményben szereplő visszatérő pepticus fekély/vérzés esetén (</vt:lpstr>
      <vt:lpstr>súlyos máj‑ vagy veseelégtelenség esetén (lásd 4.4 pont);</vt:lpstr>
      <vt:lpstr>cerebrovascularis vagy egyéb aktív vérzés esetén;</vt:lpstr>
      <vt:lpstr>véralvadási zavar vagy fokozott vérzéshajlammal járó állapotok esetén;</vt:lpstr>
      <vt:lpstr>súlyos dehidráció esetén (hányás, hasmenés vagy elégtelen folyadékbevitel követk</vt:lpstr>
      <vt:lpstr>a terhesség harmadik trimeszterében (lásd 4.6 pont);</vt:lpstr>
      <vt:lpstr>18 évnél fiatalabbak esetén.</vt:lpstr>
      <vt:lpstr>4.4	Különleges figyelmeztetések és az alkalmazással kapcsolatos óvintézkedések</vt:lpstr>
      <vt:lpstr>4.5	Gyógyszerkölcsönhatások és egyéb interakciók</vt:lpstr>
      <vt:lpstr>4.6	Termékenység, terhesség és szoptatás</vt:lpstr>
      <vt:lpstr>4.7	A készítmény hatásai a gépjárművezetéshez és a gépek kezeléséhez szükséges k</vt:lpstr>
      <vt:lpstr>Az NSAID-ok bevétele után előfordulhatnak mellékhatások, mint pl. szédülés, álmo</vt:lpstr>
      <vt:lpstr>4.8	Nemkívánatos hatások, mellékhatások</vt:lpstr>
      <vt:lpstr>A Paracetamol/Ibuprofen Vale 1000 mg/300 mg oldatos infúzióval és az 500 mg para</vt:lpstr>
      <vt:lpstr>A mellékhatások felsorolása szervrendszer (MedDRA terminológia alapján) és gyako</vt:lpstr>
      <vt:lpstr>Nagyon gyakori (≥ 1/10); gyakori (≥ 1/100 – &lt; 1/10); nem gyakori (≥ 1/1000 – &lt; 1</vt:lpstr>
      <vt:lpstr/>
      <vt:lpstr/>
      <vt:lpstr>A klinikai vizsgálatok arra utalnak, hogy az ibuprofén, különösen nagy adagban (</vt:lpstr>
      <vt:lpstr/>
      <vt:lpstr>Tünetek</vt:lpstr>
      <vt:lpstr>Paracetamol</vt:lpstr>
      <vt:lpstr>A paracetamol túladagolása májkárosodást, sőt akár májelégtelenséget is okozhat.</vt:lpstr>
      <vt:lpstr/>
      <vt:lpstr>Ibuprofén</vt:lpstr>
      <vt:lpstr>A tünetek között szerepel hányinger, hasi fájdalom és hányás, szédülés, görcsök </vt:lpstr>
      <vt:lpstr/>
      <vt:lpstr>Súlyos mérgezés esetén metabolikus acidózis fordulhat elő.</vt:lpstr>
      <vt:lpstr/>
      <vt:lpstr>Kezelés</vt:lpstr>
      <vt:lpstr>Paracetamol</vt:lpstr>
      <vt:lpstr>Paracetamol túladagolás esetén nélkülözhetetlen az azonnali kezelés, még a nyilv</vt:lpstr>
      <vt:lpstr/>
      <vt:lpstr>Az acetilcisztein a leghatékonyabb, ha a túladagolást követő első 8 órában alkal</vt:lpstr>
      <vt:lpstr/>
      <vt:lpstr>Az acetilcisztein kezdő adagja 150 mg/ttkg, 200 ml 5%-os glükózoldatban 15 perc </vt:lpstr>
      <vt:lpstr/>
      <vt:lpstr>A metionin kezelés szájon át történik, 2,5 g-onként 4 óránként,10 g összdózis el</vt:lpstr>
      <vt:lpstr/>
      <vt:lpstr>Előfordulhat, hogy a súlyos tünetek a túladagolást követően 4-5 napig nem jelent</vt:lpstr>
      <vt:lpstr/>
      <vt:lpstr>Ibuprofén</vt:lpstr>
      <vt:lpstr>A kezelés tüneti és támogató, magában foglalja a légutak átjárhatóságának biztos</vt:lpstr>
      <vt:lpstr/>
      <vt:lpstr>5.	FARMAKOLÓGIAI TULAJDONSÁGOK</vt:lpstr>
      <vt:lpstr>5.1	Farmakodinámiás tulajdonságok</vt:lpstr>
      <vt:lpstr>        Hatásmechanizmus</vt:lpstr>
      <vt:lpstr>        Klinikai vizsgálatok</vt:lpstr>
      <vt:lpstr>    5.2	Farmakokinetikai tulajdonságok</vt:lpstr>
      <vt:lpstr>        Felszívódás</vt:lpstr>
      <vt:lpstr>        Megoszlás</vt:lpstr>
      <vt:lpstr>        Metabolizmus</vt:lpstr>
      <vt:lpstr>        Elimináció</vt:lpstr>
      <vt:lpstr>    5.3	Preklinikai biztonságossági adatok</vt:lpstr>
      <vt:lpstr>        Ibuprofén</vt:lpstr>
      <vt:lpstr>        Paracetamol</vt:lpstr>
      <vt:lpstr>6.	GYÓGYSZERÉSZETI JELLEMZŐK</vt:lpstr>
      <vt:lpstr>6.1	Segédanyagok felsorolása</vt:lpstr>
      <vt:lpstr>6.2	Inkompatibilitások</vt:lpstr>
      <vt:lpstr>6.3	Felhasználhatósági időtartam</vt:lpstr>
      <vt:lpstr>6.4	Különleges tárolási előírások</vt:lpstr>
      <vt:lpstr/>
      <vt:lpstr>6.5	Csomagolás típusa és kiszerelése </vt:lpstr>
      <vt:lpstr/>
      <vt:lpstr>6.6	A megsemmisítésre vonatkozó különleges óvintézkedések és egyéb, a készítmény</vt:lpstr>
      <vt:lpstr>Beadás előtt a Paracetamol/Ibuprofen Vale 1000 mg/300 mg oldatos infúziót szabad</vt:lpstr>
      <vt:lpstr/>
      <vt:lpstr>Kompatibilitási vizsgálatok hiányában ez a gyógyszer nem keverhető oldószerekkel</vt:lpstr>
      <vt:lpstr/>
      <vt:lpstr>A Paracetamol/Ibuprofen Vale 1000 mg/300 mg oldatos kizárólag egyszeri alkalmazá</vt:lpstr>
      <vt:lpstr/>
      <vt:lpstr>7.	A FORGALOMBA HOZATALI ENGEDÉLY JOGOSULTJA</vt:lpstr>
      <vt:lpstr>Vale Pharmaceuticals Limited, 3 Anglesea Street,</vt:lpstr>
      <vt:lpstr>Clonmel, Co. Tipperary</vt:lpstr>
      <vt:lpstr>E91 D6C5, Írország</vt:lpstr>
      <vt:lpstr/>
      <vt:lpstr>8.	A FORGALOMBA HOZATALI ENGEDÉLY SZÁMA(I)</vt:lpstr>
      <vt:lpstr/>
      <vt:lpstr/>
      <vt:lpstr/>
      <vt:lpstr>9.	A FORGALOMBA HOZATALI ENGEDÉLY ELSŐ KIADÁSÁNAK/ MEGÚJÍTÁSÁNAK DÁTUMA</vt:lpstr>
      <vt:lpstr>10.	A SZÖVEG ELLENŐRZÉSÉNEK DÁTUMA</vt:lpstr>
      <vt:lpstr/>
      <vt:lpstr/>
      <vt:lpstr>Hreferralspcclean_hu</vt:lpstr>
    </vt:vector>
  </TitlesOfParts>
  <Company>Translation Centre</Company>
  <LinksUpToDate>false</LinksUpToDate>
  <CharactersWithSpaces>58189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Hreferralspcclean_hu</dc:title>
  <dc:creator>HU_OGYI_47.1</dc:creator>
  <cp:lastModifiedBy>Tóth Erika</cp:lastModifiedBy>
  <cp:revision>4</cp:revision>
  <dcterms:created xsi:type="dcterms:W3CDTF">2026-02-03T06:35:00Z</dcterms:created>
  <dcterms:modified xsi:type="dcterms:W3CDTF">2026-08-14T11:15:00Z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
    <vt:lpwstr>Internal All EMA Staff and Contractors</vt:lpwstr>
  </property>
  <property fmtid="{D5CDD505-2E9C-101B-9397-08002B2CF9AE}" pid="3" name="DM_Author">
    <vt:lpwstr/>
  </property>
  <property fmtid="{D5CDD505-2E9C-101B-9397-08002B2CF9AE}" pid="4" name="DM_Authors">
    <vt:lpwstr/>
  </property>
  <property fmtid="{D5CDD505-2E9C-101B-9397-08002B2CF9AE}" pid="5" name="DM_Category">
    <vt:lpwstr>Templates and Form</vt:lpwstr>
  </property>
  <property fmtid="{D5CDD505-2E9C-101B-9397-08002B2CF9AE}" pid="6" name="DM_Creation_Date">
    <vt:lpwstr>03/02/2020 10:27:31</vt:lpwstr>
  </property>
  <property fmtid="{D5CDD505-2E9C-101B-9397-08002B2CF9AE}" pid="7" name="DM_Creator_Name">
    <vt:lpwstr>Akhtar Timea</vt:lpwstr>
  </property>
  <property fmtid="{D5CDD505-2E9C-101B-9397-08002B2CF9AE}" pid="8" name="DM_DocRefId">
    <vt:lpwstr>EMA/58083/2020</vt:lpwstr>
  </property>
  <property fmtid="{D5CDD505-2E9C-101B-9397-08002B2CF9AE}" pid="9" name="DM_emea_bcc">
    <vt:lpwstr/>
  </property>
  <property fmtid="{D5CDD505-2E9C-101B-9397-08002B2CF9AE}" pid="10" name="DM_emea_cc">
    <vt:lpwstr/>
  </property>
  <property fmtid="{D5CDD505-2E9C-101B-9397-08002B2CF9AE}" pid="11" name="DM_emea_doc_category">
    <vt:lpwstr>General</vt:lpwstr>
  </property>
  <property fmtid="{D5CDD505-2E9C-101B-9397-08002B2CF9AE}" pid="12" name="DM_emea_doc_lang">
    <vt:lpwstr/>
  </property>
  <property fmtid="{D5CDD505-2E9C-101B-9397-08002B2CF9AE}" pid="13" name="DM_emea_doc_number">
    <vt:lpwstr>423415</vt:lpwstr>
  </property>
  <property fmtid="{D5CDD505-2E9C-101B-9397-08002B2CF9AE}" pid="14" name="DM_emea_doc_ref_id">
    <vt:lpwstr>EMA/58083/2020</vt:lpwstr>
  </property>
  <property fmtid="{D5CDD505-2E9C-101B-9397-08002B2CF9AE}" pid="15" name="DM_emea_from">
    <vt:lpwstr/>
  </property>
  <property fmtid="{D5CDD505-2E9C-101B-9397-08002B2CF9AE}" pid="16" name="DM_emea_internal_label">
    <vt:lpwstr>EMA</vt:lpwstr>
  </property>
  <property fmtid="{D5CDD505-2E9C-101B-9397-08002B2CF9AE}" pid="17" name="DM_emea_legal_date">
    <vt:lpwstr>nulldate</vt:lpwstr>
  </property>
  <property fmtid="{D5CDD505-2E9C-101B-9397-08002B2CF9AE}" pid="18" name="DM_emea_meeting_action">
    <vt:lpwstr/>
  </property>
  <property fmtid="{D5CDD505-2E9C-101B-9397-08002B2CF9AE}" pid="19" name="DM_emea_meeting_flags">
    <vt:lpwstr/>
  </property>
  <property fmtid="{D5CDD505-2E9C-101B-9397-08002B2CF9AE}" pid="20" name="DM_emea_meeting_hyperlink">
    <vt:lpwstr/>
  </property>
  <property fmtid="{D5CDD505-2E9C-101B-9397-08002B2CF9AE}" pid="21" name="DM_emea_meeting_ref">
    <vt:lpwstr/>
  </property>
  <property fmtid="{D5CDD505-2E9C-101B-9397-08002B2CF9AE}" pid="22" name="DM_emea_meeting_status">
    <vt:lpwstr/>
  </property>
  <property fmtid="{D5CDD505-2E9C-101B-9397-08002B2CF9AE}" pid="23" name="DM_emea_meeting_title">
    <vt:lpwstr/>
  </property>
  <property fmtid="{D5CDD505-2E9C-101B-9397-08002B2CF9AE}" pid="24" name="DM_emea_message_subject">
    <vt:lpwstr/>
  </property>
  <property fmtid="{D5CDD505-2E9C-101B-9397-08002B2CF9AE}" pid="25" name="DM_emea_received_date">
    <vt:lpwstr>nulldate</vt:lpwstr>
  </property>
  <property fmtid="{D5CDD505-2E9C-101B-9397-08002B2CF9AE}" pid="26" name="DM_emea_resp_body">
    <vt:lpwstr/>
  </property>
  <property fmtid="{D5CDD505-2E9C-101B-9397-08002B2CF9AE}" pid="27" name="DM_emea_revision_label">
    <vt:lpwstr/>
  </property>
  <property fmtid="{D5CDD505-2E9C-101B-9397-08002B2CF9AE}" pid="28" name="DM_emea_sent_date">
    <vt:lpwstr>nulldate</vt:lpwstr>
  </property>
  <property fmtid="{D5CDD505-2E9C-101B-9397-08002B2CF9AE}" pid="29" name="DM_emea_to">
    <vt:lpwstr/>
  </property>
  <property fmtid="{D5CDD505-2E9C-101B-9397-08002B2CF9AE}" pid="30" name="DM_emea_year">
    <vt:lpwstr>2010</vt:lpwstr>
  </property>
  <property fmtid="{D5CDD505-2E9C-101B-9397-08002B2CF9AE}" pid="31" name="DM_Keywords">
    <vt:lpwstr/>
  </property>
  <property fmtid="{D5CDD505-2E9C-101B-9397-08002B2CF9AE}" pid="32" name="DM_Language">
    <vt:lpwstr/>
  </property>
  <property fmtid="{D5CDD505-2E9C-101B-9397-08002B2CF9AE}" pid="33" name="DM_Modifer_Name">
    <vt:lpwstr>Akhtar Timea</vt:lpwstr>
  </property>
  <property fmtid="{D5CDD505-2E9C-101B-9397-08002B2CF9AE}" pid="34" name="DM_Modified_Date">
    <vt:lpwstr>17/02/2020 15:04:18</vt:lpwstr>
  </property>
  <property fmtid="{D5CDD505-2E9C-101B-9397-08002B2CF9AE}" pid="35" name="DM_Modifier_Name">
    <vt:lpwstr>Akhtar Timea</vt:lpwstr>
  </property>
  <property fmtid="{D5CDD505-2E9C-101B-9397-08002B2CF9AE}" pid="36" name="DM_Modify_Date">
    <vt:lpwstr>17/02/2020 15:04:18</vt:lpwstr>
  </property>
  <property fmtid="{D5CDD505-2E9C-101B-9397-08002B2CF9AE}" pid="37" name="DM_Name">
    <vt:lpwstr>Hreferralspcclean_hu</vt:lpwstr>
  </property>
  <property fmtid="{D5CDD505-2E9C-101B-9397-08002B2CF9AE}" pid="38" name="DM_Owner">
    <vt:lpwstr>Espinasse Claire</vt:lpwstr>
  </property>
  <property fmtid="{D5CDD505-2E9C-101B-9397-08002B2CF9AE}" pid="39" name="DM_Path">
    <vt:lpwstr>/02b. Administration of Scientific Meeting/WPs SAGs DGs and other WGs/CxMP - QRD/3. Other activities/02. Procedures/01. QRD PI templates/03 QRD H-Referral templates/2019-06 H Referral template v 4.1 Dec 19/Publication February 2020/Final CLEAN templates f</vt:lpwstr>
  </property>
  <property fmtid="{D5CDD505-2E9C-101B-9397-08002B2CF9AE}" pid="40" name="DM_Status">
    <vt:lpwstr/>
  </property>
  <property fmtid="{D5CDD505-2E9C-101B-9397-08002B2CF9AE}" pid="41" name="DM_Subject">
    <vt:lpwstr/>
  </property>
  <property fmtid="{D5CDD505-2E9C-101B-9397-08002B2CF9AE}" pid="42" name="DM_Title">
    <vt:lpwstr/>
  </property>
  <property fmtid="{D5CDD505-2E9C-101B-9397-08002B2CF9AE}" pid="43" name="DM_Type">
    <vt:lpwstr>emea_document</vt:lpwstr>
  </property>
  <property fmtid="{D5CDD505-2E9C-101B-9397-08002B2CF9AE}" pid="44" name="DM_Version">
    <vt:lpwstr>1.0,CURRENT</vt:lpwstr>
  </property>
  <property fmtid="{D5CDD505-2E9C-101B-9397-08002B2CF9AE}" pid="45" name="MSIP_Label_0eea11ca-d417-4147-80ed-01a58412c458_ActionId">
    <vt:lpwstr>30d1419a-b734-4e3b-9ae9-07c1948efd4c</vt:lpwstr>
  </property>
  <property fmtid="{D5CDD505-2E9C-101B-9397-08002B2CF9AE}" pid="46" name="MSIP_Label_0eea11ca-d417-4147-80ed-01a58412c458_Application">
    <vt:lpwstr>Microsoft Azure Information Protection</vt:lpwstr>
  </property>
  <property fmtid="{D5CDD505-2E9C-101B-9397-08002B2CF9AE}" pid="47" name="MSIP_Label_0eea11ca-d417-4147-80ed-01a58412c458_Enabled">
    <vt:lpwstr>True</vt:lpwstr>
  </property>
  <property fmtid="{D5CDD505-2E9C-101B-9397-08002B2CF9AE}" pid="48" name="MSIP_Label_0eea11ca-d417-4147-80ed-01a58412c458_Extended_MSFT_Method">
    <vt:lpwstr>Automatic</vt:lpwstr>
  </property>
  <property fmtid="{D5CDD505-2E9C-101B-9397-08002B2CF9AE}" pid="49" name="MSIP_Label_0eea11ca-d417-4147-80ed-01a58412c458_Name">
    <vt:lpwstr>All EMA Staff and Contractors</vt:lpwstr>
  </property>
  <property fmtid="{D5CDD505-2E9C-101B-9397-08002B2CF9AE}" pid="50" name="MSIP_Label_0eea11ca-d417-4147-80ed-01a58412c458_Owner">
    <vt:lpwstr>Tia.Akhtar@ema.europa.eu</vt:lpwstr>
  </property>
  <property fmtid="{D5CDD505-2E9C-101B-9397-08002B2CF9AE}" pid="51" name="MSIP_Label_0eea11ca-d417-4147-80ed-01a58412c458_Parent">
    <vt:lpwstr>afe1b31d-cec0-4074-b4bd-f07689e43d84</vt:lpwstr>
  </property>
  <property fmtid="{D5CDD505-2E9C-101B-9397-08002B2CF9AE}" pid="52" name="MSIP_Label_0eea11ca-d417-4147-80ed-01a58412c458_SetDate">
    <vt:lpwstr>2020-02-03T09:06:09.6925906Z</vt:lpwstr>
  </property>
  <property fmtid="{D5CDD505-2E9C-101B-9397-08002B2CF9AE}" pid="53" name="MSIP_Label_0eea11ca-d417-4147-80ed-01a58412c458_SiteId">
    <vt:lpwstr>bc9dc15c-61bc-4f03-b60b-e5b6d8922839</vt:lpwstr>
  </property>
  <property fmtid="{D5CDD505-2E9C-101B-9397-08002B2CF9AE}" pid="54" name="MSIP_Label_afe1b31d-cec0-4074-b4bd-f07689e43d84_ActionId">
    <vt:lpwstr>30d1419a-b734-4e3b-9ae9-07c1948efd4c</vt:lpwstr>
  </property>
  <property fmtid="{D5CDD505-2E9C-101B-9397-08002B2CF9AE}" pid="55" name="MSIP_Label_afe1b31d-cec0-4074-b4bd-f07689e43d84_Application">
    <vt:lpwstr>Microsoft Azure Information Protection</vt:lpwstr>
  </property>
  <property fmtid="{D5CDD505-2E9C-101B-9397-08002B2CF9AE}" pid="56" name="MSIP_Label_afe1b31d-cec0-4074-b4bd-f07689e43d84_Enabled">
    <vt:lpwstr>True</vt:lpwstr>
  </property>
  <property fmtid="{D5CDD505-2E9C-101B-9397-08002B2CF9AE}" pid="57" name="MSIP_Label_afe1b31d-cec0-4074-b4bd-f07689e43d84_Extended_MSFT_Method">
    <vt:lpwstr>Automatic</vt:lpwstr>
  </property>
  <property fmtid="{D5CDD505-2E9C-101B-9397-08002B2CF9AE}" pid="58" name="MSIP_Label_afe1b31d-cec0-4074-b4bd-f07689e43d84_Name">
    <vt:lpwstr>Internal</vt:lpwstr>
  </property>
  <property fmtid="{D5CDD505-2E9C-101B-9397-08002B2CF9AE}" pid="59" name="MSIP_Label_afe1b31d-cec0-4074-b4bd-f07689e43d84_Owner">
    <vt:lpwstr>Tia.Akhtar@ema.europa.eu</vt:lpwstr>
  </property>
  <property fmtid="{D5CDD505-2E9C-101B-9397-08002B2CF9AE}" pid="60" name="MSIP_Label_afe1b31d-cec0-4074-b4bd-f07689e43d84_SetDate">
    <vt:lpwstr>2020-02-03T09:06:09.6925906Z</vt:lpwstr>
  </property>
  <property fmtid="{D5CDD505-2E9C-101B-9397-08002B2CF9AE}" pid="61" name="MSIP_Label_afe1b31d-cec0-4074-b4bd-f07689e43d84_SiteId">
    <vt:lpwstr>bc9dc15c-61bc-4f03-b60b-e5b6d8922839</vt:lpwstr>
  </property>
</Properties>
</file>