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2F1FD3" w14:textId="77777777" w:rsidR="00F45C51" w:rsidRPr="00C60440" w:rsidRDefault="00E61DC0" w:rsidP="00082A8E">
      <w:pPr>
        <w:widowControl w:val="0"/>
        <w:spacing w:line="240" w:lineRule="auto"/>
        <w:rPr>
          <w:szCs w:val="22"/>
          <w:lang w:val="hu-HU"/>
        </w:rPr>
      </w:pPr>
      <w:r w:rsidRPr="00C60440">
        <w:rPr>
          <w:rFonts w:eastAsia="Times New Roman"/>
          <w:b/>
          <w:noProof/>
          <w:snapToGrid/>
          <w:szCs w:val="22"/>
          <w:lang w:val="hu-HU" w:eastAsia="en-US"/>
        </w:rPr>
        <w:t>1.</w:t>
      </w:r>
      <w:r w:rsidRPr="00C60440">
        <w:rPr>
          <w:rFonts w:eastAsia="Times New Roman"/>
          <w:b/>
          <w:noProof/>
          <w:snapToGrid/>
          <w:szCs w:val="22"/>
          <w:lang w:val="hu-HU" w:eastAsia="en-US"/>
        </w:rPr>
        <w:tab/>
        <w:t>A GYÓGYSZER NEVE</w:t>
      </w:r>
    </w:p>
    <w:p w14:paraId="73E4C215" w14:textId="77777777" w:rsidR="00F45C51" w:rsidRPr="00C60440" w:rsidRDefault="00F45C51" w:rsidP="00082A8E">
      <w:pPr>
        <w:widowControl w:val="0"/>
        <w:spacing w:line="240" w:lineRule="auto"/>
        <w:rPr>
          <w:rFonts w:eastAsia="Times New Roman"/>
          <w:noProof/>
          <w:snapToGrid/>
          <w:szCs w:val="22"/>
          <w:lang w:val="hu-HU" w:eastAsia="en-US"/>
        </w:rPr>
      </w:pPr>
    </w:p>
    <w:p w14:paraId="29F69711" w14:textId="63FE5B6A" w:rsidR="00F45C51" w:rsidRPr="00C60440" w:rsidRDefault="00782F1A" w:rsidP="00082A8E">
      <w:pPr>
        <w:widowControl w:val="0"/>
        <w:spacing w:line="240" w:lineRule="auto"/>
        <w:rPr>
          <w:rFonts w:eastAsia="Times New Roman"/>
          <w:noProof/>
          <w:snapToGrid/>
          <w:szCs w:val="22"/>
          <w:lang w:val="hu-HU" w:eastAsia="en-US"/>
        </w:rPr>
      </w:pPr>
      <w:r w:rsidRPr="00C60440">
        <w:rPr>
          <w:rFonts w:eastAsia="Times New Roman"/>
          <w:noProof/>
          <w:snapToGrid/>
          <w:szCs w:val="22"/>
          <w:lang w:val="hu-HU" w:eastAsia="en-US"/>
        </w:rPr>
        <w:t>Ambrisentan</w:t>
      </w:r>
      <w:r w:rsidR="002D3EDF">
        <w:rPr>
          <w:rFonts w:eastAsia="Times New Roman"/>
          <w:noProof/>
          <w:snapToGrid/>
          <w:szCs w:val="22"/>
          <w:lang w:val="hu-HU" w:eastAsia="en-US"/>
        </w:rPr>
        <w:t> </w:t>
      </w:r>
      <w:r w:rsidRPr="00C60440">
        <w:rPr>
          <w:rFonts w:eastAsia="Times New Roman"/>
          <w:noProof/>
          <w:snapToGrid/>
          <w:szCs w:val="22"/>
          <w:lang w:val="hu-HU" w:eastAsia="en-US"/>
        </w:rPr>
        <w:t>AOP 5 mg filmtabletta</w:t>
      </w:r>
    </w:p>
    <w:p w14:paraId="02D3689C" w14:textId="6D649851" w:rsidR="00782F1A" w:rsidRPr="00C60440" w:rsidRDefault="00782F1A" w:rsidP="00782F1A">
      <w:pPr>
        <w:widowControl w:val="0"/>
        <w:spacing w:line="240" w:lineRule="auto"/>
        <w:rPr>
          <w:rFonts w:eastAsia="Times New Roman"/>
          <w:noProof/>
          <w:snapToGrid/>
          <w:szCs w:val="22"/>
          <w:lang w:val="hu-HU" w:eastAsia="en-US"/>
        </w:rPr>
      </w:pPr>
      <w:r w:rsidRPr="00C60440">
        <w:rPr>
          <w:rFonts w:eastAsia="Times New Roman"/>
          <w:noProof/>
          <w:snapToGrid/>
          <w:szCs w:val="22"/>
          <w:lang w:val="hu-HU" w:eastAsia="en-US"/>
        </w:rPr>
        <w:t>Ambrisentan</w:t>
      </w:r>
      <w:r w:rsidR="002D3EDF">
        <w:rPr>
          <w:rFonts w:eastAsia="Times New Roman"/>
          <w:noProof/>
          <w:snapToGrid/>
          <w:szCs w:val="22"/>
          <w:lang w:val="hu-HU" w:eastAsia="en-US"/>
        </w:rPr>
        <w:t> </w:t>
      </w:r>
      <w:r w:rsidRPr="00C60440">
        <w:rPr>
          <w:rFonts w:eastAsia="Times New Roman"/>
          <w:noProof/>
          <w:snapToGrid/>
          <w:szCs w:val="22"/>
          <w:lang w:val="hu-HU" w:eastAsia="en-US"/>
        </w:rPr>
        <w:t>AOP 10 mg filmtabletta</w:t>
      </w:r>
    </w:p>
    <w:p w14:paraId="740E2F54" w14:textId="77777777" w:rsidR="00F45C51" w:rsidRPr="00C60440" w:rsidRDefault="00F45C51" w:rsidP="00082A8E">
      <w:pPr>
        <w:widowControl w:val="0"/>
        <w:spacing w:line="240" w:lineRule="auto"/>
        <w:rPr>
          <w:rFonts w:eastAsia="Times New Roman"/>
          <w:noProof/>
          <w:snapToGrid/>
          <w:szCs w:val="22"/>
          <w:lang w:val="hu-HU" w:eastAsia="en-US"/>
        </w:rPr>
      </w:pPr>
    </w:p>
    <w:p w14:paraId="5EE647A9" w14:textId="77777777" w:rsidR="00F45C51" w:rsidRPr="00C60440" w:rsidRDefault="00F45C51" w:rsidP="00082A8E">
      <w:pPr>
        <w:widowControl w:val="0"/>
        <w:spacing w:line="240" w:lineRule="auto"/>
        <w:rPr>
          <w:rFonts w:eastAsia="Times New Roman"/>
          <w:noProof/>
          <w:snapToGrid/>
          <w:szCs w:val="22"/>
          <w:lang w:val="hu-HU" w:eastAsia="en-US"/>
        </w:rPr>
      </w:pPr>
    </w:p>
    <w:p w14:paraId="43580845" w14:textId="77777777" w:rsidR="00F45C51" w:rsidRPr="00C60440" w:rsidRDefault="00E61DC0" w:rsidP="00082A8E">
      <w:pPr>
        <w:widowControl w:val="0"/>
        <w:spacing w:line="240" w:lineRule="auto"/>
        <w:rPr>
          <w:b/>
          <w:szCs w:val="22"/>
          <w:lang w:val="hu-HU"/>
        </w:rPr>
      </w:pPr>
      <w:r w:rsidRPr="00C60440">
        <w:rPr>
          <w:b/>
          <w:szCs w:val="22"/>
          <w:lang w:val="hu-HU"/>
        </w:rPr>
        <w:t>2.</w:t>
      </w:r>
      <w:r w:rsidRPr="00C60440">
        <w:rPr>
          <w:b/>
          <w:szCs w:val="22"/>
          <w:lang w:val="hu-HU"/>
        </w:rPr>
        <w:tab/>
        <w:t>MINŐSÉGI ÉS MENNYISÉGI ÖSSZETÉTEL</w:t>
      </w:r>
    </w:p>
    <w:p w14:paraId="23420BCC" w14:textId="77777777" w:rsidR="007471D2" w:rsidRPr="00C60440" w:rsidRDefault="007471D2" w:rsidP="00082A8E">
      <w:pPr>
        <w:widowControl w:val="0"/>
        <w:spacing w:line="240" w:lineRule="auto"/>
        <w:rPr>
          <w:rFonts w:eastAsia="Times New Roman"/>
          <w:b/>
          <w:noProof/>
          <w:snapToGrid/>
          <w:szCs w:val="22"/>
          <w:lang w:val="hu-HU" w:eastAsia="en-US"/>
        </w:rPr>
      </w:pPr>
    </w:p>
    <w:p w14:paraId="65622078" w14:textId="72973216" w:rsidR="00782F1A" w:rsidRPr="00463230" w:rsidRDefault="00782F1A" w:rsidP="00782F1A">
      <w:pPr>
        <w:widowControl w:val="0"/>
        <w:spacing w:line="240" w:lineRule="auto"/>
        <w:rPr>
          <w:rFonts w:eastAsia="Times New Roman"/>
          <w:noProof/>
          <w:snapToGrid/>
          <w:szCs w:val="22"/>
          <w:u w:val="single"/>
          <w:lang w:val="hu-HU" w:eastAsia="en-US"/>
        </w:rPr>
      </w:pPr>
      <w:r w:rsidRPr="00463230">
        <w:rPr>
          <w:rFonts w:eastAsia="Times New Roman"/>
          <w:noProof/>
          <w:snapToGrid/>
          <w:szCs w:val="22"/>
          <w:u w:val="single"/>
          <w:lang w:val="hu-HU" w:eastAsia="en-US"/>
        </w:rPr>
        <w:t>Ambrisentan</w:t>
      </w:r>
      <w:r w:rsidR="002D3EDF" w:rsidRPr="00463230">
        <w:rPr>
          <w:rFonts w:eastAsia="Times New Roman"/>
          <w:noProof/>
          <w:snapToGrid/>
          <w:szCs w:val="22"/>
          <w:u w:val="single"/>
          <w:lang w:val="hu-HU" w:eastAsia="en-US"/>
        </w:rPr>
        <w:t> </w:t>
      </w:r>
      <w:r w:rsidRPr="00463230">
        <w:rPr>
          <w:rFonts w:eastAsia="Times New Roman"/>
          <w:noProof/>
          <w:snapToGrid/>
          <w:szCs w:val="22"/>
          <w:u w:val="single"/>
          <w:lang w:val="hu-HU" w:eastAsia="en-US"/>
        </w:rPr>
        <w:t>AOP 5 mg filmtabletta</w:t>
      </w:r>
      <w:r w:rsidR="004F407D">
        <w:rPr>
          <w:rFonts w:eastAsia="Times New Roman"/>
          <w:noProof/>
          <w:snapToGrid/>
          <w:szCs w:val="22"/>
          <w:u w:val="single"/>
          <w:lang w:val="hu-HU" w:eastAsia="en-US"/>
        </w:rPr>
        <w:t>:</w:t>
      </w:r>
    </w:p>
    <w:p w14:paraId="6044AEF0" w14:textId="52AE8221" w:rsidR="00782F1A" w:rsidRPr="00C60440" w:rsidRDefault="00782F1A" w:rsidP="00782F1A">
      <w:pPr>
        <w:widowControl w:val="0"/>
        <w:spacing w:line="240" w:lineRule="auto"/>
        <w:rPr>
          <w:rFonts w:eastAsia="Times New Roman"/>
          <w:noProof/>
          <w:snapToGrid/>
          <w:szCs w:val="22"/>
          <w:lang w:val="hu-HU" w:eastAsia="en-US"/>
        </w:rPr>
      </w:pPr>
      <w:r w:rsidRPr="00C60440">
        <w:rPr>
          <w:rFonts w:eastAsia="Times New Roman"/>
          <w:noProof/>
          <w:snapToGrid/>
          <w:szCs w:val="22"/>
          <w:lang w:val="hu-HU" w:eastAsia="en-US"/>
        </w:rPr>
        <w:t>5 mg ambriszentán</w:t>
      </w:r>
      <w:r w:rsidR="004F407D">
        <w:rPr>
          <w:rFonts w:eastAsia="Times New Roman"/>
          <w:noProof/>
          <w:snapToGrid/>
          <w:szCs w:val="22"/>
          <w:lang w:val="hu-HU" w:eastAsia="en-US"/>
        </w:rPr>
        <w:t>t tartalmaz</w:t>
      </w:r>
      <w:r w:rsidRPr="00C60440">
        <w:rPr>
          <w:rFonts w:eastAsia="Times New Roman"/>
          <w:noProof/>
          <w:snapToGrid/>
          <w:szCs w:val="22"/>
          <w:lang w:val="hu-HU" w:eastAsia="en-US"/>
        </w:rPr>
        <w:t xml:space="preserve"> filmtablettánként.</w:t>
      </w:r>
    </w:p>
    <w:p w14:paraId="59FE2903" w14:textId="77777777" w:rsidR="00782F1A" w:rsidRPr="00C60440" w:rsidRDefault="00782F1A" w:rsidP="00782F1A">
      <w:pPr>
        <w:widowControl w:val="0"/>
        <w:spacing w:line="240" w:lineRule="auto"/>
        <w:rPr>
          <w:rFonts w:eastAsia="Times New Roman"/>
          <w:noProof/>
          <w:snapToGrid/>
          <w:szCs w:val="22"/>
          <w:lang w:val="hu-HU" w:eastAsia="en-US"/>
        </w:rPr>
      </w:pPr>
    </w:p>
    <w:p w14:paraId="00849AE7" w14:textId="2D6977B2" w:rsidR="00782F1A" w:rsidRPr="00463230" w:rsidRDefault="00782F1A" w:rsidP="00782F1A">
      <w:pPr>
        <w:widowControl w:val="0"/>
        <w:spacing w:line="240" w:lineRule="auto"/>
        <w:rPr>
          <w:rFonts w:eastAsia="Times New Roman"/>
          <w:noProof/>
          <w:snapToGrid/>
          <w:szCs w:val="22"/>
          <w:u w:val="single"/>
          <w:lang w:val="hu-HU" w:eastAsia="en-US"/>
        </w:rPr>
      </w:pPr>
      <w:r w:rsidRPr="00463230">
        <w:rPr>
          <w:rFonts w:eastAsia="Times New Roman"/>
          <w:noProof/>
          <w:snapToGrid/>
          <w:szCs w:val="22"/>
          <w:u w:val="single"/>
          <w:lang w:val="hu-HU" w:eastAsia="en-US"/>
        </w:rPr>
        <w:t>Ambrisentan</w:t>
      </w:r>
      <w:r w:rsidR="002D3EDF" w:rsidRPr="00463230">
        <w:rPr>
          <w:rFonts w:eastAsia="Times New Roman"/>
          <w:noProof/>
          <w:snapToGrid/>
          <w:szCs w:val="22"/>
          <w:u w:val="single"/>
          <w:lang w:val="hu-HU" w:eastAsia="en-US"/>
        </w:rPr>
        <w:t> </w:t>
      </w:r>
      <w:r w:rsidRPr="00463230">
        <w:rPr>
          <w:rFonts w:eastAsia="Times New Roman"/>
          <w:noProof/>
          <w:snapToGrid/>
          <w:szCs w:val="22"/>
          <w:u w:val="single"/>
          <w:lang w:val="hu-HU" w:eastAsia="en-US"/>
        </w:rPr>
        <w:t>AOP 10 mg filmtabletta</w:t>
      </w:r>
      <w:r w:rsidR="004F407D">
        <w:rPr>
          <w:rFonts w:eastAsia="Times New Roman"/>
          <w:noProof/>
          <w:snapToGrid/>
          <w:szCs w:val="22"/>
          <w:u w:val="single"/>
          <w:lang w:val="hu-HU" w:eastAsia="en-US"/>
        </w:rPr>
        <w:t>:</w:t>
      </w:r>
    </w:p>
    <w:p w14:paraId="4D81D93A" w14:textId="31EE2318" w:rsidR="00782F1A" w:rsidRPr="00C60440" w:rsidRDefault="00782F1A" w:rsidP="00782F1A">
      <w:pPr>
        <w:widowControl w:val="0"/>
        <w:spacing w:line="240" w:lineRule="auto"/>
        <w:rPr>
          <w:rFonts w:eastAsia="Times New Roman"/>
          <w:noProof/>
          <w:snapToGrid/>
          <w:szCs w:val="22"/>
          <w:lang w:val="hu-HU" w:eastAsia="en-US"/>
        </w:rPr>
      </w:pPr>
      <w:r w:rsidRPr="00C60440">
        <w:rPr>
          <w:rFonts w:eastAsia="Times New Roman"/>
          <w:noProof/>
          <w:snapToGrid/>
          <w:szCs w:val="22"/>
          <w:lang w:val="hu-HU" w:eastAsia="en-US"/>
        </w:rPr>
        <w:t>10 mg ambriszentán</w:t>
      </w:r>
      <w:r w:rsidR="004F407D">
        <w:rPr>
          <w:rFonts w:eastAsia="Times New Roman"/>
          <w:noProof/>
          <w:snapToGrid/>
          <w:szCs w:val="22"/>
          <w:lang w:val="hu-HU" w:eastAsia="en-US"/>
        </w:rPr>
        <w:t>t tartalmaz</w:t>
      </w:r>
      <w:r w:rsidRPr="00C60440">
        <w:rPr>
          <w:rFonts w:eastAsia="Times New Roman"/>
          <w:noProof/>
          <w:snapToGrid/>
          <w:szCs w:val="22"/>
          <w:lang w:val="hu-HU" w:eastAsia="en-US"/>
        </w:rPr>
        <w:t xml:space="preserve"> filmtablettánként.</w:t>
      </w:r>
    </w:p>
    <w:p w14:paraId="32DF855C" w14:textId="77777777" w:rsidR="00782F1A" w:rsidRPr="00C60440" w:rsidRDefault="00782F1A" w:rsidP="00082A8E">
      <w:pPr>
        <w:pStyle w:val="EMEAEnBodyText"/>
        <w:autoSpaceDE w:val="0"/>
        <w:autoSpaceDN w:val="0"/>
        <w:adjustRightInd w:val="0"/>
        <w:spacing w:before="0" w:after="0"/>
        <w:rPr>
          <w:bCs/>
          <w:noProof/>
          <w:szCs w:val="22"/>
          <w:u w:val="single"/>
          <w:lang w:val="hu-HU"/>
        </w:rPr>
      </w:pPr>
    </w:p>
    <w:p w14:paraId="37CB4496" w14:textId="7EFF9EC5" w:rsidR="00F45C51" w:rsidRPr="00C60440" w:rsidRDefault="00E61DC0" w:rsidP="00082A8E">
      <w:pPr>
        <w:pStyle w:val="EMEAEnBodyText"/>
        <w:autoSpaceDE w:val="0"/>
        <w:autoSpaceDN w:val="0"/>
        <w:adjustRightInd w:val="0"/>
        <w:spacing w:before="0" w:after="0"/>
        <w:rPr>
          <w:szCs w:val="22"/>
          <w:u w:val="single"/>
          <w:lang w:val="hu-HU"/>
        </w:rPr>
      </w:pPr>
      <w:r w:rsidRPr="00C60440">
        <w:rPr>
          <w:bCs/>
          <w:noProof/>
          <w:szCs w:val="22"/>
          <w:u w:val="single"/>
          <w:lang w:val="hu-HU"/>
        </w:rPr>
        <w:t>Ismert hatású segédanyag</w:t>
      </w:r>
      <w:r w:rsidRPr="00C60440">
        <w:rPr>
          <w:szCs w:val="22"/>
          <w:u w:val="single"/>
          <w:lang w:val="hu-HU"/>
        </w:rPr>
        <w:t>ok</w:t>
      </w:r>
    </w:p>
    <w:p w14:paraId="7F84679F" w14:textId="77777777" w:rsidR="00CF12B1" w:rsidRDefault="00CF12B1" w:rsidP="00782F1A">
      <w:pPr>
        <w:widowControl w:val="0"/>
        <w:spacing w:line="240" w:lineRule="auto"/>
        <w:rPr>
          <w:rFonts w:eastAsia="Times New Roman"/>
          <w:noProof/>
          <w:snapToGrid/>
          <w:szCs w:val="22"/>
          <w:u w:val="single"/>
          <w:lang w:val="hu-HU" w:eastAsia="en-US"/>
        </w:rPr>
      </w:pPr>
    </w:p>
    <w:p w14:paraId="7F9E33FA" w14:textId="17C520DE" w:rsidR="00782F1A" w:rsidRPr="00C60440" w:rsidRDefault="00782F1A" w:rsidP="00782F1A">
      <w:pPr>
        <w:widowControl w:val="0"/>
        <w:spacing w:line="240" w:lineRule="auto"/>
        <w:rPr>
          <w:rFonts w:eastAsia="Times New Roman"/>
          <w:noProof/>
          <w:snapToGrid/>
          <w:szCs w:val="22"/>
          <w:u w:val="single"/>
          <w:lang w:val="hu-HU" w:eastAsia="en-US"/>
        </w:rPr>
      </w:pPr>
      <w:r w:rsidRPr="00C60440">
        <w:rPr>
          <w:rFonts w:eastAsia="Times New Roman"/>
          <w:noProof/>
          <w:snapToGrid/>
          <w:szCs w:val="22"/>
          <w:u w:val="single"/>
          <w:lang w:val="hu-HU" w:eastAsia="en-US"/>
        </w:rPr>
        <w:t>Ambrisentan</w:t>
      </w:r>
      <w:r w:rsidR="002D3EDF">
        <w:rPr>
          <w:rFonts w:eastAsia="Times New Roman"/>
          <w:noProof/>
          <w:snapToGrid/>
          <w:szCs w:val="22"/>
          <w:u w:val="single"/>
          <w:lang w:val="hu-HU" w:eastAsia="en-US"/>
        </w:rPr>
        <w:t> </w:t>
      </w:r>
      <w:r w:rsidRPr="00C60440">
        <w:rPr>
          <w:rFonts w:eastAsia="Times New Roman"/>
          <w:noProof/>
          <w:snapToGrid/>
          <w:szCs w:val="22"/>
          <w:u w:val="single"/>
          <w:lang w:val="hu-HU" w:eastAsia="en-US"/>
        </w:rPr>
        <w:t>AOP 5 mg filmtabletta</w:t>
      </w:r>
      <w:r w:rsidR="004F407D">
        <w:rPr>
          <w:rFonts w:eastAsia="Times New Roman"/>
          <w:noProof/>
          <w:snapToGrid/>
          <w:szCs w:val="22"/>
          <w:u w:val="single"/>
          <w:lang w:val="hu-HU" w:eastAsia="en-US"/>
        </w:rPr>
        <w:t>:</w:t>
      </w:r>
    </w:p>
    <w:p w14:paraId="08159492" w14:textId="5F97A7AA" w:rsidR="00782F1A" w:rsidRPr="00C60440" w:rsidRDefault="004459B2" w:rsidP="00463230">
      <w:pPr>
        <w:pStyle w:val="EMEAEnBodyText"/>
        <w:autoSpaceDE w:val="0"/>
        <w:autoSpaceDN w:val="0"/>
        <w:adjustRightInd w:val="0"/>
        <w:spacing w:before="0" w:after="0"/>
        <w:jc w:val="left"/>
        <w:rPr>
          <w:bCs/>
          <w:noProof/>
          <w:szCs w:val="22"/>
          <w:lang w:val="hu-HU"/>
        </w:rPr>
      </w:pPr>
      <w:r>
        <w:rPr>
          <w:szCs w:val="22"/>
          <w:lang w:val="hu-HU"/>
        </w:rPr>
        <w:t>K</w:t>
      </w:r>
      <w:r w:rsidR="00782F1A" w:rsidRPr="00C60440">
        <w:rPr>
          <w:szCs w:val="22"/>
          <w:lang w:val="hu-HU"/>
        </w:rPr>
        <w:t>örülbelül 47,5 mg laktózt (monohidrát formájában), körülbelül 0,</w:t>
      </w:r>
      <w:r w:rsidR="00965562" w:rsidRPr="00C60440">
        <w:rPr>
          <w:szCs w:val="22"/>
          <w:lang w:val="hu-HU"/>
        </w:rPr>
        <w:t>14 </w:t>
      </w:r>
      <w:r w:rsidR="00782F1A" w:rsidRPr="00C60440">
        <w:rPr>
          <w:szCs w:val="22"/>
          <w:lang w:val="hu-HU"/>
        </w:rPr>
        <w:t xml:space="preserve">mg </w:t>
      </w:r>
      <w:r w:rsidR="00886672">
        <w:rPr>
          <w:szCs w:val="22"/>
          <w:lang w:val="hu-HU"/>
        </w:rPr>
        <w:t>szója</w:t>
      </w:r>
      <w:r w:rsidR="00782F1A" w:rsidRPr="00C60440">
        <w:rPr>
          <w:szCs w:val="22"/>
          <w:lang w:val="hu-HU"/>
        </w:rPr>
        <w:t>lecitint (E322) és körülbelül 0,</w:t>
      </w:r>
      <w:r w:rsidR="00965562" w:rsidRPr="00C60440">
        <w:rPr>
          <w:szCs w:val="22"/>
          <w:lang w:val="hu-HU"/>
        </w:rPr>
        <w:t>02 </w:t>
      </w:r>
      <w:r w:rsidR="00782F1A" w:rsidRPr="00C60440">
        <w:rPr>
          <w:szCs w:val="22"/>
          <w:lang w:val="hu-HU"/>
        </w:rPr>
        <w:t>mg Alluravörös AC (E129) alumínium lakkot tartalmaz</w:t>
      </w:r>
      <w:r>
        <w:rPr>
          <w:szCs w:val="22"/>
          <w:lang w:val="hu-HU"/>
        </w:rPr>
        <w:t xml:space="preserve"> filmtablettánként</w:t>
      </w:r>
      <w:r w:rsidR="00782F1A" w:rsidRPr="00C60440">
        <w:rPr>
          <w:szCs w:val="22"/>
          <w:lang w:val="hu-HU"/>
        </w:rPr>
        <w:t>.</w:t>
      </w:r>
    </w:p>
    <w:p w14:paraId="49C6E9AE" w14:textId="77777777" w:rsidR="00782F1A" w:rsidRPr="00C60440" w:rsidRDefault="00782F1A" w:rsidP="00082A8E">
      <w:pPr>
        <w:pStyle w:val="EMEAEnBodyText"/>
        <w:autoSpaceDE w:val="0"/>
        <w:autoSpaceDN w:val="0"/>
        <w:adjustRightInd w:val="0"/>
        <w:spacing w:before="0" w:after="0"/>
        <w:rPr>
          <w:bCs/>
          <w:noProof/>
          <w:szCs w:val="22"/>
          <w:lang w:val="hu-HU"/>
        </w:rPr>
      </w:pPr>
    </w:p>
    <w:p w14:paraId="6D17AC9E" w14:textId="2CAB9F45" w:rsidR="00965562" w:rsidRPr="00C60440" w:rsidRDefault="00965562" w:rsidP="00965562">
      <w:pPr>
        <w:widowControl w:val="0"/>
        <w:spacing w:line="240" w:lineRule="auto"/>
        <w:rPr>
          <w:rFonts w:eastAsia="Times New Roman"/>
          <w:noProof/>
          <w:snapToGrid/>
          <w:szCs w:val="22"/>
          <w:u w:val="single"/>
          <w:lang w:val="hu-HU" w:eastAsia="en-US"/>
        </w:rPr>
      </w:pPr>
      <w:r w:rsidRPr="00C60440">
        <w:rPr>
          <w:rFonts w:eastAsia="Times New Roman"/>
          <w:noProof/>
          <w:snapToGrid/>
          <w:szCs w:val="22"/>
          <w:u w:val="single"/>
          <w:lang w:val="hu-HU" w:eastAsia="en-US"/>
        </w:rPr>
        <w:t>Ambrisentan</w:t>
      </w:r>
      <w:r w:rsidR="002D3EDF">
        <w:rPr>
          <w:rFonts w:eastAsia="Times New Roman"/>
          <w:noProof/>
          <w:snapToGrid/>
          <w:szCs w:val="22"/>
          <w:u w:val="single"/>
          <w:lang w:val="hu-HU" w:eastAsia="en-US"/>
        </w:rPr>
        <w:t> </w:t>
      </w:r>
      <w:r w:rsidRPr="00C60440">
        <w:rPr>
          <w:rFonts w:eastAsia="Times New Roman"/>
          <w:noProof/>
          <w:snapToGrid/>
          <w:szCs w:val="22"/>
          <w:u w:val="single"/>
          <w:lang w:val="hu-HU" w:eastAsia="en-US"/>
        </w:rPr>
        <w:t>AOP 10 mg filmtabletta</w:t>
      </w:r>
    </w:p>
    <w:p w14:paraId="404620D6" w14:textId="3616783B" w:rsidR="00965562" w:rsidRPr="00C60440" w:rsidRDefault="004459B2" w:rsidP="00463230">
      <w:pPr>
        <w:pStyle w:val="EMEAEnBodyText"/>
        <w:autoSpaceDE w:val="0"/>
        <w:autoSpaceDN w:val="0"/>
        <w:adjustRightInd w:val="0"/>
        <w:spacing w:before="0" w:after="0"/>
        <w:jc w:val="left"/>
        <w:rPr>
          <w:bCs/>
          <w:noProof/>
          <w:szCs w:val="22"/>
          <w:lang w:val="hu-HU"/>
        </w:rPr>
      </w:pPr>
      <w:r>
        <w:rPr>
          <w:szCs w:val="22"/>
          <w:lang w:val="hu-HU"/>
        </w:rPr>
        <w:t>K</w:t>
      </w:r>
      <w:r w:rsidR="00965562" w:rsidRPr="00C60440">
        <w:rPr>
          <w:szCs w:val="22"/>
          <w:lang w:val="hu-HU"/>
        </w:rPr>
        <w:t xml:space="preserve">örülbelül 95 mg laktózt (monohidrát formájában), körülbelül 0,21 mg </w:t>
      </w:r>
      <w:r w:rsidR="00886672">
        <w:rPr>
          <w:szCs w:val="22"/>
          <w:lang w:val="hu-HU"/>
        </w:rPr>
        <w:t>szója</w:t>
      </w:r>
      <w:r w:rsidR="00965562" w:rsidRPr="00C60440">
        <w:rPr>
          <w:szCs w:val="22"/>
          <w:lang w:val="hu-HU"/>
        </w:rPr>
        <w:t>lecitint (E322) és körülbelül 0,41 mg Alluravörös AC (E129) alumínium lakkot tartalmaz</w:t>
      </w:r>
      <w:r>
        <w:rPr>
          <w:szCs w:val="22"/>
          <w:lang w:val="hu-HU"/>
        </w:rPr>
        <w:t xml:space="preserve"> filmtablettánként</w:t>
      </w:r>
      <w:r w:rsidR="00965562" w:rsidRPr="00C60440">
        <w:rPr>
          <w:szCs w:val="22"/>
          <w:lang w:val="hu-HU"/>
        </w:rPr>
        <w:t>.</w:t>
      </w:r>
    </w:p>
    <w:p w14:paraId="5D64D076" w14:textId="77777777" w:rsidR="00782F1A" w:rsidRPr="00C60440" w:rsidRDefault="00782F1A" w:rsidP="00082A8E">
      <w:pPr>
        <w:pStyle w:val="EMEAEnBodyText"/>
        <w:autoSpaceDE w:val="0"/>
        <w:autoSpaceDN w:val="0"/>
        <w:adjustRightInd w:val="0"/>
        <w:spacing w:before="0" w:after="0"/>
        <w:rPr>
          <w:bCs/>
          <w:noProof/>
          <w:szCs w:val="22"/>
          <w:lang w:val="hu-HU"/>
        </w:rPr>
      </w:pPr>
    </w:p>
    <w:p w14:paraId="4FFA24A6" w14:textId="5F3BAD29" w:rsidR="00F45C51" w:rsidRPr="00C60440" w:rsidRDefault="00111AC4" w:rsidP="00082A8E">
      <w:pPr>
        <w:pStyle w:val="EMEAEnBodyText"/>
        <w:autoSpaceDE w:val="0"/>
        <w:autoSpaceDN w:val="0"/>
        <w:adjustRightInd w:val="0"/>
        <w:spacing w:before="0" w:after="0"/>
        <w:rPr>
          <w:bCs/>
          <w:noProof/>
          <w:szCs w:val="22"/>
          <w:lang w:val="hu-HU"/>
        </w:rPr>
      </w:pPr>
      <w:r w:rsidRPr="00C60440">
        <w:rPr>
          <w:szCs w:val="22"/>
          <w:lang w:val="hu-HU"/>
        </w:rPr>
        <w:t xml:space="preserve">A segédanyagok teljes </w:t>
      </w:r>
      <w:r w:rsidR="00127C1D" w:rsidRPr="00C60440">
        <w:rPr>
          <w:bCs/>
          <w:noProof/>
          <w:szCs w:val="22"/>
          <w:lang w:val="hu-HU"/>
        </w:rPr>
        <w:t>list</w:t>
      </w:r>
      <w:r w:rsidRPr="00C60440">
        <w:rPr>
          <w:bCs/>
          <w:noProof/>
          <w:szCs w:val="22"/>
          <w:lang w:val="hu-HU"/>
        </w:rPr>
        <w:t>á</w:t>
      </w:r>
      <w:r w:rsidR="00127C1D" w:rsidRPr="00C60440">
        <w:rPr>
          <w:bCs/>
          <w:noProof/>
          <w:szCs w:val="22"/>
          <w:lang w:val="hu-HU"/>
        </w:rPr>
        <w:t>j</w:t>
      </w:r>
      <w:r w:rsidRPr="00C60440">
        <w:rPr>
          <w:bCs/>
          <w:noProof/>
          <w:szCs w:val="22"/>
          <w:lang w:val="hu-HU"/>
        </w:rPr>
        <w:t>át</w:t>
      </w:r>
      <w:r w:rsidRPr="00C60440">
        <w:rPr>
          <w:szCs w:val="22"/>
          <w:lang w:val="hu-HU"/>
        </w:rPr>
        <w:t xml:space="preserve"> lásd a 6.1</w:t>
      </w:r>
      <w:r w:rsidR="00E61DC0" w:rsidRPr="00C60440">
        <w:rPr>
          <w:szCs w:val="22"/>
          <w:lang w:val="hu-HU"/>
        </w:rPr>
        <w:t> </w:t>
      </w:r>
      <w:r w:rsidRPr="00C60440">
        <w:rPr>
          <w:szCs w:val="22"/>
          <w:lang w:val="hu-HU"/>
        </w:rPr>
        <w:t>pontban</w:t>
      </w:r>
      <w:r w:rsidRPr="00C60440">
        <w:rPr>
          <w:bCs/>
          <w:noProof/>
          <w:szCs w:val="22"/>
          <w:lang w:val="hu-HU"/>
        </w:rPr>
        <w:t>.</w:t>
      </w:r>
    </w:p>
    <w:p w14:paraId="639FA728" w14:textId="77777777" w:rsidR="008A53A7" w:rsidRPr="00C60440" w:rsidRDefault="008A53A7" w:rsidP="00082A8E">
      <w:pPr>
        <w:pStyle w:val="EMEAEnBodyText"/>
        <w:autoSpaceDE w:val="0"/>
        <w:autoSpaceDN w:val="0"/>
        <w:adjustRightInd w:val="0"/>
        <w:spacing w:before="0" w:after="0"/>
        <w:rPr>
          <w:szCs w:val="22"/>
          <w:lang w:val="hu-HU"/>
        </w:rPr>
      </w:pPr>
    </w:p>
    <w:p w14:paraId="7EDC9BDE" w14:textId="77777777" w:rsidR="00F45C51" w:rsidRPr="00C60440" w:rsidRDefault="00F45C51" w:rsidP="00082A8E">
      <w:pPr>
        <w:widowControl w:val="0"/>
        <w:spacing w:line="240" w:lineRule="auto"/>
        <w:rPr>
          <w:bCs/>
          <w:szCs w:val="22"/>
          <w:lang w:val="hu-HU"/>
        </w:rPr>
      </w:pPr>
    </w:p>
    <w:p w14:paraId="70549AE4" w14:textId="77777777" w:rsidR="00F45C51" w:rsidRPr="00C60440" w:rsidRDefault="00E61DC0" w:rsidP="00082A8E">
      <w:pPr>
        <w:spacing w:line="240" w:lineRule="auto"/>
        <w:ind w:left="567" w:hanging="567"/>
        <w:rPr>
          <w:rFonts w:eastAsia="Times New Roman"/>
          <w:b/>
          <w:noProof/>
          <w:snapToGrid/>
          <w:szCs w:val="22"/>
          <w:lang w:val="hu-HU" w:eastAsia="en-US"/>
        </w:rPr>
      </w:pPr>
      <w:r w:rsidRPr="00C60440">
        <w:rPr>
          <w:rFonts w:eastAsia="Times New Roman"/>
          <w:b/>
          <w:noProof/>
          <w:snapToGrid/>
          <w:szCs w:val="22"/>
          <w:lang w:val="hu-HU" w:eastAsia="en-US"/>
        </w:rPr>
        <w:t>3.</w:t>
      </w:r>
      <w:r w:rsidRPr="00C60440">
        <w:rPr>
          <w:rFonts w:eastAsia="Times New Roman"/>
          <w:b/>
          <w:noProof/>
          <w:snapToGrid/>
          <w:szCs w:val="22"/>
          <w:lang w:val="hu-HU" w:eastAsia="en-US"/>
        </w:rPr>
        <w:tab/>
        <w:t>GYÓGYSZERFORMA</w:t>
      </w:r>
    </w:p>
    <w:p w14:paraId="78C717C8" w14:textId="77777777" w:rsidR="00F45C51" w:rsidRPr="00C60440" w:rsidRDefault="00F45C51" w:rsidP="00082A8E">
      <w:pPr>
        <w:spacing w:line="240" w:lineRule="auto"/>
        <w:ind w:left="567" w:hanging="567"/>
        <w:rPr>
          <w:b/>
          <w:szCs w:val="22"/>
          <w:lang w:val="hu-HU"/>
        </w:rPr>
      </w:pPr>
    </w:p>
    <w:p w14:paraId="08E856B6" w14:textId="15883E38" w:rsidR="00226DFC" w:rsidRDefault="00E61DC0" w:rsidP="00082A8E">
      <w:pPr>
        <w:spacing w:line="240" w:lineRule="auto"/>
        <w:ind w:left="567" w:hanging="567"/>
        <w:rPr>
          <w:szCs w:val="22"/>
          <w:lang w:val="hu-HU" w:eastAsia="en-US"/>
        </w:rPr>
      </w:pPr>
      <w:r w:rsidRPr="00C60440">
        <w:rPr>
          <w:szCs w:val="22"/>
          <w:lang w:val="hu-HU" w:eastAsia="en-US"/>
        </w:rPr>
        <w:t>Filmtabletta</w:t>
      </w:r>
    </w:p>
    <w:p w14:paraId="26C79CC6" w14:textId="77777777" w:rsidR="00CF12B1" w:rsidRPr="00C60440" w:rsidRDefault="00CF12B1" w:rsidP="00082A8E">
      <w:pPr>
        <w:spacing w:line="240" w:lineRule="auto"/>
        <w:ind w:left="567" w:hanging="567"/>
        <w:rPr>
          <w:szCs w:val="22"/>
          <w:lang w:val="hu-HU" w:eastAsia="en-US"/>
        </w:rPr>
      </w:pPr>
    </w:p>
    <w:p w14:paraId="2421B9E8" w14:textId="49273C40" w:rsidR="00E61DC0" w:rsidRPr="00C60440" w:rsidRDefault="00E61DC0" w:rsidP="00E61DC0">
      <w:pPr>
        <w:widowControl w:val="0"/>
        <w:spacing w:line="240" w:lineRule="auto"/>
        <w:rPr>
          <w:rFonts w:eastAsia="Times New Roman"/>
          <w:noProof/>
          <w:snapToGrid/>
          <w:szCs w:val="22"/>
          <w:u w:val="single"/>
          <w:lang w:val="hu-HU" w:eastAsia="en-US"/>
        </w:rPr>
      </w:pPr>
      <w:r w:rsidRPr="00C60440">
        <w:rPr>
          <w:rFonts w:eastAsia="Times New Roman"/>
          <w:noProof/>
          <w:snapToGrid/>
          <w:szCs w:val="22"/>
          <w:u w:val="single"/>
          <w:lang w:val="hu-HU" w:eastAsia="en-US"/>
        </w:rPr>
        <w:t>Ambrisentan</w:t>
      </w:r>
      <w:r w:rsidR="002D3EDF">
        <w:rPr>
          <w:rFonts w:eastAsia="Times New Roman"/>
          <w:noProof/>
          <w:snapToGrid/>
          <w:szCs w:val="22"/>
          <w:u w:val="single"/>
          <w:lang w:val="hu-HU" w:eastAsia="en-US"/>
        </w:rPr>
        <w:t> </w:t>
      </w:r>
      <w:r w:rsidRPr="00C60440">
        <w:rPr>
          <w:rFonts w:eastAsia="Times New Roman"/>
          <w:noProof/>
          <w:snapToGrid/>
          <w:szCs w:val="22"/>
          <w:u w:val="single"/>
          <w:lang w:val="hu-HU" w:eastAsia="en-US"/>
        </w:rPr>
        <w:t>AOP 5 mg filmtabletta</w:t>
      </w:r>
    </w:p>
    <w:p w14:paraId="5164D3E4" w14:textId="3C209E07" w:rsidR="00E61DC0" w:rsidRDefault="00E61DC0" w:rsidP="00E61DC0">
      <w:pPr>
        <w:spacing w:line="240" w:lineRule="auto"/>
        <w:rPr>
          <w:rFonts w:eastAsia="Times New Roman"/>
          <w:noProof/>
          <w:snapToGrid/>
          <w:szCs w:val="22"/>
          <w:lang w:val="hu-HU" w:eastAsia="en-US"/>
        </w:rPr>
      </w:pPr>
      <w:r w:rsidRPr="00C60440">
        <w:rPr>
          <w:rFonts w:eastAsia="Times New Roman"/>
          <w:noProof/>
          <w:snapToGrid/>
          <w:szCs w:val="22"/>
          <w:lang w:val="hu-HU" w:eastAsia="en-US"/>
        </w:rPr>
        <w:t>Halvány rózsaszín, négy</w:t>
      </w:r>
      <w:r w:rsidR="00FB7039">
        <w:rPr>
          <w:rFonts w:eastAsia="Times New Roman"/>
          <w:noProof/>
          <w:snapToGrid/>
          <w:szCs w:val="22"/>
          <w:lang w:val="hu-HU" w:eastAsia="en-US"/>
        </w:rPr>
        <w:t>zet alakú</w:t>
      </w:r>
      <w:r w:rsidRPr="00C60440">
        <w:rPr>
          <w:rFonts w:eastAsia="Times New Roman"/>
          <w:noProof/>
          <w:snapToGrid/>
          <w:szCs w:val="22"/>
          <w:lang w:val="hu-HU" w:eastAsia="en-US"/>
        </w:rPr>
        <w:t>, domború felületű filmtabletta, egyik oldalán „5” mélynyomású jelzéssel</w:t>
      </w:r>
      <w:r w:rsidR="00FB7039">
        <w:rPr>
          <w:rFonts w:eastAsia="Times New Roman"/>
          <w:noProof/>
          <w:snapToGrid/>
          <w:szCs w:val="22"/>
          <w:lang w:val="hu-HU" w:eastAsia="en-US"/>
        </w:rPr>
        <w:t xml:space="preserve"> ellátva</w:t>
      </w:r>
      <w:r w:rsidRPr="00C60440">
        <w:rPr>
          <w:rFonts w:eastAsia="Times New Roman"/>
          <w:noProof/>
          <w:snapToGrid/>
          <w:szCs w:val="22"/>
          <w:lang w:val="hu-HU" w:eastAsia="en-US"/>
        </w:rPr>
        <w:t xml:space="preserve">, </w:t>
      </w:r>
      <w:r w:rsidR="00437EAC">
        <w:rPr>
          <w:rFonts w:eastAsia="Times New Roman"/>
          <w:noProof/>
          <w:snapToGrid/>
          <w:szCs w:val="22"/>
          <w:lang w:val="hu-HU" w:eastAsia="en-US"/>
        </w:rPr>
        <w:t xml:space="preserve">a </w:t>
      </w:r>
      <w:r w:rsidRPr="00C60440">
        <w:rPr>
          <w:rFonts w:eastAsia="Times New Roman"/>
          <w:noProof/>
          <w:snapToGrid/>
          <w:szCs w:val="22"/>
          <w:lang w:val="hu-HU" w:eastAsia="en-US"/>
        </w:rPr>
        <w:t>másik oldal sima</w:t>
      </w:r>
      <w:r w:rsidR="00FB7039">
        <w:rPr>
          <w:rFonts w:eastAsia="Times New Roman"/>
          <w:noProof/>
          <w:snapToGrid/>
          <w:szCs w:val="22"/>
          <w:lang w:val="hu-HU" w:eastAsia="en-US"/>
        </w:rPr>
        <w:t>.</w:t>
      </w:r>
      <w:r w:rsidRPr="00C60440">
        <w:rPr>
          <w:rFonts w:eastAsia="Times New Roman"/>
          <w:noProof/>
          <w:snapToGrid/>
          <w:szCs w:val="22"/>
          <w:lang w:val="hu-HU" w:eastAsia="en-US"/>
        </w:rPr>
        <w:t xml:space="preserve"> </w:t>
      </w:r>
      <w:r w:rsidR="00FB7039">
        <w:rPr>
          <w:rFonts w:eastAsia="Times New Roman"/>
          <w:noProof/>
          <w:snapToGrid/>
          <w:szCs w:val="22"/>
          <w:lang w:val="hu-HU" w:eastAsia="en-US"/>
        </w:rPr>
        <w:t>N</w:t>
      </w:r>
      <w:r w:rsidRPr="00C60440">
        <w:rPr>
          <w:rFonts w:eastAsia="Times New Roman"/>
          <w:noProof/>
          <w:snapToGrid/>
          <w:szCs w:val="22"/>
          <w:lang w:val="hu-HU" w:eastAsia="en-US"/>
        </w:rPr>
        <w:t xml:space="preserve">évleges </w:t>
      </w:r>
      <w:r w:rsidR="00FB7039" w:rsidRPr="00C61ECB">
        <w:rPr>
          <w:spacing w:val="-3"/>
          <w:szCs w:val="22"/>
          <w:lang w:val="hu-HU"/>
        </w:rPr>
        <w:t>szélesség/hosszúság</w:t>
      </w:r>
      <w:r w:rsidR="00FB7039" w:rsidRPr="00C61ECB">
        <w:rPr>
          <w:spacing w:val="-3"/>
          <w:sz w:val="24"/>
          <w:szCs w:val="24"/>
          <w:lang w:val="hu-HU"/>
        </w:rPr>
        <w:t xml:space="preserve"> </w:t>
      </w:r>
      <w:r w:rsidRPr="00C60440">
        <w:rPr>
          <w:rFonts w:eastAsia="Times New Roman"/>
          <w:noProof/>
          <w:snapToGrid/>
          <w:szCs w:val="22"/>
          <w:lang w:val="hu-HU" w:eastAsia="en-US"/>
        </w:rPr>
        <w:t>körülbelül 5</w:t>
      </w:r>
      <w:r w:rsidR="00C76989">
        <w:rPr>
          <w:rFonts w:eastAsia="Times New Roman"/>
          <w:noProof/>
          <w:snapToGrid/>
          <w:szCs w:val="22"/>
          <w:lang w:val="hu-HU" w:eastAsia="en-US"/>
        </w:rPr>
        <w:t>,</w:t>
      </w:r>
      <w:r w:rsidRPr="00C60440">
        <w:rPr>
          <w:rFonts w:eastAsia="Times New Roman"/>
          <w:noProof/>
          <w:snapToGrid/>
          <w:szCs w:val="22"/>
          <w:lang w:val="hu-HU" w:eastAsia="en-US"/>
        </w:rPr>
        <w:t>9 mm.</w:t>
      </w:r>
    </w:p>
    <w:p w14:paraId="79E7B649" w14:textId="77777777" w:rsidR="00CF12B1" w:rsidRPr="00C60440" w:rsidRDefault="00CF12B1" w:rsidP="00E61DC0">
      <w:pPr>
        <w:spacing w:line="240" w:lineRule="auto"/>
        <w:rPr>
          <w:rFonts w:eastAsia="Times New Roman"/>
          <w:noProof/>
          <w:snapToGrid/>
          <w:szCs w:val="22"/>
          <w:lang w:val="hu-HU" w:eastAsia="en-US"/>
        </w:rPr>
      </w:pPr>
    </w:p>
    <w:p w14:paraId="4D080B17" w14:textId="72006E0F" w:rsidR="00E61DC0" w:rsidRPr="00C60440" w:rsidRDefault="00E61DC0" w:rsidP="00E61DC0">
      <w:pPr>
        <w:widowControl w:val="0"/>
        <w:spacing w:line="240" w:lineRule="auto"/>
        <w:rPr>
          <w:rFonts w:eastAsia="Times New Roman"/>
          <w:noProof/>
          <w:snapToGrid/>
          <w:szCs w:val="22"/>
          <w:u w:val="single"/>
          <w:lang w:val="hu-HU" w:eastAsia="en-US"/>
        </w:rPr>
      </w:pPr>
      <w:r w:rsidRPr="00C60440">
        <w:rPr>
          <w:rFonts w:eastAsia="Times New Roman"/>
          <w:noProof/>
          <w:snapToGrid/>
          <w:szCs w:val="22"/>
          <w:u w:val="single"/>
          <w:lang w:val="hu-HU" w:eastAsia="en-US"/>
        </w:rPr>
        <w:t>Ambrisentan</w:t>
      </w:r>
      <w:r w:rsidR="002D3EDF">
        <w:rPr>
          <w:rFonts w:eastAsia="Times New Roman"/>
          <w:noProof/>
          <w:snapToGrid/>
          <w:szCs w:val="22"/>
          <w:u w:val="single"/>
          <w:lang w:val="hu-HU" w:eastAsia="en-US"/>
        </w:rPr>
        <w:t> </w:t>
      </w:r>
      <w:r w:rsidRPr="00C60440">
        <w:rPr>
          <w:rFonts w:eastAsia="Times New Roman"/>
          <w:noProof/>
          <w:snapToGrid/>
          <w:szCs w:val="22"/>
          <w:u w:val="single"/>
          <w:lang w:val="hu-HU" w:eastAsia="en-US"/>
        </w:rPr>
        <w:t>AOP 10 mg filmtabletta</w:t>
      </w:r>
    </w:p>
    <w:p w14:paraId="489E487F" w14:textId="3A169468" w:rsidR="00E61DC0" w:rsidRPr="00C60440" w:rsidRDefault="00E61DC0" w:rsidP="00E61DC0">
      <w:pPr>
        <w:spacing w:line="240" w:lineRule="auto"/>
        <w:rPr>
          <w:rFonts w:eastAsia="Times New Roman"/>
          <w:noProof/>
          <w:snapToGrid/>
          <w:szCs w:val="22"/>
          <w:lang w:val="hu-HU" w:eastAsia="en-US"/>
        </w:rPr>
      </w:pPr>
      <w:r w:rsidRPr="00C60440">
        <w:rPr>
          <w:rFonts w:eastAsia="Times New Roman"/>
          <w:noProof/>
          <w:snapToGrid/>
          <w:szCs w:val="22"/>
          <w:lang w:val="hu-HU" w:eastAsia="en-US"/>
        </w:rPr>
        <w:t xml:space="preserve">Rózsaszín, </w:t>
      </w:r>
      <w:r w:rsidR="00C152E2" w:rsidRPr="00C60440">
        <w:rPr>
          <w:rFonts w:eastAsia="Times New Roman"/>
          <w:noProof/>
          <w:snapToGrid/>
          <w:szCs w:val="22"/>
          <w:lang w:val="hu-HU" w:eastAsia="en-US"/>
        </w:rPr>
        <w:t>hosszúkás</w:t>
      </w:r>
      <w:r w:rsidRPr="00C60440">
        <w:rPr>
          <w:rFonts w:eastAsia="Times New Roman"/>
          <w:noProof/>
          <w:snapToGrid/>
          <w:szCs w:val="22"/>
          <w:lang w:val="hu-HU" w:eastAsia="en-US"/>
        </w:rPr>
        <w:t>, mindkét oldalán domború felületű fi</w:t>
      </w:r>
      <w:r w:rsidR="00437EAC">
        <w:rPr>
          <w:rFonts w:eastAsia="Times New Roman"/>
          <w:noProof/>
          <w:snapToGrid/>
          <w:szCs w:val="22"/>
          <w:lang w:val="hu-HU" w:eastAsia="en-US"/>
        </w:rPr>
        <w:t>lm</w:t>
      </w:r>
      <w:r w:rsidRPr="00C60440">
        <w:rPr>
          <w:rFonts w:eastAsia="Times New Roman"/>
          <w:noProof/>
          <w:snapToGrid/>
          <w:szCs w:val="22"/>
          <w:lang w:val="hu-HU" w:eastAsia="en-US"/>
        </w:rPr>
        <w:t>tabletta, egyik oldalán „</w:t>
      </w:r>
      <w:r w:rsidR="00C152E2" w:rsidRPr="00C60440">
        <w:rPr>
          <w:rFonts w:eastAsia="Times New Roman"/>
          <w:noProof/>
          <w:snapToGrid/>
          <w:szCs w:val="22"/>
          <w:lang w:val="hu-HU" w:eastAsia="en-US"/>
        </w:rPr>
        <w:t>10</w:t>
      </w:r>
      <w:r w:rsidRPr="00C60440">
        <w:rPr>
          <w:rFonts w:eastAsia="Times New Roman"/>
          <w:noProof/>
          <w:snapToGrid/>
          <w:szCs w:val="22"/>
          <w:lang w:val="hu-HU" w:eastAsia="en-US"/>
        </w:rPr>
        <w:t>” mélynyomású jelzéssel</w:t>
      </w:r>
      <w:r w:rsidR="00437EAC">
        <w:rPr>
          <w:rFonts w:eastAsia="Times New Roman"/>
          <w:noProof/>
          <w:snapToGrid/>
          <w:szCs w:val="22"/>
          <w:lang w:val="hu-HU" w:eastAsia="en-US"/>
        </w:rPr>
        <w:t xml:space="preserve"> ellátva</w:t>
      </w:r>
      <w:r w:rsidRPr="00C60440">
        <w:rPr>
          <w:rFonts w:eastAsia="Times New Roman"/>
          <w:noProof/>
          <w:snapToGrid/>
          <w:szCs w:val="22"/>
          <w:lang w:val="hu-HU" w:eastAsia="en-US"/>
        </w:rPr>
        <w:t>,</w:t>
      </w:r>
      <w:r w:rsidR="00437EAC">
        <w:rPr>
          <w:rFonts w:eastAsia="Times New Roman"/>
          <w:noProof/>
          <w:snapToGrid/>
          <w:szCs w:val="22"/>
          <w:lang w:val="hu-HU" w:eastAsia="en-US"/>
        </w:rPr>
        <w:t xml:space="preserve"> a</w:t>
      </w:r>
      <w:r w:rsidRPr="00C60440">
        <w:rPr>
          <w:rFonts w:eastAsia="Times New Roman"/>
          <w:noProof/>
          <w:snapToGrid/>
          <w:szCs w:val="22"/>
          <w:lang w:val="hu-HU" w:eastAsia="en-US"/>
        </w:rPr>
        <w:t xml:space="preserve"> másik oldal sima</w:t>
      </w:r>
      <w:r w:rsidR="00437EAC">
        <w:rPr>
          <w:rFonts w:eastAsia="Times New Roman"/>
          <w:noProof/>
          <w:snapToGrid/>
          <w:szCs w:val="22"/>
          <w:lang w:val="hu-HU" w:eastAsia="en-US"/>
        </w:rPr>
        <w:t>.</w:t>
      </w:r>
      <w:r w:rsidRPr="00C60440">
        <w:rPr>
          <w:rFonts w:eastAsia="Times New Roman"/>
          <w:noProof/>
          <w:snapToGrid/>
          <w:szCs w:val="22"/>
          <w:lang w:val="hu-HU" w:eastAsia="en-US"/>
        </w:rPr>
        <w:t xml:space="preserve"> </w:t>
      </w:r>
      <w:r w:rsidR="00437EAC">
        <w:rPr>
          <w:rFonts w:eastAsia="Times New Roman"/>
          <w:noProof/>
          <w:snapToGrid/>
          <w:szCs w:val="22"/>
          <w:lang w:val="hu-HU" w:eastAsia="en-US"/>
        </w:rPr>
        <w:t>N</w:t>
      </w:r>
      <w:r w:rsidRPr="00C60440">
        <w:rPr>
          <w:rFonts w:eastAsia="Times New Roman"/>
          <w:noProof/>
          <w:snapToGrid/>
          <w:szCs w:val="22"/>
          <w:lang w:val="hu-HU" w:eastAsia="en-US"/>
        </w:rPr>
        <w:t>évleges hossza</w:t>
      </w:r>
      <w:r w:rsidR="00C152E2" w:rsidRPr="00C60440">
        <w:rPr>
          <w:rFonts w:eastAsia="Times New Roman"/>
          <w:noProof/>
          <w:snapToGrid/>
          <w:szCs w:val="22"/>
          <w:lang w:val="hu-HU" w:eastAsia="en-US"/>
        </w:rPr>
        <w:t xml:space="preserve"> körülbelül 11,1 mm, névleges </w:t>
      </w:r>
      <w:r w:rsidRPr="00C60440">
        <w:rPr>
          <w:rFonts w:eastAsia="Times New Roman"/>
          <w:noProof/>
          <w:snapToGrid/>
          <w:szCs w:val="22"/>
          <w:lang w:val="hu-HU" w:eastAsia="en-US"/>
        </w:rPr>
        <w:t>szélessége körülbelül 5</w:t>
      </w:r>
      <w:r w:rsidR="0078293B">
        <w:rPr>
          <w:rFonts w:eastAsia="Times New Roman"/>
          <w:noProof/>
          <w:snapToGrid/>
          <w:szCs w:val="22"/>
          <w:lang w:val="hu-HU" w:eastAsia="en-US"/>
        </w:rPr>
        <w:t>,</w:t>
      </w:r>
      <w:r w:rsidR="00C152E2" w:rsidRPr="00C60440">
        <w:rPr>
          <w:rFonts w:eastAsia="Times New Roman"/>
          <w:noProof/>
          <w:snapToGrid/>
          <w:szCs w:val="22"/>
          <w:lang w:val="hu-HU" w:eastAsia="en-US"/>
        </w:rPr>
        <w:t>6</w:t>
      </w:r>
      <w:r w:rsidRPr="00C60440">
        <w:rPr>
          <w:rFonts w:eastAsia="Times New Roman"/>
          <w:noProof/>
          <w:snapToGrid/>
          <w:szCs w:val="22"/>
          <w:lang w:val="hu-HU" w:eastAsia="en-US"/>
        </w:rPr>
        <w:t> mm.</w:t>
      </w:r>
    </w:p>
    <w:p w14:paraId="508C9AE0" w14:textId="1E78EC2D" w:rsidR="00E61DC0" w:rsidRPr="00C60440" w:rsidRDefault="00E61DC0" w:rsidP="00082A8E">
      <w:pPr>
        <w:spacing w:line="240" w:lineRule="auto"/>
        <w:rPr>
          <w:rFonts w:eastAsia="Times New Roman"/>
          <w:noProof/>
          <w:snapToGrid/>
          <w:szCs w:val="22"/>
          <w:lang w:val="hu-HU" w:eastAsia="en-US"/>
        </w:rPr>
      </w:pPr>
    </w:p>
    <w:p w14:paraId="4F1EED58" w14:textId="77777777" w:rsidR="00E61DC0" w:rsidRPr="00C60440" w:rsidRDefault="00E61DC0" w:rsidP="00082A8E">
      <w:pPr>
        <w:spacing w:line="240" w:lineRule="auto"/>
        <w:rPr>
          <w:rFonts w:eastAsia="Times New Roman"/>
          <w:noProof/>
          <w:snapToGrid/>
          <w:szCs w:val="22"/>
          <w:lang w:val="hu-HU" w:eastAsia="en-US"/>
        </w:rPr>
      </w:pPr>
    </w:p>
    <w:p w14:paraId="10485DB0" w14:textId="77777777" w:rsidR="00F45C51" w:rsidRPr="00C60440" w:rsidRDefault="00E61DC0" w:rsidP="00082A8E">
      <w:pPr>
        <w:spacing w:line="240" w:lineRule="auto"/>
        <w:ind w:left="567" w:hanging="567"/>
        <w:outlineLvl w:val="0"/>
        <w:rPr>
          <w:b/>
          <w:szCs w:val="22"/>
          <w:lang w:val="hu-HU"/>
        </w:rPr>
      </w:pPr>
      <w:r w:rsidRPr="00C60440">
        <w:rPr>
          <w:b/>
          <w:szCs w:val="22"/>
          <w:lang w:val="hu-HU"/>
        </w:rPr>
        <w:t>4.</w:t>
      </w:r>
      <w:r w:rsidRPr="00C60440">
        <w:rPr>
          <w:b/>
          <w:szCs w:val="22"/>
          <w:lang w:val="hu-HU"/>
        </w:rPr>
        <w:tab/>
        <w:t>KLINIKAI JELLEMZŐK</w:t>
      </w:r>
    </w:p>
    <w:p w14:paraId="433EEB06" w14:textId="77777777" w:rsidR="00F45C51" w:rsidRPr="00C60440" w:rsidRDefault="00F45C51" w:rsidP="00082A8E">
      <w:pPr>
        <w:spacing w:line="240" w:lineRule="auto"/>
        <w:ind w:left="567" w:hanging="567"/>
        <w:outlineLvl w:val="0"/>
        <w:rPr>
          <w:b/>
          <w:szCs w:val="22"/>
          <w:lang w:val="hu-HU"/>
        </w:rPr>
      </w:pPr>
    </w:p>
    <w:p w14:paraId="5FCB26F6" w14:textId="77777777" w:rsidR="00F45C51" w:rsidRPr="00C60440" w:rsidRDefault="00E61DC0" w:rsidP="00082A8E">
      <w:pPr>
        <w:spacing w:line="240" w:lineRule="auto"/>
        <w:ind w:left="567" w:hanging="567"/>
        <w:outlineLvl w:val="0"/>
        <w:rPr>
          <w:rFonts w:eastAsia="Times New Roman"/>
          <w:b/>
          <w:noProof/>
          <w:snapToGrid/>
          <w:szCs w:val="22"/>
          <w:lang w:val="hu-HU" w:eastAsia="en-US"/>
        </w:rPr>
      </w:pPr>
      <w:r w:rsidRPr="00C60440">
        <w:rPr>
          <w:rFonts w:eastAsia="Times New Roman"/>
          <w:b/>
          <w:noProof/>
          <w:snapToGrid/>
          <w:szCs w:val="22"/>
          <w:lang w:val="hu-HU" w:eastAsia="en-US"/>
        </w:rPr>
        <w:t>4.1</w:t>
      </w:r>
      <w:r w:rsidRPr="00C60440">
        <w:rPr>
          <w:rFonts w:eastAsia="Times New Roman"/>
          <w:b/>
          <w:noProof/>
          <w:snapToGrid/>
          <w:szCs w:val="22"/>
          <w:lang w:val="hu-HU" w:eastAsia="en-US"/>
        </w:rPr>
        <w:tab/>
        <w:t>Terápiás javallatok</w:t>
      </w:r>
    </w:p>
    <w:p w14:paraId="0FA286C8" w14:textId="77777777" w:rsidR="00F45C51" w:rsidRPr="00C60440" w:rsidRDefault="00F45C51" w:rsidP="00082A8E">
      <w:pPr>
        <w:spacing w:line="240" w:lineRule="auto"/>
        <w:ind w:left="567" w:hanging="567"/>
        <w:outlineLvl w:val="0"/>
        <w:rPr>
          <w:bCs/>
          <w:szCs w:val="22"/>
          <w:lang w:val="hu-HU"/>
        </w:rPr>
      </w:pPr>
    </w:p>
    <w:p w14:paraId="285CD1E5" w14:textId="0F483067" w:rsidR="00F45C51" w:rsidRDefault="00596D5D" w:rsidP="00082A8E">
      <w:pPr>
        <w:spacing w:line="240" w:lineRule="auto"/>
        <w:rPr>
          <w:szCs w:val="22"/>
          <w:lang w:val="hu-HU"/>
        </w:rPr>
      </w:pPr>
      <w:r w:rsidRPr="00C60440">
        <w:rPr>
          <w:szCs w:val="22"/>
          <w:lang w:val="hu-HU"/>
        </w:rPr>
        <w:t>Az Ambrisentan</w:t>
      </w:r>
      <w:r w:rsidR="002D3EDF">
        <w:rPr>
          <w:szCs w:val="22"/>
          <w:lang w:val="hu-HU"/>
        </w:rPr>
        <w:t> </w:t>
      </w:r>
      <w:r w:rsidRPr="00C60440">
        <w:rPr>
          <w:szCs w:val="22"/>
          <w:lang w:val="hu-HU"/>
        </w:rPr>
        <w:t xml:space="preserve">AOP a pulmonalis artériás hypertonia (PAH) </w:t>
      </w:r>
      <w:r w:rsidR="004459B2">
        <w:rPr>
          <w:szCs w:val="22"/>
          <w:lang w:val="hu-HU"/>
        </w:rPr>
        <w:t>kezelésére</w:t>
      </w:r>
      <w:r w:rsidRPr="00C60440">
        <w:rPr>
          <w:szCs w:val="22"/>
          <w:lang w:val="hu-HU"/>
        </w:rPr>
        <w:t xml:space="preserve"> javallott a WHO besorolás szerinti II. és III. funkcionális osztályú (FO) felnőtt betegeknél, beleértve a kombinációs kezelés keretében történő alkalmazást is (lásd 5.1 pont). Hatékonynak bizonyult elsődleges (idiopathiás) PAH és kötőszöveti betegséggel összefüggésben kialakuló PAH esetén.</w:t>
      </w:r>
    </w:p>
    <w:p w14:paraId="4E0742F4" w14:textId="7E59C5F4" w:rsidR="00320DBF" w:rsidRPr="00C60440" w:rsidRDefault="00320DBF" w:rsidP="00082A8E">
      <w:pPr>
        <w:spacing w:line="240" w:lineRule="auto"/>
        <w:rPr>
          <w:rFonts w:eastAsia="Times New Roman"/>
          <w:snapToGrid/>
          <w:szCs w:val="22"/>
          <w:lang w:val="hu-HU" w:eastAsia="en-US"/>
        </w:rPr>
      </w:pPr>
      <w:r w:rsidRPr="00C60440">
        <w:rPr>
          <w:szCs w:val="22"/>
          <w:lang w:val="hu-HU"/>
        </w:rPr>
        <w:t>Az Ambrisentan</w:t>
      </w:r>
      <w:r>
        <w:rPr>
          <w:szCs w:val="22"/>
          <w:lang w:val="hu-HU"/>
        </w:rPr>
        <w:t> </w:t>
      </w:r>
      <w:r w:rsidRPr="00C60440">
        <w:rPr>
          <w:szCs w:val="22"/>
          <w:lang w:val="hu-HU"/>
        </w:rPr>
        <w:t xml:space="preserve">AOP </w:t>
      </w:r>
      <w:r>
        <w:rPr>
          <w:szCs w:val="22"/>
          <w:lang w:val="hu-HU"/>
        </w:rPr>
        <w:t xml:space="preserve">a </w:t>
      </w:r>
      <w:r w:rsidRPr="00C60440">
        <w:rPr>
          <w:szCs w:val="22"/>
          <w:lang w:val="hu-HU"/>
        </w:rPr>
        <w:t xml:space="preserve">PAH </w:t>
      </w:r>
      <w:r>
        <w:rPr>
          <w:szCs w:val="22"/>
          <w:lang w:val="hu-HU"/>
        </w:rPr>
        <w:t>kezelésére</w:t>
      </w:r>
      <w:r w:rsidRPr="00C60440">
        <w:rPr>
          <w:szCs w:val="22"/>
          <w:lang w:val="hu-HU"/>
        </w:rPr>
        <w:t xml:space="preserve"> javallott a WHO besorolás szerinti II. és III.</w:t>
      </w:r>
      <w:r>
        <w:rPr>
          <w:szCs w:val="22"/>
          <w:lang w:val="hu-HU"/>
        </w:rPr>
        <w:t xml:space="preserve"> </w:t>
      </w:r>
      <w:r w:rsidRPr="00C60440">
        <w:rPr>
          <w:szCs w:val="22"/>
          <w:lang w:val="hu-HU"/>
        </w:rPr>
        <w:t xml:space="preserve">funkcionális osztályú (FO) </w:t>
      </w:r>
      <w:r>
        <w:rPr>
          <w:szCs w:val="22"/>
          <w:lang w:val="hu-HU"/>
        </w:rPr>
        <w:t xml:space="preserve">gyermek- és serdülőkorú (8-tól </w:t>
      </w:r>
      <w:r w:rsidR="00436F2A">
        <w:rPr>
          <w:szCs w:val="22"/>
          <w:lang w:val="hu-HU"/>
        </w:rPr>
        <w:t xml:space="preserve">betöltött </w:t>
      </w:r>
      <w:r>
        <w:rPr>
          <w:szCs w:val="22"/>
          <w:lang w:val="hu-HU"/>
        </w:rPr>
        <w:t>18 éves korig)</w:t>
      </w:r>
      <w:r w:rsidRPr="00C60440">
        <w:rPr>
          <w:szCs w:val="22"/>
          <w:lang w:val="hu-HU"/>
        </w:rPr>
        <w:t xml:space="preserve"> betegeknél, beleértve a kombiná</w:t>
      </w:r>
      <w:r>
        <w:rPr>
          <w:szCs w:val="22"/>
          <w:lang w:val="hu-HU"/>
        </w:rPr>
        <w:t>ciós</w:t>
      </w:r>
      <w:r w:rsidRPr="00C60440">
        <w:rPr>
          <w:szCs w:val="22"/>
          <w:lang w:val="hu-HU"/>
        </w:rPr>
        <w:t xml:space="preserve"> kezelés keretében történő alkalmazást is. Hatékonynak bizonyult </w:t>
      </w:r>
      <w:r>
        <w:rPr>
          <w:szCs w:val="22"/>
          <w:lang w:val="hu-HU"/>
        </w:rPr>
        <w:t xml:space="preserve">örökletes korrigált veleszületett IPAH (idiopathiás PAH) </w:t>
      </w:r>
      <w:r w:rsidRPr="00C60440">
        <w:rPr>
          <w:szCs w:val="22"/>
          <w:lang w:val="hu-HU"/>
        </w:rPr>
        <w:t>és kötőszöveti betegséggel összefüggésben kialakuló PAH esetén</w:t>
      </w:r>
      <w:r>
        <w:rPr>
          <w:szCs w:val="22"/>
          <w:lang w:val="hu-HU"/>
        </w:rPr>
        <w:t xml:space="preserve"> </w:t>
      </w:r>
      <w:r w:rsidRPr="00C60440">
        <w:rPr>
          <w:szCs w:val="22"/>
          <w:lang w:val="hu-HU"/>
        </w:rPr>
        <w:t>(lásd 5.1 pont)</w:t>
      </w:r>
      <w:r>
        <w:rPr>
          <w:szCs w:val="22"/>
          <w:lang w:val="hu-HU"/>
        </w:rPr>
        <w:t>.</w:t>
      </w:r>
    </w:p>
    <w:p w14:paraId="0BED0CB8" w14:textId="77777777" w:rsidR="00F45C51" w:rsidRPr="00C60440" w:rsidRDefault="00F45C51" w:rsidP="00082A8E">
      <w:pPr>
        <w:spacing w:line="240" w:lineRule="auto"/>
        <w:rPr>
          <w:rFonts w:eastAsia="Times New Roman"/>
          <w:snapToGrid/>
          <w:szCs w:val="22"/>
          <w:lang w:val="hu-HU" w:eastAsia="en-US"/>
        </w:rPr>
      </w:pPr>
    </w:p>
    <w:p w14:paraId="200DB01C" w14:textId="77777777" w:rsidR="00F45C51" w:rsidRPr="00C60440" w:rsidRDefault="00E61DC0" w:rsidP="00082A8E">
      <w:pPr>
        <w:spacing w:line="240" w:lineRule="auto"/>
        <w:ind w:left="567" w:hanging="567"/>
        <w:outlineLvl w:val="0"/>
        <w:rPr>
          <w:rFonts w:eastAsia="Times New Roman"/>
          <w:b/>
          <w:noProof/>
          <w:snapToGrid/>
          <w:szCs w:val="22"/>
          <w:lang w:val="hu-HU" w:eastAsia="en-US"/>
        </w:rPr>
      </w:pPr>
      <w:r w:rsidRPr="00C60440">
        <w:rPr>
          <w:rFonts w:eastAsia="Times New Roman"/>
          <w:b/>
          <w:noProof/>
          <w:snapToGrid/>
          <w:szCs w:val="22"/>
          <w:lang w:val="hu-HU" w:eastAsia="en-US"/>
        </w:rPr>
        <w:t>4.2</w:t>
      </w:r>
      <w:r w:rsidRPr="00C60440">
        <w:rPr>
          <w:rFonts w:eastAsia="Times New Roman"/>
          <w:b/>
          <w:noProof/>
          <w:snapToGrid/>
          <w:szCs w:val="22"/>
          <w:lang w:val="hu-HU" w:eastAsia="en-US"/>
        </w:rPr>
        <w:tab/>
        <w:t>Adagolás és alkalmazás</w:t>
      </w:r>
    </w:p>
    <w:p w14:paraId="24470390" w14:textId="77777777" w:rsidR="00596D5D" w:rsidRPr="00C60440" w:rsidRDefault="00596D5D" w:rsidP="00082A8E">
      <w:pPr>
        <w:spacing w:line="240" w:lineRule="auto"/>
        <w:rPr>
          <w:rFonts w:eastAsia="Times New Roman"/>
          <w:snapToGrid/>
          <w:szCs w:val="22"/>
          <w:u w:val="single"/>
          <w:lang w:val="hu-HU" w:eastAsia="en-US"/>
        </w:rPr>
      </w:pPr>
    </w:p>
    <w:p w14:paraId="7263192B" w14:textId="67EF6398" w:rsidR="00596D5D" w:rsidRPr="00C60440" w:rsidRDefault="00596D5D" w:rsidP="00082A8E">
      <w:pPr>
        <w:spacing w:line="240" w:lineRule="auto"/>
        <w:rPr>
          <w:szCs w:val="22"/>
          <w:lang w:val="hu-HU"/>
        </w:rPr>
      </w:pPr>
      <w:r w:rsidRPr="00C60440">
        <w:rPr>
          <w:szCs w:val="22"/>
          <w:lang w:val="hu-HU"/>
        </w:rPr>
        <w:lastRenderedPageBreak/>
        <w:t>A kezelést kizárólag a PAH kezelésében jártas orvos kezdeményezheti.</w:t>
      </w:r>
    </w:p>
    <w:p w14:paraId="741DE035" w14:textId="77777777" w:rsidR="00596D5D" w:rsidRPr="00C60440" w:rsidRDefault="00596D5D" w:rsidP="00082A8E">
      <w:pPr>
        <w:spacing w:line="240" w:lineRule="auto"/>
        <w:rPr>
          <w:szCs w:val="22"/>
          <w:lang w:val="hu-HU"/>
        </w:rPr>
      </w:pPr>
    </w:p>
    <w:p w14:paraId="0929A524" w14:textId="5EC985C6" w:rsidR="00F45C51" w:rsidRPr="00C60440" w:rsidRDefault="00E61DC0" w:rsidP="00082A8E">
      <w:pPr>
        <w:spacing w:line="240" w:lineRule="auto"/>
        <w:rPr>
          <w:rFonts w:eastAsia="Times New Roman"/>
          <w:snapToGrid/>
          <w:szCs w:val="22"/>
          <w:u w:val="single"/>
          <w:lang w:val="hu-HU" w:eastAsia="en-US"/>
        </w:rPr>
      </w:pPr>
      <w:r w:rsidRPr="00C60440">
        <w:rPr>
          <w:rFonts w:eastAsia="Times New Roman"/>
          <w:snapToGrid/>
          <w:szCs w:val="22"/>
          <w:u w:val="single"/>
          <w:lang w:val="hu-HU" w:eastAsia="en-US"/>
        </w:rPr>
        <w:t>Adagolás</w:t>
      </w:r>
    </w:p>
    <w:p w14:paraId="1DB11C83" w14:textId="77777777" w:rsidR="00F45C51" w:rsidRPr="00C60440" w:rsidRDefault="00F45C51" w:rsidP="00082A8E">
      <w:pPr>
        <w:autoSpaceDE w:val="0"/>
        <w:autoSpaceDN w:val="0"/>
        <w:adjustRightInd w:val="0"/>
        <w:spacing w:line="240" w:lineRule="auto"/>
        <w:jc w:val="both"/>
        <w:rPr>
          <w:szCs w:val="22"/>
          <w:lang w:val="hu-HU"/>
        </w:rPr>
      </w:pPr>
    </w:p>
    <w:p w14:paraId="01627C8F" w14:textId="550C297C" w:rsidR="00596D5D" w:rsidRPr="00C60440" w:rsidRDefault="00596D5D" w:rsidP="00596D5D">
      <w:pPr>
        <w:pStyle w:val="Default"/>
        <w:rPr>
          <w:sz w:val="22"/>
          <w:szCs w:val="22"/>
          <w:lang w:val="hu-HU"/>
        </w:rPr>
      </w:pPr>
      <w:r w:rsidRPr="00C60440">
        <w:rPr>
          <w:i/>
          <w:iCs/>
          <w:sz w:val="22"/>
          <w:szCs w:val="22"/>
          <w:lang w:val="hu-HU"/>
        </w:rPr>
        <w:t>Ambriszentán</w:t>
      </w:r>
      <w:r w:rsidR="005760B6">
        <w:rPr>
          <w:i/>
          <w:iCs/>
          <w:sz w:val="22"/>
          <w:szCs w:val="22"/>
          <w:lang w:val="hu-HU"/>
        </w:rPr>
        <w:t>-</w:t>
      </w:r>
      <w:r w:rsidRPr="00C60440">
        <w:rPr>
          <w:i/>
          <w:iCs/>
          <w:sz w:val="22"/>
          <w:szCs w:val="22"/>
          <w:lang w:val="hu-HU"/>
        </w:rPr>
        <w:t xml:space="preserve">monoterápia </w:t>
      </w:r>
    </w:p>
    <w:p w14:paraId="76E0B2E0" w14:textId="5F7591FE" w:rsidR="00596D5D" w:rsidRPr="00C60440" w:rsidRDefault="00596D5D" w:rsidP="00596D5D">
      <w:pPr>
        <w:spacing w:line="240" w:lineRule="auto"/>
        <w:rPr>
          <w:szCs w:val="22"/>
          <w:lang w:val="hu-HU"/>
        </w:rPr>
      </w:pPr>
      <w:r w:rsidRPr="00C60440">
        <w:rPr>
          <w:szCs w:val="22"/>
          <w:lang w:val="hu-HU"/>
        </w:rPr>
        <w:t>Az Ambrisentan</w:t>
      </w:r>
      <w:r w:rsidR="002D3EDF">
        <w:rPr>
          <w:szCs w:val="22"/>
          <w:lang w:val="hu-HU"/>
        </w:rPr>
        <w:t> </w:t>
      </w:r>
      <w:r w:rsidRPr="00C60440">
        <w:rPr>
          <w:szCs w:val="22"/>
          <w:lang w:val="hu-HU"/>
        </w:rPr>
        <w:t>AOP-t szájon át kell bevenni, kezdetben naponta egyszer, 5 mg</w:t>
      </w:r>
      <w:r w:rsidR="00DC0B70">
        <w:rPr>
          <w:szCs w:val="22"/>
          <w:lang w:val="hu-HU"/>
        </w:rPr>
        <w:noBreakHyphen/>
      </w:r>
      <w:r w:rsidRPr="00C60440">
        <w:rPr>
          <w:szCs w:val="22"/>
          <w:lang w:val="hu-HU"/>
        </w:rPr>
        <w:t>os</w:t>
      </w:r>
      <w:r w:rsidR="00EF7E14">
        <w:rPr>
          <w:szCs w:val="22"/>
          <w:lang w:val="hu-HU"/>
        </w:rPr>
        <w:t xml:space="preserve"> dózisban</w:t>
      </w:r>
      <w:r w:rsidRPr="00C60440">
        <w:rPr>
          <w:szCs w:val="22"/>
          <w:lang w:val="hu-HU"/>
        </w:rPr>
        <w:t>, ami később a klinikai választól és a tolerálhatóságtól függően napi 10 mg</w:t>
      </w:r>
      <w:r w:rsidR="00DC0B70">
        <w:rPr>
          <w:szCs w:val="22"/>
          <w:lang w:val="hu-HU"/>
        </w:rPr>
        <w:noBreakHyphen/>
      </w:r>
      <w:r w:rsidRPr="00C60440">
        <w:rPr>
          <w:szCs w:val="22"/>
          <w:lang w:val="hu-HU"/>
        </w:rPr>
        <w:t>ra emelhető.</w:t>
      </w:r>
    </w:p>
    <w:p w14:paraId="46A2238A" w14:textId="553A38AD" w:rsidR="00596D5D" w:rsidRPr="00C60440" w:rsidRDefault="00596D5D" w:rsidP="00596D5D">
      <w:pPr>
        <w:spacing w:line="240" w:lineRule="auto"/>
        <w:rPr>
          <w:szCs w:val="22"/>
          <w:lang w:val="hu-HU"/>
        </w:rPr>
      </w:pPr>
    </w:p>
    <w:p w14:paraId="7BC7DB2E" w14:textId="41FD1CFA" w:rsidR="00596D5D" w:rsidRPr="00C60440" w:rsidRDefault="00596D5D" w:rsidP="00596D5D">
      <w:pPr>
        <w:pStyle w:val="Default"/>
        <w:rPr>
          <w:sz w:val="22"/>
          <w:szCs w:val="22"/>
          <w:lang w:val="hu-HU"/>
        </w:rPr>
      </w:pPr>
      <w:r w:rsidRPr="00C60440">
        <w:rPr>
          <w:i/>
          <w:iCs/>
          <w:sz w:val="22"/>
          <w:szCs w:val="22"/>
          <w:lang w:val="hu-HU"/>
        </w:rPr>
        <w:t>Az ambriszentán és a tadalafil kombinált alkalmazása</w:t>
      </w:r>
    </w:p>
    <w:p w14:paraId="3D306035" w14:textId="3C6EAE6A" w:rsidR="00596D5D" w:rsidRPr="00C60440" w:rsidRDefault="00596D5D" w:rsidP="00596D5D">
      <w:pPr>
        <w:pStyle w:val="Default"/>
        <w:rPr>
          <w:sz w:val="22"/>
          <w:szCs w:val="22"/>
          <w:lang w:val="hu-HU"/>
        </w:rPr>
      </w:pPr>
      <w:r w:rsidRPr="00C60440">
        <w:rPr>
          <w:sz w:val="22"/>
          <w:szCs w:val="22"/>
          <w:lang w:val="hu-HU"/>
        </w:rPr>
        <w:t>Tadalafillal való kombináció alkalmazása esetén az Ambrisentan</w:t>
      </w:r>
      <w:r w:rsidR="002D3EDF">
        <w:rPr>
          <w:sz w:val="22"/>
          <w:szCs w:val="22"/>
          <w:lang w:val="hu-HU"/>
        </w:rPr>
        <w:t> </w:t>
      </w:r>
      <w:r w:rsidRPr="00C60440">
        <w:rPr>
          <w:sz w:val="22"/>
          <w:szCs w:val="22"/>
          <w:lang w:val="hu-HU"/>
        </w:rPr>
        <w:t xml:space="preserve">AOP </w:t>
      </w:r>
      <w:r w:rsidR="004D0453">
        <w:rPr>
          <w:sz w:val="22"/>
          <w:szCs w:val="22"/>
          <w:lang w:val="hu-HU"/>
        </w:rPr>
        <w:t>dózis</w:t>
      </w:r>
      <w:r w:rsidRPr="00C60440">
        <w:rPr>
          <w:sz w:val="22"/>
          <w:szCs w:val="22"/>
          <w:lang w:val="hu-HU"/>
        </w:rPr>
        <w:t>át naponta egyszer 10 mg</w:t>
      </w:r>
      <w:r w:rsidR="00DC0B70">
        <w:rPr>
          <w:sz w:val="22"/>
          <w:szCs w:val="22"/>
          <w:lang w:val="hu-HU"/>
        </w:rPr>
        <w:noBreakHyphen/>
      </w:r>
      <w:r w:rsidRPr="00C60440">
        <w:rPr>
          <w:sz w:val="22"/>
          <w:szCs w:val="22"/>
          <w:lang w:val="hu-HU"/>
        </w:rPr>
        <w:t>ra kell emelni.</w:t>
      </w:r>
    </w:p>
    <w:p w14:paraId="780D9ACB" w14:textId="77777777" w:rsidR="00596D5D" w:rsidRPr="00C60440" w:rsidRDefault="00596D5D" w:rsidP="00596D5D">
      <w:pPr>
        <w:pStyle w:val="Default"/>
        <w:rPr>
          <w:sz w:val="22"/>
          <w:szCs w:val="22"/>
          <w:lang w:val="hu-HU"/>
        </w:rPr>
      </w:pPr>
    </w:p>
    <w:p w14:paraId="03E7ABB2" w14:textId="0DA86EC2" w:rsidR="00596D5D" w:rsidRPr="00C60440" w:rsidRDefault="00596D5D" w:rsidP="00596D5D">
      <w:pPr>
        <w:pStyle w:val="Default"/>
        <w:rPr>
          <w:sz w:val="22"/>
          <w:szCs w:val="22"/>
          <w:lang w:val="hu-HU"/>
        </w:rPr>
      </w:pPr>
      <w:r w:rsidRPr="00C60440">
        <w:rPr>
          <w:sz w:val="22"/>
          <w:szCs w:val="22"/>
          <w:lang w:val="hu-HU"/>
        </w:rPr>
        <w:t>Egy klinikai vizsgálatban a betegek az első 8 héten át naponta 5 mg ambriszentánt kaptak, amelyet ezután a tolerálhatóságtól függően 10 mg</w:t>
      </w:r>
      <w:r w:rsidR="00DC0B70">
        <w:rPr>
          <w:sz w:val="22"/>
          <w:szCs w:val="22"/>
          <w:lang w:val="hu-HU"/>
        </w:rPr>
        <w:noBreakHyphen/>
      </w:r>
      <w:r w:rsidRPr="00C60440">
        <w:rPr>
          <w:sz w:val="22"/>
          <w:szCs w:val="22"/>
          <w:lang w:val="hu-HU"/>
        </w:rPr>
        <w:t>ra növeltek (lásd 5.1 pont). Amikor tadalafillal kombinálták, a betegek kezdetben napi 5 mg ambriszentánt és 20 mg tadalafilt kaptak. A tolerálhatóság függvényében a tadalafil</w:t>
      </w:r>
      <w:r w:rsidR="00EF7E14">
        <w:rPr>
          <w:sz w:val="22"/>
          <w:szCs w:val="22"/>
          <w:lang w:val="hu-HU"/>
        </w:rPr>
        <w:t xml:space="preserve"> dózisát</w:t>
      </w:r>
      <w:r w:rsidRPr="00C60440">
        <w:rPr>
          <w:sz w:val="22"/>
          <w:szCs w:val="22"/>
          <w:lang w:val="hu-HU"/>
        </w:rPr>
        <w:t xml:space="preserve"> 4 hét után 40 mg</w:t>
      </w:r>
      <w:r w:rsidR="00DC0B70">
        <w:rPr>
          <w:sz w:val="22"/>
          <w:szCs w:val="22"/>
          <w:lang w:val="hu-HU"/>
        </w:rPr>
        <w:noBreakHyphen/>
      </w:r>
      <w:r w:rsidRPr="00C60440">
        <w:rPr>
          <w:sz w:val="22"/>
          <w:szCs w:val="22"/>
          <w:lang w:val="hu-HU"/>
        </w:rPr>
        <w:t xml:space="preserve">ra, míg az ambriszentán </w:t>
      </w:r>
      <w:r w:rsidR="00EF7E14">
        <w:rPr>
          <w:sz w:val="22"/>
          <w:szCs w:val="22"/>
          <w:lang w:val="hu-HU"/>
        </w:rPr>
        <w:t>dózisát</w:t>
      </w:r>
      <w:r w:rsidRPr="00C60440">
        <w:rPr>
          <w:sz w:val="22"/>
          <w:szCs w:val="22"/>
          <w:lang w:val="hu-HU"/>
        </w:rPr>
        <w:t xml:space="preserve"> 8 hét után 10 mg</w:t>
      </w:r>
      <w:r w:rsidR="00DC0B70">
        <w:rPr>
          <w:sz w:val="22"/>
          <w:szCs w:val="22"/>
          <w:lang w:val="hu-HU"/>
        </w:rPr>
        <w:noBreakHyphen/>
      </w:r>
      <w:r w:rsidRPr="00C60440">
        <w:rPr>
          <w:sz w:val="22"/>
          <w:szCs w:val="22"/>
          <w:lang w:val="hu-HU"/>
        </w:rPr>
        <w:t xml:space="preserve">ra </w:t>
      </w:r>
      <w:r w:rsidR="00EF7E14">
        <w:rPr>
          <w:sz w:val="22"/>
          <w:szCs w:val="22"/>
          <w:lang w:val="hu-HU"/>
        </w:rPr>
        <w:t>növelték</w:t>
      </w:r>
      <w:r w:rsidRPr="00C60440">
        <w:rPr>
          <w:sz w:val="22"/>
          <w:szCs w:val="22"/>
          <w:lang w:val="hu-HU"/>
        </w:rPr>
        <w:t>. A betegek több mint 90%</w:t>
      </w:r>
      <w:r w:rsidR="00DC0B70">
        <w:rPr>
          <w:sz w:val="22"/>
          <w:szCs w:val="22"/>
          <w:lang w:val="hu-HU"/>
        </w:rPr>
        <w:noBreakHyphen/>
      </w:r>
      <w:r w:rsidRPr="00C60440">
        <w:rPr>
          <w:sz w:val="22"/>
          <w:szCs w:val="22"/>
          <w:lang w:val="hu-HU"/>
        </w:rPr>
        <w:t xml:space="preserve">ánál ez megvalósítható volt. Az </w:t>
      </w:r>
      <w:r w:rsidR="00EF7E14">
        <w:rPr>
          <w:sz w:val="22"/>
          <w:szCs w:val="22"/>
          <w:lang w:val="hu-HU"/>
        </w:rPr>
        <w:t>dózis</w:t>
      </w:r>
      <w:r w:rsidRPr="00C60440">
        <w:rPr>
          <w:sz w:val="22"/>
          <w:szCs w:val="22"/>
          <w:lang w:val="hu-HU"/>
        </w:rPr>
        <w:t>ok a tolerálhatóságtól függően csökkenthetők is.</w:t>
      </w:r>
    </w:p>
    <w:p w14:paraId="6BEDE0A0" w14:textId="77777777" w:rsidR="00596D5D" w:rsidRPr="00C60440" w:rsidRDefault="00596D5D" w:rsidP="00596D5D">
      <w:pPr>
        <w:pStyle w:val="Default"/>
        <w:rPr>
          <w:sz w:val="22"/>
          <w:szCs w:val="22"/>
          <w:lang w:val="hu-HU"/>
        </w:rPr>
      </w:pPr>
    </w:p>
    <w:p w14:paraId="69B2885B" w14:textId="5F93E7C9" w:rsidR="00596D5D" w:rsidRPr="00C60440" w:rsidRDefault="00596D5D" w:rsidP="00596D5D">
      <w:pPr>
        <w:pStyle w:val="Default"/>
        <w:rPr>
          <w:sz w:val="22"/>
          <w:szCs w:val="22"/>
          <w:lang w:val="hu-HU"/>
        </w:rPr>
      </w:pPr>
      <w:r w:rsidRPr="00C60440">
        <w:rPr>
          <w:sz w:val="22"/>
          <w:szCs w:val="22"/>
          <w:lang w:val="hu-HU"/>
        </w:rPr>
        <w:t>Korlátozott mennyiségű adat arra utal, hogy az ambriszentán</w:t>
      </w:r>
      <w:r w:rsidR="0078293B">
        <w:rPr>
          <w:sz w:val="22"/>
          <w:szCs w:val="22"/>
          <w:lang w:val="hu-HU"/>
        </w:rPr>
        <w:t>-kezelés</w:t>
      </w:r>
      <w:r w:rsidRPr="00C60440">
        <w:rPr>
          <w:sz w:val="22"/>
          <w:szCs w:val="22"/>
          <w:lang w:val="hu-HU"/>
        </w:rPr>
        <w:t xml:space="preserve"> hirtelen leállítása nem jár a PAH rebound rosszabbodásával.</w:t>
      </w:r>
    </w:p>
    <w:p w14:paraId="09D8F8AA" w14:textId="77777777" w:rsidR="00596D5D" w:rsidRPr="00C60440" w:rsidRDefault="00596D5D" w:rsidP="00596D5D">
      <w:pPr>
        <w:pStyle w:val="Default"/>
        <w:rPr>
          <w:sz w:val="22"/>
          <w:szCs w:val="22"/>
          <w:lang w:val="hu-HU"/>
        </w:rPr>
      </w:pPr>
    </w:p>
    <w:p w14:paraId="51611DB6" w14:textId="77777777" w:rsidR="00AD2F3C" w:rsidRPr="00C60440" w:rsidRDefault="00AD2F3C" w:rsidP="00AD2F3C">
      <w:pPr>
        <w:pStyle w:val="Default"/>
        <w:rPr>
          <w:sz w:val="22"/>
          <w:szCs w:val="22"/>
          <w:lang w:val="hu-HU"/>
        </w:rPr>
      </w:pPr>
      <w:r w:rsidRPr="00C60440">
        <w:rPr>
          <w:i/>
          <w:iCs/>
          <w:sz w:val="22"/>
          <w:szCs w:val="22"/>
          <w:lang w:val="hu-HU"/>
        </w:rPr>
        <w:t>A</w:t>
      </w:r>
      <w:r>
        <w:rPr>
          <w:i/>
          <w:iCs/>
          <w:sz w:val="22"/>
          <w:szCs w:val="22"/>
          <w:lang w:val="hu-HU"/>
        </w:rPr>
        <w:t>z a</w:t>
      </w:r>
      <w:r w:rsidRPr="00C60440">
        <w:rPr>
          <w:i/>
          <w:iCs/>
          <w:sz w:val="22"/>
          <w:szCs w:val="22"/>
          <w:lang w:val="hu-HU"/>
        </w:rPr>
        <w:t>mbriszentán</w:t>
      </w:r>
      <w:r>
        <w:rPr>
          <w:i/>
          <w:iCs/>
          <w:sz w:val="22"/>
          <w:szCs w:val="22"/>
          <w:lang w:val="hu-HU"/>
        </w:rPr>
        <w:t xml:space="preserve"> és a ciklosporin A kombinált alkalmazása</w:t>
      </w:r>
    </w:p>
    <w:p w14:paraId="359D32FE" w14:textId="4EA06006" w:rsidR="00596D5D" w:rsidRDefault="00AD2F3C" w:rsidP="00596D5D">
      <w:pPr>
        <w:spacing w:line="240" w:lineRule="auto"/>
        <w:rPr>
          <w:szCs w:val="22"/>
          <w:lang w:val="hu-HU"/>
        </w:rPr>
      </w:pPr>
      <w:r>
        <w:rPr>
          <w:szCs w:val="22"/>
          <w:lang w:val="hu-HU"/>
        </w:rPr>
        <w:t>Felnőtteknél c</w:t>
      </w:r>
      <w:r w:rsidR="00596D5D" w:rsidRPr="00C60440">
        <w:rPr>
          <w:szCs w:val="22"/>
          <w:lang w:val="hu-HU"/>
        </w:rPr>
        <w:t xml:space="preserve">iklosporin A-val történő együttadáskor az ambriszentán </w:t>
      </w:r>
      <w:r w:rsidR="00EF7E14">
        <w:rPr>
          <w:szCs w:val="22"/>
          <w:lang w:val="hu-HU"/>
        </w:rPr>
        <w:t>dózis</w:t>
      </w:r>
      <w:r w:rsidR="00596D5D" w:rsidRPr="00C60440">
        <w:rPr>
          <w:szCs w:val="22"/>
          <w:lang w:val="hu-HU"/>
        </w:rPr>
        <w:t>át napi egyszeri 5 mg</w:t>
      </w:r>
      <w:r w:rsidR="00DC0B70">
        <w:rPr>
          <w:szCs w:val="22"/>
          <w:lang w:val="hu-HU"/>
        </w:rPr>
        <w:noBreakHyphen/>
      </w:r>
      <w:r w:rsidR="00596D5D" w:rsidRPr="00C60440">
        <w:rPr>
          <w:szCs w:val="22"/>
          <w:lang w:val="hu-HU"/>
        </w:rPr>
        <w:t>ra kell korlátozni, és a beteget gondo</w:t>
      </w:r>
      <w:r w:rsidR="00EF7E14">
        <w:rPr>
          <w:szCs w:val="22"/>
          <w:lang w:val="hu-HU"/>
        </w:rPr>
        <w:t>s megfigyelés alatt kell tartani</w:t>
      </w:r>
      <w:r w:rsidR="00596D5D" w:rsidRPr="00C60440">
        <w:rPr>
          <w:szCs w:val="22"/>
          <w:lang w:val="hu-HU"/>
        </w:rPr>
        <w:t xml:space="preserve"> (lásd 4.5 és 5.2 pont).</w:t>
      </w:r>
    </w:p>
    <w:p w14:paraId="65C14109" w14:textId="77777777" w:rsidR="00AD2F3C" w:rsidRPr="00C60440" w:rsidRDefault="00AD2F3C" w:rsidP="00596D5D">
      <w:pPr>
        <w:spacing w:line="240" w:lineRule="auto"/>
        <w:rPr>
          <w:rFonts w:eastAsia="Times New Roman"/>
          <w:bCs/>
          <w:i/>
          <w:iCs/>
          <w:snapToGrid/>
          <w:szCs w:val="22"/>
          <w:lang w:val="hu-HU" w:eastAsia="en-US"/>
        </w:rPr>
      </w:pPr>
    </w:p>
    <w:p w14:paraId="3CD36ADE" w14:textId="33E1B79A" w:rsidR="00AD2F3C" w:rsidRDefault="00AD2F3C" w:rsidP="00AD2F3C">
      <w:pPr>
        <w:spacing w:line="240" w:lineRule="auto"/>
        <w:rPr>
          <w:rFonts w:eastAsia="Times New Roman"/>
          <w:bCs/>
          <w:i/>
          <w:iCs/>
          <w:snapToGrid/>
          <w:szCs w:val="22"/>
          <w:lang w:val="hu-HU" w:eastAsia="en-US"/>
        </w:rPr>
      </w:pPr>
      <w:r>
        <w:rPr>
          <w:rFonts w:eastAsia="Times New Roman"/>
          <w:bCs/>
          <w:i/>
          <w:iCs/>
          <w:snapToGrid/>
          <w:szCs w:val="22"/>
          <w:lang w:val="hu-HU" w:eastAsia="en-US"/>
        </w:rPr>
        <w:t xml:space="preserve">Gyermekek és serdülők 8-tól </w:t>
      </w:r>
      <w:r w:rsidR="00436F2A">
        <w:rPr>
          <w:rFonts w:eastAsia="Times New Roman"/>
          <w:bCs/>
          <w:i/>
          <w:iCs/>
          <w:snapToGrid/>
          <w:szCs w:val="22"/>
          <w:lang w:val="hu-HU" w:eastAsia="en-US"/>
        </w:rPr>
        <w:t xml:space="preserve">betöltött </w:t>
      </w:r>
      <w:r>
        <w:rPr>
          <w:rFonts w:eastAsia="Times New Roman"/>
          <w:bCs/>
          <w:i/>
          <w:iCs/>
          <w:snapToGrid/>
          <w:szCs w:val="22"/>
          <w:lang w:val="hu-HU" w:eastAsia="en-US"/>
        </w:rPr>
        <w:t>18 éves korig</w:t>
      </w:r>
    </w:p>
    <w:p w14:paraId="15B7933A" w14:textId="7990A82F" w:rsidR="00AD2F3C" w:rsidRDefault="00AD2F3C" w:rsidP="00AD2F3C">
      <w:pPr>
        <w:spacing w:line="240" w:lineRule="auto"/>
        <w:rPr>
          <w:i/>
          <w:iCs/>
          <w:szCs w:val="22"/>
          <w:lang w:val="hu-HU"/>
        </w:rPr>
      </w:pPr>
      <w:r w:rsidRPr="00C60440">
        <w:rPr>
          <w:i/>
          <w:iCs/>
          <w:szCs w:val="22"/>
          <w:lang w:val="hu-HU"/>
        </w:rPr>
        <w:t>Ambriszentán</w:t>
      </w:r>
      <w:r w:rsidR="00436F2A">
        <w:rPr>
          <w:i/>
          <w:iCs/>
          <w:szCs w:val="22"/>
          <w:lang w:val="hu-HU"/>
        </w:rPr>
        <w:t>-</w:t>
      </w:r>
      <w:r w:rsidRPr="00C60440">
        <w:rPr>
          <w:i/>
          <w:iCs/>
          <w:szCs w:val="22"/>
          <w:lang w:val="hu-HU"/>
        </w:rPr>
        <w:t>monoterápia</w:t>
      </w:r>
      <w:r>
        <w:rPr>
          <w:i/>
          <w:iCs/>
          <w:szCs w:val="22"/>
          <w:lang w:val="hu-HU"/>
        </w:rPr>
        <w:t xml:space="preserve"> vagy egyéb PAH terápiával történő kombinált alkalmazás</w:t>
      </w:r>
    </w:p>
    <w:p w14:paraId="6411A15E" w14:textId="575FE974" w:rsidR="00AD2F3C" w:rsidRDefault="00AD2F3C" w:rsidP="00AD2F3C">
      <w:pPr>
        <w:spacing w:line="240" w:lineRule="auto"/>
        <w:rPr>
          <w:szCs w:val="22"/>
          <w:lang w:val="hu-HU"/>
        </w:rPr>
      </w:pPr>
      <w:r w:rsidRPr="00C60440">
        <w:rPr>
          <w:szCs w:val="22"/>
          <w:lang w:val="hu-HU"/>
        </w:rPr>
        <w:t>Az Ambrisentan</w:t>
      </w:r>
      <w:r>
        <w:rPr>
          <w:szCs w:val="22"/>
          <w:lang w:val="hu-HU"/>
        </w:rPr>
        <w:t> </w:t>
      </w:r>
      <w:r w:rsidRPr="00C60440">
        <w:rPr>
          <w:szCs w:val="22"/>
          <w:lang w:val="hu-HU"/>
        </w:rPr>
        <w:t>AOP-t</w:t>
      </w:r>
      <w:r>
        <w:rPr>
          <w:szCs w:val="22"/>
          <w:lang w:val="hu-HU"/>
        </w:rPr>
        <w:t xml:space="preserve"> szájon át kell bevenni az alábbi adagolási rend szerint:</w:t>
      </w:r>
    </w:p>
    <w:tbl>
      <w:tblPr>
        <w:tblStyle w:val="Rcsostblzat"/>
        <w:tblW w:w="0" w:type="auto"/>
        <w:tblLook w:val="04A0" w:firstRow="1" w:lastRow="0" w:firstColumn="1" w:lastColumn="0" w:noHBand="0" w:noVBand="1"/>
      </w:tblPr>
      <w:tblGrid>
        <w:gridCol w:w="2939"/>
        <w:gridCol w:w="2937"/>
        <w:gridCol w:w="2899"/>
        <w:gridCol w:w="286"/>
      </w:tblGrid>
      <w:tr w:rsidR="009C776D" w:rsidRPr="009C776D" w14:paraId="60BF691D" w14:textId="77777777" w:rsidTr="00E176AF">
        <w:trPr>
          <w:gridAfter w:val="1"/>
          <w:wAfter w:w="335" w:type="dxa"/>
        </w:trPr>
        <w:tc>
          <w:tcPr>
            <w:tcW w:w="3236" w:type="dxa"/>
          </w:tcPr>
          <w:p w14:paraId="13689228" w14:textId="77777777" w:rsidR="00AD2F3C" w:rsidRPr="00732CF1" w:rsidRDefault="00AD2F3C" w:rsidP="00E176AF">
            <w:pPr>
              <w:pStyle w:val="Szvegtrzs"/>
              <w:spacing w:before="10"/>
              <w:jc w:val="center"/>
              <w:rPr>
                <w:b w:val="0"/>
                <w:bCs/>
                <w:i w:val="0"/>
                <w:iCs/>
                <w:sz w:val="21"/>
              </w:rPr>
            </w:pPr>
            <w:r w:rsidRPr="00732CF1">
              <w:rPr>
                <w:b w:val="0"/>
                <w:bCs/>
                <w:i w:val="0"/>
                <w:iCs/>
              </w:rPr>
              <w:t>Testtömeg (kg)</w:t>
            </w:r>
          </w:p>
        </w:tc>
        <w:tc>
          <w:tcPr>
            <w:tcW w:w="3237" w:type="dxa"/>
          </w:tcPr>
          <w:p w14:paraId="2DBBB770" w14:textId="3D910364" w:rsidR="00AD2F3C" w:rsidRPr="00732CF1" w:rsidRDefault="00AD2F3C" w:rsidP="00E176AF">
            <w:pPr>
              <w:pStyle w:val="Szvegtrzs"/>
              <w:spacing w:before="10"/>
              <w:jc w:val="center"/>
              <w:rPr>
                <w:b w:val="0"/>
                <w:bCs/>
                <w:i w:val="0"/>
                <w:iCs/>
                <w:sz w:val="21"/>
              </w:rPr>
            </w:pPr>
            <w:r w:rsidRPr="00732CF1">
              <w:rPr>
                <w:b w:val="0"/>
                <w:bCs/>
                <w:i w:val="0"/>
                <w:iCs/>
              </w:rPr>
              <w:t>Napi egyszeri kezdő</w:t>
            </w:r>
            <w:r>
              <w:rPr>
                <w:b w:val="0"/>
                <w:bCs/>
                <w:i w:val="0"/>
                <w:iCs/>
              </w:rPr>
              <w:t>dózis</w:t>
            </w:r>
            <w:r w:rsidRPr="00732CF1">
              <w:rPr>
                <w:b w:val="0"/>
                <w:bCs/>
                <w:i w:val="0"/>
                <w:iCs/>
              </w:rPr>
              <w:t xml:space="preserve"> (mg)</w:t>
            </w:r>
          </w:p>
        </w:tc>
        <w:tc>
          <w:tcPr>
            <w:tcW w:w="3237" w:type="dxa"/>
          </w:tcPr>
          <w:p w14:paraId="1579124A" w14:textId="3AA449AC" w:rsidR="00AD2F3C" w:rsidRPr="00732CF1" w:rsidRDefault="00AD2F3C" w:rsidP="00436F2A">
            <w:pPr>
              <w:pStyle w:val="Szvegtrzs"/>
              <w:spacing w:before="10"/>
              <w:jc w:val="center"/>
              <w:rPr>
                <w:b w:val="0"/>
                <w:bCs/>
                <w:i w:val="0"/>
                <w:iCs/>
                <w:sz w:val="21"/>
              </w:rPr>
            </w:pPr>
            <w:r>
              <w:rPr>
                <w:b w:val="0"/>
                <w:bCs/>
                <w:i w:val="0"/>
                <w:iCs/>
              </w:rPr>
              <w:t>További n</w:t>
            </w:r>
            <w:r w:rsidRPr="00732CF1">
              <w:rPr>
                <w:b w:val="0"/>
                <w:bCs/>
                <w:i w:val="0"/>
                <w:iCs/>
              </w:rPr>
              <w:t>api egyszeri dózis</w:t>
            </w:r>
            <w:r w:rsidR="00436F2A">
              <w:rPr>
                <w:b w:val="0"/>
                <w:bCs/>
                <w:i w:val="0"/>
                <w:iCs/>
              </w:rPr>
              <w:t xml:space="preserve"> </w:t>
            </w:r>
            <w:r w:rsidRPr="00732CF1">
              <w:rPr>
                <w:b w:val="0"/>
                <w:bCs/>
                <w:i w:val="0"/>
                <w:iCs/>
              </w:rPr>
              <w:t>(mg)</w:t>
            </w:r>
            <w:r w:rsidRPr="00732CF1">
              <w:rPr>
                <w:b w:val="0"/>
                <w:bCs/>
                <w:i w:val="0"/>
                <w:iCs/>
                <w:vertAlign w:val="superscript"/>
              </w:rPr>
              <w:t>a</w:t>
            </w:r>
          </w:p>
        </w:tc>
      </w:tr>
      <w:tr w:rsidR="009C776D" w14:paraId="73FDE76B" w14:textId="77777777" w:rsidTr="00E176AF">
        <w:trPr>
          <w:gridAfter w:val="1"/>
          <w:wAfter w:w="335" w:type="dxa"/>
        </w:trPr>
        <w:tc>
          <w:tcPr>
            <w:tcW w:w="3236" w:type="dxa"/>
          </w:tcPr>
          <w:p w14:paraId="2A305B46" w14:textId="77777777" w:rsidR="00AD2F3C" w:rsidRPr="00732CF1" w:rsidRDefault="00AD2F3C" w:rsidP="00E176AF">
            <w:pPr>
              <w:pStyle w:val="Szvegtrzs"/>
              <w:spacing w:before="10"/>
              <w:rPr>
                <w:b w:val="0"/>
                <w:bCs/>
                <w:i w:val="0"/>
                <w:iCs/>
              </w:rPr>
            </w:pPr>
            <w:r w:rsidRPr="00732CF1">
              <w:rPr>
                <w:b w:val="0"/>
                <w:bCs/>
                <w:i w:val="0"/>
                <w:iCs/>
              </w:rPr>
              <w:t>≥</w:t>
            </w:r>
            <w:r>
              <w:rPr>
                <w:b w:val="0"/>
                <w:bCs/>
                <w:i w:val="0"/>
                <w:iCs/>
              </w:rPr>
              <w:t> </w:t>
            </w:r>
            <w:r w:rsidRPr="00732CF1">
              <w:rPr>
                <w:b w:val="0"/>
                <w:bCs/>
                <w:i w:val="0"/>
                <w:iCs/>
              </w:rPr>
              <w:t>50</w:t>
            </w:r>
          </w:p>
          <w:p w14:paraId="1C2A48D3" w14:textId="2058998E" w:rsidR="00AD2F3C" w:rsidRPr="00732CF1" w:rsidRDefault="00AD2F3C" w:rsidP="00E176AF">
            <w:pPr>
              <w:pStyle w:val="Szvegtrzs"/>
              <w:spacing w:before="10"/>
              <w:rPr>
                <w:b w:val="0"/>
                <w:bCs/>
                <w:i w:val="0"/>
                <w:iCs/>
              </w:rPr>
            </w:pPr>
            <w:r w:rsidRPr="00732CF1">
              <w:rPr>
                <w:b w:val="0"/>
                <w:bCs/>
                <w:i w:val="0"/>
                <w:iCs/>
              </w:rPr>
              <w:t>≥</w:t>
            </w:r>
            <w:r>
              <w:rPr>
                <w:b w:val="0"/>
                <w:bCs/>
                <w:i w:val="0"/>
                <w:iCs/>
              </w:rPr>
              <w:t> </w:t>
            </w:r>
            <w:r w:rsidRPr="00732CF1">
              <w:rPr>
                <w:b w:val="0"/>
                <w:bCs/>
                <w:i w:val="0"/>
                <w:iCs/>
              </w:rPr>
              <w:t>35</w:t>
            </w:r>
            <w:r>
              <w:rPr>
                <w:b w:val="0"/>
                <w:bCs/>
                <w:i w:val="0"/>
                <w:iCs/>
              </w:rPr>
              <w:t> </w:t>
            </w:r>
            <w:r w:rsidRPr="00732CF1">
              <w:rPr>
                <w:b w:val="0"/>
                <w:bCs/>
                <w:i w:val="0"/>
                <w:iCs/>
              </w:rPr>
              <w:t>–</w:t>
            </w:r>
            <w:r>
              <w:rPr>
                <w:b w:val="0"/>
                <w:bCs/>
                <w:i w:val="0"/>
                <w:iCs/>
              </w:rPr>
              <w:t> </w:t>
            </w:r>
            <w:r w:rsidRPr="00732CF1">
              <w:rPr>
                <w:b w:val="0"/>
                <w:bCs/>
                <w:i w:val="0"/>
                <w:iCs/>
              </w:rPr>
              <w:t>&lt;</w:t>
            </w:r>
            <w:r>
              <w:rPr>
                <w:b w:val="0"/>
                <w:bCs/>
                <w:i w:val="0"/>
                <w:iCs/>
              </w:rPr>
              <w:t> </w:t>
            </w:r>
            <w:r w:rsidRPr="00732CF1">
              <w:rPr>
                <w:b w:val="0"/>
                <w:bCs/>
                <w:i w:val="0"/>
                <w:iCs/>
              </w:rPr>
              <w:t>50</w:t>
            </w:r>
          </w:p>
          <w:p w14:paraId="1D388991" w14:textId="3C788633" w:rsidR="00AD2F3C" w:rsidRPr="00732CF1" w:rsidRDefault="00AD2F3C" w:rsidP="00E176AF">
            <w:pPr>
              <w:pStyle w:val="Szvegtrzs"/>
              <w:spacing w:before="10"/>
              <w:rPr>
                <w:b w:val="0"/>
                <w:bCs/>
                <w:i w:val="0"/>
                <w:iCs/>
                <w:sz w:val="21"/>
              </w:rPr>
            </w:pPr>
            <w:r w:rsidRPr="00732CF1">
              <w:rPr>
                <w:b w:val="0"/>
                <w:bCs/>
                <w:i w:val="0"/>
                <w:iCs/>
              </w:rPr>
              <w:t>≥</w:t>
            </w:r>
            <w:r>
              <w:rPr>
                <w:b w:val="0"/>
                <w:bCs/>
                <w:i w:val="0"/>
                <w:iCs/>
              </w:rPr>
              <w:t> </w:t>
            </w:r>
            <w:r w:rsidRPr="00732CF1">
              <w:rPr>
                <w:b w:val="0"/>
                <w:bCs/>
                <w:i w:val="0"/>
                <w:iCs/>
              </w:rPr>
              <w:t>20</w:t>
            </w:r>
            <w:r>
              <w:rPr>
                <w:b w:val="0"/>
                <w:bCs/>
                <w:i w:val="0"/>
                <w:iCs/>
              </w:rPr>
              <w:t> </w:t>
            </w:r>
            <w:r w:rsidRPr="00732CF1">
              <w:rPr>
                <w:b w:val="0"/>
                <w:bCs/>
                <w:i w:val="0"/>
                <w:iCs/>
              </w:rPr>
              <w:t>–</w:t>
            </w:r>
            <w:r>
              <w:rPr>
                <w:b w:val="0"/>
                <w:bCs/>
                <w:i w:val="0"/>
                <w:iCs/>
              </w:rPr>
              <w:t> </w:t>
            </w:r>
            <w:r w:rsidRPr="00732CF1">
              <w:rPr>
                <w:b w:val="0"/>
                <w:bCs/>
                <w:i w:val="0"/>
                <w:iCs/>
              </w:rPr>
              <w:t>&lt;</w:t>
            </w:r>
            <w:r>
              <w:rPr>
                <w:b w:val="0"/>
                <w:bCs/>
                <w:i w:val="0"/>
                <w:iCs/>
              </w:rPr>
              <w:t> </w:t>
            </w:r>
            <w:r w:rsidRPr="00732CF1">
              <w:rPr>
                <w:b w:val="0"/>
                <w:bCs/>
                <w:i w:val="0"/>
                <w:iCs/>
              </w:rPr>
              <w:t>35</w:t>
            </w:r>
          </w:p>
        </w:tc>
        <w:tc>
          <w:tcPr>
            <w:tcW w:w="3237" w:type="dxa"/>
          </w:tcPr>
          <w:p w14:paraId="1D023B05" w14:textId="77777777" w:rsidR="00AD2F3C" w:rsidRPr="00732CF1" w:rsidRDefault="00AD2F3C" w:rsidP="00E176AF">
            <w:pPr>
              <w:pStyle w:val="Szvegtrzs"/>
              <w:spacing w:before="10"/>
              <w:jc w:val="center"/>
              <w:rPr>
                <w:b w:val="0"/>
                <w:bCs/>
                <w:i w:val="0"/>
                <w:iCs/>
                <w:sz w:val="21"/>
              </w:rPr>
            </w:pPr>
            <w:r w:rsidRPr="00732CF1">
              <w:rPr>
                <w:b w:val="0"/>
                <w:bCs/>
                <w:i w:val="0"/>
                <w:iCs/>
                <w:sz w:val="21"/>
              </w:rPr>
              <w:t>5</w:t>
            </w:r>
          </w:p>
          <w:p w14:paraId="799F0342" w14:textId="77777777" w:rsidR="00AD2F3C" w:rsidRPr="00732CF1" w:rsidRDefault="00AD2F3C" w:rsidP="00E176AF">
            <w:pPr>
              <w:pStyle w:val="Szvegtrzs"/>
              <w:spacing w:before="10"/>
              <w:jc w:val="center"/>
              <w:rPr>
                <w:b w:val="0"/>
                <w:bCs/>
                <w:i w:val="0"/>
                <w:iCs/>
                <w:sz w:val="21"/>
              </w:rPr>
            </w:pPr>
            <w:r w:rsidRPr="00732CF1">
              <w:rPr>
                <w:b w:val="0"/>
                <w:bCs/>
                <w:i w:val="0"/>
                <w:iCs/>
                <w:sz w:val="21"/>
              </w:rPr>
              <w:t>5</w:t>
            </w:r>
          </w:p>
          <w:p w14:paraId="644CF003" w14:textId="77777777" w:rsidR="00AD2F3C" w:rsidRPr="00732CF1" w:rsidRDefault="00AD2F3C" w:rsidP="00E176AF">
            <w:pPr>
              <w:pStyle w:val="Szvegtrzs"/>
              <w:spacing w:before="10"/>
              <w:jc w:val="center"/>
              <w:rPr>
                <w:b w:val="0"/>
                <w:bCs/>
                <w:i w:val="0"/>
                <w:iCs/>
                <w:sz w:val="21"/>
              </w:rPr>
            </w:pPr>
            <w:r w:rsidRPr="00732CF1">
              <w:rPr>
                <w:b w:val="0"/>
                <w:bCs/>
                <w:i w:val="0"/>
                <w:iCs/>
                <w:sz w:val="21"/>
              </w:rPr>
              <w:t>2,5*</w:t>
            </w:r>
          </w:p>
        </w:tc>
        <w:tc>
          <w:tcPr>
            <w:tcW w:w="3237" w:type="dxa"/>
          </w:tcPr>
          <w:p w14:paraId="76A098CD" w14:textId="77777777" w:rsidR="00AD2F3C" w:rsidRPr="00732CF1" w:rsidRDefault="00AD2F3C" w:rsidP="00E176AF">
            <w:pPr>
              <w:pStyle w:val="Szvegtrzs"/>
              <w:spacing w:before="10"/>
              <w:jc w:val="center"/>
              <w:rPr>
                <w:b w:val="0"/>
                <w:bCs/>
                <w:i w:val="0"/>
                <w:iCs/>
                <w:sz w:val="21"/>
              </w:rPr>
            </w:pPr>
            <w:r w:rsidRPr="00732CF1">
              <w:rPr>
                <w:b w:val="0"/>
                <w:bCs/>
                <w:i w:val="0"/>
                <w:iCs/>
                <w:sz w:val="21"/>
              </w:rPr>
              <w:t>10</w:t>
            </w:r>
          </w:p>
          <w:p w14:paraId="0A12D807" w14:textId="77777777" w:rsidR="00AD2F3C" w:rsidRPr="00732CF1" w:rsidRDefault="00AD2F3C" w:rsidP="00E176AF">
            <w:pPr>
              <w:pStyle w:val="Szvegtrzs"/>
              <w:spacing w:before="10"/>
              <w:jc w:val="center"/>
              <w:rPr>
                <w:b w:val="0"/>
                <w:bCs/>
                <w:i w:val="0"/>
                <w:iCs/>
                <w:sz w:val="21"/>
              </w:rPr>
            </w:pPr>
            <w:r w:rsidRPr="00732CF1">
              <w:rPr>
                <w:b w:val="0"/>
                <w:bCs/>
                <w:i w:val="0"/>
                <w:iCs/>
                <w:sz w:val="21"/>
              </w:rPr>
              <w:t>7,5*</w:t>
            </w:r>
          </w:p>
          <w:p w14:paraId="0FF63939" w14:textId="77777777" w:rsidR="00AD2F3C" w:rsidRPr="00732CF1" w:rsidRDefault="00AD2F3C" w:rsidP="00E176AF">
            <w:pPr>
              <w:pStyle w:val="Szvegtrzs"/>
              <w:spacing w:before="10"/>
              <w:jc w:val="center"/>
              <w:rPr>
                <w:b w:val="0"/>
                <w:bCs/>
                <w:i w:val="0"/>
                <w:iCs/>
                <w:sz w:val="21"/>
              </w:rPr>
            </w:pPr>
            <w:r w:rsidRPr="00732CF1">
              <w:rPr>
                <w:b w:val="0"/>
                <w:bCs/>
                <w:i w:val="0"/>
                <w:iCs/>
                <w:sz w:val="21"/>
              </w:rPr>
              <w:t>5</w:t>
            </w:r>
          </w:p>
        </w:tc>
      </w:tr>
      <w:tr w:rsidR="009C776D" w:rsidRPr="009C776D" w14:paraId="5593D5B6" w14:textId="77777777" w:rsidTr="00E176AF">
        <w:tc>
          <w:tcPr>
            <w:tcW w:w="9710" w:type="dxa"/>
            <w:gridSpan w:val="4"/>
          </w:tcPr>
          <w:p w14:paraId="6EA3D80C" w14:textId="4BAB130A" w:rsidR="00AD2F3C" w:rsidRPr="00732CF1" w:rsidRDefault="00AD2F3C" w:rsidP="00E176AF">
            <w:pPr>
              <w:pStyle w:val="Szvegtrzs"/>
              <w:spacing w:before="10"/>
              <w:rPr>
                <w:b w:val="0"/>
                <w:bCs/>
                <w:i w:val="0"/>
                <w:iCs/>
              </w:rPr>
            </w:pPr>
            <w:r w:rsidRPr="00732CF1">
              <w:rPr>
                <w:b w:val="0"/>
                <w:bCs/>
                <w:i w:val="0"/>
                <w:iCs/>
              </w:rPr>
              <w:t>a =</w:t>
            </w:r>
            <w:r>
              <w:rPr>
                <w:b w:val="0"/>
                <w:bCs/>
                <w:i w:val="0"/>
                <w:iCs/>
              </w:rPr>
              <w:t xml:space="preserve"> a klinikai választól és a tolerálhatóságtól függően</w:t>
            </w:r>
            <w:r w:rsidRPr="00732CF1">
              <w:rPr>
                <w:b w:val="0"/>
                <w:bCs/>
                <w:i w:val="0"/>
                <w:iCs/>
              </w:rPr>
              <w:t xml:space="preserve"> (</w:t>
            </w:r>
            <w:r>
              <w:rPr>
                <w:b w:val="0"/>
                <w:bCs/>
                <w:i w:val="0"/>
                <w:iCs/>
              </w:rPr>
              <w:t>lásd</w:t>
            </w:r>
            <w:r w:rsidRPr="00732CF1">
              <w:rPr>
                <w:b w:val="0"/>
                <w:bCs/>
                <w:i w:val="0"/>
                <w:iCs/>
              </w:rPr>
              <w:t xml:space="preserve"> 5.1</w:t>
            </w:r>
            <w:r>
              <w:rPr>
                <w:b w:val="0"/>
                <w:bCs/>
                <w:i w:val="0"/>
                <w:iCs/>
              </w:rPr>
              <w:t> pont</w:t>
            </w:r>
            <w:r w:rsidRPr="00732CF1">
              <w:rPr>
                <w:b w:val="0"/>
                <w:bCs/>
                <w:i w:val="0"/>
                <w:iCs/>
              </w:rPr>
              <w:t>)</w:t>
            </w:r>
          </w:p>
          <w:p w14:paraId="1EA43F05" w14:textId="7D065260" w:rsidR="00AD2F3C" w:rsidRPr="00732CF1" w:rsidRDefault="00AD2F3C" w:rsidP="00436F2A">
            <w:pPr>
              <w:pStyle w:val="Szvegtrzs"/>
              <w:spacing w:before="10"/>
              <w:rPr>
                <w:b w:val="0"/>
                <w:bCs/>
                <w:i w:val="0"/>
                <w:iCs/>
                <w:sz w:val="21"/>
              </w:rPr>
            </w:pPr>
            <w:r w:rsidRPr="00732CF1">
              <w:rPr>
                <w:b w:val="0"/>
                <w:bCs/>
                <w:i w:val="0"/>
                <w:iCs/>
              </w:rPr>
              <w:t>* 2</w:t>
            </w:r>
            <w:r>
              <w:rPr>
                <w:b w:val="0"/>
                <w:bCs/>
                <w:i w:val="0"/>
                <w:iCs/>
              </w:rPr>
              <w:t>,</w:t>
            </w:r>
            <w:r w:rsidRPr="00732CF1">
              <w:rPr>
                <w:b w:val="0"/>
                <w:bCs/>
                <w:i w:val="0"/>
                <w:iCs/>
              </w:rPr>
              <w:t>5</w:t>
            </w:r>
            <w:r>
              <w:rPr>
                <w:b w:val="0"/>
                <w:bCs/>
                <w:i w:val="0"/>
                <w:iCs/>
              </w:rPr>
              <w:t> </w:t>
            </w:r>
            <w:r w:rsidRPr="00732CF1">
              <w:rPr>
                <w:b w:val="0"/>
                <w:bCs/>
                <w:i w:val="0"/>
                <w:iCs/>
              </w:rPr>
              <w:t>mg</w:t>
            </w:r>
            <w:r>
              <w:rPr>
                <w:b w:val="0"/>
                <w:bCs/>
                <w:i w:val="0"/>
                <w:iCs/>
              </w:rPr>
              <w:t xml:space="preserve">-os vagy </w:t>
            </w:r>
            <w:r w:rsidRPr="00732CF1">
              <w:rPr>
                <w:b w:val="0"/>
                <w:bCs/>
                <w:i w:val="0"/>
                <w:iCs/>
              </w:rPr>
              <w:t>7</w:t>
            </w:r>
            <w:r>
              <w:rPr>
                <w:b w:val="0"/>
                <w:bCs/>
                <w:i w:val="0"/>
                <w:iCs/>
              </w:rPr>
              <w:t>,</w:t>
            </w:r>
            <w:r w:rsidRPr="00732CF1">
              <w:rPr>
                <w:b w:val="0"/>
                <w:bCs/>
                <w:i w:val="0"/>
                <w:iCs/>
              </w:rPr>
              <w:t>5</w:t>
            </w:r>
            <w:r>
              <w:rPr>
                <w:b w:val="0"/>
                <w:bCs/>
                <w:i w:val="0"/>
                <w:iCs/>
              </w:rPr>
              <w:t> </w:t>
            </w:r>
            <w:r w:rsidRPr="00732CF1">
              <w:rPr>
                <w:b w:val="0"/>
                <w:bCs/>
                <w:i w:val="0"/>
                <w:iCs/>
              </w:rPr>
              <w:t>mg</w:t>
            </w:r>
            <w:r>
              <w:rPr>
                <w:b w:val="0"/>
                <w:bCs/>
                <w:i w:val="0"/>
                <w:iCs/>
              </w:rPr>
              <w:t xml:space="preserve">-os </w:t>
            </w:r>
            <w:r w:rsidR="00436F2A">
              <w:rPr>
                <w:b w:val="0"/>
                <w:bCs/>
                <w:i w:val="0"/>
                <w:iCs/>
              </w:rPr>
              <w:t>dózist</w:t>
            </w:r>
            <w:r>
              <w:rPr>
                <w:b w:val="0"/>
                <w:bCs/>
                <w:i w:val="0"/>
                <w:iCs/>
              </w:rPr>
              <w:t xml:space="preserve"> igénylő adagolás esetén egy forgalomban lévő másik készítményt kell alkalmazni</w:t>
            </w:r>
          </w:p>
        </w:tc>
      </w:tr>
    </w:tbl>
    <w:p w14:paraId="4284F5E6" w14:textId="77777777" w:rsidR="00AD2F3C" w:rsidRDefault="00AD2F3C" w:rsidP="00AD2F3C">
      <w:pPr>
        <w:spacing w:line="240" w:lineRule="auto"/>
        <w:rPr>
          <w:szCs w:val="22"/>
          <w:lang w:val="hu-HU"/>
        </w:rPr>
      </w:pPr>
    </w:p>
    <w:p w14:paraId="01DA4D4D" w14:textId="77777777" w:rsidR="00AD2F3C" w:rsidRPr="00982442" w:rsidRDefault="00AD2F3C" w:rsidP="00AD2F3C">
      <w:pPr>
        <w:pStyle w:val="Default"/>
        <w:rPr>
          <w:sz w:val="22"/>
          <w:szCs w:val="22"/>
          <w:lang w:val="hu-HU"/>
        </w:rPr>
      </w:pPr>
      <w:r w:rsidRPr="00982442">
        <w:rPr>
          <w:i/>
          <w:iCs/>
          <w:sz w:val="22"/>
          <w:szCs w:val="22"/>
          <w:lang w:val="hu-HU"/>
        </w:rPr>
        <w:t>A</w:t>
      </w:r>
      <w:r>
        <w:rPr>
          <w:i/>
          <w:iCs/>
          <w:sz w:val="22"/>
          <w:szCs w:val="22"/>
          <w:lang w:val="hu-HU"/>
        </w:rPr>
        <w:t>z a</w:t>
      </w:r>
      <w:r w:rsidRPr="00982442">
        <w:rPr>
          <w:i/>
          <w:iCs/>
          <w:sz w:val="22"/>
          <w:szCs w:val="22"/>
          <w:lang w:val="hu-HU"/>
        </w:rPr>
        <w:t xml:space="preserve">mbriszentán </w:t>
      </w:r>
      <w:r>
        <w:rPr>
          <w:i/>
          <w:iCs/>
          <w:sz w:val="22"/>
          <w:szCs w:val="22"/>
          <w:lang w:val="hu-HU"/>
        </w:rPr>
        <w:t xml:space="preserve">és a </w:t>
      </w:r>
      <w:r w:rsidRPr="00982442">
        <w:rPr>
          <w:i/>
          <w:iCs/>
          <w:sz w:val="22"/>
          <w:szCs w:val="22"/>
          <w:lang w:val="hu-HU"/>
        </w:rPr>
        <w:t>ciklosporin</w:t>
      </w:r>
      <w:r>
        <w:rPr>
          <w:i/>
          <w:iCs/>
          <w:sz w:val="22"/>
          <w:szCs w:val="22"/>
          <w:lang w:val="hu-HU"/>
        </w:rPr>
        <w:t xml:space="preserve"> </w:t>
      </w:r>
      <w:r w:rsidRPr="00982442">
        <w:rPr>
          <w:i/>
          <w:iCs/>
          <w:sz w:val="22"/>
          <w:szCs w:val="22"/>
          <w:lang w:val="hu-HU"/>
        </w:rPr>
        <w:t>A kombinált alkalmazása</w:t>
      </w:r>
    </w:p>
    <w:p w14:paraId="2ED44729" w14:textId="0DA7C660" w:rsidR="00AD2F3C" w:rsidRPr="00C60440" w:rsidRDefault="00AD2F3C" w:rsidP="00AD2F3C">
      <w:pPr>
        <w:spacing w:line="240" w:lineRule="auto"/>
        <w:rPr>
          <w:rFonts w:eastAsia="Times New Roman"/>
          <w:bCs/>
          <w:i/>
          <w:iCs/>
          <w:snapToGrid/>
          <w:szCs w:val="22"/>
          <w:lang w:val="hu-HU" w:eastAsia="en-US"/>
        </w:rPr>
      </w:pPr>
      <w:r w:rsidRPr="00982442">
        <w:rPr>
          <w:szCs w:val="22"/>
          <w:lang w:val="hu-HU"/>
        </w:rPr>
        <w:t>Ciklosporin</w:t>
      </w:r>
      <w:r>
        <w:rPr>
          <w:szCs w:val="22"/>
          <w:lang w:val="hu-HU"/>
        </w:rPr>
        <w:t xml:space="preserve"> </w:t>
      </w:r>
      <w:r w:rsidRPr="00982442">
        <w:rPr>
          <w:szCs w:val="22"/>
          <w:lang w:val="hu-HU"/>
        </w:rPr>
        <w:t xml:space="preserve">A-val történő együttadáskor az </w:t>
      </w:r>
      <w:r>
        <w:rPr>
          <w:lang w:val="hu-HU"/>
        </w:rPr>
        <w:t>≥</w:t>
      </w:r>
      <w:r w:rsidRPr="00732CF1">
        <w:rPr>
          <w:lang w:val="hu-HU"/>
        </w:rPr>
        <w:t xml:space="preserve"> 50 kg testtömegű </w:t>
      </w:r>
      <w:r>
        <w:rPr>
          <w:lang w:val="hu-HU"/>
        </w:rPr>
        <w:t>gyermekeknél</w:t>
      </w:r>
      <w:r w:rsidR="005760B6">
        <w:rPr>
          <w:lang w:val="hu-HU"/>
        </w:rPr>
        <w:t xml:space="preserve"> és serdülőknél</w:t>
      </w:r>
      <w:r>
        <w:rPr>
          <w:lang w:val="hu-HU"/>
        </w:rPr>
        <w:t xml:space="preserve"> </w:t>
      </w:r>
      <w:r w:rsidR="00EC5D25">
        <w:rPr>
          <w:lang w:val="hu-HU"/>
        </w:rPr>
        <w:t>az ambriszentán d</w:t>
      </w:r>
      <w:r w:rsidR="005760B6">
        <w:rPr>
          <w:lang w:val="hu-HU"/>
        </w:rPr>
        <w:t>ózis</w:t>
      </w:r>
      <w:r w:rsidR="00EC5D25">
        <w:rPr>
          <w:lang w:val="hu-HU"/>
        </w:rPr>
        <w:t>át</w:t>
      </w:r>
      <w:r w:rsidRPr="00732CF1">
        <w:rPr>
          <w:lang w:val="hu-HU"/>
        </w:rPr>
        <w:t xml:space="preserve"> </w:t>
      </w:r>
      <w:r w:rsidRPr="00982442">
        <w:rPr>
          <w:szCs w:val="22"/>
          <w:lang w:val="hu-HU"/>
        </w:rPr>
        <w:t>napi egyszer 5 mg</w:t>
      </w:r>
      <w:r w:rsidRPr="00982442">
        <w:rPr>
          <w:szCs w:val="22"/>
          <w:lang w:val="hu-HU"/>
        </w:rPr>
        <w:noBreakHyphen/>
        <w:t xml:space="preserve">ra, </w:t>
      </w:r>
      <w:r>
        <w:rPr>
          <w:szCs w:val="22"/>
          <w:lang w:val="hu-HU"/>
        </w:rPr>
        <w:t xml:space="preserve">a </w:t>
      </w:r>
      <w:r>
        <w:rPr>
          <w:lang w:val="hu-HU"/>
        </w:rPr>
        <w:t>≥</w:t>
      </w:r>
      <w:r w:rsidRPr="00732CF1">
        <w:rPr>
          <w:lang w:val="hu-HU"/>
        </w:rPr>
        <w:t> 20</w:t>
      </w:r>
      <w:r>
        <w:rPr>
          <w:lang w:val="hu-HU"/>
        </w:rPr>
        <w:t> – </w:t>
      </w:r>
      <w:r w:rsidRPr="00732CF1">
        <w:rPr>
          <w:lang w:val="hu-HU"/>
        </w:rPr>
        <w:t xml:space="preserve">&lt; 50 kg testtömegű </w:t>
      </w:r>
      <w:r>
        <w:rPr>
          <w:lang w:val="hu-HU"/>
        </w:rPr>
        <w:t>gyermekeknél</w:t>
      </w:r>
      <w:r w:rsidR="005760B6">
        <w:rPr>
          <w:lang w:val="hu-HU"/>
        </w:rPr>
        <w:t xml:space="preserve"> és serdülőknél</w:t>
      </w:r>
      <w:r>
        <w:rPr>
          <w:lang w:val="hu-HU"/>
        </w:rPr>
        <w:t xml:space="preserve"> pedig napi egyszer</w:t>
      </w:r>
      <w:r w:rsidRPr="00732CF1">
        <w:rPr>
          <w:lang w:val="hu-HU"/>
        </w:rPr>
        <w:t xml:space="preserve"> 2,5 mg-ra</w:t>
      </w:r>
      <w:r w:rsidRPr="00982442">
        <w:rPr>
          <w:szCs w:val="22"/>
          <w:lang w:val="hu-HU"/>
        </w:rPr>
        <w:t xml:space="preserve"> kell korlátozni</w:t>
      </w:r>
      <w:r>
        <w:rPr>
          <w:szCs w:val="22"/>
          <w:lang w:val="hu-HU"/>
        </w:rPr>
        <w:t>. A</w:t>
      </w:r>
      <w:r w:rsidRPr="00982442">
        <w:rPr>
          <w:szCs w:val="22"/>
          <w:lang w:val="hu-HU"/>
        </w:rPr>
        <w:t xml:space="preserve"> betege</w:t>
      </w:r>
      <w:r>
        <w:rPr>
          <w:szCs w:val="22"/>
          <w:lang w:val="hu-HU"/>
        </w:rPr>
        <w:t>ke</w:t>
      </w:r>
      <w:r w:rsidRPr="00982442">
        <w:rPr>
          <w:szCs w:val="22"/>
          <w:lang w:val="hu-HU"/>
        </w:rPr>
        <w:t xml:space="preserve">t </w:t>
      </w:r>
      <w:r>
        <w:rPr>
          <w:szCs w:val="22"/>
          <w:lang w:val="hu-HU"/>
        </w:rPr>
        <w:t>szoro</w:t>
      </w:r>
      <w:r w:rsidRPr="00982442">
        <w:rPr>
          <w:szCs w:val="22"/>
          <w:lang w:val="hu-HU"/>
        </w:rPr>
        <w:t>san monitorozni kell (lásd 4.5 és 5.2 pont).</w:t>
      </w:r>
    </w:p>
    <w:p w14:paraId="699ACED7" w14:textId="3CF6A3AE" w:rsidR="00596D5D" w:rsidRPr="00C60440" w:rsidRDefault="00596D5D" w:rsidP="00082A8E">
      <w:pPr>
        <w:spacing w:line="240" w:lineRule="auto"/>
        <w:rPr>
          <w:rFonts w:eastAsia="Times New Roman"/>
          <w:bCs/>
          <w:i/>
          <w:iCs/>
          <w:snapToGrid/>
          <w:szCs w:val="22"/>
          <w:lang w:val="hu-HU" w:eastAsia="en-US"/>
        </w:rPr>
      </w:pPr>
    </w:p>
    <w:p w14:paraId="138CC27B" w14:textId="640870C9" w:rsidR="00596D5D" w:rsidRPr="00C60440" w:rsidRDefault="00EF7E14" w:rsidP="00596D5D">
      <w:pPr>
        <w:pStyle w:val="Default"/>
        <w:rPr>
          <w:sz w:val="22"/>
          <w:szCs w:val="22"/>
          <w:u w:val="single"/>
          <w:lang w:val="hu-HU"/>
        </w:rPr>
      </w:pPr>
      <w:r>
        <w:rPr>
          <w:sz w:val="22"/>
          <w:szCs w:val="22"/>
          <w:u w:val="single"/>
          <w:lang w:val="hu-HU"/>
        </w:rPr>
        <w:t>Különleges betegcsoportok</w:t>
      </w:r>
    </w:p>
    <w:p w14:paraId="71D35407" w14:textId="77777777" w:rsidR="00596D5D" w:rsidRPr="00C60440" w:rsidRDefault="00596D5D" w:rsidP="00596D5D">
      <w:pPr>
        <w:pStyle w:val="Default"/>
        <w:rPr>
          <w:sz w:val="22"/>
          <w:szCs w:val="22"/>
          <w:u w:val="single"/>
          <w:lang w:val="hu-HU"/>
        </w:rPr>
      </w:pPr>
    </w:p>
    <w:p w14:paraId="1A0DB4CE" w14:textId="32DBBDB1" w:rsidR="00596D5D" w:rsidRPr="00C60440" w:rsidRDefault="00596D5D" w:rsidP="00596D5D">
      <w:pPr>
        <w:pStyle w:val="Default"/>
        <w:rPr>
          <w:sz w:val="22"/>
          <w:szCs w:val="22"/>
          <w:u w:val="single"/>
          <w:lang w:val="hu-HU"/>
        </w:rPr>
      </w:pPr>
      <w:r w:rsidRPr="00C60440">
        <w:rPr>
          <w:i/>
          <w:iCs/>
          <w:sz w:val="22"/>
          <w:szCs w:val="22"/>
          <w:u w:val="single"/>
          <w:lang w:val="hu-HU"/>
        </w:rPr>
        <w:t>Idősek</w:t>
      </w:r>
    </w:p>
    <w:p w14:paraId="1ADDFC0C" w14:textId="3308EDA4" w:rsidR="00596D5D" w:rsidRPr="00C60440" w:rsidRDefault="00596D5D" w:rsidP="00596D5D">
      <w:pPr>
        <w:pStyle w:val="Default"/>
        <w:rPr>
          <w:sz w:val="22"/>
          <w:szCs w:val="22"/>
          <w:lang w:val="hu-HU"/>
        </w:rPr>
      </w:pPr>
      <w:r w:rsidRPr="00C60440">
        <w:rPr>
          <w:sz w:val="22"/>
          <w:szCs w:val="22"/>
          <w:lang w:val="hu-HU"/>
        </w:rPr>
        <w:t>65</w:t>
      </w:r>
      <w:r w:rsidR="001C6109" w:rsidRPr="00C60440">
        <w:rPr>
          <w:sz w:val="22"/>
          <w:szCs w:val="22"/>
          <w:lang w:val="hu-HU"/>
        </w:rPr>
        <w:t> </w:t>
      </w:r>
      <w:r w:rsidRPr="00C60440">
        <w:rPr>
          <w:sz w:val="22"/>
          <w:szCs w:val="22"/>
          <w:lang w:val="hu-HU"/>
        </w:rPr>
        <w:t>év feletti betegeknél nincs szükség a</w:t>
      </w:r>
      <w:r w:rsidR="00BC5428">
        <w:rPr>
          <w:sz w:val="22"/>
          <w:szCs w:val="22"/>
          <w:lang w:val="hu-HU"/>
        </w:rPr>
        <w:t xml:space="preserve"> dózis</w:t>
      </w:r>
      <w:r w:rsidR="00DC48F3">
        <w:rPr>
          <w:sz w:val="22"/>
          <w:szCs w:val="22"/>
          <w:lang w:val="hu-HU"/>
        </w:rPr>
        <w:t xml:space="preserve"> </w:t>
      </w:r>
      <w:r w:rsidRPr="00C60440">
        <w:rPr>
          <w:sz w:val="22"/>
          <w:szCs w:val="22"/>
          <w:lang w:val="hu-HU"/>
        </w:rPr>
        <w:t>módosítására (lásd 5.2</w:t>
      </w:r>
      <w:r w:rsidR="001C6109" w:rsidRPr="00C60440">
        <w:rPr>
          <w:sz w:val="22"/>
          <w:szCs w:val="22"/>
          <w:lang w:val="hu-HU"/>
        </w:rPr>
        <w:t> </w:t>
      </w:r>
      <w:r w:rsidRPr="00C60440">
        <w:rPr>
          <w:sz w:val="22"/>
          <w:szCs w:val="22"/>
          <w:lang w:val="hu-HU"/>
        </w:rPr>
        <w:t>pont).</w:t>
      </w:r>
    </w:p>
    <w:p w14:paraId="4C24A684" w14:textId="77777777" w:rsidR="001C6109" w:rsidRPr="00C60440" w:rsidRDefault="001C6109" w:rsidP="00596D5D">
      <w:pPr>
        <w:pStyle w:val="Default"/>
        <w:rPr>
          <w:i/>
          <w:iCs/>
          <w:sz w:val="22"/>
          <w:szCs w:val="22"/>
          <w:lang w:val="hu-HU"/>
        </w:rPr>
      </w:pPr>
    </w:p>
    <w:p w14:paraId="511B12D7" w14:textId="118554E2" w:rsidR="00596D5D" w:rsidRPr="00C60440" w:rsidRDefault="00596D5D" w:rsidP="00596D5D">
      <w:pPr>
        <w:pStyle w:val="Default"/>
        <w:rPr>
          <w:sz w:val="22"/>
          <w:szCs w:val="22"/>
          <w:u w:val="single"/>
          <w:lang w:val="hu-HU"/>
        </w:rPr>
      </w:pPr>
      <w:r w:rsidRPr="00C60440">
        <w:rPr>
          <w:i/>
          <w:iCs/>
          <w:sz w:val="22"/>
          <w:szCs w:val="22"/>
          <w:u w:val="single"/>
          <w:lang w:val="hu-HU"/>
        </w:rPr>
        <w:t>Vesekárosodásban szenvedő betegek</w:t>
      </w:r>
    </w:p>
    <w:p w14:paraId="16AEA653" w14:textId="62C38F09" w:rsidR="00596D5D" w:rsidRPr="00C60440" w:rsidRDefault="00EF7E14" w:rsidP="00596D5D">
      <w:pPr>
        <w:pStyle w:val="Default"/>
        <w:rPr>
          <w:sz w:val="22"/>
          <w:szCs w:val="22"/>
          <w:lang w:val="hu-HU"/>
        </w:rPr>
      </w:pPr>
      <w:r>
        <w:rPr>
          <w:sz w:val="22"/>
          <w:szCs w:val="22"/>
          <w:lang w:val="hu-HU"/>
        </w:rPr>
        <w:t>Vesekárosodásban szenvedő</w:t>
      </w:r>
      <w:r w:rsidR="00596D5D" w:rsidRPr="00C60440">
        <w:rPr>
          <w:sz w:val="22"/>
          <w:szCs w:val="22"/>
          <w:lang w:val="hu-HU"/>
        </w:rPr>
        <w:t xml:space="preserve"> betegeknél nincs szükség a</w:t>
      </w:r>
      <w:r>
        <w:rPr>
          <w:sz w:val="22"/>
          <w:szCs w:val="22"/>
          <w:lang w:val="hu-HU"/>
        </w:rPr>
        <w:t xml:space="preserve"> dózis</w:t>
      </w:r>
      <w:r w:rsidR="00596D5D" w:rsidRPr="00C60440">
        <w:rPr>
          <w:sz w:val="22"/>
          <w:szCs w:val="22"/>
          <w:lang w:val="hu-HU"/>
        </w:rPr>
        <w:t xml:space="preserve"> módosítására (lásd 5.2</w:t>
      </w:r>
      <w:r w:rsidR="001C6109" w:rsidRPr="00C60440">
        <w:rPr>
          <w:sz w:val="22"/>
          <w:szCs w:val="22"/>
          <w:lang w:val="hu-HU"/>
        </w:rPr>
        <w:t> </w:t>
      </w:r>
      <w:r w:rsidR="00596D5D" w:rsidRPr="00C60440">
        <w:rPr>
          <w:sz w:val="22"/>
          <w:szCs w:val="22"/>
          <w:lang w:val="hu-HU"/>
        </w:rPr>
        <w:t>pont). Súlyos vesekárosodásban szenvedőknél (kreatinin-clearance</w:t>
      </w:r>
      <w:r w:rsidR="001C6109" w:rsidRPr="00C60440">
        <w:rPr>
          <w:sz w:val="22"/>
          <w:szCs w:val="22"/>
          <w:lang w:val="hu-HU"/>
        </w:rPr>
        <w:t> </w:t>
      </w:r>
      <w:r w:rsidR="00596D5D" w:rsidRPr="00C60440">
        <w:rPr>
          <w:sz w:val="22"/>
          <w:szCs w:val="22"/>
          <w:lang w:val="hu-HU"/>
        </w:rPr>
        <w:t>&lt;</w:t>
      </w:r>
      <w:r w:rsidR="001C6109" w:rsidRPr="00C60440">
        <w:rPr>
          <w:sz w:val="22"/>
          <w:szCs w:val="22"/>
          <w:lang w:val="hu-HU"/>
        </w:rPr>
        <w:t> </w:t>
      </w:r>
      <w:r w:rsidR="00596D5D" w:rsidRPr="00C60440">
        <w:rPr>
          <w:sz w:val="22"/>
          <w:szCs w:val="22"/>
          <w:lang w:val="hu-HU"/>
        </w:rPr>
        <w:t>30</w:t>
      </w:r>
      <w:r w:rsidR="001C6109" w:rsidRPr="00C60440">
        <w:rPr>
          <w:sz w:val="22"/>
          <w:szCs w:val="22"/>
          <w:lang w:val="hu-HU"/>
        </w:rPr>
        <w:t> </w:t>
      </w:r>
      <w:r w:rsidR="00596D5D" w:rsidRPr="00C60440">
        <w:rPr>
          <w:sz w:val="22"/>
          <w:szCs w:val="22"/>
          <w:lang w:val="hu-HU"/>
        </w:rPr>
        <w:t xml:space="preserve">ml/perc) az ambriszentánnal kapcsolatban korlátozott tapasztalat áll rendelkezésre. Ebben a betegcsoportban a kezelést óvatosan kell kezdeni, és fokozott óvatosság szükséges, ha az ambriszentán </w:t>
      </w:r>
      <w:r w:rsidR="004D0453">
        <w:rPr>
          <w:sz w:val="22"/>
          <w:szCs w:val="22"/>
          <w:lang w:val="hu-HU"/>
        </w:rPr>
        <w:t>dózis</w:t>
      </w:r>
      <w:r w:rsidR="00596D5D" w:rsidRPr="00C60440">
        <w:rPr>
          <w:sz w:val="22"/>
          <w:szCs w:val="22"/>
          <w:lang w:val="hu-HU"/>
        </w:rPr>
        <w:t>át 10</w:t>
      </w:r>
      <w:r w:rsidR="001C6109" w:rsidRPr="00C60440">
        <w:rPr>
          <w:sz w:val="22"/>
          <w:szCs w:val="22"/>
          <w:lang w:val="hu-HU"/>
        </w:rPr>
        <w:t> </w:t>
      </w:r>
      <w:r w:rsidR="00596D5D" w:rsidRPr="00C60440">
        <w:rPr>
          <w:sz w:val="22"/>
          <w:szCs w:val="22"/>
          <w:lang w:val="hu-HU"/>
        </w:rPr>
        <w:t>mg</w:t>
      </w:r>
      <w:r w:rsidR="00DC0B70">
        <w:rPr>
          <w:sz w:val="22"/>
          <w:szCs w:val="22"/>
          <w:lang w:val="hu-HU"/>
        </w:rPr>
        <w:noBreakHyphen/>
      </w:r>
      <w:r w:rsidR="00596D5D" w:rsidRPr="00C60440">
        <w:rPr>
          <w:sz w:val="22"/>
          <w:szCs w:val="22"/>
          <w:lang w:val="hu-HU"/>
        </w:rPr>
        <w:t>ra emelik.</w:t>
      </w:r>
    </w:p>
    <w:p w14:paraId="67BE9995" w14:textId="77777777" w:rsidR="001C6109" w:rsidRPr="00C60440" w:rsidRDefault="001C6109" w:rsidP="00596D5D">
      <w:pPr>
        <w:pStyle w:val="Default"/>
        <w:rPr>
          <w:sz w:val="22"/>
          <w:szCs w:val="22"/>
          <w:lang w:val="hu-HU"/>
        </w:rPr>
      </w:pPr>
    </w:p>
    <w:p w14:paraId="452F82A3" w14:textId="1616D45B" w:rsidR="00596D5D" w:rsidRPr="00C60440" w:rsidRDefault="00596D5D" w:rsidP="00596D5D">
      <w:pPr>
        <w:pStyle w:val="Default"/>
        <w:rPr>
          <w:snapToGrid w:val="0"/>
          <w:color w:val="auto"/>
          <w:sz w:val="22"/>
          <w:szCs w:val="22"/>
          <w:lang w:val="hu-HU" w:eastAsia="zh-CN"/>
        </w:rPr>
      </w:pPr>
      <w:r w:rsidRPr="00C60440">
        <w:rPr>
          <w:i/>
          <w:iCs/>
          <w:sz w:val="22"/>
          <w:szCs w:val="22"/>
          <w:u w:val="single"/>
          <w:lang w:val="hu-HU"/>
        </w:rPr>
        <w:t>Májkárosodásban szenvedő betegek</w:t>
      </w:r>
    </w:p>
    <w:p w14:paraId="5CF211B1" w14:textId="330E61B9" w:rsidR="00596D5D" w:rsidRPr="00C60440" w:rsidRDefault="00596D5D" w:rsidP="00596D5D">
      <w:pPr>
        <w:spacing w:line="240" w:lineRule="auto"/>
        <w:rPr>
          <w:rFonts w:eastAsia="Times New Roman"/>
          <w:bCs/>
          <w:i/>
          <w:iCs/>
          <w:snapToGrid/>
          <w:szCs w:val="22"/>
          <w:lang w:val="hu-HU" w:eastAsia="en-US"/>
        </w:rPr>
      </w:pPr>
      <w:r w:rsidRPr="00C60440">
        <w:rPr>
          <w:szCs w:val="22"/>
          <w:lang w:val="hu-HU"/>
        </w:rPr>
        <w:lastRenderedPageBreak/>
        <w:t>Az ambriszentánt nem vizsgálták cirrhosissal járó vagy anélküli, májkárosodásban szenvedő betegeken. Mivel az ambriszentán főként glükuronidáció és oxidáció révén metabolizálódik, amit az epével való kiválasztódás követ, ezért a májkárosodás várhatóan növelheti az ambriszentán expozícióját (a C</w:t>
      </w:r>
      <w:r w:rsidRPr="00C60440">
        <w:rPr>
          <w:szCs w:val="22"/>
          <w:vertAlign w:val="subscript"/>
          <w:lang w:val="hu-HU"/>
        </w:rPr>
        <w:t>max</w:t>
      </w:r>
      <w:r w:rsidRPr="00C60440">
        <w:rPr>
          <w:szCs w:val="22"/>
          <w:lang w:val="hu-HU"/>
        </w:rPr>
        <w:t xml:space="preserve">- és AUC-értékeket). Ezért súlyos májkárosodásban szenvedőknél, vagy akiknél klinikailag jelentős mértékben emelkedtek a hepatikus </w:t>
      </w:r>
      <w:r w:rsidR="009202DA">
        <w:rPr>
          <w:szCs w:val="22"/>
          <w:lang w:val="hu-HU"/>
        </w:rPr>
        <w:t>transzamináz</w:t>
      </w:r>
      <w:r w:rsidRPr="00C60440">
        <w:rPr>
          <w:szCs w:val="22"/>
          <w:lang w:val="hu-HU"/>
        </w:rPr>
        <w:t xml:space="preserve">értékek (magasabbra, mint a normálérték felső határának háromszorosa </w:t>
      </w:r>
      <w:r w:rsidR="009202DA">
        <w:rPr>
          <w:szCs w:val="22"/>
          <w:lang w:val="hu-HU"/>
        </w:rPr>
        <w:t>[</w:t>
      </w:r>
      <w:r w:rsidRPr="00C60440">
        <w:rPr>
          <w:szCs w:val="22"/>
          <w:lang w:val="hu-HU"/>
        </w:rPr>
        <w:t>&gt; 3</w:t>
      </w:r>
      <w:r w:rsidR="003D6DBA" w:rsidRPr="00C60440">
        <w:rPr>
          <w:szCs w:val="22"/>
          <w:lang w:val="hu-HU"/>
        </w:rPr>
        <w:t>×</w:t>
      </w:r>
      <w:r w:rsidRPr="00C60440">
        <w:rPr>
          <w:szCs w:val="22"/>
          <w:lang w:val="hu-HU"/>
        </w:rPr>
        <w:t xml:space="preserve">ULN </w:t>
      </w:r>
      <w:r w:rsidR="009202DA">
        <w:rPr>
          <w:szCs w:val="22"/>
          <w:lang w:val="hu-HU"/>
        </w:rPr>
        <w:t>{</w:t>
      </w:r>
      <w:r w:rsidRPr="00C60440">
        <w:rPr>
          <w:szCs w:val="22"/>
          <w:lang w:val="hu-HU"/>
        </w:rPr>
        <w:t>Upper Limit of Normal</w:t>
      </w:r>
      <w:r w:rsidR="009202DA">
        <w:rPr>
          <w:szCs w:val="22"/>
          <w:lang w:val="hu-HU"/>
        </w:rPr>
        <w:t>}]</w:t>
      </w:r>
      <w:r w:rsidRPr="00C60440">
        <w:rPr>
          <w:szCs w:val="22"/>
          <w:lang w:val="hu-HU"/>
        </w:rPr>
        <w:t xml:space="preserve">), </w:t>
      </w:r>
      <w:r w:rsidR="009202DA">
        <w:rPr>
          <w:szCs w:val="22"/>
          <w:lang w:val="hu-HU"/>
        </w:rPr>
        <w:t>tilos</w:t>
      </w:r>
      <w:r w:rsidRPr="00C60440">
        <w:rPr>
          <w:szCs w:val="22"/>
          <w:lang w:val="hu-HU"/>
        </w:rPr>
        <w:t xml:space="preserve"> az ambriszentán</w:t>
      </w:r>
      <w:r w:rsidR="00EE42A1" w:rsidRPr="00C60440">
        <w:rPr>
          <w:szCs w:val="22"/>
          <w:lang w:val="hu-HU"/>
        </w:rPr>
        <w:noBreakHyphen/>
      </w:r>
      <w:r w:rsidRPr="00C60440">
        <w:rPr>
          <w:szCs w:val="22"/>
          <w:lang w:val="hu-HU"/>
        </w:rPr>
        <w:t>kezelést elkezdeni (lásd 4.3 és 4.4</w:t>
      </w:r>
      <w:r w:rsidR="001C6109" w:rsidRPr="00C60440">
        <w:rPr>
          <w:szCs w:val="22"/>
          <w:lang w:val="hu-HU"/>
        </w:rPr>
        <w:t> </w:t>
      </w:r>
      <w:r w:rsidRPr="00C60440">
        <w:rPr>
          <w:szCs w:val="22"/>
          <w:lang w:val="hu-HU"/>
        </w:rPr>
        <w:t>pont).</w:t>
      </w:r>
    </w:p>
    <w:p w14:paraId="31E01CDF" w14:textId="77777777" w:rsidR="00596D5D" w:rsidRPr="00C60440" w:rsidRDefault="00596D5D" w:rsidP="00082A8E">
      <w:pPr>
        <w:spacing w:line="240" w:lineRule="auto"/>
        <w:rPr>
          <w:rFonts w:eastAsia="Times New Roman"/>
          <w:bCs/>
          <w:i/>
          <w:iCs/>
          <w:snapToGrid/>
          <w:szCs w:val="22"/>
          <w:lang w:val="hu-HU" w:eastAsia="en-US"/>
        </w:rPr>
      </w:pPr>
    </w:p>
    <w:p w14:paraId="2E9F9D8A" w14:textId="253B28D9" w:rsidR="00F45C51" w:rsidRPr="00C60440" w:rsidRDefault="00E61DC0" w:rsidP="00082A8E">
      <w:pPr>
        <w:spacing w:line="240" w:lineRule="auto"/>
        <w:rPr>
          <w:rFonts w:eastAsia="Times New Roman"/>
          <w:bCs/>
          <w:i/>
          <w:iCs/>
          <w:snapToGrid/>
          <w:szCs w:val="22"/>
          <w:u w:val="single"/>
          <w:lang w:val="hu-HU" w:eastAsia="en-US"/>
        </w:rPr>
      </w:pPr>
      <w:r w:rsidRPr="00C60440">
        <w:rPr>
          <w:rFonts w:eastAsia="Times New Roman"/>
          <w:bCs/>
          <w:i/>
          <w:iCs/>
          <w:snapToGrid/>
          <w:szCs w:val="22"/>
          <w:u w:val="single"/>
          <w:lang w:val="hu-HU" w:eastAsia="en-US"/>
        </w:rPr>
        <w:t>Gyermek</w:t>
      </w:r>
      <w:r w:rsidR="00F5194B" w:rsidRPr="00C60440">
        <w:rPr>
          <w:rFonts w:eastAsia="Times New Roman"/>
          <w:bCs/>
          <w:i/>
          <w:iCs/>
          <w:snapToGrid/>
          <w:szCs w:val="22"/>
          <w:u w:val="single"/>
          <w:lang w:val="hu-HU" w:eastAsia="en-US"/>
        </w:rPr>
        <w:t>ek</w:t>
      </w:r>
      <w:r w:rsidR="00DC4CAB" w:rsidRPr="00C60440">
        <w:rPr>
          <w:rFonts w:eastAsia="Times New Roman"/>
          <w:bCs/>
          <w:i/>
          <w:iCs/>
          <w:snapToGrid/>
          <w:szCs w:val="22"/>
          <w:u w:val="single"/>
          <w:lang w:val="hu-HU" w:eastAsia="en-US"/>
        </w:rPr>
        <w:t xml:space="preserve"> és serdülők</w:t>
      </w:r>
    </w:p>
    <w:p w14:paraId="6A3329A6" w14:textId="52FB30A0" w:rsidR="001C6109" w:rsidRPr="00C60440" w:rsidRDefault="001C6109" w:rsidP="001C6109">
      <w:pPr>
        <w:pStyle w:val="Default"/>
        <w:rPr>
          <w:sz w:val="22"/>
          <w:szCs w:val="22"/>
          <w:lang w:val="hu-HU"/>
        </w:rPr>
      </w:pPr>
      <w:r w:rsidRPr="00C60440">
        <w:rPr>
          <w:sz w:val="22"/>
          <w:szCs w:val="22"/>
          <w:lang w:val="hu-HU"/>
        </w:rPr>
        <w:t>Az ambriszentán biztonságosságát és hatásosságát 8 évesnél fiatalabb gyermekek</w:t>
      </w:r>
      <w:r w:rsidR="003E5EB7">
        <w:rPr>
          <w:sz w:val="22"/>
          <w:szCs w:val="22"/>
          <w:lang w:val="hu-HU"/>
        </w:rPr>
        <w:t xml:space="preserve"> </w:t>
      </w:r>
      <w:r w:rsidRPr="00C60440">
        <w:rPr>
          <w:sz w:val="22"/>
          <w:szCs w:val="22"/>
          <w:lang w:val="hu-HU"/>
        </w:rPr>
        <w:t>esetében nem igazolták. Nincsenek rendelkezésre álló klinikai adatok (lásd 5.3 pontban a fiatal állatokra vonatkozó adatokat).</w:t>
      </w:r>
    </w:p>
    <w:p w14:paraId="29B45BD3" w14:textId="77777777" w:rsidR="001C6109" w:rsidRPr="00C60440" w:rsidRDefault="001C6109" w:rsidP="001C6109">
      <w:pPr>
        <w:pStyle w:val="Default"/>
        <w:rPr>
          <w:sz w:val="22"/>
          <w:szCs w:val="22"/>
          <w:lang w:val="hu-HU"/>
        </w:rPr>
      </w:pPr>
    </w:p>
    <w:p w14:paraId="47D1B745" w14:textId="07337F54" w:rsidR="001C6109" w:rsidRPr="00C60440" w:rsidRDefault="001C6109" w:rsidP="001C6109">
      <w:pPr>
        <w:pStyle w:val="Default"/>
        <w:rPr>
          <w:sz w:val="22"/>
          <w:szCs w:val="22"/>
          <w:u w:val="single"/>
          <w:lang w:val="hu-HU"/>
        </w:rPr>
      </w:pPr>
      <w:r w:rsidRPr="00C60440">
        <w:rPr>
          <w:sz w:val="22"/>
          <w:szCs w:val="22"/>
          <w:u w:val="single"/>
          <w:lang w:val="hu-HU"/>
        </w:rPr>
        <w:t>Az alkalmazás módja</w:t>
      </w:r>
    </w:p>
    <w:p w14:paraId="2158DEB9" w14:textId="77777777" w:rsidR="001C6109" w:rsidRPr="00C60440" w:rsidRDefault="001C6109" w:rsidP="001C6109">
      <w:pPr>
        <w:autoSpaceDE w:val="0"/>
        <w:autoSpaceDN w:val="0"/>
        <w:adjustRightInd w:val="0"/>
        <w:spacing w:line="240" w:lineRule="auto"/>
        <w:rPr>
          <w:szCs w:val="22"/>
          <w:lang w:val="hu-HU"/>
        </w:rPr>
      </w:pPr>
    </w:p>
    <w:p w14:paraId="00E7FB58" w14:textId="4DA184F8" w:rsidR="00F5194B" w:rsidRPr="00C60440" w:rsidRDefault="005760B6" w:rsidP="001C6109">
      <w:pPr>
        <w:autoSpaceDE w:val="0"/>
        <w:autoSpaceDN w:val="0"/>
        <w:adjustRightInd w:val="0"/>
        <w:spacing w:line="240" w:lineRule="auto"/>
        <w:rPr>
          <w:rFonts w:eastAsia="Times New Roman"/>
          <w:szCs w:val="22"/>
          <w:lang w:val="hu-HU"/>
        </w:rPr>
      </w:pPr>
      <w:r>
        <w:rPr>
          <w:szCs w:val="22"/>
          <w:lang w:val="hu-HU"/>
        </w:rPr>
        <w:t>S</w:t>
      </w:r>
      <w:r w:rsidR="00EC5D25" w:rsidRPr="00C60440">
        <w:rPr>
          <w:szCs w:val="22"/>
          <w:lang w:val="hu-HU"/>
        </w:rPr>
        <w:t xml:space="preserve">zájon át </w:t>
      </w:r>
      <w:r>
        <w:rPr>
          <w:szCs w:val="22"/>
          <w:lang w:val="hu-HU"/>
        </w:rPr>
        <w:t xml:space="preserve">történő </w:t>
      </w:r>
      <w:r w:rsidR="00EC5D25">
        <w:rPr>
          <w:szCs w:val="22"/>
          <w:lang w:val="hu-HU"/>
        </w:rPr>
        <w:t>alkalmaz</w:t>
      </w:r>
      <w:r>
        <w:rPr>
          <w:szCs w:val="22"/>
          <w:lang w:val="hu-HU"/>
        </w:rPr>
        <w:t>ásra</w:t>
      </w:r>
      <w:r w:rsidR="00EC5D25">
        <w:rPr>
          <w:szCs w:val="22"/>
          <w:lang w:val="hu-HU"/>
        </w:rPr>
        <w:t xml:space="preserve">. </w:t>
      </w:r>
      <w:r w:rsidR="001C6109" w:rsidRPr="00C60440">
        <w:rPr>
          <w:szCs w:val="22"/>
          <w:lang w:val="hu-HU"/>
        </w:rPr>
        <w:t>A tablettát ajánlott egészben lenyelni, és ét</w:t>
      </w:r>
      <w:r w:rsidR="009202DA">
        <w:rPr>
          <w:szCs w:val="22"/>
          <w:lang w:val="hu-HU"/>
        </w:rPr>
        <w:t>kezés közben</w:t>
      </w:r>
      <w:r w:rsidR="001C6109" w:rsidRPr="00C60440">
        <w:rPr>
          <w:szCs w:val="22"/>
          <w:lang w:val="hu-HU"/>
        </w:rPr>
        <w:t xml:space="preserve"> vagy </w:t>
      </w:r>
      <w:r w:rsidR="004B1299">
        <w:rPr>
          <w:szCs w:val="22"/>
          <w:lang w:val="hu-HU"/>
        </w:rPr>
        <w:t>attól függetlenül is</w:t>
      </w:r>
      <w:r w:rsidR="001C6109" w:rsidRPr="00C60440">
        <w:rPr>
          <w:szCs w:val="22"/>
          <w:lang w:val="hu-HU"/>
        </w:rPr>
        <w:t xml:space="preserve"> bevehető. Az ajánlás szerint a tablettát nem szabad kettétörni, összetörni vagy szétrágni.</w:t>
      </w:r>
    </w:p>
    <w:p w14:paraId="5EA21D62" w14:textId="77777777" w:rsidR="00F45C51" w:rsidRPr="00C60440" w:rsidRDefault="00F45C51" w:rsidP="00082A8E">
      <w:pPr>
        <w:autoSpaceDE w:val="0"/>
        <w:autoSpaceDN w:val="0"/>
        <w:adjustRightInd w:val="0"/>
        <w:spacing w:line="240" w:lineRule="auto"/>
        <w:rPr>
          <w:rFonts w:eastAsia="Times New Roman"/>
          <w:snapToGrid/>
          <w:szCs w:val="22"/>
          <w:lang w:val="hu-HU" w:eastAsia="en-US"/>
        </w:rPr>
      </w:pPr>
    </w:p>
    <w:p w14:paraId="73A04D2F" w14:textId="77777777" w:rsidR="00F45C51" w:rsidRPr="00C60440" w:rsidRDefault="00E61DC0" w:rsidP="00082A8E">
      <w:pPr>
        <w:spacing w:line="240" w:lineRule="auto"/>
        <w:ind w:left="567" w:hanging="567"/>
        <w:outlineLvl w:val="0"/>
        <w:rPr>
          <w:rFonts w:eastAsia="Times New Roman"/>
          <w:b/>
          <w:noProof/>
          <w:snapToGrid/>
          <w:szCs w:val="22"/>
          <w:lang w:val="hu-HU" w:eastAsia="en-US"/>
        </w:rPr>
      </w:pPr>
      <w:r w:rsidRPr="00C60440">
        <w:rPr>
          <w:rFonts w:eastAsia="Times New Roman"/>
          <w:b/>
          <w:noProof/>
          <w:snapToGrid/>
          <w:szCs w:val="22"/>
          <w:lang w:val="hu-HU" w:eastAsia="en-US"/>
        </w:rPr>
        <w:t>4.3</w:t>
      </w:r>
      <w:r w:rsidRPr="00C60440">
        <w:rPr>
          <w:rFonts w:eastAsia="Times New Roman"/>
          <w:b/>
          <w:noProof/>
          <w:snapToGrid/>
          <w:szCs w:val="22"/>
          <w:lang w:val="hu-HU" w:eastAsia="en-US"/>
        </w:rPr>
        <w:tab/>
        <w:t>Ellenjavallatok</w:t>
      </w:r>
    </w:p>
    <w:p w14:paraId="67BE02ED" w14:textId="77777777" w:rsidR="00F45C51" w:rsidRPr="00C60440" w:rsidRDefault="00F45C51" w:rsidP="00082A8E">
      <w:pPr>
        <w:spacing w:line="240" w:lineRule="auto"/>
        <w:rPr>
          <w:rFonts w:eastAsia="Times New Roman"/>
          <w:noProof/>
          <w:snapToGrid/>
          <w:szCs w:val="22"/>
          <w:lang w:val="hu-HU" w:eastAsia="en-US"/>
        </w:rPr>
      </w:pPr>
    </w:p>
    <w:p w14:paraId="6DE3E785" w14:textId="7E0FD09E" w:rsidR="00B309F5" w:rsidRPr="00C60440" w:rsidRDefault="00B309F5" w:rsidP="00082A8E">
      <w:pPr>
        <w:spacing w:line="240" w:lineRule="auto"/>
        <w:rPr>
          <w:rFonts w:eastAsia="Times New Roman"/>
          <w:noProof/>
          <w:snapToGrid/>
          <w:szCs w:val="22"/>
          <w:lang w:val="hu-HU" w:eastAsia="en-US"/>
        </w:rPr>
      </w:pPr>
      <w:r w:rsidRPr="00C60440">
        <w:rPr>
          <w:szCs w:val="22"/>
          <w:lang w:val="hu-HU"/>
        </w:rPr>
        <w:t>A készítmény hatóanyagával, szójával vagy a 6.1 pontban felsorolt bármely segédanyagával szembeni túlérzékenység.</w:t>
      </w:r>
    </w:p>
    <w:p w14:paraId="78B5344A" w14:textId="791B9721" w:rsidR="00B309F5" w:rsidRPr="00C60440" w:rsidRDefault="00B309F5" w:rsidP="00B309F5">
      <w:pPr>
        <w:pStyle w:val="Default"/>
        <w:rPr>
          <w:sz w:val="22"/>
          <w:szCs w:val="22"/>
          <w:lang w:val="hu-HU"/>
        </w:rPr>
      </w:pPr>
      <w:r w:rsidRPr="00C60440">
        <w:rPr>
          <w:sz w:val="22"/>
          <w:szCs w:val="22"/>
          <w:lang w:val="hu-HU"/>
        </w:rPr>
        <w:t>Terhesség (lásd 4.6 pont).</w:t>
      </w:r>
    </w:p>
    <w:p w14:paraId="5AA3F53D" w14:textId="13F6C224" w:rsidR="00B309F5" w:rsidRPr="00C60440" w:rsidRDefault="00B309F5" w:rsidP="00B309F5">
      <w:pPr>
        <w:pStyle w:val="Default"/>
        <w:rPr>
          <w:sz w:val="22"/>
          <w:szCs w:val="22"/>
          <w:lang w:val="hu-HU"/>
        </w:rPr>
      </w:pPr>
      <w:r w:rsidRPr="00C60440">
        <w:rPr>
          <w:sz w:val="22"/>
          <w:szCs w:val="22"/>
          <w:lang w:val="hu-HU"/>
        </w:rPr>
        <w:t>Fogamzóképes nők, akik nem alkalmaznak megbízható fogamzásgátlást (lásd 4.4 és 4.6 pont).</w:t>
      </w:r>
    </w:p>
    <w:p w14:paraId="5F0416D3" w14:textId="560F7E2B" w:rsidR="00B309F5" w:rsidRPr="00C60440" w:rsidRDefault="00B309F5" w:rsidP="00B309F5">
      <w:pPr>
        <w:pStyle w:val="Default"/>
        <w:rPr>
          <w:sz w:val="22"/>
          <w:szCs w:val="22"/>
          <w:lang w:val="hu-HU"/>
        </w:rPr>
      </w:pPr>
      <w:r w:rsidRPr="00C60440">
        <w:rPr>
          <w:sz w:val="22"/>
          <w:szCs w:val="22"/>
          <w:lang w:val="hu-HU"/>
        </w:rPr>
        <w:t>Szoptatás (lásd 4.6 pont).</w:t>
      </w:r>
    </w:p>
    <w:p w14:paraId="3AEC8B8C" w14:textId="4947CB88" w:rsidR="00B309F5" w:rsidRPr="00C60440" w:rsidRDefault="00B309F5" w:rsidP="00B309F5">
      <w:pPr>
        <w:pStyle w:val="Default"/>
        <w:rPr>
          <w:sz w:val="22"/>
          <w:szCs w:val="22"/>
          <w:lang w:val="hu-HU"/>
        </w:rPr>
      </w:pPr>
      <w:r w:rsidRPr="00C60440">
        <w:rPr>
          <w:sz w:val="22"/>
          <w:szCs w:val="22"/>
          <w:lang w:val="hu-HU"/>
        </w:rPr>
        <w:t>Súlyos májkárosodás (cirrhosissal vagy anélkül) (lásd 4.2 pont).</w:t>
      </w:r>
    </w:p>
    <w:p w14:paraId="1FB24D1B" w14:textId="2466E0B3" w:rsidR="00B309F5" w:rsidRPr="00C60440" w:rsidRDefault="00B309F5" w:rsidP="00B309F5">
      <w:pPr>
        <w:pStyle w:val="Default"/>
        <w:rPr>
          <w:sz w:val="22"/>
          <w:szCs w:val="22"/>
          <w:lang w:val="hu-HU"/>
        </w:rPr>
      </w:pPr>
      <w:r w:rsidRPr="00C60440">
        <w:rPr>
          <w:sz w:val="22"/>
          <w:szCs w:val="22"/>
          <w:lang w:val="hu-HU"/>
        </w:rPr>
        <w:t xml:space="preserve">Ha a </w:t>
      </w:r>
      <w:r w:rsidRPr="002E64DA">
        <w:rPr>
          <w:sz w:val="22"/>
          <w:szCs w:val="22"/>
          <w:lang w:val="hu-HU"/>
        </w:rPr>
        <w:t xml:space="preserve">hepatikus </w:t>
      </w:r>
      <w:r w:rsidR="009202DA" w:rsidRPr="002E64DA">
        <w:rPr>
          <w:sz w:val="22"/>
          <w:szCs w:val="22"/>
          <w:lang w:val="hu-HU"/>
        </w:rPr>
        <w:t>transzamináz</w:t>
      </w:r>
      <w:r w:rsidR="009202DA">
        <w:rPr>
          <w:sz w:val="22"/>
          <w:szCs w:val="22"/>
          <w:lang w:val="hu-HU"/>
        </w:rPr>
        <w:t>ok</w:t>
      </w:r>
      <w:r w:rsidRPr="00C60440">
        <w:rPr>
          <w:sz w:val="22"/>
          <w:szCs w:val="22"/>
          <w:lang w:val="hu-HU"/>
        </w:rPr>
        <w:t xml:space="preserve"> (</w:t>
      </w:r>
      <w:r w:rsidR="003D362B">
        <w:rPr>
          <w:sz w:val="22"/>
          <w:szCs w:val="22"/>
          <w:lang w:val="hu-HU"/>
        </w:rPr>
        <w:t>glutamát-oxálacetát</w:t>
      </w:r>
      <w:r w:rsidR="009202DA">
        <w:rPr>
          <w:sz w:val="22"/>
          <w:szCs w:val="22"/>
          <w:lang w:val="hu-HU"/>
        </w:rPr>
        <w:t>-</w:t>
      </w:r>
      <w:r w:rsidR="003D362B">
        <w:rPr>
          <w:sz w:val="22"/>
          <w:szCs w:val="22"/>
          <w:lang w:val="hu-HU"/>
        </w:rPr>
        <w:t>transzamináz, GOT</w:t>
      </w:r>
      <w:r w:rsidRPr="00C60440">
        <w:rPr>
          <w:sz w:val="22"/>
          <w:szCs w:val="22"/>
          <w:lang w:val="hu-HU"/>
        </w:rPr>
        <w:t xml:space="preserve"> [ASAT] és/vagy </w:t>
      </w:r>
      <w:r w:rsidR="003D362B">
        <w:rPr>
          <w:sz w:val="22"/>
          <w:szCs w:val="22"/>
          <w:lang w:val="hu-HU"/>
        </w:rPr>
        <w:t>glutamát-piruvát-transzamináz, GPT</w:t>
      </w:r>
      <w:r w:rsidR="00773B43">
        <w:rPr>
          <w:sz w:val="22"/>
          <w:szCs w:val="22"/>
          <w:lang w:val="hu-HU"/>
        </w:rPr>
        <w:t xml:space="preserve"> </w:t>
      </w:r>
      <w:r w:rsidRPr="00C60440">
        <w:rPr>
          <w:sz w:val="22"/>
          <w:szCs w:val="22"/>
          <w:lang w:val="hu-HU"/>
        </w:rPr>
        <w:t>[ALAT]) kiindulási értéke &gt; 3</w:t>
      </w:r>
      <w:r w:rsidR="008B7F46" w:rsidRPr="00C60440">
        <w:rPr>
          <w:sz w:val="22"/>
          <w:szCs w:val="22"/>
          <w:lang w:val="hu-HU"/>
        </w:rPr>
        <w:t>×</w:t>
      </w:r>
      <w:r w:rsidRPr="00C60440">
        <w:rPr>
          <w:sz w:val="22"/>
          <w:szCs w:val="22"/>
          <w:lang w:val="hu-HU"/>
        </w:rPr>
        <w:t>ULN (lásd 4.2 és 4.4 pont).</w:t>
      </w:r>
    </w:p>
    <w:p w14:paraId="3BE69510" w14:textId="3A392236" w:rsidR="00B309F5" w:rsidRPr="00C60440" w:rsidRDefault="00B309F5" w:rsidP="00B309F5">
      <w:pPr>
        <w:spacing w:line="240" w:lineRule="auto"/>
        <w:rPr>
          <w:rFonts w:eastAsia="Times New Roman"/>
          <w:noProof/>
          <w:snapToGrid/>
          <w:szCs w:val="22"/>
          <w:lang w:val="hu-HU" w:eastAsia="en-US"/>
        </w:rPr>
      </w:pPr>
      <w:r w:rsidRPr="00C60440">
        <w:rPr>
          <w:szCs w:val="22"/>
          <w:lang w:val="hu-HU"/>
        </w:rPr>
        <w:t>Idiopathiás tüdőfibrosis (IPF) másodlagos pulmonalis hypertoniával vagy anélkül (lásd 5.1 pont).</w:t>
      </w:r>
    </w:p>
    <w:p w14:paraId="6636C175" w14:textId="77777777" w:rsidR="00F45C51" w:rsidRPr="00C60440" w:rsidRDefault="00F45C51" w:rsidP="00082A8E">
      <w:pPr>
        <w:spacing w:line="240" w:lineRule="auto"/>
        <w:rPr>
          <w:rFonts w:eastAsia="Times New Roman"/>
          <w:noProof/>
          <w:snapToGrid/>
          <w:szCs w:val="22"/>
          <w:lang w:val="hu-HU" w:eastAsia="en-US"/>
        </w:rPr>
      </w:pPr>
    </w:p>
    <w:p w14:paraId="5DA88F3A" w14:textId="77777777" w:rsidR="00F45C51" w:rsidRPr="00C60440" w:rsidRDefault="00E61DC0" w:rsidP="00082A8E">
      <w:pPr>
        <w:spacing w:line="240" w:lineRule="auto"/>
        <w:ind w:left="567" w:hanging="567"/>
        <w:outlineLvl w:val="0"/>
        <w:rPr>
          <w:rFonts w:eastAsia="Times New Roman"/>
          <w:b/>
          <w:noProof/>
          <w:snapToGrid/>
          <w:szCs w:val="22"/>
          <w:lang w:val="hu-HU" w:eastAsia="en-US"/>
        </w:rPr>
      </w:pPr>
      <w:r w:rsidRPr="00C60440">
        <w:rPr>
          <w:rFonts w:eastAsia="Times New Roman"/>
          <w:b/>
          <w:noProof/>
          <w:snapToGrid/>
          <w:szCs w:val="22"/>
          <w:lang w:val="hu-HU" w:eastAsia="en-US"/>
        </w:rPr>
        <w:t>4.4</w:t>
      </w:r>
      <w:r w:rsidRPr="00C60440">
        <w:rPr>
          <w:rFonts w:eastAsia="Times New Roman"/>
          <w:b/>
          <w:noProof/>
          <w:snapToGrid/>
          <w:szCs w:val="22"/>
          <w:lang w:val="hu-HU" w:eastAsia="en-US"/>
        </w:rPr>
        <w:tab/>
        <w:t>Különleges figyelmeztetések és az alkalmazással kapcsolatos óvintézkedések</w:t>
      </w:r>
    </w:p>
    <w:p w14:paraId="268B893A" w14:textId="77777777" w:rsidR="00F45C51" w:rsidRPr="00C60440" w:rsidRDefault="00F45C51" w:rsidP="00497F75">
      <w:pPr>
        <w:spacing w:line="240" w:lineRule="auto"/>
        <w:rPr>
          <w:szCs w:val="22"/>
          <w:lang w:val="hu-HU"/>
        </w:rPr>
      </w:pPr>
    </w:p>
    <w:p w14:paraId="626FED9B" w14:textId="4BD8B1B6" w:rsidR="00DB5F53" w:rsidRPr="00C60440" w:rsidRDefault="00DB5F53" w:rsidP="00DB5F53">
      <w:pPr>
        <w:pStyle w:val="Default"/>
        <w:rPr>
          <w:sz w:val="22"/>
          <w:szCs w:val="22"/>
          <w:lang w:val="hu-HU"/>
        </w:rPr>
      </w:pPr>
      <w:r w:rsidRPr="00C60440">
        <w:rPr>
          <w:sz w:val="22"/>
          <w:szCs w:val="22"/>
          <w:lang w:val="hu-HU"/>
        </w:rPr>
        <w:t>Az ambriszentánt nem vizsgálták elegendő számú betegen ahhoz, hogy megállapítsák az előny/kockázat arányt a WHO funkcionális besorolása szerinti I. osztályba tartozó PAH betegeknél.</w:t>
      </w:r>
    </w:p>
    <w:p w14:paraId="53266D2E" w14:textId="77777777" w:rsidR="00DB5F53" w:rsidRPr="00C60440" w:rsidRDefault="00DB5F53" w:rsidP="00DB5F53">
      <w:pPr>
        <w:pStyle w:val="Default"/>
        <w:rPr>
          <w:sz w:val="22"/>
          <w:szCs w:val="22"/>
          <w:lang w:val="hu-HU"/>
        </w:rPr>
      </w:pPr>
    </w:p>
    <w:p w14:paraId="7AFB4A24" w14:textId="010F5750" w:rsidR="00DB5F53" w:rsidRPr="00C60440" w:rsidRDefault="00DB5F53" w:rsidP="00DB5F53">
      <w:pPr>
        <w:pStyle w:val="Default"/>
        <w:rPr>
          <w:sz w:val="22"/>
          <w:szCs w:val="22"/>
          <w:lang w:val="hu-HU"/>
        </w:rPr>
      </w:pPr>
      <w:r w:rsidRPr="00C60440">
        <w:rPr>
          <w:sz w:val="22"/>
          <w:szCs w:val="22"/>
          <w:lang w:val="hu-HU"/>
        </w:rPr>
        <w:t>Az ambriszentán-monoterápia hatásossága nem bizonyított a WHO funkcionális besorolása szerinti IV. osztályba tartozó PAH betegeknél. Ha a beteg klinikai állapota romlik, fontolóra kell venni az áttérést a betegség súlyos stádiumában java</w:t>
      </w:r>
      <w:r w:rsidR="005C04FD">
        <w:rPr>
          <w:sz w:val="22"/>
          <w:szCs w:val="22"/>
          <w:lang w:val="hu-HU"/>
        </w:rPr>
        <w:t>sol</w:t>
      </w:r>
      <w:r w:rsidRPr="00C60440">
        <w:rPr>
          <w:sz w:val="22"/>
          <w:szCs w:val="22"/>
          <w:lang w:val="hu-HU"/>
        </w:rPr>
        <w:t>t kezelésre (pl. epoprosztenolra).</w:t>
      </w:r>
    </w:p>
    <w:p w14:paraId="504900C7" w14:textId="77777777" w:rsidR="0010793C" w:rsidRPr="00C60440" w:rsidRDefault="0010793C" w:rsidP="00DB5F53">
      <w:pPr>
        <w:pStyle w:val="Default"/>
        <w:rPr>
          <w:sz w:val="22"/>
          <w:szCs w:val="22"/>
          <w:u w:val="single"/>
          <w:lang w:val="hu-HU"/>
        </w:rPr>
      </w:pPr>
    </w:p>
    <w:p w14:paraId="15584A6E" w14:textId="52563556" w:rsidR="00DB5F53" w:rsidRPr="00C60440" w:rsidRDefault="00DB5F53" w:rsidP="00DB5F53">
      <w:pPr>
        <w:pStyle w:val="Default"/>
        <w:rPr>
          <w:sz w:val="22"/>
          <w:szCs w:val="22"/>
          <w:u w:val="single"/>
          <w:lang w:val="hu-HU"/>
        </w:rPr>
      </w:pPr>
      <w:r w:rsidRPr="00C60440">
        <w:rPr>
          <w:sz w:val="22"/>
          <w:szCs w:val="22"/>
          <w:u w:val="single"/>
          <w:lang w:val="hu-HU"/>
        </w:rPr>
        <w:t>Májfunkció</w:t>
      </w:r>
    </w:p>
    <w:p w14:paraId="772C2178" w14:textId="20F04BCA" w:rsidR="00DB5F53" w:rsidRPr="00C60440" w:rsidRDefault="00DB5F53" w:rsidP="00DB5F53">
      <w:pPr>
        <w:pStyle w:val="Default"/>
        <w:rPr>
          <w:sz w:val="22"/>
          <w:szCs w:val="22"/>
          <w:lang w:val="hu-HU"/>
        </w:rPr>
      </w:pPr>
      <w:r w:rsidRPr="00C60440">
        <w:rPr>
          <w:sz w:val="22"/>
          <w:szCs w:val="22"/>
          <w:lang w:val="hu-HU"/>
        </w:rPr>
        <w:t>A PAH-</w:t>
      </w:r>
      <w:r w:rsidR="002E5C98">
        <w:rPr>
          <w:sz w:val="22"/>
          <w:szCs w:val="22"/>
          <w:lang w:val="hu-HU"/>
        </w:rPr>
        <w:t>h</w:t>
      </w:r>
      <w:r w:rsidRPr="00C60440">
        <w:rPr>
          <w:sz w:val="22"/>
          <w:szCs w:val="22"/>
          <w:lang w:val="hu-HU"/>
        </w:rPr>
        <w:t>al májműködési zavarok társul</w:t>
      </w:r>
      <w:r w:rsidR="00AD14BB">
        <w:rPr>
          <w:sz w:val="22"/>
          <w:szCs w:val="22"/>
          <w:lang w:val="hu-HU"/>
        </w:rPr>
        <w:t>tak</w:t>
      </w:r>
      <w:r w:rsidRPr="00C60440">
        <w:rPr>
          <w:sz w:val="22"/>
          <w:szCs w:val="22"/>
          <w:lang w:val="hu-HU"/>
        </w:rPr>
        <w:t>. Autoimmun hepatitisnek megfelelő eseteket, beleértve a fennálló autoimmun hepatitis esetleges fellángolását, májkárosodást és a kezeléssel potenciálisan összefüggő májenzimszint-emelkedéseket figyeltek meg ambriszentán alkalmazása kapcsán (lásd 4.8 és 5.1</w:t>
      </w:r>
      <w:r w:rsidR="0010793C" w:rsidRPr="00C60440">
        <w:rPr>
          <w:sz w:val="22"/>
          <w:szCs w:val="22"/>
          <w:lang w:val="hu-HU"/>
        </w:rPr>
        <w:t> </w:t>
      </w:r>
      <w:r w:rsidRPr="00C60440">
        <w:rPr>
          <w:sz w:val="22"/>
          <w:szCs w:val="22"/>
          <w:lang w:val="hu-HU"/>
        </w:rPr>
        <w:t xml:space="preserve">pont). Ezért a </w:t>
      </w:r>
      <w:r w:rsidRPr="00773B43">
        <w:rPr>
          <w:sz w:val="22"/>
          <w:szCs w:val="22"/>
          <w:lang w:val="hu-HU"/>
        </w:rPr>
        <w:t xml:space="preserve">hepatikus </w:t>
      </w:r>
      <w:r w:rsidR="002D76E6" w:rsidRPr="00773B43">
        <w:rPr>
          <w:sz w:val="22"/>
          <w:szCs w:val="22"/>
          <w:lang w:val="hu-HU"/>
        </w:rPr>
        <w:t>transzaminázok</w:t>
      </w:r>
      <w:r w:rsidRPr="00C60440">
        <w:rPr>
          <w:sz w:val="22"/>
          <w:szCs w:val="22"/>
          <w:lang w:val="hu-HU"/>
        </w:rPr>
        <w:t xml:space="preserve"> (</w:t>
      </w:r>
      <w:r w:rsidR="003D362B">
        <w:rPr>
          <w:sz w:val="22"/>
          <w:szCs w:val="22"/>
          <w:lang w:val="hu-HU"/>
        </w:rPr>
        <w:t>GPT</w:t>
      </w:r>
      <w:r w:rsidRPr="00C60440">
        <w:rPr>
          <w:sz w:val="22"/>
          <w:szCs w:val="22"/>
          <w:lang w:val="hu-HU"/>
        </w:rPr>
        <w:t xml:space="preserve"> és</w:t>
      </w:r>
      <w:r w:rsidR="003D362B">
        <w:rPr>
          <w:sz w:val="22"/>
          <w:szCs w:val="22"/>
          <w:lang w:val="hu-HU"/>
        </w:rPr>
        <w:t xml:space="preserve"> GOT</w:t>
      </w:r>
      <w:r w:rsidRPr="00C60440">
        <w:rPr>
          <w:sz w:val="22"/>
          <w:szCs w:val="22"/>
          <w:lang w:val="hu-HU"/>
        </w:rPr>
        <w:t>) szintjét vizsgálni kell az ambriszentán-terápia megkezdése előtt, és nem szabad a kezelést elkezdeni, ha a</w:t>
      </w:r>
      <w:r w:rsidR="003D362B">
        <w:rPr>
          <w:sz w:val="22"/>
          <w:szCs w:val="22"/>
          <w:lang w:val="hu-HU"/>
        </w:rPr>
        <w:t xml:space="preserve"> GPT</w:t>
      </w:r>
      <w:r w:rsidRPr="00C60440">
        <w:rPr>
          <w:sz w:val="22"/>
          <w:szCs w:val="22"/>
          <w:lang w:val="hu-HU"/>
        </w:rPr>
        <w:t xml:space="preserve"> és/vagy </w:t>
      </w:r>
      <w:r w:rsidR="003D362B">
        <w:rPr>
          <w:sz w:val="22"/>
          <w:szCs w:val="22"/>
          <w:lang w:val="hu-HU"/>
        </w:rPr>
        <w:t>GOT</w:t>
      </w:r>
      <w:r w:rsidRPr="00C60440">
        <w:rPr>
          <w:sz w:val="22"/>
          <w:szCs w:val="22"/>
          <w:lang w:val="hu-HU"/>
        </w:rPr>
        <w:t xml:space="preserve"> kiindulási értéke</w:t>
      </w:r>
      <w:r w:rsidR="0010793C" w:rsidRPr="00C60440">
        <w:rPr>
          <w:sz w:val="22"/>
          <w:szCs w:val="22"/>
          <w:lang w:val="hu-HU"/>
        </w:rPr>
        <w:t> </w:t>
      </w:r>
      <w:r w:rsidRPr="00C60440">
        <w:rPr>
          <w:sz w:val="22"/>
          <w:szCs w:val="22"/>
          <w:lang w:val="hu-HU"/>
        </w:rPr>
        <w:t>&gt;</w:t>
      </w:r>
      <w:r w:rsidR="0010793C" w:rsidRPr="00C60440">
        <w:rPr>
          <w:sz w:val="22"/>
          <w:szCs w:val="22"/>
          <w:lang w:val="hu-HU"/>
        </w:rPr>
        <w:t> </w:t>
      </w:r>
      <w:r w:rsidRPr="00C60440">
        <w:rPr>
          <w:sz w:val="22"/>
          <w:szCs w:val="22"/>
          <w:lang w:val="hu-HU"/>
        </w:rPr>
        <w:t>3</w:t>
      </w:r>
      <w:r w:rsidR="000118C7">
        <w:rPr>
          <w:sz w:val="22"/>
          <w:szCs w:val="22"/>
          <w:lang w:val="hu-HU"/>
        </w:rPr>
        <w:t>×</w:t>
      </w:r>
      <w:r w:rsidRPr="00C60440">
        <w:rPr>
          <w:sz w:val="22"/>
          <w:szCs w:val="22"/>
          <w:lang w:val="hu-HU"/>
        </w:rPr>
        <w:t>ULN (lásd 4.3</w:t>
      </w:r>
      <w:r w:rsidR="0010793C" w:rsidRPr="00C60440">
        <w:rPr>
          <w:sz w:val="22"/>
          <w:szCs w:val="22"/>
          <w:lang w:val="hu-HU"/>
        </w:rPr>
        <w:t> </w:t>
      </w:r>
      <w:r w:rsidRPr="00C60440">
        <w:rPr>
          <w:sz w:val="22"/>
          <w:szCs w:val="22"/>
          <w:lang w:val="hu-HU"/>
        </w:rPr>
        <w:t>pont).</w:t>
      </w:r>
    </w:p>
    <w:p w14:paraId="056029FC" w14:textId="77777777" w:rsidR="0010793C" w:rsidRPr="00C60440" w:rsidRDefault="0010793C" w:rsidP="00DB5F53">
      <w:pPr>
        <w:pStyle w:val="Default"/>
        <w:rPr>
          <w:sz w:val="22"/>
          <w:szCs w:val="22"/>
          <w:lang w:val="hu-HU"/>
        </w:rPr>
      </w:pPr>
    </w:p>
    <w:p w14:paraId="365307C5" w14:textId="348B68B8" w:rsidR="001445BE" w:rsidRPr="00C60440" w:rsidRDefault="00DB5F53" w:rsidP="00DB5F53">
      <w:pPr>
        <w:spacing w:line="240" w:lineRule="auto"/>
        <w:rPr>
          <w:szCs w:val="22"/>
          <w:lang w:val="hu-HU"/>
        </w:rPr>
      </w:pPr>
      <w:r w:rsidRPr="00C60440">
        <w:rPr>
          <w:szCs w:val="22"/>
          <w:lang w:val="hu-HU"/>
        </w:rPr>
        <w:t>A betegeknél rendszeresen figyelni kell a májkárosodásra utaló jeleket, valamint a</w:t>
      </w:r>
      <w:r w:rsidR="003D362B">
        <w:rPr>
          <w:szCs w:val="22"/>
          <w:lang w:val="hu-HU"/>
        </w:rPr>
        <w:t xml:space="preserve"> GPT-</w:t>
      </w:r>
      <w:r w:rsidRPr="00C60440">
        <w:rPr>
          <w:szCs w:val="22"/>
          <w:lang w:val="hu-HU"/>
        </w:rPr>
        <w:t xml:space="preserve"> és </w:t>
      </w:r>
      <w:r w:rsidR="003D362B">
        <w:rPr>
          <w:szCs w:val="22"/>
          <w:lang w:val="hu-HU"/>
        </w:rPr>
        <w:t>GOT-</w:t>
      </w:r>
      <w:r w:rsidRPr="00C60440">
        <w:rPr>
          <w:szCs w:val="22"/>
          <w:lang w:val="hu-HU"/>
        </w:rPr>
        <w:t>értékek havi rendszerességű ellenőrzése javasolt. Ha tartós</w:t>
      </w:r>
      <w:r w:rsidR="000F6213">
        <w:rPr>
          <w:szCs w:val="22"/>
          <w:lang w:val="hu-HU"/>
        </w:rPr>
        <w:t>,</w:t>
      </w:r>
      <w:r w:rsidRPr="00C60440">
        <w:rPr>
          <w:szCs w:val="22"/>
          <w:lang w:val="hu-HU"/>
        </w:rPr>
        <w:t xml:space="preserve"> megmagyarázhatatlan, klinikailag jelentős mértékű </w:t>
      </w:r>
      <w:r w:rsidR="003D362B">
        <w:rPr>
          <w:szCs w:val="22"/>
          <w:lang w:val="hu-HU"/>
        </w:rPr>
        <w:t>GPT-</w:t>
      </w:r>
      <w:r w:rsidRPr="00C60440">
        <w:rPr>
          <w:szCs w:val="22"/>
          <w:lang w:val="hu-HU"/>
        </w:rPr>
        <w:t xml:space="preserve"> és/vagy </w:t>
      </w:r>
      <w:r w:rsidR="003D362B">
        <w:rPr>
          <w:szCs w:val="22"/>
          <w:lang w:val="hu-HU"/>
        </w:rPr>
        <w:t>GOT-</w:t>
      </w:r>
      <w:r w:rsidR="000118C7">
        <w:rPr>
          <w:szCs w:val="22"/>
          <w:lang w:val="hu-HU"/>
        </w:rPr>
        <w:t>szint</w:t>
      </w:r>
      <w:r w:rsidRPr="00C60440">
        <w:rPr>
          <w:szCs w:val="22"/>
          <w:lang w:val="hu-HU"/>
        </w:rPr>
        <w:t xml:space="preserve">emelkedés áll fenn, vagy ha a </w:t>
      </w:r>
      <w:r w:rsidR="003D362B">
        <w:rPr>
          <w:szCs w:val="22"/>
          <w:lang w:val="hu-HU"/>
        </w:rPr>
        <w:t>GPT</w:t>
      </w:r>
      <w:r w:rsidRPr="00C60440">
        <w:rPr>
          <w:szCs w:val="22"/>
          <w:lang w:val="hu-HU"/>
        </w:rPr>
        <w:t xml:space="preserve"> és/vagy </w:t>
      </w:r>
      <w:r w:rsidR="003D362B">
        <w:rPr>
          <w:szCs w:val="22"/>
          <w:lang w:val="hu-HU"/>
        </w:rPr>
        <w:t xml:space="preserve">GOT </w:t>
      </w:r>
      <w:r w:rsidR="000118C7">
        <w:rPr>
          <w:szCs w:val="22"/>
          <w:lang w:val="hu-HU"/>
        </w:rPr>
        <w:t xml:space="preserve">szintjének </w:t>
      </w:r>
      <w:r w:rsidRPr="00C60440">
        <w:rPr>
          <w:szCs w:val="22"/>
          <w:lang w:val="hu-HU"/>
        </w:rPr>
        <w:t>emelkedéshez májkárosodás jelei vagy tünetei (pl. sárgaság) társulnak, az ambriszentán</w:t>
      </w:r>
      <w:r w:rsidR="00EE42A1" w:rsidRPr="00C60440">
        <w:rPr>
          <w:szCs w:val="22"/>
          <w:lang w:val="hu-HU"/>
        </w:rPr>
        <w:noBreakHyphen/>
      </w:r>
      <w:r w:rsidRPr="00C60440">
        <w:rPr>
          <w:szCs w:val="22"/>
          <w:lang w:val="hu-HU"/>
        </w:rPr>
        <w:t>kezelést le kell állítani.</w:t>
      </w:r>
    </w:p>
    <w:p w14:paraId="4808C165" w14:textId="12F01783" w:rsidR="0010793C" w:rsidRPr="00C60440" w:rsidRDefault="0010793C" w:rsidP="00DB5F53">
      <w:pPr>
        <w:spacing w:line="240" w:lineRule="auto"/>
        <w:rPr>
          <w:szCs w:val="22"/>
          <w:lang w:val="hu-HU"/>
        </w:rPr>
      </w:pPr>
    </w:p>
    <w:p w14:paraId="427BC25B" w14:textId="633D3176" w:rsidR="0010793C" w:rsidRPr="00C60440" w:rsidRDefault="0010793C" w:rsidP="0010793C">
      <w:pPr>
        <w:pStyle w:val="Default"/>
        <w:rPr>
          <w:sz w:val="22"/>
          <w:szCs w:val="22"/>
          <w:lang w:val="hu-HU"/>
        </w:rPr>
      </w:pPr>
      <w:r w:rsidRPr="00C60440">
        <w:rPr>
          <w:sz w:val="22"/>
          <w:szCs w:val="22"/>
          <w:lang w:val="hu-HU"/>
        </w:rPr>
        <w:t>Azoknál a betegeknél, akiknél nem észlelhetők a májkárosodás vagy sárgaság klinikai tünetei, a májenzimeltérések rendeződését követően mérlegelhető az ambriszentán</w:t>
      </w:r>
      <w:r w:rsidR="00EE42A1" w:rsidRPr="00C60440">
        <w:rPr>
          <w:sz w:val="22"/>
          <w:szCs w:val="22"/>
          <w:lang w:val="hu-HU"/>
        </w:rPr>
        <w:noBreakHyphen/>
      </w:r>
      <w:r w:rsidRPr="00C60440">
        <w:rPr>
          <w:sz w:val="22"/>
          <w:szCs w:val="22"/>
          <w:lang w:val="hu-HU"/>
        </w:rPr>
        <w:t>kezelés ismételt elkezdése. Ajánlott hepatológus tanácsát kérni.</w:t>
      </w:r>
    </w:p>
    <w:p w14:paraId="6A41921F" w14:textId="77777777" w:rsidR="0010793C" w:rsidRPr="00C60440" w:rsidRDefault="0010793C" w:rsidP="0010793C">
      <w:pPr>
        <w:pStyle w:val="Default"/>
        <w:rPr>
          <w:sz w:val="22"/>
          <w:szCs w:val="22"/>
          <w:lang w:val="hu-HU"/>
        </w:rPr>
      </w:pPr>
    </w:p>
    <w:p w14:paraId="20DC00CA" w14:textId="3D9F54CF" w:rsidR="0010793C" w:rsidRPr="00C60440" w:rsidRDefault="0010793C" w:rsidP="0010793C">
      <w:pPr>
        <w:pStyle w:val="Default"/>
        <w:rPr>
          <w:sz w:val="22"/>
          <w:szCs w:val="22"/>
          <w:lang w:val="hu-HU"/>
        </w:rPr>
      </w:pPr>
      <w:r w:rsidRPr="00C60440">
        <w:rPr>
          <w:sz w:val="22"/>
          <w:szCs w:val="22"/>
          <w:u w:val="single"/>
          <w:lang w:val="hu-HU"/>
        </w:rPr>
        <w:lastRenderedPageBreak/>
        <w:t>Hemoglobinkoncentráció</w:t>
      </w:r>
    </w:p>
    <w:p w14:paraId="33171628" w14:textId="61FA52C8" w:rsidR="0010793C" w:rsidRPr="00C60440" w:rsidRDefault="0010793C" w:rsidP="0010793C">
      <w:pPr>
        <w:pStyle w:val="Default"/>
        <w:rPr>
          <w:sz w:val="22"/>
          <w:szCs w:val="22"/>
          <w:lang w:val="hu-HU"/>
        </w:rPr>
      </w:pPr>
      <w:r w:rsidRPr="00C60440">
        <w:rPr>
          <w:sz w:val="22"/>
          <w:szCs w:val="22"/>
          <w:lang w:val="hu-HU"/>
        </w:rPr>
        <w:t>A hemoglobinkoncentráció és a hematokritérték csökkenése összefüggésbe hozható az endotelin-receptor antagonisták (ERA-k), ezen belül az ambriszentán</w:t>
      </w:r>
      <w:r w:rsidR="00EE42A1" w:rsidRPr="00C60440">
        <w:rPr>
          <w:sz w:val="22"/>
          <w:szCs w:val="22"/>
          <w:lang w:val="hu-HU"/>
        </w:rPr>
        <w:noBreakHyphen/>
      </w:r>
      <w:r w:rsidRPr="00C60440">
        <w:rPr>
          <w:sz w:val="22"/>
          <w:szCs w:val="22"/>
          <w:lang w:val="hu-HU"/>
        </w:rPr>
        <w:t>kezeléssel. A csökkenést a legtöbb esetben a kezelés első 4 hetében mutatták ki, és a hemoglobinszint általában ezt követően stabilizálódott. A hemoglobinkoncentráció kiindulási állapothoz képest megfigyelt átlagos csökkenése (</w:t>
      </w:r>
      <w:r w:rsidR="000C7A7F">
        <w:rPr>
          <w:sz w:val="22"/>
          <w:szCs w:val="22"/>
          <w:lang w:val="hu-HU"/>
        </w:rPr>
        <w:t>0,</w:t>
      </w:r>
      <w:r w:rsidRPr="00C60440">
        <w:rPr>
          <w:sz w:val="22"/>
          <w:szCs w:val="22"/>
          <w:lang w:val="hu-HU"/>
        </w:rPr>
        <w:t>9 – 1</w:t>
      </w:r>
      <w:r w:rsidR="000C7A7F">
        <w:rPr>
          <w:sz w:val="22"/>
          <w:szCs w:val="22"/>
          <w:lang w:val="hu-HU"/>
        </w:rPr>
        <w:t>,</w:t>
      </w:r>
      <w:r w:rsidRPr="00C60440">
        <w:rPr>
          <w:sz w:val="22"/>
          <w:szCs w:val="22"/>
          <w:lang w:val="hu-HU"/>
        </w:rPr>
        <w:t>2 g/</w:t>
      </w:r>
      <w:r w:rsidR="000C7A7F">
        <w:rPr>
          <w:sz w:val="22"/>
          <w:szCs w:val="22"/>
          <w:lang w:val="hu-HU"/>
        </w:rPr>
        <w:t>d</w:t>
      </w:r>
      <w:r w:rsidRPr="00C60440">
        <w:rPr>
          <w:sz w:val="22"/>
          <w:szCs w:val="22"/>
          <w:lang w:val="hu-HU"/>
        </w:rPr>
        <w:t>l) fennállt az origin</w:t>
      </w:r>
      <w:r w:rsidR="00EE42A1" w:rsidRPr="00C60440">
        <w:rPr>
          <w:sz w:val="22"/>
          <w:szCs w:val="22"/>
          <w:lang w:val="hu-HU"/>
        </w:rPr>
        <w:t>á</w:t>
      </w:r>
      <w:r w:rsidRPr="00C60440">
        <w:rPr>
          <w:sz w:val="22"/>
          <w:szCs w:val="22"/>
          <w:lang w:val="hu-HU"/>
        </w:rPr>
        <w:t>tor készítménnyel végzett pivotális</w:t>
      </w:r>
      <w:r w:rsidR="0078293B">
        <w:rPr>
          <w:sz w:val="22"/>
          <w:szCs w:val="22"/>
          <w:lang w:val="hu-HU"/>
        </w:rPr>
        <w:t>,</w:t>
      </w:r>
      <w:r w:rsidRPr="00C60440">
        <w:rPr>
          <w:sz w:val="22"/>
          <w:szCs w:val="22"/>
          <w:lang w:val="hu-HU"/>
        </w:rPr>
        <w:t xml:space="preserve"> </w:t>
      </w:r>
      <w:r w:rsidR="000B3F48">
        <w:rPr>
          <w:sz w:val="22"/>
          <w:szCs w:val="22"/>
          <w:lang w:val="hu-HU"/>
        </w:rPr>
        <w:t>III</w:t>
      </w:r>
      <w:r w:rsidR="000F6213">
        <w:rPr>
          <w:sz w:val="22"/>
          <w:szCs w:val="22"/>
          <w:lang w:val="hu-HU"/>
        </w:rPr>
        <w:t>. fázisú</w:t>
      </w:r>
      <w:r w:rsidRPr="00C60440">
        <w:rPr>
          <w:sz w:val="22"/>
          <w:szCs w:val="22"/>
          <w:lang w:val="hu-HU"/>
        </w:rPr>
        <w:t xml:space="preserve"> klini</w:t>
      </w:r>
      <w:r w:rsidR="008B7F46" w:rsidRPr="00C60440">
        <w:rPr>
          <w:sz w:val="22"/>
          <w:szCs w:val="22"/>
          <w:lang w:val="hu-HU"/>
        </w:rPr>
        <w:t>k</w:t>
      </w:r>
      <w:r w:rsidRPr="00C60440">
        <w:rPr>
          <w:sz w:val="22"/>
          <w:szCs w:val="22"/>
          <w:lang w:val="hu-HU"/>
        </w:rPr>
        <w:t>ai vizsgálatok hosszú</w:t>
      </w:r>
      <w:r w:rsidR="000F6213">
        <w:rPr>
          <w:sz w:val="22"/>
          <w:szCs w:val="22"/>
          <w:lang w:val="hu-HU"/>
        </w:rPr>
        <w:t xml:space="preserve"> </w:t>
      </w:r>
      <w:r w:rsidRPr="00C60440">
        <w:rPr>
          <w:sz w:val="22"/>
          <w:szCs w:val="22"/>
          <w:lang w:val="hu-HU"/>
        </w:rPr>
        <w:t>távú, nyílt elrendezésű kiterjesztéseinek keretében zajló, maximum 4 évig tartó ambriszentán</w:t>
      </w:r>
      <w:r w:rsidR="00EE42A1" w:rsidRPr="00C60440">
        <w:rPr>
          <w:sz w:val="22"/>
          <w:szCs w:val="22"/>
          <w:lang w:val="hu-HU"/>
        </w:rPr>
        <w:noBreakHyphen/>
      </w:r>
      <w:r w:rsidRPr="00C60440">
        <w:rPr>
          <w:sz w:val="22"/>
          <w:szCs w:val="22"/>
          <w:lang w:val="hu-HU"/>
        </w:rPr>
        <w:t>kezelés során. Az origin</w:t>
      </w:r>
      <w:r w:rsidR="00EE42A1" w:rsidRPr="00C60440">
        <w:rPr>
          <w:sz w:val="22"/>
          <w:szCs w:val="22"/>
          <w:lang w:val="hu-HU"/>
        </w:rPr>
        <w:t>á</w:t>
      </w:r>
      <w:r w:rsidRPr="00C60440">
        <w:rPr>
          <w:sz w:val="22"/>
          <w:szCs w:val="22"/>
          <w:lang w:val="hu-HU"/>
        </w:rPr>
        <w:t xml:space="preserve">tor készítmény forgalomba hozatalát követő időszakban </w:t>
      </w:r>
      <w:r w:rsidR="00970374">
        <w:rPr>
          <w:sz w:val="22"/>
          <w:szCs w:val="22"/>
          <w:lang w:val="hu-HU"/>
        </w:rPr>
        <w:t xml:space="preserve">olyan </w:t>
      </w:r>
      <w:r w:rsidRPr="00C60440">
        <w:rPr>
          <w:sz w:val="22"/>
          <w:szCs w:val="22"/>
          <w:lang w:val="hu-HU"/>
        </w:rPr>
        <w:t>anaemia eseteket jelentettek</w:t>
      </w:r>
      <w:r w:rsidR="00970374">
        <w:rPr>
          <w:sz w:val="22"/>
          <w:szCs w:val="22"/>
          <w:lang w:val="hu-HU"/>
        </w:rPr>
        <w:t xml:space="preserve">, amelyeknél </w:t>
      </w:r>
      <w:r w:rsidR="0048580B">
        <w:rPr>
          <w:sz w:val="22"/>
          <w:szCs w:val="22"/>
          <w:lang w:val="hu-HU"/>
        </w:rPr>
        <w:t>teljes vér</w:t>
      </w:r>
      <w:r w:rsidR="00876851">
        <w:rPr>
          <w:sz w:val="22"/>
          <w:szCs w:val="22"/>
          <w:lang w:val="hu-HU"/>
        </w:rPr>
        <w:t xml:space="preserve"> adására</w:t>
      </w:r>
      <w:r w:rsidR="00970374">
        <w:rPr>
          <w:sz w:val="22"/>
          <w:szCs w:val="22"/>
          <w:lang w:val="hu-HU"/>
        </w:rPr>
        <w:t xml:space="preserve"> volt szükség</w:t>
      </w:r>
      <w:r w:rsidRPr="00C60440">
        <w:rPr>
          <w:sz w:val="22"/>
          <w:szCs w:val="22"/>
          <w:lang w:val="hu-HU"/>
        </w:rPr>
        <w:t xml:space="preserve"> (lásd 4.8 pont).</w:t>
      </w:r>
    </w:p>
    <w:p w14:paraId="5A7B559E" w14:textId="77777777" w:rsidR="0010793C" w:rsidRPr="00C60440" w:rsidRDefault="0010793C" w:rsidP="0010793C">
      <w:pPr>
        <w:pStyle w:val="Default"/>
        <w:rPr>
          <w:sz w:val="22"/>
          <w:szCs w:val="22"/>
          <w:lang w:val="hu-HU"/>
        </w:rPr>
      </w:pPr>
    </w:p>
    <w:p w14:paraId="1FC2AB92" w14:textId="4ED89CB9" w:rsidR="0010793C" w:rsidRPr="00C60440" w:rsidRDefault="0010793C" w:rsidP="0010793C">
      <w:pPr>
        <w:spacing w:line="240" w:lineRule="auto"/>
        <w:rPr>
          <w:szCs w:val="22"/>
          <w:lang w:val="hu-HU"/>
        </w:rPr>
      </w:pPr>
      <w:r w:rsidRPr="00C60440">
        <w:rPr>
          <w:szCs w:val="22"/>
          <w:lang w:val="hu-HU"/>
        </w:rPr>
        <w:t>Az ambriszentán-terápia elkezdése nem java</w:t>
      </w:r>
      <w:r w:rsidR="00970374">
        <w:rPr>
          <w:szCs w:val="22"/>
          <w:lang w:val="hu-HU"/>
        </w:rPr>
        <w:t>s</w:t>
      </w:r>
      <w:r w:rsidRPr="00C60440">
        <w:rPr>
          <w:szCs w:val="22"/>
          <w:lang w:val="hu-HU"/>
        </w:rPr>
        <w:t>o</w:t>
      </w:r>
      <w:r w:rsidR="00970374">
        <w:rPr>
          <w:szCs w:val="22"/>
          <w:lang w:val="hu-HU"/>
        </w:rPr>
        <w:t>l</w:t>
      </w:r>
      <w:r w:rsidRPr="00C60440">
        <w:rPr>
          <w:szCs w:val="22"/>
          <w:lang w:val="hu-HU"/>
        </w:rPr>
        <w:t>t klinikailag jelentős anaemia esetén. Ajánlatos a hemoglobin- és/vagy a hematokritértékek mérése az ambriszentán</w:t>
      </w:r>
      <w:r w:rsidR="00EE42A1" w:rsidRPr="00C60440">
        <w:rPr>
          <w:szCs w:val="22"/>
          <w:lang w:val="hu-HU"/>
        </w:rPr>
        <w:noBreakHyphen/>
      </w:r>
      <w:r w:rsidRPr="00C60440">
        <w:rPr>
          <w:szCs w:val="22"/>
          <w:lang w:val="hu-HU"/>
        </w:rPr>
        <w:t>kezelés során, pl. az első és a harmadik hónap végén, majd azt követően rendszeres időközönként, a klinikai gyakorlatnak megfelelő</w:t>
      </w:r>
      <w:r w:rsidR="005A607E">
        <w:rPr>
          <w:szCs w:val="22"/>
          <w:lang w:val="hu-HU"/>
        </w:rPr>
        <w:t>en</w:t>
      </w:r>
      <w:r w:rsidRPr="00C60440">
        <w:rPr>
          <w:szCs w:val="22"/>
          <w:lang w:val="hu-HU"/>
        </w:rPr>
        <w:t>. Ha klinikailag jelentős hemoglobin</w:t>
      </w:r>
      <w:r w:rsidR="00402AF0">
        <w:rPr>
          <w:szCs w:val="22"/>
          <w:lang w:val="hu-HU"/>
        </w:rPr>
        <w:t>szint</w:t>
      </w:r>
      <w:r w:rsidRPr="00C60440">
        <w:rPr>
          <w:szCs w:val="22"/>
          <w:lang w:val="hu-HU"/>
        </w:rPr>
        <w:t xml:space="preserve"> vagy hematokrit</w:t>
      </w:r>
      <w:r w:rsidR="00402AF0">
        <w:rPr>
          <w:szCs w:val="22"/>
          <w:lang w:val="hu-HU"/>
        </w:rPr>
        <w:t>érték</w:t>
      </w:r>
      <w:r w:rsidRPr="00C60440">
        <w:rPr>
          <w:szCs w:val="22"/>
          <w:lang w:val="hu-HU"/>
        </w:rPr>
        <w:t>-csökkenés következik be, és egyéb okokat kizártak, fontolóra kell venni a</w:t>
      </w:r>
      <w:r w:rsidR="005A607E">
        <w:rPr>
          <w:szCs w:val="22"/>
          <w:lang w:val="hu-HU"/>
        </w:rPr>
        <w:t xml:space="preserve"> dózis</w:t>
      </w:r>
      <w:r w:rsidRPr="00C60440">
        <w:rPr>
          <w:szCs w:val="22"/>
          <w:lang w:val="hu-HU"/>
        </w:rPr>
        <w:t xml:space="preserve"> csökkentését vagy a kezelés </w:t>
      </w:r>
      <w:r w:rsidR="00402AF0">
        <w:rPr>
          <w:szCs w:val="22"/>
          <w:lang w:val="hu-HU"/>
        </w:rPr>
        <w:t>meg</w:t>
      </w:r>
      <w:r w:rsidRPr="00C60440">
        <w:rPr>
          <w:szCs w:val="22"/>
          <w:lang w:val="hu-HU"/>
        </w:rPr>
        <w:t>szakítását. Az ambriszentán és a tadalafil kombinált alkalmazása esetén megnőtt az anaemia előfordulási gyakorisága</w:t>
      </w:r>
      <w:r w:rsidR="00495A01" w:rsidRPr="00C60440">
        <w:rPr>
          <w:szCs w:val="22"/>
          <w:lang w:val="hu-HU"/>
        </w:rPr>
        <w:t xml:space="preserve"> (15%</w:t>
      </w:r>
      <w:r w:rsidR="00495A01" w:rsidRPr="00C60440">
        <w:rPr>
          <w:szCs w:val="22"/>
          <w:lang w:val="hu-HU"/>
        </w:rPr>
        <w:noBreakHyphen/>
        <w:t xml:space="preserve">os </w:t>
      </w:r>
      <w:r w:rsidR="00402AF0">
        <w:rPr>
          <w:szCs w:val="22"/>
          <w:lang w:val="hu-HU"/>
        </w:rPr>
        <w:t xml:space="preserve">gyakoriságú </w:t>
      </w:r>
      <w:r w:rsidR="00495A01" w:rsidRPr="00C60440">
        <w:rPr>
          <w:szCs w:val="22"/>
          <w:lang w:val="hu-HU"/>
        </w:rPr>
        <w:t>nemkívánatos esemény) ahhoz képest, mint amikor az ambriszentánt és a tadalafilt monoterápiában adták (7% az ambriszentán és 11% a tadalafil esetében).</w:t>
      </w:r>
    </w:p>
    <w:p w14:paraId="6EA61895" w14:textId="5823642E" w:rsidR="00F45C51" w:rsidRPr="00C60440" w:rsidRDefault="00F45C51" w:rsidP="00082A8E">
      <w:pPr>
        <w:spacing w:line="240" w:lineRule="auto"/>
        <w:rPr>
          <w:szCs w:val="22"/>
          <w:lang w:val="hu-HU"/>
        </w:rPr>
      </w:pPr>
    </w:p>
    <w:p w14:paraId="58F810B5" w14:textId="7840CBB7" w:rsidR="00D53A43" w:rsidRPr="00C60440" w:rsidRDefault="00D53A43" w:rsidP="00D53A43">
      <w:pPr>
        <w:pStyle w:val="Default"/>
        <w:rPr>
          <w:sz w:val="22"/>
          <w:szCs w:val="22"/>
          <w:lang w:val="hu-HU"/>
        </w:rPr>
      </w:pPr>
      <w:r w:rsidRPr="00C60440">
        <w:rPr>
          <w:sz w:val="22"/>
          <w:szCs w:val="22"/>
          <w:u w:val="single"/>
          <w:lang w:val="hu-HU"/>
        </w:rPr>
        <w:t>Folyadékretenció</w:t>
      </w:r>
    </w:p>
    <w:p w14:paraId="3FA5D8E2" w14:textId="67013E25" w:rsidR="00D53A43" w:rsidRPr="00C60440" w:rsidRDefault="00D53A43" w:rsidP="00D53A43">
      <w:pPr>
        <w:pStyle w:val="Default"/>
        <w:rPr>
          <w:sz w:val="22"/>
          <w:szCs w:val="22"/>
          <w:lang w:val="hu-HU"/>
        </w:rPr>
      </w:pPr>
      <w:r w:rsidRPr="00C60440">
        <w:rPr>
          <w:sz w:val="22"/>
          <w:szCs w:val="22"/>
          <w:lang w:val="hu-HU"/>
        </w:rPr>
        <w:t xml:space="preserve">Perifériás oedemát észleltek ERA-kal, köztük ambriszentánnal kapcsolatban. Az ambriszentánnal végzett klinikai vizsgálatokban a perifériás oedema legtöbb esetben enyhe vagy közepesen súlyos volt, azonban előfordulása gyakoribb lehet és súlyosabb a 65 éves vagy annál idősebb betegek esetében. Perifériás oedemát rövid </w:t>
      </w:r>
      <w:r w:rsidR="005A607E">
        <w:rPr>
          <w:sz w:val="22"/>
          <w:szCs w:val="22"/>
          <w:lang w:val="hu-HU"/>
        </w:rPr>
        <w:t>távú</w:t>
      </w:r>
      <w:r w:rsidRPr="00C60440">
        <w:rPr>
          <w:sz w:val="22"/>
          <w:szCs w:val="22"/>
          <w:lang w:val="hu-HU"/>
        </w:rPr>
        <w:t xml:space="preserve"> klinikai vizsgálatokban gyakrabban jelentettek 10 mg ambriszentán alkalmazása esetén (lásd 4.8 pont).</w:t>
      </w:r>
    </w:p>
    <w:p w14:paraId="451BCE5A" w14:textId="77777777" w:rsidR="00D53A43" w:rsidRPr="00C60440" w:rsidRDefault="00D53A43" w:rsidP="00D53A43">
      <w:pPr>
        <w:pStyle w:val="Default"/>
        <w:rPr>
          <w:sz w:val="22"/>
          <w:szCs w:val="22"/>
          <w:lang w:val="hu-HU"/>
        </w:rPr>
      </w:pPr>
    </w:p>
    <w:p w14:paraId="587E1A83" w14:textId="35BA0296" w:rsidR="00D53A43" w:rsidRPr="00C60440" w:rsidRDefault="00D53A43" w:rsidP="00D53A43">
      <w:pPr>
        <w:pStyle w:val="Default"/>
        <w:rPr>
          <w:sz w:val="22"/>
          <w:szCs w:val="22"/>
          <w:lang w:val="hu-HU"/>
        </w:rPr>
      </w:pPr>
      <w:r w:rsidRPr="00C60440">
        <w:rPr>
          <w:sz w:val="22"/>
          <w:szCs w:val="22"/>
          <w:lang w:val="hu-HU"/>
        </w:rPr>
        <w:t>Az origin</w:t>
      </w:r>
      <w:r w:rsidR="008B7F46" w:rsidRPr="00C60440">
        <w:rPr>
          <w:sz w:val="22"/>
          <w:szCs w:val="22"/>
          <w:lang w:val="hu-HU"/>
        </w:rPr>
        <w:t>á</w:t>
      </w:r>
      <w:r w:rsidRPr="00C60440">
        <w:rPr>
          <w:sz w:val="22"/>
          <w:szCs w:val="22"/>
          <w:lang w:val="hu-HU"/>
        </w:rPr>
        <w:t>tor gyógyszerkészítmény forgalomba hozatala után bejelentések érkeztek az ambriszentán</w:t>
      </w:r>
      <w:r w:rsidRPr="00C60440">
        <w:rPr>
          <w:sz w:val="22"/>
          <w:szCs w:val="22"/>
          <w:lang w:val="hu-HU"/>
        </w:rPr>
        <w:noBreakHyphen/>
        <w:t>kezelés megkezdése után heteken belül kialakuló folyadékretencióról, ami néhány esetben diuretikus kezelést vagy hospitalizációt igényelt a folyadékháztartás rendezése érdekében, vagy dekompenzált szívelégtelenség miatt. Ha a beteg szervezetében már eleve túl sok a folyadék, ezt még az ambriszentán-terápia megkezdése előtt, a klinikai állapotnak megfelelően kezelni kell.</w:t>
      </w:r>
    </w:p>
    <w:p w14:paraId="59919485" w14:textId="3220D58A" w:rsidR="000B5BC9" w:rsidRDefault="000B5BC9" w:rsidP="00D53A43">
      <w:pPr>
        <w:spacing w:line="240" w:lineRule="auto"/>
        <w:rPr>
          <w:szCs w:val="22"/>
          <w:lang w:val="hu-HU"/>
        </w:rPr>
      </w:pPr>
    </w:p>
    <w:p w14:paraId="60C70B35" w14:textId="1F632B97" w:rsidR="00D53A43" w:rsidRPr="00C60440" w:rsidRDefault="000B5BC9" w:rsidP="00D53A43">
      <w:pPr>
        <w:spacing w:line="240" w:lineRule="auto"/>
        <w:rPr>
          <w:szCs w:val="22"/>
          <w:lang w:val="hu-HU"/>
        </w:rPr>
      </w:pPr>
      <w:r w:rsidRPr="00962D21">
        <w:rPr>
          <w:szCs w:val="22"/>
          <w:lang w:val="hu-HU"/>
        </w:rPr>
        <w:t>További vizsgálatokat kell végezni</w:t>
      </w:r>
      <w:r w:rsidR="00773B43">
        <w:rPr>
          <w:szCs w:val="22"/>
          <w:lang w:val="hu-HU"/>
        </w:rPr>
        <w:t xml:space="preserve"> az ok meghatározására</w:t>
      </w:r>
      <w:r w:rsidR="000C7A7F">
        <w:rPr>
          <w:szCs w:val="22"/>
          <w:lang w:val="hu-HU"/>
        </w:rPr>
        <w:t>,</w:t>
      </w:r>
      <w:r w:rsidRPr="00962D21">
        <w:rPr>
          <w:szCs w:val="22"/>
          <w:lang w:val="hu-HU"/>
        </w:rPr>
        <w:t xml:space="preserve"> h</w:t>
      </w:r>
      <w:r w:rsidR="00D53A43" w:rsidRPr="00A6468A">
        <w:rPr>
          <w:szCs w:val="22"/>
          <w:lang w:val="hu-HU"/>
        </w:rPr>
        <w:t>a súlygyarapodással járó vagy anélküli, klinikailag jelentős folyadékretenció alakul ki</w:t>
      </w:r>
      <w:r w:rsidR="0012745A" w:rsidRPr="00463230">
        <w:rPr>
          <w:szCs w:val="22"/>
          <w:lang w:val="hu-HU"/>
        </w:rPr>
        <w:t>, –</w:t>
      </w:r>
      <w:r w:rsidRPr="00962D21">
        <w:rPr>
          <w:szCs w:val="22"/>
          <w:lang w:val="hu-HU"/>
        </w:rPr>
        <w:t xml:space="preserve"> </w:t>
      </w:r>
      <w:r w:rsidR="00773B43">
        <w:rPr>
          <w:szCs w:val="22"/>
          <w:lang w:val="hu-HU"/>
        </w:rPr>
        <w:t xml:space="preserve">az ok </w:t>
      </w:r>
      <w:r w:rsidRPr="00962D21">
        <w:rPr>
          <w:szCs w:val="22"/>
          <w:lang w:val="hu-HU"/>
        </w:rPr>
        <w:t xml:space="preserve">lehet </w:t>
      </w:r>
      <w:r w:rsidR="00D53A43" w:rsidRPr="00A6468A">
        <w:rPr>
          <w:szCs w:val="22"/>
          <w:lang w:val="hu-HU"/>
        </w:rPr>
        <w:t>például az ambriszentán</w:t>
      </w:r>
      <w:r w:rsidRPr="00A6468A">
        <w:rPr>
          <w:szCs w:val="22"/>
          <w:lang w:val="hu-HU"/>
        </w:rPr>
        <w:t>-kezelés</w:t>
      </w:r>
      <w:r w:rsidR="00D53A43" w:rsidRPr="00A6468A">
        <w:rPr>
          <w:szCs w:val="22"/>
          <w:lang w:val="hu-HU"/>
        </w:rPr>
        <w:t xml:space="preserve"> vagy a meglévő szívelégtelenség</w:t>
      </w:r>
      <w:r w:rsidR="0012745A" w:rsidRPr="00463230">
        <w:rPr>
          <w:szCs w:val="22"/>
          <w:lang w:val="hu-HU"/>
        </w:rPr>
        <w:t xml:space="preserve"> –</w:t>
      </w:r>
      <w:r w:rsidR="00D53A43" w:rsidRPr="00962D21">
        <w:rPr>
          <w:szCs w:val="22"/>
          <w:lang w:val="hu-HU"/>
        </w:rPr>
        <w:t xml:space="preserve"> valamint </w:t>
      </w:r>
      <w:r w:rsidR="00773B43">
        <w:rPr>
          <w:szCs w:val="22"/>
          <w:lang w:val="hu-HU"/>
        </w:rPr>
        <w:t>annak megállapítása érdekében, hogy</w:t>
      </w:r>
      <w:r w:rsidR="00D53A43" w:rsidRPr="00962D21">
        <w:rPr>
          <w:szCs w:val="22"/>
          <w:lang w:val="hu-HU"/>
        </w:rPr>
        <w:t xml:space="preserve"> specifikus terápia vagy az ambriszentán</w:t>
      </w:r>
      <w:r w:rsidR="00D53A43" w:rsidRPr="00962D21">
        <w:rPr>
          <w:szCs w:val="22"/>
          <w:lang w:val="hu-HU"/>
        </w:rPr>
        <w:noBreakHyphen/>
        <w:t>kezelés leállítás</w:t>
      </w:r>
      <w:r w:rsidR="00773B43">
        <w:rPr>
          <w:szCs w:val="22"/>
          <w:lang w:val="hu-HU"/>
        </w:rPr>
        <w:t>a</w:t>
      </w:r>
      <w:r w:rsidR="00D53A43" w:rsidRPr="00A6468A">
        <w:rPr>
          <w:szCs w:val="22"/>
          <w:lang w:val="hu-HU"/>
        </w:rPr>
        <w:t xml:space="preserve"> szükséges</w:t>
      </w:r>
      <w:r w:rsidR="00773B43">
        <w:rPr>
          <w:szCs w:val="22"/>
          <w:lang w:val="hu-HU"/>
        </w:rPr>
        <w:t>-e</w:t>
      </w:r>
      <w:r w:rsidR="00D53A43" w:rsidRPr="00A6468A">
        <w:rPr>
          <w:szCs w:val="22"/>
          <w:lang w:val="hu-HU"/>
        </w:rPr>
        <w:t>.</w:t>
      </w:r>
      <w:r w:rsidR="00D53A43" w:rsidRPr="00C60440">
        <w:rPr>
          <w:szCs w:val="22"/>
          <w:lang w:val="hu-HU"/>
        </w:rPr>
        <w:t xml:space="preserve"> Az ambriszentán és a tadalafil kombinált alkalmazása esetén megemelkedett a perifériás oedema előfordulási gyakorisága (45%</w:t>
      </w:r>
      <w:r w:rsidR="00D53A43" w:rsidRPr="00C60440">
        <w:rPr>
          <w:szCs w:val="22"/>
          <w:lang w:val="hu-HU"/>
        </w:rPr>
        <w:noBreakHyphen/>
        <w:t xml:space="preserve">os </w:t>
      </w:r>
      <w:r w:rsidR="00B15A0A">
        <w:rPr>
          <w:szCs w:val="22"/>
          <w:lang w:val="hu-HU"/>
        </w:rPr>
        <w:t xml:space="preserve">gyakoriságú </w:t>
      </w:r>
      <w:r w:rsidR="00D53A43" w:rsidRPr="00B15A0A">
        <w:rPr>
          <w:szCs w:val="22"/>
          <w:lang w:val="hu-HU"/>
        </w:rPr>
        <w:t>nemkívánatos esemény</w:t>
      </w:r>
      <w:r w:rsidR="00D53A43" w:rsidRPr="00C60440">
        <w:rPr>
          <w:szCs w:val="22"/>
          <w:lang w:val="hu-HU"/>
        </w:rPr>
        <w:t>) ahhoz képest, mint amikor az ambriszentánt és a tadalafilt monoterápiában adták (38% az ambriszentán és 28% a tadalafil esetében). A perifériás oedema előfordulása a kezelés megkezdésének első hónapjában volt a legmagasabb.</w:t>
      </w:r>
    </w:p>
    <w:p w14:paraId="4838FDC4" w14:textId="4D6C2ACF" w:rsidR="00D53A43" w:rsidRPr="00C60440" w:rsidRDefault="00D53A43" w:rsidP="00D53A43">
      <w:pPr>
        <w:spacing w:line="240" w:lineRule="auto"/>
        <w:rPr>
          <w:szCs w:val="22"/>
          <w:lang w:val="hu-HU"/>
        </w:rPr>
      </w:pPr>
    </w:p>
    <w:p w14:paraId="4739D262" w14:textId="4B12268F" w:rsidR="00D53A43" w:rsidRPr="00C60440" w:rsidRDefault="00D53A43" w:rsidP="00D53A43">
      <w:pPr>
        <w:pStyle w:val="Default"/>
        <w:rPr>
          <w:sz w:val="22"/>
          <w:szCs w:val="22"/>
          <w:u w:val="single"/>
          <w:lang w:val="hu-HU"/>
        </w:rPr>
      </w:pPr>
      <w:r w:rsidRPr="00C60440">
        <w:rPr>
          <w:sz w:val="22"/>
          <w:szCs w:val="22"/>
          <w:u w:val="single"/>
          <w:lang w:val="hu-HU"/>
        </w:rPr>
        <w:t>Fogamzóképes nők</w:t>
      </w:r>
    </w:p>
    <w:p w14:paraId="1048CEF3" w14:textId="7384F5D5" w:rsidR="00D53A43" w:rsidRPr="00C60440" w:rsidRDefault="00D53A43" w:rsidP="00D53A43">
      <w:pPr>
        <w:pStyle w:val="Default"/>
        <w:rPr>
          <w:sz w:val="22"/>
          <w:szCs w:val="22"/>
          <w:lang w:val="hu-HU"/>
        </w:rPr>
      </w:pPr>
      <w:r w:rsidRPr="00C60440">
        <w:rPr>
          <w:sz w:val="22"/>
          <w:szCs w:val="22"/>
          <w:lang w:val="hu-HU"/>
        </w:rPr>
        <w:t>Fogamzóképes nőknél tilos Ambrisentan</w:t>
      </w:r>
      <w:r w:rsidR="003A0651">
        <w:rPr>
          <w:sz w:val="22"/>
          <w:szCs w:val="22"/>
          <w:lang w:val="hu-HU"/>
        </w:rPr>
        <w:t> </w:t>
      </w:r>
      <w:r w:rsidRPr="00C60440">
        <w:rPr>
          <w:sz w:val="22"/>
          <w:szCs w:val="22"/>
          <w:lang w:val="hu-HU"/>
        </w:rPr>
        <w:t>AOP</w:t>
      </w:r>
      <w:r w:rsidRPr="00C60440">
        <w:rPr>
          <w:sz w:val="22"/>
          <w:szCs w:val="22"/>
          <w:lang w:val="hu-HU"/>
        </w:rPr>
        <w:noBreakHyphen/>
        <w:t>kezelést kezdeni, kivéve, ha a kezelés előtt végzett terhességi teszt eredménye negatív, és megbízható fogamzásgátlást alkalmaznak. Ha bármilyen kétség merül fel azzal kapcsolatban, hogy az adott betegnek milyen fogamzásgátlás javasolható, ajánlatos egy nőgyógyász véleményét kikérni. Az ambriszentán</w:t>
      </w:r>
      <w:r w:rsidRPr="00C60440">
        <w:rPr>
          <w:sz w:val="22"/>
          <w:szCs w:val="22"/>
          <w:lang w:val="hu-HU"/>
        </w:rPr>
        <w:noBreakHyphen/>
        <w:t>kezelés alatt ajánlatos havonta elvégezni a terhességi tesztet (lásd 4.3 és 4.6 pont).</w:t>
      </w:r>
    </w:p>
    <w:p w14:paraId="4873D07A" w14:textId="77777777" w:rsidR="00D53A43" w:rsidRPr="00C60440" w:rsidRDefault="00D53A43" w:rsidP="00D53A43">
      <w:pPr>
        <w:pStyle w:val="Default"/>
        <w:rPr>
          <w:sz w:val="22"/>
          <w:szCs w:val="22"/>
          <w:lang w:val="hu-HU"/>
        </w:rPr>
      </w:pPr>
    </w:p>
    <w:p w14:paraId="5437EF7B" w14:textId="65C02BC2" w:rsidR="00D53A43" w:rsidRPr="00C60440" w:rsidRDefault="00D53A43" w:rsidP="00D53A43">
      <w:pPr>
        <w:pStyle w:val="Default"/>
        <w:rPr>
          <w:sz w:val="22"/>
          <w:szCs w:val="22"/>
          <w:lang w:val="hu-HU"/>
        </w:rPr>
      </w:pPr>
      <w:r w:rsidRPr="00C60440">
        <w:rPr>
          <w:sz w:val="22"/>
          <w:szCs w:val="22"/>
          <w:u w:val="single"/>
          <w:lang w:val="hu-HU"/>
        </w:rPr>
        <w:t>Pulmonalis venoocclusiv betegség</w:t>
      </w:r>
    </w:p>
    <w:p w14:paraId="00EB2C29" w14:textId="0DD0D383" w:rsidR="00D53A43" w:rsidRPr="00C60440" w:rsidRDefault="00D53A43" w:rsidP="00D53A43">
      <w:pPr>
        <w:pStyle w:val="Default"/>
        <w:rPr>
          <w:sz w:val="22"/>
          <w:szCs w:val="22"/>
          <w:lang w:val="hu-HU"/>
        </w:rPr>
      </w:pPr>
      <w:r w:rsidRPr="00C60440">
        <w:rPr>
          <w:sz w:val="22"/>
          <w:szCs w:val="22"/>
          <w:lang w:val="hu-HU"/>
        </w:rPr>
        <w:t xml:space="preserve">Vazodilatátor gyógyszerek, pl. ERA-k alkalmazása kapcsán pulmonalis oedemáról számoltak be, amikor ezeket a </w:t>
      </w:r>
      <w:r w:rsidR="00004C69">
        <w:rPr>
          <w:sz w:val="22"/>
          <w:szCs w:val="22"/>
          <w:lang w:val="hu-HU"/>
        </w:rPr>
        <w:t>gyógy</w:t>
      </w:r>
      <w:r w:rsidRPr="00C60440">
        <w:rPr>
          <w:sz w:val="22"/>
          <w:szCs w:val="22"/>
          <w:lang w:val="hu-HU"/>
        </w:rPr>
        <w:t>szereket pulmonalis venoocclusiv betegségben szenvedő betegeknél alkalmazták. Következésképpen, ha a PAH-ban szenvedő betegeknél az ambriszentán</w:t>
      </w:r>
      <w:r w:rsidR="005A3682" w:rsidRPr="00C60440">
        <w:rPr>
          <w:sz w:val="22"/>
          <w:szCs w:val="22"/>
          <w:lang w:val="hu-HU"/>
        </w:rPr>
        <w:noBreakHyphen/>
      </w:r>
      <w:r w:rsidRPr="00C60440">
        <w:rPr>
          <w:sz w:val="22"/>
          <w:szCs w:val="22"/>
          <w:lang w:val="hu-HU"/>
        </w:rPr>
        <w:t>kezelés során akut pulmonalis oedema alakul ki, gondolni kell a pulmonalis venoocclusiv betegség lehetőségére.</w:t>
      </w:r>
    </w:p>
    <w:p w14:paraId="7D841204" w14:textId="77777777" w:rsidR="005A3682" w:rsidRPr="00C60440" w:rsidRDefault="005A3682" w:rsidP="00D53A43">
      <w:pPr>
        <w:pStyle w:val="Default"/>
        <w:rPr>
          <w:sz w:val="22"/>
          <w:szCs w:val="22"/>
          <w:lang w:val="hu-HU"/>
        </w:rPr>
      </w:pPr>
    </w:p>
    <w:p w14:paraId="5909D8A4" w14:textId="4EB41FAF" w:rsidR="00D53A43" w:rsidRPr="00C60440" w:rsidRDefault="00D53A43" w:rsidP="00D53A43">
      <w:pPr>
        <w:pStyle w:val="Default"/>
        <w:rPr>
          <w:sz w:val="22"/>
          <w:szCs w:val="22"/>
          <w:u w:val="single"/>
          <w:lang w:val="hu-HU"/>
        </w:rPr>
      </w:pPr>
      <w:r w:rsidRPr="00C60440">
        <w:rPr>
          <w:sz w:val="22"/>
          <w:szCs w:val="22"/>
          <w:u w:val="single"/>
          <w:lang w:val="hu-HU"/>
        </w:rPr>
        <w:t>Egyidejű alkalmazás más gyógyszerekkel</w:t>
      </w:r>
    </w:p>
    <w:p w14:paraId="49B32289" w14:textId="3F0B27CE" w:rsidR="00D53A43" w:rsidRPr="00C60440" w:rsidRDefault="00D53A43" w:rsidP="00D53A43">
      <w:pPr>
        <w:spacing w:line="240" w:lineRule="auto"/>
        <w:rPr>
          <w:szCs w:val="22"/>
          <w:lang w:val="hu-HU"/>
        </w:rPr>
      </w:pPr>
      <w:r w:rsidRPr="00C60440">
        <w:rPr>
          <w:szCs w:val="22"/>
          <w:lang w:val="hu-HU"/>
        </w:rPr>
        <w:t>Az ambriszentán</w:t>
      </w:r>
      <w:r w:rsidR="005A3682" w:rsidRPr="00C60440">
        <w:rPr>
          <w:szCs w:val="22"/>
          <w:lang w:val="hu-HU"/>
        </w:rPr>
        <w:noBreakHyphen/>
      </w:r>
      <w:r w:rsidRPr="00C60440">
        <w:rPr>
          <w:szCs w:val="22"/>
          <w:lang w:val="hu-HU"/>
        </w:rPr>
        <w:t>kezelés alatt álló betegeket a rifampicin</w:t>
      </w:r>
      <w:r w:rsidR="005A3682" w:rsidRPr="00C60440">
        <w:rPr>
          <w:szCs w:val="22"/>
          <w:lang w:val="hu-HU"/>
        </w:rPr>
        <w:noBreakHyphen/>
      </w:r>
      <w:r w:rsidRPr="00C60440">
        <w:rPr>
          <w:szCs w:val="22"/>
          <w:lang w:val="hu-HU"/>
        </w:rPr>
        <w:t>kezelés elindításakor szoros megfigyelés alatt kell tartani (lásd 4.5 és 5.2</w:t>
      </w:r>
      <w:r w:rsidR="005A3682" w:rsidRPr="00C60440">
        <w:rPr>
          <w:szCs w:val="22"/>
          <w:lang w:val="hu-HU"/>
        </w:rPr>
        <w:t> </w:t>
      </w:r>
      <w:r w:rsidRPr="00C60440">
        <w:rPr>
          <w:szCs w:val="22"/>
          <w:lang w:val="hu-HU"/>
        </w:rPr>
        <w:t>pont).</w:t>
      </w:r>
    </w:p>
    <w:p w14:paraId="08666020" w14:textId="5A825EE0" w:rsidR="00D53A43" w:rsidRPr="00C60440" w:rsidRDefault="00D53A43" w:rsidP="00D53A43">
      <w:pPr>
        <w:spacing w:line="240" w:lineRule="auto"/>
        <w:rPr>
          <w:szCs w:val="22"/>
          <w:lang w:val="hu-HU"/>
        </w:rPr>
      </w:pPr>
    </w:p>
    <w:p w14:paraId="15C0485C" w14:textId="64C331CC" w:rsidR="005A3682" w:rsidRPr="00C60440" w:rsidRDefault="005A3682" w:rsidP="005A3682">
      <w:pPr>
        <w:pStyle w:val="Default"/>
        <w:rPr>
          <w:sz w:val="22"/>
          <w:szCs w:val="22"/>
          <w:u w:val="single"/>
          <w:lang w:val="hu-HU"/>
        </w:rPr>
      </w:pPr>
      <w:r w:rsidRPr="00C60440">
        <w:rPr>
          <w:sz w:val="22"/>
          <w:szCs w:val="22"/>
          <w:u w:val="single"/>
          <w:lang w:val="hu-HU"/>
        </w:rPr>
        <w:t>Segédanyagok</w:t>
      </w:r>
    </w:p>
    <w:p w14:paraId="0CA4B1A4" w14:textId="1F4EF8EC" w:rsidR="005A3682" w:rsidRDefault="005A3682" w:rsidP="005A3682">
      <w:pPr>
        <w:pStyle w:val="Default"/>
        <w:rPr>
          <w:sz w:val="22"/>
          <w:szCs w:val="22"/>
          <w:lang w:val="hu-HU"/>
        </w:rPr>
      </w:pPr>
      <w:r w:rsidRPr="00C60440">
        <w:rPr>
          <w:sz w:val="22"/>
          <w:szCs w:val="22"/>
          <w:lang w:val="hu-HU"/>
        </w:rPr>
        <w:t>Az Ambrisentan</w:t>
      </w:r>
      <w:r w:rsidR="002D3EDF">
        <w:rPr>
          <w:sz w:val="22"/>
          <w:szCs w:val="22"/>
          <w:lang w:val="hu-HU"/>
        </w:rPr>
        <w:t> </w:t>
      </w:r>
      <w:r w:rsidRPr="00C60440">
        <w:rPr>
          <w:sz w:val="22"/>
          <w:szCs w:val="22"/>
          <w:lang w:val="hu-HU"/>
        </w:rPr>
        <w:t>AOP tabletta laktózt tartalmaz. Ritkán előforduló, örökletes galaktózintoleranciában, teljes laktázhiányban vagy glükóz-galaktóz malabszorpcióban a készítmény nem szedhető.</w:t>
      </w:r>
    </w:p>
    <w:p w14:paraId="5AF80C60" w14:textId="77777777" w:rsidR="0048580B" w:rsidRPr="00C60440" w:rsidRDefault="0048580B" w:rsidP="005A3682">
      <w:pPr>
        <w:pStyle w:val="Default"/>
        <w:rPr>
          <w:sz w:val="22"/>
          <w:szCs w:val="22"/>
          <w:lang w:val="hu-HU"/>
        </w:rPr>
      </w:pPr>
    </w:p>
    <w:p w14:paraId="253F873E" w14:textId="0912A3D1" w:rsidR="005A3682" w:rsidRDefault="005A3682" w:rsidP="005A3682">
      <w:pPr>
        <w:pStyle w:val="Default"/>
        <w:rPr>
          <w:sz w:val="22"/>
          <w:szCs w:val="22"/>
          <w:lang w:val="hu-HU"/>
        </w:rPr>
      </w:pPr>
      <w:r w:rsidRPr="00C60440">
        <w:rPr>
          <w:sz w:val="22"/>
          <w:szCs w:val="22"/>
          <w:lang w:val="hu-HU"/>
        </w:rPr>
        <w:t>Az Ambrisentan</w:t>
      </w:r>
      <w:r w:rsidR="002D3EDF">
        <w:rPr>
          <w:sz w:val="22"/>
          <w:szCs w:val="22"/>
          <w:lang w:val="hu-HU"/>
        </w:rPr>
        <w:t> </w:t>
      </w:r>
      <w:r w:rsidRPr="00C60440">
        <w:rPr>
          <w:sz w:val="22"/>
          <w:szCs w:val="22"/>
          <w:lang w:val="hu-HU"/>
        </w:rPr>
        <w:t>AOP tabletta egy azo</w:t>
      </w:r>
      <w:r w:rsidR="004517D0">
        <w:rPr>
          <w:sz w:val="22"/>
          <w:szCs w:val="22"/>
          <w:lang w:val="hu-HU"/>
        </w:rPr>
        <w:t>festéket,</w:t>
      </w:r>
      <w:r w:rsidRPr="00C60440">
        <w:rPr>
          <w:sz w:val="22"/>
          <w:szCs w:val="22"/>
          <w:lang w:val="hu-HU"/>
        </w:rPr>
        <w:t xml:space="preserve"> </w:t>
      </w:r>
      <w:r w:rsidR="004517D0">
        <w:rPr>
          <w:sz w:val="22"/>
          <w:szCs w:val="22"/>
          <w:lang w:val="hu-HU"/>
        </w:rPr>
        <w:t>a</w:t>
      </w:r>
      <w:r w:rsidRPr="00C60440">
        <w:rPr>
          <w:sz w:val="22"/>
          <w:szCs w:val="22"/>
          <w:lang w:val="hu-HU"/>
        </w:rPr>
        <w:t>lluravörös AC (E129) alumínium lakkot tartalmaz, amely allergiás reakciókat okozhat.</w:t>
      </w:r>
    </w:p>
    <w:p w14:paraId="6ACD8B55" w14:textId="77777777" w:rsidR="0048580B" w:rsidRPr="00C60440" w:rsidRDefault="0048580B" w:rsidP="005A3682">
      <w:pPr>
        <w:pStyle w:val="Default"/>
        <w:rPr>
          <w:sz w:val="22"/>
          <w:szCs w:val="22"/>
          <w:lang w:val="hu-HU"/>
        </w:rPr>
      </w:pPr>
    </w:p>
    <w:p w14:paraId="567E9A81" w14:textId="2B23476B" w:rsidR="00D53A43" w:rsidRDefault="005A3682" w:rsidP="005A3682">
      <w:pPr>
        <w:spacing w:line="240" w:lineRule="auto"/>
        <w:rPr>
          <w:szCs w:val="22"/>
          <w:lang w:val="hu-HU"/>
        </w:rPr>
      </w:pPr>
      <w:r w:rsidRPr="00C60440">
        <w:rPr>
          <w:szCs w:val="22"/>
          <w:lang w:val="hu-HU"/>
        </w:rPr>
        <w:t>Az Ambrisentan</w:t>
      </w:r>
      <w:r w:rsidR="002D3EDF">
        <w:rPr>
          <w:szCs w:val="22"/>
          <w:lang w:val="hu-HU"/>
        </w:rPr>
        <w:t> </w:t>
      </w:r>
      <w:r w:rsidRPr="00C60440">
        <w:rPr>
          <w:szCs w:val="22"/>
          <w:lang w:val="hu-HU"/>
        </w:rPr>
        <w:t xml:space="preserve">AOP tabletta szójából származó lecitint tartalmaz. Ha a beteg </w:t>
      </w:r>
      <w:r w:rsidR="00FA49C5">
        <w:rPr>
          <w:szCs w:val="22"/>
          <w:lang w:val="hu-HU"/>
        </w:rPr>
        <w:t>allergiás</w:t>
      </w:r>
      <w:r w:rsidRPr="00C60440">
        <w:rPr>
          <w:szCs w:val="22"/>
          <w:lang w:val="hu-HU"/>
        </w:rPr>
        <w:t xml:space="preserve"> a szójára, az ambriszentán nem alkalmazható (lásd 4.3 pont).</w:t>
      </w:r>
    </w:p>
    <w:p w14:paraId="048E2039" w14:textId="77777777" w:rsidR="0048580B" w:rsidRPr="00C60440" w:rsidRDefault="0048580B" w:rsidP="005A3682">
      <w:pPr>
        <w:spacing w:line="240" w:lineRule="auto"/>
        <w:rPr>
          <w:szCs w:val="22"/>
          <w:lang w:val="hu-HU"/>
        </w:rPr>
      </w:pPr>
    </w:p>
    <w:p w14:paraId="44833D74" w14:textId="03779A15" w:rsidR="005A3682" w:rsidRPr="00C60440" w:rsidRDefault="005A3682" w:rsidP="00D53A43">
      <w:pPr>
        <w:spacing w:line="240" w:lineRule="auto"/>
        <w:rPr>
          <w:szCs w:val="22"/>
          <w:lang w:val="hu-HU"/>
        </w:rPr>
      </w:pPr>
      <w:r w:rsidRPr="00C60440">
        <w:rPr>
          <w:szCs w:val="22"/>
          <w:lang w:val="hu-HU"/>
        </w:rPr>
        <w:t>Az Ambrisentan</w:t>
      </w:r>
      <w:r w:rsidR="002D3EDF">
        <w:rPr>
          <w:szCs w:val="22"/>
          <w:lang w:val="hu-HU"/>
        </w:rPr>
        <w:t> </w:t>
      </w:r>
      <w:r w:rsidRPr="00C60440">
        <w:rPr>
          <w:szCs w:val="22"/>
          <w:lang w:val="hu-HU"/>
        </w:rPr>
        <w:t>AOP tabletta kevesebb mint 1 mmol (23 mg) nátriumot tartalmaz</w:t>
      </w:r>
      <w:r w:rsidR="004177FD">
        <w:rPr>
          <w:szCs w:val="22"/>
          <w:lang w:val="hu-HU"/>
        </w:rPr>
        <w:t xml:space="preserve"> filmtablettánként</w:t>
      </w:r>
      <w:r w:rsidRPr="00C60440">
        <w:rPr>
          <w:szCs w:val="22"/>
          <w:lang w:val="hu-HU"/>
        </w:rPr>
        <w:t>, azaz gyakorlatilag „nátriummentes”.</w:t>
      </w:r>
    </w:p>
    <w:p w14:paraId="2653E837" w14:textId="77777777" w:rsidR="005A3682" w:rsidRPr="00C60440" w:rsidRDefault="005A3682" w:rsidP="00D53A43">
      <w:pPr>
        <w:spacing w:line="240" w:lineRule="auto"/>
        <w:rPr>
          <w:szCs w:val="22"/>
          <w:lang w:val="hu-HU"/>
        </w:rPr>
      </w:pPr>
    </w:p>
    <w:p w14:paraId="7509FB52" w14:textId="77777777" w:rsidR="00F45C51" w:rsidRPr="00C60440" w:rsidRDefault="00E61DC0" w:rsidP="00082A8E">
      <w:pPr>
        <w:spacing w:line="240" w:lineRule="auto"/>
        <w:ind w:left="567" w:hanging="567"/>
        <w:outlineLvl w:val="0"/>
        <w:rPr>
          <w:rFonts w:eastAsia="Times New Roman"/>
          <w:b/>
          <w:noProof/>
          <w:snapToGrid/>
          <w:szCs w:val="22"/>
          <w:lang w:val="hu-HU" w:eastAsia="en-US"/>
        </w:rPr>
      </w:pPr>
      <w:r w:rsidRPr="00C60440">
        <w:rPr>
          <w:rFonts w:eastAsia="Times New Roman"/>
          <w:b/>
          <w:noProof/>
          <w:snapToGrid/>
          <w:szCs w:val="22"/>
          <w:lang w:val="hu-HU" w:eastAsia="en-US"/>
        </w:rPr>
        <w:t>4.5</w:t>
      </w:r>
      <w:r w:rsidRPr="00C60440">
        <w:rPr>
          <w:rFonts w:eastAsia="Times New Roman"/>
          <w:b/>
          <w:noProof/>
          <w:snapToGrid/>
          <w:szCs w:val="22"/>
          <w:lang w:val="hu-HU" w:eastAsia="en-US"/>
        </w:rPr>
        <w:tab/>
        <w:t>Gyógyszerkölcsönhatások és egyéb interakciók</w:t>
      </w:r>
    </w:p>
    <w:p w14:paraId="1AFB67E9" w14:textId="77777777" w:rsidR="00F45C51" w:rsidRPr="00C60440" w:rsidRDefault="00F45C51" w:rsidP="00082A8E">
      <w:pPr>
        <w:spacing w:line="240" w:lineRule="auto"/>
        <w:rPr>
          <w:rFonts w:eastAsia="Times New Roman"/>
          <w:noProof/>
          <w:snapToGrid/>
          <w:szCs w:val="22"/>
          <w:lang w:val="hu-HU" w:eastAsia="en-US"/>
        </w:rPr>
      </w:pPr>
    </w:p>
    <w:p w14:paraId="1BBC3853" w14:textId="3C21BB08" w:rsidR="002C367E" w:rsidRPr="00C60440" w:rsidRDefault="002C367E" w:rsidP="002C367E">
      <w:pPr>
        <w:pStyle w:val="Default"/>
        <w:rPr>
          <w:sz w:val="22"/>
          <w:szCs w:val="22"/>
          <w:lang w:val="hu-HU"/>
        </w:rPr>
      </w:pPr>
      <w:r w:rsidRPr="00C60440">
        <w:rPr>
          <w:i/>
          <w:iCs/>
          <w:sz w:val="22"/>
          <w:szCs w:val="22"/>
          <w:lang w:val="hu-HU"/>
        </w:rPr>
        <w:t xml:space="preserve">In vitro </w:t>
      </w:r>
      <w:r w:rsidRPr="00C60440">
        <w:rPr>
          <w:sz w:val="22"/>
          <w:szCs w:val="22"/>
          <w:lang w:val="hu-HU"/>
        </w:rPr>
        <w:t xml:space="preserve">és </w:t>
      </w:r>
      <w:r w:rsidRPr="00C60440">
        <w:rPr>
          <w:i/>
          <w:iCs/>
          <w:sz w:val="22"/>
          <w:szCs w:val="22"/>
          <w:lang w:val="hu-HU"/>
        </w:rPr>
        <w:t xml:space="preserve">in vivo </w:t>
      </w:r>
      <w:r w:rsidRPr="00C60440">
        <w:rPr>
          <w:sz w:val="22"/>
          <w:szCs w:val="22"/>
          <w:lang w:val="hu-HU"/>
        </w:rPr>
        <w:t>nem</w:t>
      </w:r>
      <w:r w:rsidR="0022288C">
        <w:rPr>
          <w:sz w:val="22"/>
          <w:szCs w:val="22"/>
          <w:lang w:val="hu-HU"/>
        </w:rPr>
        <w:t xml:space="preserve"> </w:t>
      </w:r>
      <w:r w:rsidRPr="00C60440">
        <w:rPr>
          <w:sz w:val="22"/>
          <w:szCs w:val="22"/>
          <w:lang w:val="hu-HU"/>
        </w:rPr>
        <w:t xml:space="preserve">klinikai vizsgálatokban az ambriszentán klinikailag releváns koncentrációkban nem gátolja és nem indukálja az I. vagy II. </w:t>
      </w:r>
      <w:r w:rsidR="002C56E4">
        <w:rPr>
          <w:sz w:val="22"/>
          <w:szCs w:val="22"/>
          <w:lang w:val="hu-HU"/>
        </w:rPr>
        <w:t>fázisú</w:t>
      </w:r>
      <w:r w:rsidRPr="00C60440">
        <w:rPr>
          <w:sz w:val="22"/>
          <w:szCs w:val="22"/>
          <w:lang w:val="hu-HU"/>
        </w:rPr>
        <w:t xml:space="preserve"> gyógyszermetabolizáló enzimeket, ami arra utal, hogy kevés a lehetősége annak, hogy az ambriszentán megváltoztassa az ezeken az utakon metabolizálódó gyógyszerek profilját.</w:t>
      </w:r>
    </w:p>
    <w:p w14:paraId="01DA9A01" w14:textId="77777777" w:rsidR="002C367E" w:rsidRPr="00C60440" w:rsidRDefault="002C367E" w:rsidP="002C367E">
      <w:pPr>
        <w:pStyle w:val="Default"/>
        <w:rPr>
          <w:sz w:val="22"/>
          <w:szCs w:val="22"/>
          <w:lang w:val="hu-HU"/>
        </w:rPr>
      </w:pPr>
    </w:p>
    <w:p w14:paraId="1EC98EE3" w14:textId="15CA4420" w:rsidR="002C367E" w:rsidRPr="00C60440" w:rsidRDefault="002C367E" w:rsidP="002C367E">
      <w:pPr>
        <w:pStyle w:val="Default"/>
        <w:rPr>
          <w:sz w:val="22"/>
          <w:szCs w:val="22"/>
          <w:lang w:val="hu-HU"/>
        </w:rPr>
      </w:pPr>
      <w:r w:rsidRPr="00C60440">
        <w:rPr>
          <w:sz w:val="22"/>
          <w:szCs w:val="22"/>
          <w:lang w:val="hu-HU"/>
        </w:rPr>
        <w:t>Egészséges önkénteseken vizsgálták az ambriszentán CYP3A4-induktor potenciálját, és azt találták, hogy az ambriszentánnak nincs induktor hatása a CYP3A4 izoenzimre.</w:t>
      </w:r>
    </w:p>
    <w:p w14:paraId="0BA44EC1" w14:textId="77777777" w:rsidR="002C367E" w:rsidRPr="00C60440" w:rsidRDefault="002C367E" w:rsidP="002C367E">
      <w:pPr>
        <w:pStyle w:val="Default"/>
        <w:rPr>
          <w:sz w:val="22"/>
          <w:szCs w:val="22"/>
          <w:lang w:val="hu-HU"/>
        </w:rPr>
      </w:pPr>
    </w:p>
    <w:p w14:paraId="357B5FED" w14:textId="396DEE66" w:rsidR="002C367E" w:rsidRPr="00C60440" w:rsidRDefault="002C367E" w:rsidP="002C367E">
      <w:pPr>
        <w:pStyle w:val="Default"/>
        <w:rPr>
          <w:snapToGrid w:val="0"/>
          <w:color w:val="auto"/>
          <w:sz w:val="22"/>
          <w:szCs w:val="22"/>
          <w:lang w:val="hu-HU" w:eastAsia="zh-CN"/>
        </w:rPr>
      </w:pPr>
      <w:r w:rsidRPr="00C60440">
        <w:rPr>
          <w:sz w:val="22"/>
          <w:szCs w:val="22"/>
          <w:u w:val="single"/>
          <w:lang w:val="hu-HU"/>
        </w:rPr>
        <w:t>Ciklosporin A</w:t>
      </w:r>
    </w:p>
    <w:p w14:paraId="6EA7BCDB" w14:textId="40519D7C" w:rsidR="002C367E" w:rsidRPr="00C60440" w:rsidRDefault="002C367E" w:rsidP="002C367E">
      <w:pPr>
        <w:spacing w:line="240" w:lineRule="auto"/>
        <w:rPr>
          <w:rFonts w:eastAsia="Times New Roman"/>
          <w:noProof/>
          <w:snapToGrid/>
          <w:szCs w:val="22"/>
          <w:lang w:val="hu-HU" w:eastAsia="en-US"/>
        </w:rPr>
      </w:pPr>
      <w:r w:rsidRPr="00C60440">
        <w:rPr>
          <w:szCs w:val="22"/>
          <w:lang w:val="hu-HU"/>
        </w:rPr>
        <w:t>Az ambriszentán és a ciklosporin A dinamikus egyensúlyi állapotban történő együttadása esetében egészséges önkéntesek</w:t>
      </w:r>
      <w:r w:rsidR="00B72CC8">
        <w:rPr>
          <w:szCs w:val="22"/>
          <w:lang w:val="hu-HU"/>
        </w:rPr>
        <w:t>nél</w:t>
      </w:r>
      <w:r w:rsidRPr="00C60440">
        <w:rPr>
          <w:szCs w:val="22"/>
          <w:lang w:val="hu-HU"/>
        </w:rPr>
        <w:t xml:space="preserve"> kétszeresére nőtt az ambriszentán expozíciója. Ennek az lehet az oka, hogy a ciklosporin A gátolja az ambriszentán farmakokinetikájában résztvevő transzportereket és metabolizáló enzimeket. Ezért ciklosporin A-val történő együttadáskor az ambriszentán </w:t>
      </w:r>
      <w:r w:rsidR="00B72CC8">
        <w:rPr>
          <w:szCs w:val="22"/>
          <w:lang w:val="hu-HU"/>
        </w:rPr>
        <w:t>dózisa</w:t>
      </w:r>
      <w:r w:rsidRPr="00C60440">
        <w:rPr>
          <w:szCs w:val="22"/>
          <w:lang w:val="hu-HU"/>
        </w:rPr>
        <w:t xml:space="preserve"> nem lehet több naponta egyszer 5 mg-nál (lásd 4.2 pont). A többszöri ambriszentán </w:t>
      </w:r>
      <w:r w:rsidR="00B72CC8">
        <w:rPr>
          <w:szCs w:val="22"/>
          <w:lang w:val="hu-HU"/>
        </w:rPr>
        <w:t>dózis</w:t>
      </w:r>
      <w:r w:rsidRPr="00C60440">
        <w:rPr>
          <w:szCs w:val="22"/>
          <w:lang w:val="hu-HU"/>
        </w:rPr>
        <w:t xml:space="preserve">oknak nem volt hatásuk a ciklosporin A expozíciójára, és nem indokolt a ciklosporin A </w:t>
      </w:r>
      <w:r w:rsidR="008A0914">
        <w:rPr>
          <w:szCs w:val="22"/>
          <w:lang w:val="hu-HU"/>
        </w:rPr>
        <w:t>dózis</w:t>
      </w:r>
      <w:r w:rsidRPr="00C60440">
        <w:rPr>
          <w:szCs w:val="22"/>
          <w:lang w:val="hu-HU"/>
        </w:rPr>
        <w:t>ának a módosítása.</w:t>
      </w:r>
    </w:p>
    <w:p w14:paraId="422B80D5" w14:textId="77777777" w:rsidR="002C367E" w:rsidRPr="00C60440" w:rsidRDefault="002C367E" w:rsidP="00082A8E">
      <w:pPr>
        <w:spacing w:line="240" w:lineRule="auto"/>
        <w:rPr>
          <w:rFonts w:eastAsia="Times New Roman"/>
          <w:noProof/>
          <w:snapToGrid/>
          <w:szCs w:val="22"/>
          <w:lang w:val="hu-HU" w:eastAsia="en-US"/>
        </w:rPr>
      </w:pPr>
    </w:p>
    <w:p w14:paraId="4C578BB8" w14:textId="6BA6FA6F" w:rsidR="002C367E" w:rsidRPr="00C60440" w:rsidRDefault="002C367E" w:rsidP="002C367E">
      <w:pPr>
        <w:pStyle w:val="Default"/>
        <w:rPr>
          <w:sz w:val="22"/>
          <w:szCs w:val="22"/>
          <w:u w:val="single"/>
          <w:lang w:val="hu-HU"/>
        </w:rPr>
      </w:pPr>
      <w:r w:rsidRPr="00C60440">
        <w:rPr>
          <w:sz w:val="22"/>
          <w:szCs w:val="22"/>
          <w:u w:val="single"/>
          <w:lang w:val="hu-HU"/>
        </w:rPr>
        <w:t>Rifampicin</w:t>
      </w:r>
    </w:p>
    <w:p w14:paraId="5597F439" w14:textId="28995789" w:rsidR="002C367E" w:rsidRPr="00C60440" w:rsidRDefault="002C367E" w:rsidP="002C367E">
      <w:pPr>
        <w:pStyle w:val="Default"/>
        <w:rPr>
          <w:sz w:val="22"/>
          <w:szCs w:val="22"/>
          <w:lang w:val="hu-HU"/>
        </w:rPr>
      </w:pPr>
      <w:r w:rsidRPr="00C60440">
        <w:rPr>
          <w:sz w:val="22"/>
          <w:szCs w:val="22"/>
          <w:lang w:val="hu-HU"/>
        </w:rPr>
        <w:t>Rifampicin (amely az OATP [szerves anion transzporter polipeptid] inhibitora, a CYP3A és a 2C19 erős induktora, a P-gp és az uridin-difoszfo-gl</w:t>
      </w:r>
      <w:r w:rsidR="0004649D">
        <w:rPr>
          <w:sz w:val="22"/>
          <w:szCs w:val="22"/>
          <w:lang w:val="hu-HU"/>
        </w:rPr>
        <w:t>ü</w:t>
      </w:r>
      <w:r w:rsidRPr="00C60440">
        <w:rPr>
          <w:sz w:val="22"/>
          <w:szCs w:val="22"/>
          <w:lang w:val="hu-HU"/>
        </w:rPr>
        <w:t>kuronozil-transzferázok [UGT-k] induktora) egyidejű alkalmazása az ambriszentán</w:t>
      </w:r>
      <w:r w:rsidR="0004649D">
        <w:rPr>
          <w:sz w:val="22"/>
          <w:szCs w:val="22"/>
          <w:lang w:val="hu-HU"/>
        </w:rPr>
        <w:t>-</w:t>
      </w:r>
      <w:r w:rsidRPr="00C60440">
        <w:rPr>
          <w:sz w:val="22"/>
          <w:szCs w:val="22"/>
          <w:lang w:val="hu-HU"/>
        </w:rPr>
        <w:t xml:space="preserve">expozíció átmeneti (kb. kétszeres) emelkedését okozta egészséges önkénteseknél, a kezdő </w:t>
      </w:r>
      <w:r w:rsidR="004D0453">
        <w:rPr>
          <w:sz w:val="22"/>
          <w:szCs w:val="22"/>
          <w:lang w:val="hu-HU"/>
        </w:rPr>
        <w:t>dózis</w:t>
      </w:r>
      <w:r w:rsidRPr="00C60440">
        <w:rPr>
          <w:sz w:val="22"/>
          <w:szCs w:val="22"/>
          <w:lang w:val="hu-HU"/>
        </w:rPr>
        <w:t>okat követően. Azonban a 8. napra a rifampicin steady state alkalmazásának nem volt klinikailag releváns hatása az ambriszentán</w:t>
      </w:r>
      <w:r w:rsidR="0004649D">
        <w:rPr>
          <w:sz w:val="22"/>
          <w:szCs w:val="22"/>
          <w:lang w:val="hu-HU"/>
        </w:rPr>
        <w:t>-</w:t>
      </w:r>
      <w:r w:rsidRPr="00C60440">
        <w:rPr>
          <w:sz w:val="22"/>
          <w:szCs w:val="22"/>
          <w:lang w:val="hu-HU"/>
        </w:rPr>
        <w:t>expozícióra. Az ambriszentán</w:t>
      </w:r>
      <w:r w:rsidRPr="00C60440">
        <w:rPr>
          <w:sz w:val="22"/>
          <w:szCs w:val="22"/>
          <w:lang w:val="hu-HU"/>
        </w:rPr>
        <w:noBreakHyphen/>
        <w:t>kezelés alatt álló betegeket a rifampicin</w:t>
      </w:r>
      <w:r w:rsidRPr="00C60440">
        <w:rPr>
          <w:sz w:val="22"/>
          <w:szCs w:val="22"/>
          <w:lang w:val="hu-HU"/>
        </w:rPr>
        <w:noBreakHyphen/>
        <w:t>kezelés elindításakor szoros megfigyelés alatt kell tartani (lásd 4.4 és 5.2 pont).</w:t>
      </w:r>
    </w:p>
    <w:p w14:paraId="0148FF2E" w14:textId="77777777" w:rsidR="002C367E" w:rsidRPr="00C60440" w:rsidRDefault="002C367E" w:rsidP="002C367E">
      <w:pPr>
        <w:pStyle w:val="Default"/>
        <w:rPr>
          <w:sz w:val="22"/>
          <w:szCs w:val="22"/>
          <w:lang w:val="hu-HU"/>
        </w:rPr>
      </w:pPr>
    </w:p>
    <w:p w14:paraId="41811B81" w14:textId="687227B4" w:rsidR="002C367E" w:rsidRPr="00C60440" w:rsidRDefault="002C367E" w:rsidP="002C367E">
      <w:pPr>
        <w:pStyle w:val="Default"/>
        <w:rPr>
          <w:sz w:val="22"/>
          <w:szCs w:val="22"/>
          <w:u w:val="single"/>
          <w:lang w:val="hu-HU"/>
        </w:rPr>
      </w:pPr>
      <w:r w:rsidRPr="00C60440">
        <w:rPr>
          <w:sz w:val="22"/>
          <w:szCs w:val="22"/>
          <w:u w:val="single"/>
          <w:lang w:val="hu-HU"/>
        </w:rPr>
        <w:t>Foszfodiészteráz-inhibitorok</w:t>
      </w:r>
    </w:p>
    <w:p w14:paraId="1108F3D1" w14:textId="06273DF7" w:rsidR="002C367E" w:rsidRPr="00C60440" w:rsidRDefault="002C367E" w:rsidP="002C367E">
      <w:pPr>
        <w:pStyle w:val="Default"/>
        <w:rPr>
          <w:sz w:val="22"/>
          <w:szCs w:val="22"/>
          <w:lang w:val="hu-HU"/>
        </w:rPr>
      </w:pPr>
      <w:r w:rsidRPr="00C60440">
        <w:rPr>
          <w:sz w:val="22"/>
          <w:szCs w:val="22"/>
          <w:lang w:val="hu-HU"/>
        </w:rPr>
        <w:t>Egészséges önkénteseknél az ambriszentán együttadása foszfodiészteráz-inhibitorral, akár szildenafillal vagy tadalafillal (mindkettő a CYP3A4 szubsztrátja) nem változtatta meg jelentősen sem a foszfodiészteráz-inhibitor, sem az ambriszentán farmakokinetikáját (lásd 5.2 pont).</w:t>
      </w:r>
    </w:p>
    <w:p w14:paraId="2A80CF93" w14:textId="77777777" w:rsidR="002C367E" w:rsidRPr="00C60440" w:rsidRDefault="002C367E" w:rsidP="002C367E">
      <w:pPr>
        <w:pStyle w:val="Default"/>
        <w:rPr>
          <w:sz w:val="22"/>
          <w:szCs w:val="22"/>
          <w:lang w:val="hu-HU"/>
        </w:rPr>
      </w:pPr>
    </w:p>
    <w:p w14:paraId="1F7E4523" w14:textId="6BAA6CD7" w:rsidR="002C367E" w:rsidRPr="00C60440" w:rsidRDefault="002C367E" w:rsidP="002C367E">
      <w:pPr>
        <w:pStyle w:val="Default"/>
        <w:rPr>
          <w:sz w:val="22"/>
          <w:szCs w:val="22"/>
          <w:lang w:val="hu-HU"/>
        </w:rPr>
      </w:pPr>
      <w:r w:rsidRPr="00C60440">
        <w:rPr>
          <w:sz w:val="22"/>
          <w:szCs w:val="22"/>
          <w:u w:val="single"/>
          <w:lang w:val="hu-HU"/>
        </w:rPr>
        <w:t>Egyéb célzott PAH</w:t>
      </w:r>
      <w:r w:rsidRPr="00C60440">
        <w:rPr>
          <w:sz w:val="22"/>
          <w:szCs w:val="22"/>
          <w:u w:val="single"/>
          <w:lang w:val="hu-HU"/>
        </w:rPr>
        <w:noBreakHyphen/>
        <w:t>kezelések</w:t>
      </w:r>
    </w:p>
    <w:p w14:paraId="4A2F09A2" w14:textId="4F408C1A" w:rsidR="002C367E" w:rsidRPr="00C60440" w:rsidRDefault="002C367E" w:rsidP="002C367E">
      <w:pPr>
        <w:pStyle w:val="Default"/>
        <w:rPr>
          <w:sz w:val="22"/>
          <w:szCs w:val="22"/>
          <w:lang w:val="hu-HU"/>
        </w:rPr>
      </w:pPr>
      <w:r w:rsidRPr="00C60440">
        <w:rPr>
          <w:sz w:val="22"/>
          <w:szCs w:val="22"/>
          <w:lang w:val="hu-HU"/>
        </w:rPr>
        <w:t>A PAH</w:t>
      </w:r>
      <w:r w:rsidR="0004649D">
        <w:rPr>
          <w:sz w:val="22"/>
          <w:szCs w:val="22"/>
          <w:lang w:val="hu-HU"/>
        </w:rPr>
        <w:t xml:space="preserve"> </w:t>
      </w:r>
      <w:r w:rsidRPr="00C60440">
        <w:rPr>
          <w:sz w:val="22"/>
          <w:szCs w:val="22"/>
          <w:lang w:val="hu-HU"/>
        </w:rPr>
        <w:t xml:space="preserve">kezelésére szolgáló egyéb </w:t>
      </w:r>
      <w:r w:rsidR="0004649D">
        <w:rPr>
          <w:sz w:val="22"/>
          <w:szCs w:val="22"/>
          <w:lang w:val="hu-HU"/>
        </w:rPr>
        <w:t>gyógy</w:t>
      </w:r>
      <w:r w:rsidRPr="00C60440">
        <w:rPr>
          <w:sz w:val="22"/>
          <w:szCs w:val="22"/>
          <w:lang w:val="hu-HU"/>
        </w:rPr>
        <w:t xml:space="preserve">szerekkel (pl. prosztanoidokkal és szolubilis guanil-cikláz stimulátorokkal) történő együttadáskor az ambriszentán hatásosságát és biztonságosságát célzottan nem vizsgálták a PAH-ban szenvedő betegekkel végzett kontrollos vizsgálatokban (lásd 5.1 pont). Az ismert biotranszformációs adatok alapján a szolubilis guanil-cikláz stimulátorokkal, illetve a prosztanoidokkal nem várhatóak specifikus gyógyszerkölcsönhatások (lásd 5.2 pont). Azonban ezekkel a gyógyszerekkel nem végeztek specifikus gyógyszerkölcsönhatás vizsgálatokat. Együttes alkalmazásukkor ezért </w:t>
      </w:r>
      <w:r w:rsidR="0004649D">
        <w:rPr>
          <w:sz w:val="22"/>
          <w:szCs w:val="22"/>
          <w:lang w:val="hu-HU"/>
        </w:rPr>
        <w:t>elővigyázatos</w:t>
      </w:r>
      <w:r w:rsidRPr="00C60440">
        <w:rPr>
          <w:sz w:val="22"/>
          <w:szCs w:val="22"/>
          <w:lang w:val="hu-HU"/>
        </w:rPr>
        <w:t>ság szükséges.</w:t>
      </w:r>
    </w:p>
    <w:p w14:paraId="6F81A2F7" w14:textId="77777777" w:rsidR="002C367E" w:rsidRPr="00C60440" w:rsidRDefault="002C367E" w:rsidP="002C367E">
      <w:pPr>
        <w:pStyle w:val="Default"/>
        <w:rPr>
          <w:sz w:val="22"/>
          <w:szCs w:val="22"/>
          <w:lang w:val="hu-HU"/>
        </w:rPr>
      </w:pPr>
    </w:p>
    <w:p w14:paraId="62C5A550" w14:textId="0991755B" w:rsidR="002C367E" w:rsidRPr="00C60440" w:rsidRDefault="002C367E" w:rsidP="002C367E">
      <w:pPr>
        <w:spacing w:line="240" w:lineRule="auto"/>
        <w:rPr>
          <w:rFonts w:eastAsia="Times New Roman"/>
          <w:noProof/>
          <w:snapToGrid/>
          <w:szCs w:val="22"/>
          <w:u w:val="single"/>
          <w:lang w:val="hu-HU" w:eastAsia="en-US"/>
        </w:rPr>
      </w:pPr>
      <w:r w:rsidRPr="00C60440">
        <w:rPr>
          <w:szCs w:val="22"/>
          <w:u w:val="single"/>
          <w:lang w:val="hu-HU"/>
        </w:rPr>
        <w:t>Orális fogamzásgátlók</w:t>
      </w:r>
    </w:p>
    <w:p w14:paraId="379F4794" w14:textId="7A4B9836" w:rsidR="002C367E" w:rsidRPr="00C60440" w:rsidRDefault="002C367E" w:rsidP="00082A8E">
      <w:pPr>
        <w:spacing w:line="240" w:lineRule="auto"/>
        <w:rPr>
          <w:rFonts w:eastAsia="Times New Roman"/>
          <w:noProof/>
          <w:snapToGrid/>
          <w:szCs w:val="22"/>
          <w:lang w:val="hu-HU" w:eastAsia="en-US"/>
        </w:rPr>
      </w:pPr>
      <w:r w:rsidRPr="00C60440">
        <w:rPr>
          <w:szCs w:val="22"/>
          <w:lang w:val="hu-HU"/>
        </w:rPr>
        <w:lastRenderedPageBreak/>
        <w:t>Egy egészséges önkéntesekkel végzett klinikai vizsgálatban a dinamikus egyensúlyi állapotban naponta egyszer adagolt 10 mg ambriszentán nem volt jelentős hatással egy kombinált orális fogamzásgátló etinilösztradiol és noretiszteron komponensének farmakokinetikájára (lásd 5.2 pont). Ezen farmakokinetikai vizsgálat alapján nem várható, hogy az ambriszentán jelentősen befolyásolja az ösztrogén vagy progesztogén</w:t>
      </w:r>
      <w:r w:rsidR="00C4501D" w:rsidRPr="00C60440">
        <w:rPr>
          <w:szCs w:val="22"/>
          <w:lang w:val="hu-HU"/>
        </w:rPr>
        <w:t xml:space="preserve"> </w:t>
      </w:r>
      <w:r w:rsidRPr="00C60440">
        <w:rPr>
          <w:szCs w:val="22"/>
          <w:lang w:val="hu-HU"/>
        </w:rPr>
        <w:t>alapú fogamzásgátlók hatását.</w:t>
      </w:r>
    </w:p>
    <w:p w14:paraId="6783A8EB" w14:textId="77777777" w:rsidR="002C367E" w:rsidRPr="00C60440" w:rsidRDefault="002C367E" w:rsidP="00082A8E">
      <w:pPr>
        <w:spacing w:line="240" w:lineRule="auto"/>
        <w:rPr>
          <w:rFonts w:eastAsia="Times New Roman"/>
          <w:noProof/>
          <w:snapToGrid/>
          <w:szCs w:val="22"/>
          <w:lang w:val="hu-HU" w:eastAsia="en-US"/>
        </w:rPr>
      </w:pPr>
    </w:p>
    <w:p w14:paraId="39A9C340" w14:textId="6E861CE0" w:rsidR="00C4501D" w:rsidRPr="00C60440" w:rsidRDefault="00C4501D" w:rsidP="00C4501D">
      <w:pPr>
        <w:pStyle w:val="Default"/>
        <w:rPr>
          <w:sz w:val="22"/>
          <w:szCs w:val="22"/>
          <w:lang w:val="hu-HU"/>
        </w:rPr>
      </w:pPr>
      <w:r w:rsidRPr="00C60440">
        <w:rPr>
          <w:sz w:val="22"/>
          <w:szCs w:val="22"/>
          <w:u w:val="single"/>
          <w:lang w:val="hu-HU"/>
        </w:rPr>
        <w:t>Warfarin</w:t>
      </w:r>
    </w:p>
    <w:p w14:paraId="40B44F82" w14:textId="4C0668BF" w:rsidR="00C4501D" w:rsidRPr="00C60440" w:rsidRDefault="00C4501D" w:rsidP="00C4501D">
      <w:pPr>
        <w:pStyle w:val="Default"/>
        <w:rPr>
          <w:sz w:val="22"/>
          <w:szCs w:val="22"/>
          <w:lang w:val="hu-HU"/>
        </w:rPr>
      </w:pPr>
      <w:r w:rsidRPr="00C60440">
        <w:rPr>
          <w:sz w:val="22"/>
          <w:szCs w:val="22"/>
          <w:lang w:val="hu-HU"/>
        </w:rPr>
        <w:t xml:space="preserve">Az ambriszentán nem befolyásolta a warfarin steady state farmakokinetikáját és antikoaguláns aktivitását egy egészséges önkénteseken végzett vizsgálatban (lásd 5.2 pont). A warfarinnak sem volt klinikailag jelentős hatása az ambriszentán farmakokinetikájára. Emellett </w:t>
      </w:r>
      <w:r w:rsidR="00B90F98">
        <w:rPr>
          <w:sz w:val="22"/>
          <w:szCs w:val="22"/>
          <w:lang w:val="hu-HU"/>
        </w:rPr>
        <w:t xml:space="preserve">a </w:t>
      </w:r>
      <w:r w:rsidRPr="00C60440">
        <w:rPr>
          <w:sz w:val="22"/>
          <w:szCs w:val="22"/>
          <w:lang w:val="hu-HU"/>
        </w:rPr>
        <w:t>betegeknél az ambriszentán összességében nem befolyásolta sem a warfarin típusú antikoagulánsok heti dózisát, sem a protrombin időt (PT) vagy a</w:t>
      </w:r>
      <w:r w:rsidR="00FA49C5">
        <w:rPr>
          <w:sz w:val="22"/>
          <w:szCs w:val="22"/>
          <w:lang w:val="hu-HU"/>
        </w:rPr>
        <w:t>z</w:t>
      </w:r>
      <w:r w:rsidRPr="00C60440">
        <w:rPr>
          <w:sz w:val="22"/>
          <w:szCs w:val="22"/>
          <w:lang w:val="hu-HU"/>
        </w:rPr>
        <w:t xml:space="preserve"> INR</w:t>
      </w:r>
      <w:r w:rsidR="0078293B">
        <w:rPr>
          <w:sz w:val="22"/>
          <w:szCs w:val="22"/>
          <w:lang w:val="hu-HU"/>
        </w:rPr>
        <w:t>-</w:t>
      </w:r>
      <w:r w:rsidR="00FA49C5">
        <w:rPr>
          <w:sz w:val="22"/>
          <w:szCs w:val="22"/>
          <w:lang w:val="hu-HU"/>
        </w:rPr>
        <w:t>t</w:t>
      </w:r>
      <w:r w:rsidR="00FA49C5" w:rsidRPr="00FA49C5">
        <w:rPr>
          <w:sz w:val="22"/>
          <w:szCs w:val="22"/>
          <w:lang w:val="hu-HU"/>
        </w:rPr>
        <w:t xml:space="preserve"> </w:t>
      </w:r>
      <w:r w:rsidR="00FA49C5">
        <w:rPr>
          <w:sz w:val="22"/>
          <w:szCs w:val="22"/>
          <w:lang w:val="hu-HU"/>
        </w:rPr>
        <w:t>(</w:t>
      </w:r>
      <w:r w:rsidR="00FA49C5" w:rsidRPr="00C60440">
        <w:rPr>
          <w:sz w:val="22"/>
          <w:szCs w:val="22"/>
          <w:lang w:val="hu-HU"/>
        </w:rPr>
        <w:t xml:space="preserve">nemzetközi normalizált </w:t>
      </w:r>
      <w:r w:rsidR="00FA49C5">
        <w:rPr>
          <w:sz w:val="22"/>
          <w:szCs w:val="22"/>
          <w:lang w:val="hu-HU"/>
        </w:rPr>
        <w:t>arány</w:t>
      </w:r>
      <w:r w:rsidR="00FA49C5" w:rsidRPr="00C60440">
        <w:rPr>
          <w:sz w:val="22"/>
          <w:szCs w:val="22"/>
          <w:lang w:val="hu-HU"/>
        </w:rPr>
        <w:t>t).</w:t>
      </w:r>
    </w:p>
    <w:p w14:paraId="2A5D5EA8" w14:textId="77777777" w:rsidR="00C4501D" w:rsidRPr="00C60440" w:rsidRDefault="00C4501D" w:rsidP="00C4501D">
      <w:pPr>
        <w:pStyle w:val="Default"/>
        <w:rPr>
          <w:sz w:val="22"/>
          <w:szCs w:val="22"/>
          <w:lang w:val="hu-HU"/>
        </w:rPr>
      </w:pPr>
    </w:p>
    <w:p w14:paraId="605AFF39" w14:textId="5B051B7C" w:rsidR="00C4501D" w:rsidRPr="00C60440" w:rsidRDefault="00C4501D" w:rsidP="00C4501D">
      <w:pPr>
        <w:pStyle w:val="Default"/>
        <w:rPr>
          <w:sz w:val="22"/>
          <w:szCs w:val="22"/>
          <w:u w:val="single"/>
          <w:lang w:val="hu-HU"/>
        </w:rPr>
      </w:pPr>
      <w:r w:rsidRPr="00C60440">
        <w:rPr>
          <w:sz w:val="22"/>
          <w:szCs w:val="22"/>
          <w:u w:val="single"/>
          <w:lang w:val="hu-HU"/>
        </w:rPr>
        <w:t>Ketokonazol</w:t>
      </w:r>
    </w:p>
    <w:p w14:paraId="1DFE151C" w14:textId="27AC600F" w:rsidR="00C4501D" w:rsidRPr="00C60440" w:rsidRDefault="00C4501D" w:rsidP="00C4501D">
      <w:pPr>
        <w:pStyle w:val="Default"/>
        <w:rPr>
          <w:sz w:val="22"/>
          <w:szCs w:val="22"/>
          <w:lang w:val="hu-HU"/>
        </w:rPr>
      </w:pPr>
      <w:r w:rsidRPr="00C60440">
        <w:rPr>
          <w:sz w:val="22"/>
          <w:szCs w:val="22"/>
          <w:lang w:val="hu-HU"/>
        </w:rPr>
        <w:t>A ketokonazol (a CYP3A4 erős inhibitora) dinamikus egyensúlyi állapotban történő adagolása nem eredményezte az ambriszentán</w:t>
      </w:r>
      <w:r w:rsidR="00B851E2">
        <w:rPr>
          <w:sz w:val="22"/>
          <w:szCs w:val="22"/>
          <w:lang w:val="hu-HU"/>
        </w:rPr>
        <w:t>-</w:t>
      </w:r>
      <w:r w:rsidRPr="00C60440">
        <w:rPr>
          <w:sz w:val="22"/>
          <w:szCs w:val="22"/>
          <w:lang w:val="hu-HU"/>
        </w:rPr>
        <w:t>expozíció klinikailag jelentős emelkedését (lásd 5.2 pont).</w:t>
      </w:r>
    </w:p>
    <w:p w14:paraId="5E460B0C" w14:textId="77777777" w:rsidR="00C4501D" w:rsidRPr="00C60440" w:rsidRDefault="00C4501D" w:rsidP="00C4501D">
      <w:pPr>
        <w:pStyle w:val="Default"/>
        <w:rPr>
          <w:sz w:val="22"/>
          <w:szCs w:val="22"/>
          <w:lang w:val="hu-HU"/>
        </w:rPr>
      </w:pPr>
    </w:p>
    <w:p w14:paraId="377CA020" w14:textId="4022C678" w:rsidR="00C4501D" w:rsidRPr="00C60440" w:rsidRDefault="00C4501D" w:rsidP="00C4501D">
      <w:pPr>
        <w:pStyle w:val="Default"/>
        <w:rPr>
          <w:sz w:val="22"/>
          <w:szCs w:val="22"/>
          <w:u w:val="single"/>
          <w:lang w:val="hu-HU"/>
        </w:rPr>
      </w:pPr>
      <w:r w:rsidRPr="00C60440">
        <w:rPr>
          <w:sz w:val="22"/>
          <w:szCs w:val="22"/>
          <w:u w:val="single"/>
          <w:lang w:val="hu-HU"/>
        </w:rPr>
        <w:t>Az ambriszentán hatása a xenobiotikus transzporterekre</w:t>
      </w:r>
    </w:p>
    <w:p w14:paraId="4317B402" w14:textId="349B9369" w:rsidR="00C4501D" w:rsidRPr="00C60440" w:rsidRDefault="00C4501D" w:rsidP="00C4501D">
      <w:pPr>
        <w:pStyle w:val="Default"/>
        <w:rPr>
          <w:sz w:val="22"/>
          <w:szCs w:val="22"/>
          <w:lang w:val="hu-HU"/>
        </w:rPr>
      </w:pPr>
      <w:r w:rsidRPr="00C60440">
        <w:rPr>
          <w:i/>
          <w:iCs/>
          <w:sz w:val="22"/>
          <w:szCs w:val="22"/>
          <w:lang w:val="hu-HU"/>
        </w:rPr>
        <w:t>In vitro</w:t>
      </w:r>
      <w:r w:rsidRPr="00C60440">
        <w:rPr>
          <w:sz w:val="22"/>
          <w:szCs w:val="22"/>
          <w:lang w:val="hu-HU"/>
        </w:rPr>
        <w:t>, klinikailag releváns koncentrációkban az ambriszentán nem fejt ki gátló hatást a humán transzporterekre, beleértve a P-glikoproteint (Pgp), az emlőrák rezisztencia proteint (BCRP), a multidr</w:t>
      </w:r>
      <w:r w:rsidR="003823D5">
        <w:rPr>
          <w:sz w:val="22"/>
          <w:szCs w:val="22"/>
          <w:lang w:val="hu-HU"/>
        </w:rPr>
        <w:t>o</w:t>
      </w:r>
      <w:r w:rsidRPr="00C60440">
        <w:rPr>
          <w:sz w:val="22"/>
          <w:szCs w:val="22"/>
          <w:lang w:val="hu-HU"/>
        </w:rPr>
        <w:t>g rezisztencia protein 2-t (MRP2), az epesó („bile salt”) exporter pumpát (BSEP), a szerves anion transzportáló polipeptideket (OATP1B1 és OATP1B3), valamint a nátriumfüggő taurokolát kotranszporter polipeptidet (NTCP).</w:t>
      </w:r>
    </w:p>
    <w:p w14:paraId="6D4E679F" w14:textId="77777777" w:rsidR="00C4501D" w:rsidRPr="00C60440" w:rsidRDefault="00C4501D" w:rsidP="00C4501D">
      <w:pPr>
        <w:pStyle w:val="Default"/>
        <w:rPr>
          <w:sz w:val="22"/>
          <w:szCs w:val="22"/>
          <w:lang w:val="hu-HU"/>
        </w:rPr>
      </w:pPr>
    </w:p>
    <w:p w14:paraId="7F617608" w14:textId="4F730274" w:rsidR="00C4501D" w:rsidRPr="00C60440" w:rsidRDefault="00C4501D" w:rsidP="00C4501D">
      <w:pPr>
        <w:pStyle w:val="Default"/>
        <w:rPr>
          <w:sz w:val="22"/>
          <w:szCs w:val="22"/>
          <w:lang w:val="hu-HU"/>
        </w:rPr>
      </w:pPr>
      <w:r w:rsidRPr="00C60440">
        <w:rPr>
          <w:sz w:val="22"/>
          <w:szCs w:val="22"/>
          <w:lang w:val="hu-HU"/>
        </w:rPr>
        <w:t xml:space="preserve">Az ambriszentán a Pgp által mediált </w:t>
      </w:r>
      <w:r w:rsidR="00DE7763">
        <w:rPr>
          <w:sz w:val="22"/>
          <w:szCs w:val="22"/>
          <w:lang w:val="hu-HU"/>
        </w:rPr>
        <w:t>efflux</w:t>
      </w:r>
      <w:r w:rsidRPr="00C60440">
        <w:rPr>
          <w:sz w:val="22"/>
          <w:szCs w:val="22"/>
          <w:lang w:val="hu-HU"/>
        </w:rPr>
        <w:t xml:space="preserve"> szubsztrátja.</w:t>
      </w:r>
    </w:p>
    <w:p w14:paraId="58FA11C8" w14:textId="36DAF3DD" w:rsidR="00C4501D" w:rsidRPr="00C60440" w:rsidRDefault="00C4501D" w:rsidP="00C4501D">
      <w:pPr>
        <w:pStyle w:val="Default"/>
        <w:rPr>
          <w:sz w:val="22"/>
          <w:szCs w:val="22"/>
          <w:lang w:val="hu-HU"/>
        </w:rPr>
      </w:pPr>
      <w:r w:rsidRPr="00C60440">
        <w:rPr>
          <w:sz w:val="22"/>
          <w:szCs w:val="22"/>
          <w:lang w:val="hu-HU"/>
        </w:rPr>
        <w:t xml:space="preserve">Patkány hepatocitákon végzett </w:t>
      </w:r>
      <w:r w:rsidRPr="00C60440">
        <w:rPr>
          <w:i/>
          <w:iCs/>
          <w:sz w:val="22"/>
          <w:szCs w:val="22"/>
          <w:lang w:val="hu-HU"/>
        </w:rPr>
        <w:t xml:space="preserve">in vitro </w:t>
      </w:r>
      <w:r w:rsidRPr="00C60440">
        <w:rPr>
          <w:sz w:val="22"/>
          <w:szCs w:val="22"/>
          <w:lang w:val="hu-HU"/>
        </w:rPr>
        <w:t>vizsgálatok is azt igazolták, hogy az ambriszentán nem indukálta a Pgp-, a BSEP-, vagy az MRP2 protein expresszió</w:t>
      </w:r>
      <w:r w:rsidR="001A69FA">
        <w:rPr>
          <w:sz w:val="22"/>
          <w:szCs w:val="22"/>
          <w:lang w:val="hu-HU"/>
        </w:rPr>
        <w:t>já</w:t>
      </w:r>
      <w:r w:rsidRPr="00C60440">
        <w:rPr>
          <w:sz w:val="22"/>
          <w:szCs w:val="22"/>
          <w:lang w:val="hu-HU"/>
        </w:rPr>
        <w:t>t.</w:t>
      </w:r>
    </w:p>
    <w:p w14:paraId="7046F4FA" w14:textId="0A31F7C8" w:rsidR="002C367E" w:rsidRPr="00C60440" w:rsidRDefault="00C4501D" w:rsidP="00C4501D">
      <w:pPr>
        <w:spacing w:line="240" w:lineRule="auto"/>
        <w:rPr>
          <w:rFonts w:eastAsia="Times New Roman"/>
          <w:noProof/>
          <w:snapToGrid/>
          <w:szCs w:val="22"/>
          <w:lang w:val="hu-HU" w:eastAsia="en-US"/>
        </w:rPr>
      </w:pPr>
      <w:r w:rsidRPr="00C60440">
        <w:rPr>
          <w:szCs w:val="22"/>
          <w:lang w:val="hu-HU"/>
        </w:rPr>
        <w:t>Egészséges önkéntesek</w:t>
      </w:r>
      <w:r w:rsidR="00FA49C5">
        <w:rPr>
          <w:szCs w:val="22"/>
          <w:lang w:val="hu-HU"/>
        </w:rPr>
        <w:t>nél</w:t>
      </w:r>
      <w:r w:rsidRPr="00C60440">
        <w:rPr>
          <w:szCs w:val="22"/>
          <w:lang w:val="hu-HU"/>
        </w:rPr>
        <w:t xml:space="preserve"> az ambriszentán steady state alkalmazása nem volt klinikailag jelentős hatással az egyetlen dózisban alkalmazott Pgp-szubsztrát digoxin farmakokinetikájára (lásd 5.2 pont).</w:t>
      </w:r>
    </w:p>
    <w:p w14:paraId="7353A7E7" w14:textId="77777777" w:rsidR="000C7A7F" w:rsidRDefault="000C7A7F" w:rsidP="000C7A7F">
      <w:pPr>
        <w:spacing w:line="240" w:lineRule="auto"/>
        <w:rPr>
          <w:szCs w:val="22"/>
          <w:lang w:val="hu-HU"/>
        </w:rPr>
      </w:pPr>
    </w:p>
    <w:p w14:paraId="3D054C88" w14:textId="221AA5B4" w:rsidR="000C7A7F" w:rsidRPr="000C7A7F" w:rsidRDefault="000C7A7F" w:rsidP="000C7A7F">
      <w:pPr>
        <w:spacing w:line="240" w:lineRule="auto"/>
        <w:rPr>
          <w:szCs w:val="22"/>
          <w:u w:val="single"/>
          <w:lang w:val="hu-HU"/>
        </w:rPr>
      </w:pPr>
      <w:r w:rsidRPr="000C7A7F">
        <w:rPr>
          <w:szCs w:val="22"/>
          <w:u w:val="single"/>
          <w:lang w:val="hu-HU"/>
        </w:rPr>
        <w:t>Gyermekek és serdülők</w:t>
      </w:r>
    </w:p>
    <w:p w14:paraId="0E9158BE" w14:textId="0F55C4F7" w:rsidR="00F45C51" w:rsidRDefault="000C7A7F" w:rsidP="000C7A7F">
      <w:pPr>
        <w:spacing w:line="240" w:lineRule="auto"/>
        <w:rPr>
          <w:rFonts w:eastAsia="Times New Roman"/>
          <w:noProof/>
          <w:snapToGrid/>
          <w:szCs w:val="22"/>
          <w:lang w:val="hu-HU" w:eastAsia="en-US"/>
        </w:rPr>
      </w:pPr>
      <w:r>
        <w:rPr>
          <w:rFonts w:eastAsia="Times New Roman"/>
          <w:noProof/>
          <w:snapToGrid/>
          <w:szCs w:val="22"/>
          <w:lang w:val="hu-HU" w:eastAsia="en-US"/>
        </w:rPr>
        <w:t>Interakciós vizsgálatokat csak felnőttek körében végeztek.</w:t>
      </w:r>
    </w:p>
    <w:p w14:paraId="09822152" w14:textId="77777777" w:rsidR="000C7A7F" w:rsidRPr="00C60440" w:rsidRDefault="000C7A7F" w:rsidP="000C7A7F">
      <w:pPr>
        <w:spacing w:line="240" w:lineRule="auto"/>
        <w:rPr>
          <w:rFonts w:eastAsia="Times New Roman"/>
          <w:noProof/>
          <w:snapToGrid/>
          <w:szCs w:val="22"/>
          <w:lang w:val="hu-HU" w:eastAsia="en-US"/>
        </w:rPr>
      </w:pPr>
    </w:p>
    <w:p w14:paraId="790639ED" w14:textId="77777777" w:rsidR="00F45C51" w:rsidRPr="00C60440" w:rsidRDefault="00E61DC0" w:rsidP="00082A8E">
      <w:pPr>
        <w:spacing w:line="240" w:lineRule="auto"/>
        <w:ind w:left="567" w:hanging="567"/>
        <w:outlineLvl w:val="0"/>
        <w:rPr>
          <w:rFonts w:eastAsia="Times New Roman"/>
          <w:b/>
          <w:noProof/>
          <w:snapToGrid/>
          <w:szCs w:val="22"/>
          <w:lang w:val="hu-HU" w:eastAsia="en-US"/>
        </w:rPr>
      </w:pPr>
      <w:r w:rsidRPr="00C60440">
        <w:rPr>
          <w:rFonts w:eastAsia="Times New Roman"/>
          <w:b/>
          <w:noProof/>
          <w:snapToGrid/>
          <w:szCs w:val="22"/>
          <w:lang w:val="hu-HU" w:eastAsia="en-US"/>
        </w:rPr>
        <w:t>4.6</w:t>
      </w:r>
      <w:r w:rsidRPr="00C60440">
        <w:rPr>
          <w:rFonts w:eastAsia="Times New Roman"/>
          <w:b/>
          <w:noProof/>
          <w:snapToGrid/>
          <w:szCs w:val="22"/>
          <w:lang w:val="hu-HU" w:eastAsia="en-US"/>
        </w:rPr>
        <w:tab/>
        <w:t>Termékenység, terhesség és szoptatás</w:t>
      </w:r>
    </w:p>
    <w:p w14:paraId="7EE92F2E" w14:textId="77777777" w:rsidR="00F45C51" w:rsidRPr="00C60440" w:rsidRDefault="00F45C51" w:rsidP="00CA6136">
      <w:pPr>
        <w:spacing w:line="240" w:lineRule="auto"/>
        <w:rPr>
          <w:i/>
          <w:szCs w:val="22"/>
          <w:lang w:val="hu-HU"/>
        </w:rPr>
      </w:pPr>
    </w:p>
    <w:p w14:paraId="55484659" w14:textId="0130A352" w:rsidR="00FB0A82" w:rsidRPr="00C60440" w:rsidRDefault="00FB0A82" w:rsidP="00FB0A82">
      <w:pPr>
        <w:pStyle w:val="Default"/>
        <w:rPr>
          <w:sz w:val="22"/>
          <w:szCs w:val="22"/>
          <w:u w:val="single"/>
          <w:lang w:val="hu-HU"/>
        </w:rPr>
      </w:pPr>
      <w:r w:rsidRPr="00C60440">
        <w:rPr>
          <w:sz w:val="22"/>
          <w:szCs w:val="22"/>
          <w:u w:val="single"/>
          <w:lang w:val="hu-HU"/>
        </w:rPr>
        <w:t>Fogamzóképes nők</w:t>
      </w:r>
    </w:p>
    <w:p w14:paraId="50BFA297" w14:textId="39FB6CC1" w:rsidR="00FB0A82" w:rsidRPr="00C60440" w:rsidRDefault="00FB0A82" w:rsidP="00FB0A82">
      <w:pPr>
        <w:pStyle w:val="Default"/>
        <w:rPr>
          <w:sz w:val="22"/>
          <w:szCs w:val="22"/>
          <w:lang w:val="hu-HU"/>
        </w:rPr>
      </w:pPr>
      <w:r w:rsidRPr="00C60440">
        <w:rPr>
          <w:sz w:val="22"/>
          <w:szCs w:val="22"/>
          <w:lang w:val="hu-HU"/>
        </w:rPr>
        <w:t>Nem indítható ambriszentán</w:t>
      </w:r>
      <w:r w:rsidRPr="00C60440">
        <w:rPr>
          <w:sz w:val="22"/>
          <w:szCs w:val="22"/>
          <w:lang w:val="hu-HU"/>
        </w:rPr>
        <w:noBreakHyphen/>
        <w:t>kezelés fogamzóképes nőknél, csak abban az esetben, ha a kezelés kezdete előtt végzett terhességi teszt negatív eredményt adott, és megbízható fogamzásgátló módszer</w:t>
      </w:r>
      <w:r w:rsidR="001A69FA">
        <w:rPr>
          <w:sz w:val="22"/>
          <w:szCs w:val="22"/>
          <w:lang w:val="hu-HU"/>
        </w:rPr>
        <w:t>t alkalmaz a beteg</w:t>
      </w:r>
      <w:r w:rsidRPr="00C60440">
        <w:rPr>
          <w:sz w:val="22"/>
          <w:szCs w:val="22"/>
          <w:lang w:val="hu-HU"/>
        </w:rPr>
        <w:t>. Az ambriszentán</w:t>
      </w:r>
      <w:r w:rsidRPr="00C60440">
        <w:rPr>
          <w:sz w:val="22"/>
          <w:szCs w:val="22"/>
          <w:lang w:val="hu-HU"/>
        </w:rPr>
        <w:noBreakHyphen/>
        <w:t xml:space="preserve">kezelés során havonta terhességi teszt </w:t>
      </w:r>
      <w:r w:rsidR="00404B1A">
        <w:rPr>
          <w:sz w:val="22"/>
          <w:szCs w:val="22"/>
          <w:lang w:val="hu-HU"/>
        </w:rPr>
        <w:t xml:space="preserve">elvégzése </w:t>
      </w:r>
      <w:r w:rsidRPr="00C60440">
        <w:rPr>
          <w:sz w:val="22"/>
          <w:szCs w:val="22"/>
          <w:lang w:val="hu-HU"/>
        </w:rPr>
        <w:t>ajánlott.</w:t>
      </w:r>
    </w:p>
    <w:p w14:paraId="7D64DC2E" w14:textId="77777777" w:rsidR="00FB0A82" w:rsidRPr="00C60440" w:rsidRDefault="00FB0A82" w:rsidP="00FB0A82">
      <w:pPr>
        <w:pStyle w:val="Default"/>
        <w:rPr>
          <w:sz w:val="22"/>
          <w:szCs w:val="22"/>
          <w:lang w:val="hu-HU"/>
        </w:rPr>
      </w:pPr>
    </w:p>
    <w:p w14:paraId="62CD6806" w14:textId="215FCCB8" w:rsidR="00FB0A82" w:rsidRPr="00C60440" w:rsidRDefault="00FB0A82" w:rsidP="00FB0A82">
      <w:pPr>
        <w:pStyle w:val="Default"/>
        <w:rPr>
          <w:sz w:val="22"/>
          <w:szCs w:val="22"/>
          <w:u w:val="single"/>
          <w:lang w:val="hu-HU"/>
        </w:rPr>
      </w:pPr>
      <w:r w:rsidRPr="00C60440">
        <w:rPr>
          <w:sz w:val="22"/>
          <w:szCs w:val="22"/>
          <w:u w:val="single"/>
          <w:lang w:val="hu-HU"/>
        </w:rPr>
        <w:t>Terhesség</w:t>
      </w:r>
    </w:p>
    <w:p w14:paraId="7D1CA0F7" w14:textId="6DFCF20E" w:rsidR="00FB0A82" w:rsidRPr="00C60440" w:rsidRDefault="00FB0A82" w:rsidP="00FB0A82">
      <w:pPr>
        <w:pStyle w:val="Default"/>
        <w:rPr>
          <w:sz w:val="22"/>
          <w:szCs w:val="22"/>
          <w:lang w:val="hu-HU"/>
        </w:rPr>
      </w:pPr>
      <w:r w:rsidRPr="00C60440">
        <w:rPr>
          <w:sz w:val="22"/>
          <w:szCs w:val="22"/>
          <w:lang w:val="hu-HU"/>
        </w:rPr>
        <w:t xml:space="preserve">Az ambriszentán a terhesség alatt ellenjavallt (lásd 4.3 pont). Állatkísérletekben az ambriszentán teratogénnek bizonyult. Humán tapasztalatok nem állnak </w:t>
      </w:r>
      <w:r w:rsidR="005C3787" w:rsidRPr="00C60440">
        <w:rPr>
          <w:sz w:val="22"/>
          <w:szCs w:val="22"/>
          <w:lang w:val="hu-HU"/>
        </w:rPr>
        <w:t>r</w:t>
      </w:r>
      <w:r w:rsidRPr="00C60440">
        <w:rPr>
          <w:sz w:val="22"/>
          <w:szCs w:val="22"/>
          <w:lang w:val="hu-HU"/>
        </w:rPr>
        <w:t>endelkezésre.</w:t>
      </w:r>
    </w:p>
    <w:p w14:paraId="4E582E6C" w14:textId="1BE9019E" w:rsidR="00FB0A82" w:rsidRPr="00C60440" w:rsidRDefault="00FB0A82" w:rsidP="00FB0A82">
      <w:pPr>
        <w:pStyle w:val="Default"/>
        <w:rPr>
          <w:sz w:val="22"/>
          <w:szCs w:val="22"/>
          <w:lang w:val="hu-HU"/>
        </w:rPr>
      </w:pPr>
      <w:r w:rsidRPr="00C60440">
        <w:rPr>
          <w:sz w:val="22"/>
          <w:szCs w:val="22"/>
          <w:lang w:val="hu-HU"/>
        </w:rPr>
        <w:t>Az ambriszentán</w:t>
      </w:r>
      <w:r w:rsidRPr="00C60440">
        <w:rPr>
          <w:sz w:val="22"/>
          <w:szCs w:val="22"/>
          <w:lang w:val="hu-HU"/>
        </w:rPr>
        <w:noBreakHyphen/>
        <w:t>kezelésben részesülő nőket tájékoztatni kell a magzati károsodás kockázatáról, és ha mégis</w:t>
      </w:r>
      <w:r w:rsidR="00404B1A">
        <w:rPr>
          <w:sz w:val="22"/>
          <w:szCs w:val="22"/>
          <w:lang w:val="hu-HU"/>
        </w:rPr>
        <w:t xml:space="preserve"> teherbe esnének</w:t>
      </w:r>
      <w:r w:rsidRPr="00C60440">
        <w:rPr>
          <w:sz w:val="22"/>
          <w:szCs w:val="22"/>
          <w:lang w:val="hu-HU"/>
        </w:rPr>
        <w:t>,</w:t>
      </w:r>
      <w:r w:rsidR="001A69FA">
        <w:rPr>
          <w:sz w:val="22"/>
          <w:szCs w:val="22"/>
          <w:lang w:val="hu-HU"/>
        </w:rPr>
        <w:t xml:space="preserve"> egy másik</w:t>
      </w:r>
      <w:r w:rsidRPr="00C60440">
        <w:rPr>
          <w:sz w:val="22"/>
          <w:szCs w:val="22"/>
          <w:lang w:val="hu-HU"/>
        </w:rPr>
        <w:t xml:space="preserve"> terápiára kell áttérni (lásd 4.3, 4.4 és 5.3 pont).</w:t>
      </w:r>
    </w:p>
    <w:p w14:paraId="7E8E9E28" w14:textId="77777777" w:rsidR="00FB0A82" w:rsidRPr="00C60440" w:rsidRDefault="00FB0A82" w:rsidP="00FB0A82">
      <w:pPr>
        <w:pStyle w:val="Default"/>
        <w:rPr>
          <w:sz w:val="22"/>
          <w:szCs w:val="22"/>
          <w:lang w:val="hu-HU"/>
        </w:rPr>
      </w:pPr>
    </w:p>
    <w:p w14:paraId="27F9C778" w14:textId="405660EA" w:rsidR="00FB0A82" w:rsidRPr="00C60440" w:rsidRDefault="00FB0A82" w:rsidP="00FB0A82">
      <w:pPr>
        <w:pStyle w:val="Default"/>
        <w:rPr>
          <w:sz w:val="22"/>
          <w:szCs w:val="22"/>
          <w:u w:val="single"/>
          <w:lang w:val="hu-HU"/>
        </w:rPr>
      </w:pPr>
      <w:r w:rsidRPr="00C60440">
        <w:rPr>
          <w:sz w:val="22"/>
          <w:szCs w:val="22"/>
          <w:u w:val="single"/>
          <w:lang w:val="hu-HU"/>
        </w:rPr>
        <w:t>Szoptatás</w:t>
      </w:r>
    </w:p>
    <w:p w14:paraId="268B131E" w14:textId="54EFC5E4" w:rsidR="00FB0A82" w:rsidRPr="00C60440" w:rsidRDefault="00FB0A82" w:rsidP="00FB0A82">
      <w:pPr>
        <w:spacing w:line="240" w:lineRule="auto"/>
        <w:rPr>
          <w:szCs w:val="22"/>
          <w:lang w:val="hu-HU"/>
        </w:rPr>
      </w:pPr>
      <w:r w:rsidRPr="00C60440">
        <w:rPr>
          <w:szCs w:val="22"/>
          <w:lang w:val="hu-HU"/>
        </w:rPr>
        <w:t>Nem ismert, hogy az ambriszentán kiválasztódik-e a</w:t>
      </w:r>
      <w:r w:rsidR="001A69FA">
        <w:rPr>
          <w:szCs w:val="22"/>
          <w:lang w:val="hu-HU"/>
        </w:rPr>
        <w:t xml:space="preserve"> humán</w:t>
      </w:r>
      <w:r w:rsidRPr="00C60440">
        <w:rPr>
          <w:szCs w:val="22"/>
          <w:lang w:val="hu-HU"/>
        </w:rPr>
        <w:t xml:space="preserve"> anyatejbe. Az ambriszentán anyatejbe történő kiválasztódását állatokon nem vizsgálták. Ezért az ambriszentánt szedő betegek esetében a szoptatás ellenjavallt (lásd 4.3 pont).</w:t>
      </w:r>
    </w:p>
    <w:p w14:paraId="1EBF5E5B" w14:textId="77777777" w:rsidR="00FB0A82" w:rsidRPr="00C60440" w:rsidRDefault="00FB0A82" w:rsidP="00FB0A82">
      <w:pPr>
        <w:spacing w:line="240" w:lineRule="auto"/>
        <w:rPr>
          <w:szCs w:val="22"/>
          <w:lang w:val="hu-HU"/>
        </w:rPr>
      </w:pPr>
    </w:p>
    <w:p w14:paraId="34EBC09F" w14:textId="212B14CA" w:rsidR="00FB0A82" w:rsidRPr="00C60440" w:rsidRDefault="00FB0A82" w:rsidP="00FB0A82">
      <w:pPr>
        <w:pStyle w:val="Default"/>
        <w:rPr>
          <w:sz w:val="22"/>
          <w:szCs w:val="22"/>
          <w:u w:val="single"/>
          <w:lang w:val="hu-HU"/>
        </w:rPr>
      </w:pPr>
      <w:r w:rsidRPr="00C60440">
        <w:rPr>
          <w:sz w:val="22"/>
          <w:szCs w:val="22"/>
          <w:u w:val="single"/>
          <w:lang w:val="hu-HU"/>
        </w:rPr>
        <w:t>Férfi fertilitás</w:t>
      </w:r>
    </w:p>
    <w:p w14:paraId="6BBE5E32" w14:textId="7CC0278D" w:rsidR="00FB0A82" w:rsidRPr="00C60440" w:rsidRDefault="00FB0A82" w:rsidP="00FB0A82">
      <w:pPr>
        <w:spacing w:line="240" w:lineRule="auto"/>
        <w:rPr>
          <w:szCs w:val="22"/>
          <w:lang w:val="hu-HU"/>
        </w:rPr>
      </w:pPr>
      <w:r w:rsidRPr="00C60440">
        <w:rPr>
          <w:szCs w:val="22"/>
          <w:lang w:val="hu-HU"/>
        </w:rPr>
        <w:t xml:space="preserve">Hím állatokban az ERA-k, köztük az ambriszentán tartós adagolása testicularis tubularis atrophia kialakulásával járt (lásd 5.3 pont). Bár klinikai vizsgálatban nem találtak egyértelmű bizonyítékot a hosszú </w:t>
      </w:r>
      <w:r w:rsidR="00D62A5A">
        <w:rPr>
          <w:szCs w:val="22"/>
          <w:lang w:val="hu-HU"/>
        </w:rPr>
        <w:t>távú</w:t>
      </w:r>
      <w:r w:rsidRPr="00C60440">
        <w:rPr>
          <w:szCs w:val="22"/>
          <w:lang w:val="hu-HU"/>
        </w:rPr>
        <w:t xml:space="preserve"> ambriszentán-expozíció spermiumszámra gyakorolt káros hatásáról, az ambriszentán </w:t>
      </w:r>
      <w:r w:rsidR="00B851E2">
        <w:rPr>
          <w:szCs w:val="22"/>
          <w:lang w:val="hu-HU"/>
        </w:rPr>
        <w:t>hosszú távú</w:t>
      </w:r>
      <w:r w:rsidRPr="00C60440">
        <w:rPr>
          <w:szCs w:val="22"/>
          <w:lang w:val="hu-HU"/>
        </w:rPr>
        <w:t xml:space="preserve"> alkalmazását összefüggésbe hozták a spermatogenezis markereinek változásaival. Megfigyelték a plazma inhibin-B-koncentráció csökkenését és a plazma FSH-koncentráció </w:t>
      </w:r>
      <w:r w:rsidRPr="00C60440">
        <w:rPr>
          <w:szCs w:val="22"/>
          <w:lang w:val="hu-HU"/>
        </w:rPr>
        <w:lastRenderedPageBreak/>
        <w:t>emelkedését. A hatóanyag férfi fertilitásra gyakorolt hatása nem ismer</w:t>
      </w:r>
      <w:r w:rsidR="00D62A5A">
        <w:rPr>
          <w:szCs w:val="22"/>
          <w:lang w:val="hu-HU"/>
        </w:rPr>
        <w:t>t</w:t>
      </w:r>
      <w:r w:rsidRPr="00C60440">
        <w:rPr>
          <w:szCs w:val="22"/>
          <w:lang w:val="hu-HU"/>
        </w:rPr>
        <w:t>, de a spermatogenezis károsodása nem zárható ki. Klinikai vizsgálatokban az ambriszentán tartós adagolásá</w:t>
      </w:r>
      <w:r w:rsidR="004A5814">
        <w:rPr>
          <w:szCs w:val="22"/>
          <w:lang w:val="hu-HU"/>
        </w:rPr>
        <w:t xml:space="preserve">t nem hozták összefüggésbe </w:t>
      </w:r>
      <w:r w:rsidRPr="00C60440">
        <w:rPr>
          <w:szCs w:val="22"/>
          <w:lang w:val="hu-HU"/>
        </w:rPr>
        <w:t>a plazma tesztoszteronszintj</w:t>
      </w:r>
      <w:r w:rsidR="004A5814">
        <w:rPr>
          <w:szCs w:val="22"/>
          <w:lang w:val="hu-HU"/>
        </w:rPr>
        <w:t>ének változásával</w:t>
      </w:r>
      <w:r w:rsidRPr="00C60440">
        <w:rPr>
          <w:szCs w:val="22"/>
          <w:lang w:val="hu-HU"/>
        </w:rPr>
        <w:t>.</w:t>
      </w:r>
    </w:p>
    <w:p w14:paraId="0A5EE8A4" w14:textId="77777777" w:rsidR="00F45C51" w:rsidRPr="00C60440" w:rsidRDefault="00F45C51" w:rsidP="00082A8E">
      <w:pPr>
        <w:spacing w:line="240" w:lineRule="auto"/>
        <w:rPr>
          <w:szCs w:val="22"/>
          <w:lang w:val="hu-HU"/>
        </w:rPr>
      </w:pPr>
    </w:p>
    <w:p w14:paraId="760F951F" w14:textId="77777777" w:rsidR="00F45C51" w:rsidRPr="00C60440" w:rsidRDefault="00E61DC0" w:rsidP="00082A8E">
      <w:pPr>
        <w:spacing w:line="240" w:lineRule="auto"/>
        <w:ind w:left="567" w:hanging="567"/>
        <w:outlineLvl w:val="0"/>
        <w:rPr>
          <w:rFonts w:eastAsia="Times New Roman"/>
          <w:b/>
          <w:noProof/>
          <w:snapToGrid/>
          <w:szCs w:val="22"/>
          <w:lang w:val="hu-HU" w:eastAsia="en-US"/>
        </w:rPr>
      </w:pPr>
      <w:r w:rsidRPr="00C60440">
        <w:rPr>
          <w:rFonts w:eastAsia="Times New Roman"/>
          <w:b/>
          <w:noProof/>
          <w:snapToGrid/>
          <w:szCs w:val="22"/>
          <w:lang w:val="hu-HU" w:eastAsia="en-US"/>
        </w:rPr>
        <w:t>4.7</w:t>
      </w:r>
      <w:r w:rsidRPr="00C60440">
        <w:rPr>
          <w:rFonts w:eastAsia="Times New Roman"/>
          <w:b/>
          <w:noProof/>
          <w:snapToGrid/>
          <w:szCs w:val="22"/>
          <w:lang w:val="hu-HU" w:eastAsia="en-US"/>
        </w:rPr>
        <w:tab/>
        <w:t xml:space="preserve">A készítmény hatásai a gépjárművezetéshez és </w:t>
      </w:r>
      <w:r w:rsidR="00F5194B" w:rsidRPr="00C60440">
        <w:rPr>
          <w:rFonts w:eastAsia="Times New Roman"/>
          <w:b/>
          <w:noProof/>
          <w:snapToGrid/>
          <w:szCs w:val="22"/>
          <w:lang w:val="hu-HU" w:eastAsia="en-US"/>
        </w:rPr>
        <w:t xml:space="preserve">a </w:t>
      </w:r>
      <w:r w:rsidRPr="00C60440">
        <w:rPr>
          <w:rFonts w:eastAsia="Times New Roman"/>
          <w:b/>
          <w:noProof/>
          <w:snapToGrid/>
          <w:szCs w:val="22"/>
          <w:lang w:val="hu-HU" w:eastAsia="en-US"/>
        </w:rPr>
        <w:t>gépek kezeléséhez szükséges képességekre</w:t>
      </w:r>
    </w:p>
    <w:p w14:paraId="4ED8B348" w14:textId="77777777" w:rsidR="00F45C51" w:rsidRPr="00C60440" w:rsidRDefault="00F45C51" w:rsidP="00082A8E">
      <w:pPr>
        <w:spacing w:line="240" w:lineRule="auto"/>
        <w:ind w:left="567" w:hanging="567"/>
        <w:outlineLvl w:val="0"/>
        <w:rPr>
          <w:b/>
          <w:szCs w:val="22"/>
          <w:lang w:val="hu-HU"/>
        </w:rPr>
      </w:pPr>
    </w:p>
    <w:p w14:paraId="67F0372B" w14:textId="08465567" w:rsidR="00F45C51" w:rsidRPr="00C60440" w:rsidRDefault="00A616E0" w:rsidP="00082A8E">
      <w:pPr>
        <w:spacing w:line="240" w:lineRule="auto"/>
        <w:rPr>
          <w:rFonts w:eastAsia="Times New Roman"/>
          <w:noProof/>
          <w:snapToGrid/>
          <w:szCs w:val="22"/>
          <w:lang w:val="hu-HU" w:eastAsia="en-US"/>
        </w:rPr>
      </w:pPr>
      <w:r w:rsidRPr="00C60440">
        <w:rPr>
          <w:szCs w:val="22"/>
          <w:lang w:val="hu-HU"/>
        </w:rPr>
        <w:t xml:space="preserve">Az ambriszentán kismértékben vagy közepes mértékben befolyásolja a gépjárművezetéshez és a gépek kezeléséhez szükséges képességeket. A betegnek helyzetmegítélést, motoros és kognitív képességeket igénylő feladatok megoldására irányuló képességének </w:t>
      </w:r>
      <w:r w:rsidR="001A69FA">
        <w:rPr>
          <w:szCs w:val="22"/>
          <w:lang w:val="hu-HU"/>
        </w:rPr>
        <w:t>meghatározásakor</w:t>
      </w:r>
      <w:r w:rsidRPr="00C60440">
        <w:rPr>
          <w:szCs w:val="22"/>
          <w:lang w:val="hu-HU"/>
        </w:rPr>
        <w:t xml:space="preserve"> figyelembe kell venni a beteg klinikai állapotát és az ambriszentán mellékhatásprofilját (pl. vérnyomáscsökkenés, szédülés, asthenia, fáradtság) (lásd 4.8 pont). A betegek figyelmét </w:t>
      </w:r>
      <w:r w:rsidR="00FF1BA1">
        <w:rPr>
          <w:szCs w:val="22"/>
          <w:lang w:val="hu-HU"/>
        </w:rPr>
        <w:t xml:space="preserve">fel kell hívni </w:t>
      </w:r>
      <w:r w:rsidRPr="00C60440">
        <w:rPr>
          <w:szCs w:val="22"/>
          <w:lang w:val="hu-HU"/>
        </w:rPr>
        <w:t>a gépjárművezetés, illetve a gépek kezelésének megkezdése előtt arra, hogy milyen befolyást gyakorolhat rájuk az ambriszentán.</w:t>
      </w:r>
    </w:p>
    <w:p w14:paraId="058149E9" w14:textId="77777777" w:rsidR="00F45C51" w:rsidRPr="00C60440" w:rsidRDefault="00F45C51" w:rsidP="00082A8E">
      <w:pPr>
        <w:spacing w:line="240" w:lineRule="auto"/>
        <w:rPr>
          <w:rFonts w:eastAsia="Times New Roman"/>
          <w:noProof/>
          <w:snapToGrid/>
          <w:szCs w:val="22"/>
          <w:lang w:val="hu-HU" w:eastAsia="en-US"/>
        </w:rPr>
      </w:pPr>
    </w:p>
    <w:p w14:paraId="4BFD2897" w14:textId="77777777" w:rsidR="00F45C51" w:rsidRPr="00C60440" w:rsidRDefault="00E61DC0" w:rsidP="00082A8E">
      <w:pPr>
        <w:spacing w:line="240" w:lineRule="auto"/>
        <w:ind w:left="567" w:hanging="567"/>
        <w:outlineLvl w:val="0"/>
        <w:rPr>
          <w:rFonts w:eastAsia="Times New Roman"/>
          <w:b/>
          <w:noProof/>
          <w:snapToGrid/>
          <w:szCs w:val="22"/>
          <w:lang w:val="hu-HU" w:eastAsia="en-US"/>
        </w:rPr>
      </w:pPr>
      <w:r w:rsidRPr="00C60440">
        <w:rPr>
          <w:rFonts w:eastAsia="Times New Roman"/>
          <w:b/>
          <w:noProof/>
          <w:snapToGrid/>
          <w:szCs w:val="22"/>
          <w:lang w:val="hu-HU" w:eastAsia="en-US"/>
        </w:rPr>
        <w:t>4.8</w:t>
      </w:r>
      <w:r w:rsidRPr="00C60440">
        <w:rPr>
          <w:rFonts w:eastAsia="Times New Roman"/>
          <w:b/>
          <w:noProof/>
          <w:snapToGrid/>
          <w:szCs w:val="22"/>
          <w:lang w:val="hu-HU" w:eastAsia="en-US"/>
        </w:rPr>
        <w:tab/>
        <w:t>Nemkívánatos hatások, mellékhatások</w:t>
      </w:r>
    </w:p>
    <w:p w14:paraId="4A0B047E" w14:textId="77777777" w:rsidR="00F45C51" w:rsidRPr="00C60440" w:rsidRDefault="00F45C51" w:rsidP="00497F75">
      <w:pPr>
        <w:spacing w:line="240" w:lineRule="auto"/>
        <w:rPr>
          <w:i/>
          <w:szCs w:val="22"/>
          <w:lang w:val="hu-HU"/>
        </w:rPr>
      </w:pPr>
    </w:p>
    <w:p w14:paraId="2EBA2112" w14:textId="0A443291" w:rsidR="00CF09F1" w:rsidRPr="00C60440" w:rsidRDefault="00CF09F1" w:rsidP="00CF09F1">
      <w:pPr>
        <w:pStyle w:val="Default"/>
        <w:rPr>
          <w:sz w:val="22"/>
          <w:szCs w:val="22"/>
          <w:u w:val="single"/>
          <w:lang w:val="hu-HU"/>
        </w:rPr>
      </w:pPr>
      <w:r w:rsidRPr="00C60440">
        <w:rPr>
          <w:sz w:val="22"/>
          <w:szCs w:val="22"/>
          <w:u w:val="single"/>
          <w:lang w:val="hu-HU"/>
        </w:rPr>
        <w:t>A biztonságossági profil összefoglalása</w:t>
      </w:r>
    </w:p>
    <w:p w14:paraId="75548AE3" w14:textId="77777777" w:rsidR="00CF09F1" w:rsidRPr="00C60440" w:rsidRDefault="00CF09F1" w:rsidP="00CF09F1">
      <w:pPr>
        <w:pStyle w:val="Default"/>
        <w:rPr>
          <w:sz w:val="22"/>
          <w:szCs w:val="22"/>
          <w:u w:val="single"/>
          <w:lang w:val="hu-HU"/>
        </w:rPr>
      </w:pPr>
    </w:p>
    <w:p w14:paraId="7943D27F" w14:textId="01C83C0D" w:rsidR="00B91FDB" w:rsidRDefault="00B91FDB" w:rsidP="00B91FDB">
      <w:pPr>
        <w:pStyle w:val="Default"/>
        <w:rPr>
          <w:sz w:val="22"/>
          <w:szCs w:val="22"/>
          <w:lang w:val="hu-HU"/>
        </w:rPr>
      </w:pPr>
      <w:r w:rsidRPr="00732CF1">
        <w:rPr>
          <w:sz w:val="22"/>
          <w:szCs w:val="22"/>
          <w:lang w:val="hu-HU"/>
        </w:rPr>
        <w:t>Az ambriszentánnal kapcsolatban megfigyelt leggyakoribb mellékhatások közé a perifériás oedema (37%) és a fejfájás (28%) tartoz</w:t>
      </w:r>
      <w:r w:rsidRPr="003156F7">
        <w:rPr>
          <w:sz w:val="22"/>
          <w:szCs w:val="22"/>
          <w:lang w:val="hu-HU"/>
        </w:rPr>
        <w:t>ott</w:t>
      </w:r>
      <w:r w:rsidRPr="00732CF1">
        <w:rPr>
          <w:sz w:val="22"/>
          <w:szCs w:val="22"/>
          <w:lang w:val="hu-HU"/>
        </w:rPr>
        <w:t xml:space="preserve">. </w:t>
      </w:r>
      <w:r>
        <w:rPr>
          <w:sz w:val="22"/>
          <w:szCs w:val="22"/>
          <w:lang w:val="hu-HU"/>
        </w:rPr>
        <w:t>Nagyobb d</w:t>
      </w:r>
      <w:r w:rsidR="005760B6">
        <w:rPr>
          <w:sz w:val="22"/>
          <w:szCs w:val="22"/>
          <w:lang w:val="hu-HU"/>
        </w:rPr>
        <w:t>ózis</w:t>
      </w:r>
      <w:r w:rsidRPr="00732CF1">
        <w:rPr>
          <w:sz w:val="22"/>
          <w:szCs w:val="22"/>
          <w:lang w:val="hu-HU"/>
        </w:rPr>
        <w:t xml:space="preserve"> (10 mg) </w:t>
      </w:r>
      <w:r w:rsidR="005760B6">
        <w:rPr>
          <w:sz w:val="22"/>
          <w:szCs w:val="22"/>
          <w:lang w:val="hu-HU"/>
        </w:rPr>
        <w:t>esetén</w:t>
      </w:r>
      <w:r w:rsidRPr="00732CF1">
        <w:rPr>
          <w:sz w:val="22"/>
          <w:szCs w:val="22"/>
          <w:lang w:val="hu-HU"/>
        </w:rPr>
        <w:t xml:space="preserve"> </w:t>
      </w:r>
      <w:r>
        <w:rPr>
          <w:sz w:val="22"/>
          <w:szCs w:val="22"/>
          <w:lang w:val="hu-HU"/>
        </w:rPr>
        <w:t>magasabb</w:t>
      </w:r>
      <w:r w:rsidRPr="003156F7">
        <w:rPr>
          <w:sz w:val="22"/>
          <w:szCs w:val="22"/>
          <w:lang w:val="hu-HU"/>
        </w:rPr>
        <w:t xml:space="preserve"> volt </w:t>
      </w:r>
      <w:r w:rsidRPr="00732CF1">
        <w:rPr>
          <w:sz w:val="22"/>
          <w:szCs w:val="22"/>
          <w:lang w:val="hu-HU"/>
        </w:rPr>
        <w:t>e</w:t>
      </w:r>
      <w:r>
        <w:rPr>
          <w:sz w:val="22"/>
          <w:szCs w:val="22"/>
          <w:lang w:val="hu-HU"/>
        </w:rPr>
        <w:t>zen</w:t>
      </w:r>
      <w:r w:rsidRPr="00732CF1">
        <w:rPr>
          <w:sz w:val="22"/>
          <w:szCs w:val="22"/>
          <w:lang w:val="hu-HU"/>
        </w:rPr>
        <w:t xml:space="preserve"> mellékhatások </w:t>
      </w:r>
      <w:r>
        <w:rPr>
          <w:sz w:val="22"/>
          <w:szCs w:val="22"/>
          <w:lang w:val="hu-HU"/>
        </w:rPr>
        <w:t>incidenciája</w:t>
      </w:r>
      <w:r w:rsidRPr="00732CF1">
        <w:rPr>
          <w:sz w:val="22"/>
          <w:szCs w:val="22"/>
          <w:lang w:val="hu-HU"/>
        </w:rPr>
        <w:t xml:space="preserve">, és </w:t>
      </w:r>
      <w:r w:rsidRPr="003E68BD">
        <w:rPr>
          <w:sz w:val="22"/>
          <w:szCs w:val="22"/>
          <w:lang w:val="hu-HU"/>
        </w:rPr>
        <w:t xml:space="preserve">a perifériás </w:t>
      </w:r>
      <w:r>
        <w:rPr>
          <w:sz w:val="22"/>
          <w:szCs w:val="22"/>
          <w:lang w:val="hu-HU"/>
        </w:rPr>
        <w:t>oede</w:t>
      </w:r>
      <w:r w:rsidRPr="003E68BD">
        <w:rPr>
          <w:sz w:val="22"/>
          <w:szCs w:val="22"/>
          <w:lang w:val="hu-HU"/>
        </w:rPr>
        <w:t>ma</w:t>
      </w:r>
      <w:r w:rsidRPr="003156F7">
        <w:rPr>
          <w:sz w:val="22"/>
          <w:szCs w:val="22"/>
          <w:lang w:val="hu-HU"/>
        </w:rPr>
        <w:t xml:space="preserve"> rövid </w:t>
      </w:r>
      <w:r>
        <w:rPr>
          <w:sz w:val="22"/>
          <w:szCs w:val="22"/>
          <w:lang w:val="hu-HU"/>
        </w:rPr>
        <w:t>időtartamú</w:t>
      </w:r>
      <w:r w:rsidRPr="003156F7">
        <w:rPr>
          <w:sz w:val="22"/>
          <w:szCs w:val="22"/>
          <w:lang w:val="hu-HU"/>
        </w:rPr>
        <w:t xml:space="preserve"> vizsgálatokban </w:t>
      </w:r>
      <w:r w:rsidRPr="00D80D43">
        <w:rPr>
          <w:rFonts w:eastAsia="Times New Roman"/>
          <w:color w:val="auto"/>
          <w:sz w:val="22"/>
          <w:szCs w:val="22"/>
          <w:lang w:val="hu-HU" w:eastAsia="en-US"/>
        </w:rPr>
        <w:t>65</w:t>
      </w:r>
      <w:r w:rsidRPr="00D80D43">
        <w:rPr>
          <w:sz w:val="22"/>
          <w:szCs w:val="22"/>
          <w:lang w:val="hu-HU"/>
        </w:rPr>
        <w:t> éves</w:t>
      </w:r>
      <w:r>
        <w:rPr>
          <w:sz w:val="22"/>
          <w:szCs w:val="22"/>
          <w:lang w:val="hu-HU"/>
        </w:rPr>
        <w:t>nél idősebb</w:t>
      </w:r>
      <w:r w:rsidRPr="00D80D43">
        <w:rPr>
          <w:sz w:val="22"/>
          <w:szCs w:val="22"/>
          <w:lang w:val="hu-HU"/>
        </w:rPr>
        <w:t xml:space="preserve"> betegek</w:t>
      </w:r>
      <w:r>
        <w:rPr>
          <w:sz w:val="22"/>
          <w:szCs w:val="22"/>
          <w:lang w:val="hu-HU"/>
        </w:rPr>
        <w:t>nél</w:t>
      </w:r>
      <w:r w:rsidRPr="00D80D43">
        <w:rPr>
          <w:sz w:val="22"/>
          <w:szCs w:val="22"/>
          <w:lang w:val="hu-HU"/>
        </w:rPr>
        <w:t xml:space="preserve"> </w:t>
      </w:r>
      <w:r w:rsidRPr="003156F7">
        <w:rPr>
          <w:sz w:val="22"/>
          <w:szCs w:val="22"/>
          <w:lang w:val="hu-HU"/>
        </w:rPr>
        <w:t>t</w:t>
      </w:r>
      <w:r w:rsidR="005760B6">
        <w:rPr>
          <w:sz w:val="22"/>
          <w:szCs w:val="22"/>
          <w:lang w:val="hu-HU"/>
        </w:rPr>
        <w:t>rendszerűe</w:t>
      </w:r>
      <w:r w:rsidRPr="003156F7">
        <w:rPr>
          <w:sz w:val="22"/>
          <w:szCs w:val="22"/>
          <w:lang w:val="hu-HU"/>
        </w:rPr>
        <w:t>n súlyosabb volt</w:t>
      </w:r>
      <w:r w:rsidRPr="00732CF1">
        <w:rPr>
          <w:sz w:val="22"/>
          <w:szCs w:val="22"/>
          <w:lang w:val="hu-HU"/>
        </w:rPr>
        <w:t xml:space="preserve"> (lásd 4.4 pont).</w:t>
      </w:r>
    </w:p>
    <w:p w14:paraId="39EF4E98" w14:textId="77777777" w:rsidR="00B91FDB" w:rsidRPr="003156F7" w:rsidRDefault="00B91FDB" w:rsidP="00B91FDB">
      <w:pPr>
        <w:pStyle w:val="Default"/>
        <w:rPr>
          <w:sz w:val="22"/>
          <w:szCs w:val="22"/>
          <w:lang w:val="hu-HU"/>
        </w:rPr>
      </w:pPr>
    </w:p>
    <w:p w14:paraId="2CA6EBD2" w14:textId="77777777" w:rsidR="00B91FDB" w:rsidRDefault="00B91FDB" w:rsidP="00B91FDB">
      <w:pPr>
        <w:pStyle w:val="Default"/>
        <w:rPr>
          <w:sz w:val="22"/>
          <w:szCs w:val="22"/>
          <w:lang w:val="hu-HU"/>
        </w:rPr>
      </w:pPr>
      <w:r w:rsidRPr="00732CF1">
        <w:rPr>
          <w:sz w:val="22"/>
          <w:szCs w:val="22"/>
          <w:lang w:val="hu-HU"/>
        </w:rPr>
        <w:t>Az ambriszentán</w:t>
      </w:r>
      <w:r>
        <w:rPr>
          <w:sz w:val="22"/>
          <w:szCs w:val="22"/>
          <w:lang w:val="hu-HU"/>
        </w:rPr>
        <w:t xml:space="preserve"> alkalmazásához</w:t>
      </w:r>
      <w:r w:rsidRPr="00732CF1">
        <w:rPr>
          <w:sz w:val="22"/>
          <w:szCs w:val="22"/>
          <w:lang w:val="hu-HU"/>
        </w:rPr>
        <w:t xml:space="preserve"> kapcsol</w:t>
      </w:r>
      <w:r>
        <w:rPr>
          <w:sz w:val="22"/>
          <w:szCs w:val="22"/>
          <w:lang w:val="hu-HU"/>
        </w:rPr>
        <w:t>ódó</w:t>
      </w:r>
      <w:r w:rsidRPr="00732CF1">
        <w:rPr>
          <w:sz w:val="22"/>
          <w:szCs w:val="22"/>
          <w:lang w:val="hu-HU"/>
        </w:rPr>
        <w:t xml:space="preserve"> súlyos mellékhatások közé tartozik az anaemia </w:t>
      </w:r>
      <w:r w:rsidRPr="003156F7">
        <w:rPr>
          <w:sz w:val="22"/>
          <w:szCs w:val="22"/>
          <w:lang w:val="hu-HU"/>
        </w:rPr>
        <w:t>(</w:t>
      </w:r>
      <w:r w:rsidRPr="00732CF1">
        <w:rPr>
          <w:sz w:val="22"/>
          <w:szCs w:val="22"/>
          <w:lang w:val="hu-HU"/>
        </w:rPr>
        <w:t>c</w:t>
      </w:r>
      <w:r w:rsidRPr="003156F7">
        <w:rPr>
          <w:sz w:val="22"/>
          <w:szCs w:val="22"/>
          <w:lang w:val="hu-HU"/>
        </w:rPr>
        <w:t>s</w:t>
      </w:r>
      <w:r w:rsidRPr="00732CF1">
        <w:rPr>
          <w:sz w:val="22"/>
          <w:szCs w:val="22"/>
          <w:lang w:val="hu-HU"/>
        </w:rPr>
        <w:t>ökkent hemoglobin</w:t>
      </w:r>
      <w:r w:rsidRPr="003156F7">
        <w:rPr>
          <w:sz w:val="22"/>
          <w:szCs w:val="22"/>
          <w:lang w:val="hu-HU"/>
        </w:rPr>
        <w:t>koncentráció,</w:t>
      </w:r>
      <w:r w:rsidRPr="00732CF1">
        <w:rPr>
          <w:sz w:val="22"/>
          <w:szCs w:val="22"/>
          <w:lang w:val="hu-HU"/>
        </w:rPr>
        <w:t xml:space="preserve"> </w:t>
      </w:r>
      <w:r w:rsidRPr="003156F7">
        <w:rPr>
          <w:sz w:val="22"/>
          <w:szCs w:val="22"/>
          <w:lang w:val="hu-HU"/>
        </w:rPr>
        <w:t>csökkent</w:t>
      </w:r>
      <w:r w:rsidRPr="00732CF1">
        <w:rPr>
          <w:sz w:val="22"/>
          <w:szCs w:val="22"/>
          <w:lang w:val="hu-HU"/>
        </w:rPr>
        <w:t xml:space="preserve"> hematokritérték) és a hepatotoxicitás.</w:t>
      </w:r>
    </w:p>
    <w:p w14:paraId="32E75371" w14:textId="77777777" w:rsidR="00B91FDB" w:rsidRDefault="00B91FDB" w:rsidP="00B91FDB">
      <w:pPr>
        <w:pStyle w:val="Default"/>
        <w:rPr>
          <w:sz w:val="22"/>
          <w:szCs w:val="22"/>
          <w:lang w:val="hu-HU"/>
        </w:rPr>
      </w:pPr>
    </w:p>
    <w:p w14:paraId="74A42B20" w14:textId="79B46981" w:rsidR="00B91FDB" w:rsidRDefault="00B91FDB" w:rsidP="00B91FDB">
      <w:pPr>
        <w:pStyle w:val="Default"/>
        <w:rPr>
          <w:sz w:val="22"/>
          <w:szCs w:val="22"/>
          <w:lang w:val="hu-HU"/>
        </w:rPr>
      </w:pPr>
      <w:r w:rsidRPr="00487EAE">
        <w:rPr>
          <w:sz w:val="22"/>
          <w:szCs w:val="22"/>
          <w:lang w:val="hu-HU"/>
        </w:rPr>
        <w:t>Az endotelinreceptor-antagonistákkal (ERA-k) – ideértve az ambriszentánt is – történő kezeléshez a</w:t>
      </w:r>
      <w:r w:rsidRPr="003156F7">
        <w:rPr>
          <w:sz w:val="22"/>
          <w:szCs w:val="22"/>
          <w:lang w:val="hu-HU"/>
        </w:rPr>
        <w:t xml:space="preserve"> hemoglobinkoncentráció és a hematokritérték csökkenése (10%) társult. A csökkenést a legtöbb esetben a kezelés első 4 het</w:t>
      </w:r>
      <w:r>
        <w:rPr>
          <w:sz w:val="22"/>
          <w:szCs w:val="22"/>
          <w:lang w:val="hu-HU"/>
        </w:rPr>
        <w:t>ében</w:t>
      </w:r>
      <w:r w:rsidRPr="003156F7">
        <w:rPr>
          <w:sz w:val="22"/>
          <w:szCs w:val="22"/>
          <w:lang w:val="hu-HU"/>
        </w:rPr>
        <w:t xml:space="preserve"> figyelték meg, és a hemoglobin</w:t>
      </w:r>
      <w:r>
        <w:rPr>
          <w:sz w:val="22"/>
          <w:szCs w:val="22"/>
          <w:lang w:val="hu-HU"/>
        </w:rPr>
        <w:t>szint</w:t>
      </w:r>
      <w:r w:rsidRPr="003156F7">
        <w:rPr>
          <w:sz w:val="22"/>
          <w:szCs w:val="22"/>
          <w:lang w:val="hu-HU"/>
        </w:rPr>
        <w:t xml:space="preserve"> általában ezt követően stabilizálódott (lásd 4.4 pont).</w:t>
      </w:r>
    </w:p>
    <w:p w14:paraId="59176C2D" w14:textId="77777777" w:rsidR="00B91FDB" w:rsidRPr="003156F7" w:rsidRDefault="00B91FDB" w:rsidP="00B91FDB">
      <w:pPr>
        <w:pStyle w:val="Default"/>
        <w:rPr>
          <w:sz w:val="22"/>
          <w:szCs w:val="22"/>
          <w:lang w:val="hu-HU"/>
        </w:rPr>
      </w:pPr>
    </w:p>
    <w:p w14:paraId="36BA864D" w14:textId="57F6F9AD" w:rsidR="00B91FDB" w:rsidRDefault="00B91FDB" w:rsidP="00B91FDB">
      <w:pPr>
        <w:pStyle w:val="Default"/>
        <w:rPr>
          <w:sz w:val="22"/>
          <w:szCs w:val="22"/>
          <w:lang w:val="hu-HU"/>
        </w:rPr>
      </w:pPr>
      <w:r w:rsidRPr="003156F7">
        <w:rPr>
          <w:sz w:val="22"/>
          <w:szCs w:val="22"/>
          <w:lang w:val="hu-HU"/>
        </w:rPr>
        <w:t>Az ambriszentán-kezelés mellett a májenzi</w:t>
      </w:r>
      <w:r>
        <w:rPr>
          <w:sz w:val="22"/>
          <w:szCs w:val="22"/>
          <w:lang w:val="hu-HU"/>
        </w:rPr>
        <w:t>m</w:t>
      </w:r>
      <w:r w:rsidRPr="003156F7">
        <w:rPr>
          <w:sz w:val="22"/>
          <w:szCs w:val="22"/>
          <w:lang w:val="hu-HU"/>
        </w:rPr>
        <w:t>szint</w:t>
      </w:r>
      <w:r>
        <w:rPr>
          <w:sz w:val="22"/>
          <w:szCs w:val="22"/>
          <w:lang w:val="hu-HU"/>
        </w:rPr>
        <w:t>-</w:t>
      </w:r>
      <w:r w:rsidRPr="003156F7">
        <w:rPr>
          <w:sz w:val="22"/>
          <w:szCs w:val="22"/>
          <w:lang w:val="hu-HU"/>
        </w:rPr>
        <w:t>emelkedés</w:t>
      </w:r>
      <w:r>
        <w:rPr>
          <w:sz w:val="22"/>
          <w:szCs w:val="22"/>
          <w:lang w:val="hu-HU"/>
        </w:rPr>
        <w:t xml:space="preserve">eket </w:t>
      </w:r>
      <w:r w:rsidRPr="003156F7">
        <w:rPr>
          <w:sz w:val="22"/>
          <w:szCs w:val="22"/>
          <w:lang w:val="hu-HU"/>
        </w:rPr>
        <w:t xml:space="preserve">(2%), májkárosodást és autoimmun hepatitist (beleértve a </w:t>
      </w:r>
      <w:r>
        <w:rPr>
          <w:sz w:val="22"/>
          <w:szCs w:val="22"/>
          <w:lang w:val="hu-HU"/>
        </w:rPr>
        <w:t>fe</w:t>
      </w:r>
      <w:r w:rsidR="00487EAE">
        <w:rPr>
          <w:sz w:val="22"/>
          <w:szCs w:val="22"/>
          <w:lang w:val="hu-HU"/>
        </w:rPr>
        <w:t>n</w:t>
      </w:r>
      <w:r>
        <w:rPr>
          <w:sz w:val="22"/>
          <w:szCs w:val="22"/>
          <w:lang w:val="hu-HU"/>
        </w:rPr>
        <w:t>nálló autoimmun hepatitis</w:t>
      </w:r>
      <w:r w:rsidRPr="003156F7">
        <w:rPr>
          <w:sz w:val="22"/>
          <w:szCs w:val="22"/>
          <w:lang w:val="hu-HU"/>
        </w:rPr>
        <w:t xml:space="preserve"> fellángolását) figyelt</w:t>
      </w:r>
      <w:r>
        <w:rPr>
          <w:sz w:val="22"/>
          <w:szCs w:val="22"/>
          <w:lang w:val="hu-HU"/>
        </w:rPr>
        <w:t>e</w:t>
      </w:r>
      <w:r w:rsidRPr="003156F7">
        <w:rPr>
          <w:sz w:val="22"/>
          <w:szCs w:val="22"/>
          <w:lang w:val="hu-HU"/>
        </w:rPr>
        <w:t>k meg (lásd 4.4 és 5.1 pont).</w:t>
      </w:r>
    </w:p>
    <w:p w14:paraId="7BC2F59B" w14:textId="015533E0" w:rsidR="00CF09F1" w:rsidRPr="00C60440" w:rsidRDefault="00CF09F1" w:rsidP="00082A8E">
      <w:pPr>
        <w:spacing w:line="240" w:lineRule="auto"/>
        <w:rPr>
          <w:szCs w:val="22"/>
          <w:u w:val="single"/>
          <w:lang w:val="hu-HU"/>
        </w:rPr>
      </w:pPr>
    </w:p>
    <w:p w14:paraId="1C99052F" w14:textId="17B7432A" w:rsidR="00CF09F1" w:rsidRPr="00C60440" w:rsidRDefault="00CF09F1" w:rsidP="00CF09F1">
      <w:pPr>
        <w:pStyle w:val="Default"/>
        <w:rPr>
          <w:snapToGrid w:val="0"/>
          <w:color w:val="auto"/>
          <w:sz w:val="22"/>
          <w:szCs w:val="22"/>
          <w:lang w:val="hu-HU" w:eastAsia="zh-CN"/>
        </w:rPr>
      </w:pPr>
      <w:r w:rsidRPr="00C60440">
        <w:rPr>
          <w:sz w:val="22"/>
          <w:szCs w:val="22"/>
          <w:u w:val="single"/>
          <w:lang w:val="hu-HU"/>
        </w:rPr>
        <w:t>A mellékhatások táblázatos összefoglalása</w:t>
      </w:r>
    </w:p>
    <w:p w14:paraId="3CB3BB11" w14:textId="0CC3C58C" w:rsidR="00CF09F1" w:rsidRPr="00C60440" w:rsidRDefault="00CF09F1" w:rsidP="00CF09F1">
      <w:pPr>
        <w:spacing w:line="240" w:lineRule="auto"/>
        <w:rPr>
          <w:szCs w:val="22"/>
          <w:u w:val="single"/>
          <w:lang w:val="hu-HU"/>
        </w:rPr>
      </w:pPr>
      <w:r w:rsidRPr="00C60440">
        <w:rPr>
          <w:szCs w:val="22"/>
          <w:lang w:val="hu-HU"/>
        </w:rPr>
        <w:t>A gyakoriság meghatározása a következő: nagyon gyakori (≥ 1/10); gyakori (≥ 1/100 – &lt; 1/10); nem gyakori (≥ 1/1000 – &lt; 1/100); ritka (≥ 1/10 000 – &lt; 1/1000); nagyon ritka (&lt;</w:t>
      </w:r>
      <w:r w:rsidR="00EA1E93" w:rsidRPr="00C60440">
        <w:rPr>
          <w:szCs w:val="22"/>
          <w:lang w:val="hu-HU"/>
        </w:rPr>
        <w:t> </w:t>
      </w:r>
      <w:r w:rsidRPr="00C60440">
        <w:rPr>
          <w:szCs w:val="22"/>
          <w:lang w:val="hu-HU"/>
        </w:rPr>
        <w:t>1/10</w:t>
      </w:r>
      <w:r w:rsidR="00EA1E93" w:rsidRPr="00C60440">
        <w:rPr>
          <w:szCs w:val="22"/>
          <w:lang w:val="hu-HU"/>
        </w:rPr>
        <w:t> </w:t>
      </w:r>
      <w:r w:rsidRPr="00C60440">
        <w:rPr>
          <w:szCs w:val="22"/>
          <w:lang w:val="hu-HU"/>
        </w:rPr>
        <w:t>000) és nem ismert (</w:t>
      </w:r>
      <w:r w:rsidR="000B0D6C">
        <w:rPr>
          <w:szCs w:val="22"/>
          <w:lang w:val="hu-HU"/>
        </w:rPr>
        <w:t xml:space="preserve">a gyakoriság </w:t>
      </w:r>
      <w:r w:rsidRPr="00C60440">
        <w:rPr>
          <w:szCs w:val="22"/>
          <w:lang w:val="hu-HU"/>
        </w:rPr>
        <w:t xml:space="preserve">a rendelkezésre álló adatokból nem állapítható meg). A dózisfüggő mellékhatások esetében a gyakorisági kategória az ambriszentán </w:t>
      </w:r>
      <w:r w:rsidR="00D848F2">
        <w:rPr>
          <w:szCs w:val="22"/>
          <w:lang w:val="hu-HU"/>
        </w:rPr>
        <w:t>nagyobb</w:t>
      </w:r>
      <w:r w:rsidRPr="00C60440">
        <w:rPr>
          <w:szCs w:val="22"/>
          <w:lang w:val="hu-HU"/>
        </w:rPr>
        <w:t xml:space="preserve"> </w:t>
      </w:r>
      <w:r w:rsidR="00D848F2">
        <w:rPr>
          <w:szCs w:val="22"/>
          <w:lang w:val="hu-HU"/>
        </w:rPr>
        <w:t>dózis</w:t>
      </w:r>
      <w:r w:rsidRPr="00C60440">
        <w:rPr>
          <w:szCs w:val="22"/>
          <w:lang w:val="hu-HU"/>
        </w:rPr>
        <w:t>ára vonatkozik. Az egyes gyakorisági kategóriákon belül a mellékhatások csökkenő súlyosság szerint kerülnek megadásra.</w:t>
      </w:r>
    </w:p>
    <w:p w14:paraId="5A8324A3" w14:textId="77777777" w:rsidR="00B91FDB" w:rsidRDefault="00B91FDB" w:rsidP="00B91FDB">
      <w:pPr>
        <w:spacing w:line="240" w:lineRule="auto"/>
        <w:rPr>
          <w:szCs w:val="22"/>
          <w:lang w:val="hu-HU"/>
        </w:rPr>
      </w:pPr>
    </w:p>
    <w:tbl>
      <w:tblPr>
        <w:tblStyle w:val="Rcsostblzat"/>
        <w:tblW w:w="0" w:type="auto"/>
        <w:tblLook w:val="04A0" w:firstRow="1" w:lastRow="0" w:firstColumn="1" w:lastColumn="0" w:noHBand="0" w:noVBand="1"/>
      </w:tblPr>
      <w:tblGrid>
        <w:gridCol w:w="3027"/>
        <w:gridCol w:w="2013"/>
        <w:gridCol w:w="4021"/>
      </w:tblGrid>
      <w:tr w:rsidR="00B91FDB" w14:paraId="5BAF61A8" w14:textId="77777777" w:rsidTr="00E176AF">
        <w:tc>
          <w:tcPr>
            <w:tcW w:w="3027" w:type="dxa"/>
          </w:tcPr>
          <w:p w14:paraId="74216C6F" w14:textId="77777777" w:rsidR="00B91FDB" w:rsidRPr="00732CF1" w:rsidRDefault="00B91FDB" w:rsidP="00E176AF">
            <w:pPr>
              <w:pStyle w:val="Szvegtrzs"/>
              <w:rPr>
                <w:bCs/>
                <w:i w:val="0"/>
                <w:iCs/>
              </w:rPr>
            </w:pPr>
            <w:r>
              <w:rPr>
                <w:bCs/>
                <w:i w:val="0"/>
                <w:iCs/>
              </w:rPr>
              <w:t>Szervrendszeri</w:t>
            </w:r>
            <w:r w:rsidRPr="00732CF1">
              <w:rPr>
                <w:bCs/>
                <w:i w:val="0"/>
                <w:iCs/>
              </w:rPr>
              <w:t xml:space="preserve"> </w:t>
            </w:r>
            <w:r>
              <w:rPr>
                <w:bCs/>
                <w:i w:val="0"/>
                <w:iCs/>
              </w:rPr>
              <w:t>kategória</w:t>
            </w:r>
          </w:p>
        </w:tc>
        <w:tc>
          <w:tcPr>
            <w:tcW w:w="2013" w:type="dxa"/>
          </w:tcPr>
          <w:p w14:paraId="4149DBC1" w14:textId="77777777" w:rsidR="00B91FDB" w:rsidRPr="00732CF1" w:rsidRDefault="00B91FDB" w:rsidP="00E176AF">
            <w:pPr>
              <w:pStyle w:val="Szvegtrzs"/>
              <w:rPr>
                <w:bCs/>
                <w:i w:val="0"/>
                <w:iCs/>
              </w:rPr>
            </w:pPr>
            <w:r>
              <w:rPr>
                <w:bCs/>
                <w:i w:val="0"/>
                <w:iCs/>
              </w:rPr>
              <w:t>Gyakoriság</w:t>
            </w:r>
            <w:r w:rsidRPr="00732CF1">
              <w:rPr>
                <w:bCs/>
                <w:i w:val="0"/>
                <w:iCs/>
              </w:rPr>
              <w:t xml:space="preserve"> </w:t>
            </w:r>
          </w:p>
        </w:tc>
        <w:tc>
          <w:tcPr>
            <w:tcW w:w="4021" w:type="dxa"/>
          </w:tcPr>
          <w:p w14:paraId="498057A6" w14:textId="77777777" w:rsidR="00B91FDB" w:rsidRPr="00732CF1" w:rsidRDefault="00B91FDB" w:rsidP="00E176AF">
            <w:pPr>
              <w:pStyle w:val="Szvegtrzs"/>
              <w:rPr>
                <w:bCs/>
                <w:i w:val="0"/>
                <w:iCs/>
              </w:rPr>
            </w:pPr>
            <w:r>
              <w:rPr>
                <w:bCs/>
                <w:i w:val="0"/>
                <w:iCs/>
              </w:rPr>
              <w:t>Mellékhatás(ok</w:t>
            </w:r>
            <w:r w:rsidRPr="00732CF1">
              <w:rPr>
                <w:bCs/>
                <w:i w:val="0"/>
                <w:iCs/>
              </w:rPr>
              <w:t>)</w:t>
            </w:r>
          </w:p>
        </w:tc>
      </w:tr>
      <w:tr w:rsidR="00B91FDB" w:rsidRPr="009C776D" w14:paraId="07C7339B" w14:textId="77777777" w:rsidTr="00E176AF">
        <w:tc>
          <w:tcPr>
            <w:tcW w:w="3027" w:type="dxa"/>
          </w:tcPr>
          <w:p w14:paraId="72424883" w14:textId="77777777" w:rsidR="00B91FDB" w:rsidRPr="00732CF1" w:rsidRDefault="00B91FDB" w:rsidP="00E176AF">
            <w:pPr>
              <w:pStyle w:val="Szvegtrzs"/>
              <w:rPr>
                <w:b w:val="0"/>
                <w:bCs/>
                <w:i w:val="0"/>
                <w:iCs/>
              </w:rPr>
            </w:pPr>
            <w:r w:rsidRPr="00732CF1">
              <w:rPr>
                <w:b w:val="0"/>
                <w:i w:val="0"/>
                <w:iCs/>
              </w:rPr>
              <w:t>Vérképzőszervi és nyirokrendszeri betegségek és tünetek</w:t>
            </w:r>
          </w:p>
        </w:tc>
        <w:tc>
          <w:tcPr>
            <w:tcW w:w="2013" w:type="dxa"/>
          </w:tcPr>
          <w:p w14:paraId="73E4CBAA" w14:textId="77777777" w:rsidR="00B91FDB" w:rsidRPr="00732CF1" w:rsidRDefault="00B91FDB" w:rsidP="00E176AF">
            <w:pPr>
              <w:pStyle w:val="Szvegtrzs"/>
              <w:rPr>
                <w:b w:val="0"/>
                <w:bCs/>
                <w:i w:val="0"/>
                <w:iCs/>
              </w:rPr>
            </w:pPr>
            <w:r>
              <w:rPr>
                <w:b w:val="0"/>
                <w:bCs/>
                <w:i w:val="0"/>
                <w:iCs/>
              </w:rPr>
              <w:t>Nagyon gyakori</w:t>
            </w:r>
          </w:p>
        </w:tc>
        <w:tc>
          <w:tcPr>
            <w:tcW w:w="4021" w:type="dxa"/>
          </w:tcPr>
          <w:p w14:paraId="2B661F30" w14:textId="6145E582" w:rsidR="00B91FDB" w:rsidRPr="00732CF1" w:rsidRDefault="00B91FDB" w:rsidP="00E176AF">
            <w:pPr>
              <w:pStyle w:val="Szvegtrzs"/>
              <w:rPr>
                <w:b w:val="0"/>
                <w:bCs/>
                <w:i w:val="0"/>
                <w:iCs/>
              </w:rPr>
            </w:pPr>
            <w:r w:rsidRPr="00732CF1">
              <w:rPr>
                <w:b w:val="0"/>
                <w:bCs/>
                <w:i w:val="0"/>
                <w:iCs/>
                <w:szCs w:val="22"/>
              </w:rPr>
              <w:t>Anaemia (csökkent hemoglobin</w:t>
            </w:r>
            <w:r>
              <w:rPr>
                <w:b w:val="0"/>
                <w:bCs/>
                <w:i w:val="0"/>
                <w:iCs/>
                <w:szCs w:val="22"/>
              </w:rPr>
              <w:t>koncentráció</w:t>
            </w:r>
            <w:r w:rsidRPr="00732CF1">
              <w:rPr>
                <w:b w:val="0"/>
                <w:bCs/>
                <w:i w:val="0"/>
                <w:iCs/>
                <w:szCs w:val="22"/>
              </w:rPr>
              <w:t>, csökkent hematokritérték)</w:t>
            </w:r>
            <w:r w:rsidRPr="00732CF1">
              <w:rPr>
                <w:b w:val="0"/>
                <w:bCs/>
                <w:i w:val="0"/>
                <w:iCs/>
                <w:vertAlign w:val="superscript"/>
              </w:rPr>
              <w:t>1</w:t>
            </w:r>
          </w:p>
        </w:tc>
      </w:tr>
      <w:tr w:rsidR="00B91FDB" w:rsidRPr="009C776D" w14:paraId="073E55F6" w14:textId="77777777" w:rsidTr="00E176AF">
        <w:tc>
          <w:tcPr>
            <w:tcW w:w="3027" w:type="dxa"/>
          </w:tcPr>
          <w:p w14:paraId="00137982" w14:textId="77777777" w:rsidR="00B91FDB" w:rsidRPr="00732CF1" w:rsidRDefault="00B91FDB" w:rsidP="00E176AF">
            <w:pPr>
              <w:pStyle w:val="Szvegtrzs"/>
              <w:rPr>
                <w:b w:val="0"/>
                <w:bCs/>
                <w:i w:val="0"/>
                <w:iCs/>
              </w:rPr>
            </w:pPr>
            <w:r w:rsidRPr="00732CF1">
              <w:rPr>
                <w:b w:val="0"/>
                <w:i w:val="0"/>
                <w:iCs/>
              </w:rPr>
              <w:t>Immunrendszeri betegségek és tünetek</w:t>
            </w:r>
          </w:p>
        </w:tc>
        <w:tc>
          <w:tcPr>
            <w:tcW w:w="2013" w:type="dxa"/>
          </w:tcPr>
          <w:p w14:paraId="06292C8C" w14:textId="77777777" w:rsidR="00B91FDB" w:rsidRPr="00732CF1" w:rsidRDefault="00B91FDB" w:rsidP="00E176AF">
            <w:pPr>
              <w:pStyle w:val="Szvegtrzs"/>
              <w:rPr>
                <w:b w:val="0"/>
                <w:bCs/>
                <w:i w:val="0"/>
                <w:iCs/>
              </w:rPr>
            </w:pPr>
            <w:r>
              <w:rPr>
                <w:b w:val="0"/>
                <w:bCs/>
                <w:i w:val="0"/>
                <w:iCs/>
              </w:rPr>
              <w:t>Gyakori</w:t>
            </w:r>
          </w:p>
        </w:tc>
        <w:tc>
          <w:tcPr>
            <w:tcW w:w="4021" w:type="dxa"/>
          </w:tcPr>
          <w:p w14:paraId="749EB2CD" w14:textId="77777777" w:rsidR="00B91FDB" w:rsidRPr="00732CF1" w:rsidRDefault="00B91FDB" w:rsidP="00E176AF">
            <w:pPr>
              <w:pStyle w:val="Szvegtrzs"/>
              <w:rPr>
                <w:b w:val="0"/>
                <w:bCs/>
                <w:i w:val="0"/>
                <w:iCs/>
              </w:rPr>
            </w:pPr>
            <w:r w:rsidRPr="00732CF1">
              <w:rPr>
                <w:b w:val="0"/>
                <w:bCs/>
                <w:i w:val="0"/>
                <w:iCs/>
                <w:szCs w:val="22"/>
              </w:rPr>
              <w:t>Túlérzékenységi reakciók (pl. angiooedema, bőrkiütés, pruritus)</w:t>
            </w:r>
          </w:p>
        </w:tc>
      </w:tr>
      <w:tr w:rsidR="00B91FDB" w:rsidRPr="009C776D" w14:paraId="48B5367B" w14:textId="77777777" w:rsidTr="00E176AF">
        <w:tc>
          <w:tcPr>
            <w:tcW w:w="3027" w:type="dxa"/>
          </w:tcPr>
          <w:p w14:paraId="7D74669A" w14:textId="77777777" w:rsidR="00B91FDB" w:rsidRPr="00732CF1" w:rsidRDefault="00B91FDB" w:rsidP="00E176AF">
            <w:pPr>
              <w:pStyle w:val="Szvegtrzs"/>
              <w:rPr>
                <w:b w:val="0"/>
                <w:bCs/>
                <w:i w:val="0"/>
                <w:iCs/>
              </w:rPr>
            </w:pPr>
            <w:r w:rsidRPr="00732CF1">
              <w:rPr>
                <w:b w:val="0"/>
                <w:i w:val="0"/>
                <w:iCs/>
              </w:rPr>
              <w:t>Idegrendszeri betegségek és tünetek</w:t>
            </w:r>
          </w:p>
        </w:tc>
        <w:tc>
          <w:tcPr>
            <w:tcW w:w="2013" w:type="dxa"/>
          </w:tcPr>
          <w:p w14:paraId="75911089" w14:textId="77777777" w:rsidR="00B91FDB" w:rsidRPr="00732CF1" w:rsidRDefault="00B91FDB" w:rsidP="00E176AF">
            <w:pPr>
              <w:pStyle w:val="Szvegtrzs"/>
              <w:rPr>
                <w:b w:val="0"/>
                <w:bCs/>
                <w:i w:val="0"/>
                <w:iCs/>
              </w:rPr>
            </w:pPr>
            <w:r>
              <w:rPr>
                <w:b w:val="0"/>
                <w:bCs/>
                <w:i w:val="0"/>
                <w:iCs/>
              </w:rPr>
              <w:t>Nagyon gyakori</w:t>
            </w:r>
          </w:p>
        </w:tc>
        <w:tc>
          <w:tcPr>
            <w:tcW w:w="4021" w:type="dxa"/>
          </w:tcPr>
          <w:p w14:paraId="59345BDE" w14:textId="77777777" w:rsidR="00B91FDB" w:rsidRPr="00732CF1" w:rsidRDefault="00B91FDB" w:rsidP="00E176AF">
            <w:pPr>
              <w:pStyle w:val="Szvegtrzs"/>
              <w:rPr>
                <w:b w:val="0"/>
                <w:bCs/>
                <w:i w:val="0"/>
                <w:iCs/>
              </w:rPr>
            </w:pPr>
            <w:r w:rsidRPr="00732CF1">
              <w:rPr>
                <w:b w:val="0"/>
                <w:bCs/>
                <w:i w:val="0"/>
                <w:iCs/>
                <w:szCs w:val="22"/>
              </w:rPr>
              <w:t>Fejfájás (beleértve a sinus eredetű fejfájást, migrént)</w:t>
            </w:r>
            <w:r w:rsidRPr="00732CF1">
              <w:rPr>
                <w:b w:val="0"/>
                <w:bCs/>
                <w:i w:val="0"/>
                <w:iCs/>
                <w:vertAlign w:val="superscript"/>
              </w:rPr>
              <w:t>2</w:t>
            </w:r>
            <w:r w:rsidRPr="00135973">
              <w:rPr>
                <w:b w:val="0"/>
                <w:bCs/>
                <w:i w:val="0"/>
                <w:iCs/>
              </w:rPr>
              <w:t>,</w:t>
            </w:r>
            <w:r>
              <w:rPr>
                <w:vertAlign w:val="superscript"/>
              </w:rPr>
              <w:t xml:space="preserve"> </w:t>
            </w:r>
            <w:r w:rsidRPr="00732CF1">
              <w:rPr>
                <w:b w:val="0"/>
                <w:bCs/>
                <w:i w:val="0"/>
                <w:iCs/>
              </w:rPr>
              <w:t>szédülés</w:t>
            </w:r>
          </w:p>
        </w:tc>
      </w:tr>
      <w:tr w:rsidR="00B91FDB" w14:paraId="231390E7" w14:textId="77777777" w:rsidTr="00E176AF">
        <w:tc>
          <w:tcPr>
            <w:tcW w:w="3027" w:type="dxa"/>
          </w:tcPr>
          <w:p w14:paraId="6AF7D690" w14:textId="77777777" w:rsidR="00B91FDB" w:rsidRPr="00732CF1" w:rsidRDefault="00B91FDB" w:rsidP="00E176AF">
            <w:pPr>
              <w:pStyle w:val="Szvegtrzs"/>
              <w:rPr>
                <w:b w:val="0"/>
                <w:bCs/>
                <w:i w:val="0"/>
                <w:iCs/>
              </w:rPr>
            </w:pPr>
            <w:r w:rsidRPr="00732CF1">
              <w:rPr>
                <w:b w:val="0"/>
                <w:i w:val="0"/>
                <w:iCs/>
              </w:rPr>
              <w:t>Szembetegségek és szemészeti tünetek</w:t>
            </w:r>
          </w:p>
        </w:tc>
        <w:tc>
          <w:tcPr>
            <w:tcW w:w="2013" w:type="dxa"/>
          </w:tcPr>
          <w:p w14:paraId="40EF2FE6" w14:textId="77777777" w:rsidR="00B91FDB" w:rsidRPr="00732CF1" w:rsidRDefault="00B91FDB" w:rsidP="00E176AF">
            <w:pPr>
              <w:pStyle w:val="Szvegtrzs"/>
              <w:rPr>
                <w:b w:val="0"/>
                <w:bCs/>
                <w:i w:val="0"/>
                <w:iCs/>
              </w:rPr>
            </w:pPr>
            <w:r>
              <w:rPr>
                <w:b w:val="0"/>
                <w:bCs/>
                <w:i w:val="0"/>
                <w:iCs/>
              </w:rPr>
              <w:t>Gyakori</w:t>
            </w:r>
          </w:p>
        </w:tc>
        <w:tc>
          <w:tcPr>
            <w:tcW w:w="4021" w:type="dxa"/>
          </w:tcPr>
          <w:p w14:paraId="330D5F73" w14:textId="77777777" w:rsidR="00B91FDB" w:rsidRPr="00732CF1" w:rsidRDefault="00B91FDB" w:rsidP="00E176AF">
            <w:pPr>
              <w:pStyle w:val="Szvegtrzs"/>
              <w:rPr>
                <w:b w:val="0"/>
                <w:bCs/>
                <w:i w:val="0"/>
                <w:iCs/>
              </w:rPr>
            </w:pPr>
            <w:r w:rsidRPr="00732CF1">
              <w:rPr>
                <w:b w:val="0"/>
                <w:bCs/>
                <w:i w:val="0"/>
                <w:iCs/>
                <w:szCs w:val="22"/>
              </w:rPr>
              <w:t>Homályos látás, látáskárosodás</w:t>
            </w:r>
          </w:p>
        </w:tc>
      </w:tr>
      <w:tr w:rsidR="00B91FDB" w14:paraId="2DC4D2C3" w14:textId="77777777" w:rsidTr="00E176AF">
        <w:tc>
          <w:tcPr>
            <w:tcW w:w="3027" w:type="dxa"/>
            <w:vMerge w:val="restart"/>
          </w:tcPr>
          <w:p w14:paraId="40AAA464" w14:textId="77777777" w:rsidR="00B91FDB" w:rsidRPr="00732CF1" w:rsidRDefault="00B91FDB" w:rsidP="00E176AF">
            <w:pPr>
              <w:pStyle w:val="Szvegtrzs"/>
              <w:rPr>
                <w:b w:val="0"/>
                <w:bCs/>
                <w:i w:val="0"/>
                <w:iCs/>
              </w:rPr>
            </w:pPr>
            <w:r w:rsidRPr="00732CF1">
              <w:rPr>
                <w:b w:val="0"/>
                <w:i w:val="0"/>
                <w:iCs/>
              </w:rPr>
              <w:t>A fül és az egyensúly-érzékelő szerv betegségei és tünetei</w:t>
            </w:r>
          </w:p>
        </w:tc>
        <w:tc>
          <w:tcPr>
            <w:tcW w:w="2013" w:type="dxa"/>
          </w:tcPr>
          <w:p w14:paraId="6D716C30" w14:textId="77777777" w:rsidR="00B91FDB" w:rsidRPr="00732CF1" w:rsidRDefault="00B91FDB" w:rsidP="00E176AF">
            <w:pPr>
              <w:pStyle w:val="Szvegtrzs"/>
              <w:rPr>
                <w:b w:val="0"/>
                <w:bCs/>
                <w:i w:val="0"/>
                <w:iCs/>
              </w:rPr>
            </w:pPr>
            <w:r>
              <w:rPr>
                <w:b w:val="0"/>
                <w:bCs/>
                <w:i w:val="0"/>
                <w:iCs/>
              </w:rPr>
              <w:t>Gyakori</w:t>
            </w:r>
          </w:p>
        </w:tc>
        <w:tc>
          <w:tcPr>
            <w:tcW w:w="4021" w:type="dxa"/>
          </w:tcPr>
          <w:p w14:paraId="335061CD" w14:textId="77777777" w:rsidR="00B91FDB" w:rsidRPr="00732CF1" w:rsidRDefault="00B91FDB" w:rsidP="00E176AF">
            <w:pPr>
              <w:pStyle w:val="Szvegtrzs"/>
              <w:rPr>
                <w:b w:val="0"/>
                <w:bCs/>
                <w:i w:val="0"/>
                <w:iCs/>
              </w:rPr>
            </w:pPr>
            <w:r w:rsidRPr="00732CF1">
              <w:rPr>
                <w:b w:val="0"/>
                <w:bCs/>
                <w:i w:val="0"/>
                <w:iCs/>
              </w:rPr>
              <w:t>Tinnitus</w:t>
            </w:r>
            <w:r w:rsidRPr="00732CF1">
              <w:rPr>
                <w:b w:val="0"/>
                <w:bCs/>
                <w:i w:val="0"/>
                <w:iCs/>
                <w:vertAlign w:val="superscript"/>
              </w:rPr>
              <w:t>3</w:t>
            </w:r>
          </w:p>
        </w:tc>
      </w:tr>
      <w:tr w:rsidR="00B91FDB" w14:paraId="705451DA" w14:textId="77777777" w:rsidTr="00E176AF">
        <w:tc>
          <w:tcPr>
            <w:tcW w:w="3027" w:type="dxa"/>
            <w:vMerge/>
          </w:tcPr>
          <w:p w14:paraId="72D63BC8" w14:textId="77777777" w:rsidR="00B91FDB" w:rsidRPr="00732CF1" w:rsidRDefault="00B91FDB" w:rsidP="00E176AF">
            <w:pPr>
              <w:pStyle w:val="Szvegtrzs"/>
              <w:rPr>
                <w:b w:val="0"/>
                <w:bCs/>
                <w:i w:val="0"/>
                <w:iCs/>
              </w:rPr>
            </w:pPr>
          </w:p>
        </w:tc>
        <w:tc>
          <w:tcPr>
            <w:tcW w:w="2013" w:type="dxa"/>
          </w:tcPr>
          <w:p w14:paraId="1FC069A9" w14:textId="77777777" w:rsidR="00B91FDB" w:rsidRPr="00732CF1" w:rsidRDefault="00B91FDB" w:rsidP="00E176AF">
            <w:pPr>
              <w:pStyle w:val="Szvegtrzs"/>
              <w:rPr>
                <w:b w:val="0"/>
                <w:bCs/>
                <w:i w:val="0"/>
                <w:iCs/>
              </w:rPr>
            </w:pPr>
            <w:r>
              <w:rPr>
                <w:b w:val="0"/>
                <w:bCs/>
                <w:i w:val="0"/>
                <w:iCs/>
              </w:rPr>
              <w:t>Nagyon gyakori</w:t>
            </w:r>
          </w:p>
        </w:tc>
        <w:tc>
          <w:tcPr>
            <w:tcW w:w="4021" w:type="dxa"/>
          </w:tcPr>
          <w:p w14:paraId="33A23191" w14:textId="77777777" w:rsidR="00B91FDB" w:rsidRPr="00732CF1" w:rsidRDefault="00B91FDB" w:rsidP="00E176AF">
            <w:pPr>
              <w:pStyle w:val="Szvegtrzs"/>
              <w:rPr>
                <w:b w:val="0"/>
                <w:bCs/>
                <w:i w:val="0"/>
                <w:iCs/>
              </w:rPr>
            </w:pPr>
            <w:r w:rsidRPr="00732CF1">
              <w:rPr>
                <w:b w:val="0"/>
                <w:bCs/>
                <w:i w:val="0"/>
                <w:iCs/>
                <w:szCs w:val="22"/>
              </w:rPr>
              <w:t>Hirtelen hallásvesztés</w:t>
            </w:r>
            <w:r w:rsidRPr="00732CF1">
              <w:rPr>
                <w:b w:val="0"/>
                <w:bCs/>
                <w:i w:val="0"/>
                <w:iCs/>
                <w:vertAlign w:val="superscript"/>
              </w:rPr>
              <w:t>3</w:t>
            </w:r>
          </w:p>
        </w:tc>
      </w:tr>
      <w:tr w:rsidR="00B91FDB" w14:paraId="1FED7D1B" w14:textId="77777777" w:rsidTr="00E176AF">
        <w:tc>
          <w:tcPr>
            <w:tcW w:w="3027" w:type="dxa"/>
            <w:vMerge w:val="restart"/>
          </w:tcPr>
          <w:p w14:paraId="6DD511A7" w14:textId="77777777" w:rsidR="00B91FDB" w:rsidRPr="00732CF1" w:rsidRDefault="00B91FDB" w:rsidP="00E176AF">
            <w:pPr>
              <w:pStyle w:val="Szvegtrzs"/>
              <w:rPr>
                <w:b w:val="0"/>
                <w:bCs/>
                <w:i w:val="0"/>
                <w:iCs/>
              </w:rPr>
            </w:pPr>
            <w:r w:rsidRPr="00732CF1">
              <w:rPr>
                <w:b w:val="0"/>
                <w:i w:val="0"/>
                <w:iCs/>
              </w:rPr>
              <w:t>Szívbetegségek és a szívvel kapcsolatos tünetek</w:t>
            </w:r>
          </w:p>
        </w:tc>
        <w:tc>
          <w:tcPr>
            <w:tcW w:w="2013" w:type="dxa"/>
          </w:tcPr>
          <w:p w14:paraId="22131E71" w14:textId="77777777" w:rsidR="00B91FDB" w:rsidRPr="00732CF1" w:rsidRDefault="00B91FDB" w:rsidP="00E176AF">
            <w:pPr>
              <w:pStyle w:val="Szvegtrzs"/>
              <w:rPr>
                <w:b w:val="0"/>
                <w:bCs/>
                <w:i w:val="0"/>
                <w:iCs/>
              </w:rPr>
            </w:pPr>
            <w:r>
              <w:rPr>
                <w:b w:val="0"/>
                <w:bCs/>
                <w:i w:val="0"/>
                <w:iCs/>
              </w:rPr>
              <w:t>Nagyon gyakori</w:t>
            </w:r>
          </w:p>
        </w:tc>
        <w:tc>
          <w:tcPr>
            <w:tcW w:w="4021" w:type="dxa"/>
          </w:tcPr>
          <w:p w14:paraId="5283A8BF" w14:textId="77777777" w:rsidR="00B91FDB" w:rsidRPr="00732CF1" w:rsidRDefault="00B91FDB" w:rsidP="00E176AF">
            <w:pPr>
              <w:pStyle w:val="Szvegtrzs"/>
              <w:rPr>
                <w:b w:val="0"/>
                <w:bCs/>
                <w:i w:val="0"/>
                <w:iCs/>
                <w:vertAlign w:val="superscript"/>
              </w:rPr>
            </w:pPr>
            <w:r>
              <w:rPr>
                <w:b w:val="0"/>
                <w:bCs/>
                <w:i w:val="0"/>
                <w:iCs/>
              </w:rPr>
              <w:t>Palpitatio</w:t>
            </w:r>
          </w:p>
        </w:tc>
      </w:tr>
      <w:tr w:rsidR="00B91FDB" w14:paraId="07F09F80" w14:textId="77777777" w:rsidTr="00E176AF">
        <w:tc>
          <w:tcPr>
            <w:tcW w:w="3027" w:type="dxa"/>
            <w:vMerge/>
          </w:tcPr>
          <w:p w14:paraId="74E546DA" w14:textId="77777777" w:rsidR="00B91FDB" w:rsidRPr="00732CF1" w:rsidRDefault="00B91FDB" w:rsidP="00E176AF">
            <w:pPr>
              <w:pStyle w:val="Szvegtrzs"/>
              <w:rPr>
                <w:b w:val="0"/>
                <w:bCs/>
                <w:i w:val="0"/>
                <w:iCs/>
              </w:rPr>
            </w:pPr>
          </w:p>
        </w:tc>
        <w:tc>
          <w:tcPr>
            <w:tcW w:w="2013" w:type="dxa"/>
          </w:tcPr>
          <w:p w14:paraId="1ADC156E" w14:textId="77777777" w:rsidR="00B91FDB" w:rsidRPr="00732CF1" w:rsidRDefault="00B91FDB" w:rsidP="00E176AF">
            <w:pPr>
              <w:pStyle w:val="Szvegtrzs"/>
              <w:rPr>
                <w:b w:val="0"/>
                <w:bCs/>
                <w:i w:val="0"/>
                <w:iCs/>
              </w:rPr>
            </w:pPr>
            <w:r>
              <w:rPr>
                <w:b w:val="0"/>
                <w:bCs/>
                <w:i w:val="0"/>
                <w:iCs/>
              </w:rPr>
              <w:t>Gyakori</w:t>
            </w:r>
          </w:p>
        </w:tc>
        <w:tc>
          <w:tcPr>
            <w:tcW w:w="4021" w:type="dxa"/>
          </w:tcPr>
          <w:p w14:paraId="082ED6BC" w14:textId="77777777" w:rsidR="00B91FDB" w:rsidRPr="00732CF1" w:rsidRDefault="00B91FDB" w:rsidP="00E176AF">
            <w:pPr>
              <w:pStyle w:val="Szvegtrzs"/>
              <w:rPr>
                <w:b w:val="0"/>
                <w:bCs/>
                <w:i w:val="0"/>
                <w:iCs/>
                <w:vertAlign w:val="superscript"/>
              </w:rPr>
            </w:pPr>
            <w:r>
              <w:rPr>
                <w:b w:val="0"/>
                <w:bCs/>
                <w:i w:val="0"/>
                <w:iCs/>
              </w:rPr>
              <w:t>Szívelégtelenség</w:t>
            </w:r>
            <w:r>
              <w:rPr>
                <w:b w:val="0"/>
                <w:bCs/>
                <w:i w:val="0"/>
                <w:iCs/>
                <w:vertAlign w:val="superscript"/>
              </w:rPr>
              <w:t>4</w:t>
            </w:r>
          </w:p>
        </w:tc>
      </w:tr>
      <w:tr w:rsidR="00B91FDB" w14:paraId="2F7320D6" w14:textId="77777777" w:rsidTr="00E176AF">
        <w:tc>
          <w:tcPr>
            <w:tcW w:w="3027" w:type="dxa"/>
            <w:vMerge w:val="restart"/>
          </w:tcPr>
          <w:p w14:paraId="3523A3A1" w14:textId="77777777" w:rsidR="00B91FDB" w:rsidRPr="002276D4" w:rsidRDefault="00B91FDB" w:rsidP="00E176AF">
            <w:pPr>
              <w:pStyle w:val="Szvegtrzs"/>
              <w:rPr>
                <w:b w:val="0"/>
                <w:bCs/>
                <w:i w:val="0"/>
                <w:iCs/>
              </w:rPr>
            </w:pPr>
            <w:r>
              <w:rPr>
                <w:b w:val="0"/>
                <w:bCs/>
                <w:i w:val="0"/>
                <w:iCs/>
              </w:rPr>
              <w:t>Érbetegség és tünetek</w:t>
            </w:r>
          </w:p>
        </w:tc>
        <w:tc>
          <w:tcPr>
            <w:tcW w:w="2013" w:type="dxa"/>
          </w:tcPr>
          <w:p w14:paraId="33491ED2" w14:textId="77777777" w:rsidR="00B91FDB" w:rsidRDefault="00B91FDB" w:rsidP="00E176AF">
            <w:pPr>
              <w:pStyle w:val="Szvegtrzs"/>
              <w:rPr>
                <w:b w:val="0"/>
                <w:bCs/>
                <w:i w:val="0"/>
                <w:iCs/>
              </w:rPr>
            </w:pPr>
            <w:r>
              <w:rPr>
                <w:b w:val="0"/>
                <w:bCs/>
                <w:i w:val="0"/>
                <w:iCs/>
              </w:rPr>
              <w:t>Nagyon gyakori</w:t>
            </w:r>
          </w:p>
        </w:tc>
        <w:tc>
          <w:tcPr>
            <w:tcW w:w="4021" w:type="dxa"/>
          </w:tcPr>
          <w:p w14:paraId="17303522" w14:textId="77777777" w:rsidR="00B91FDB" w:rsidRPr="002276D4" w:rsidRDefault="00B91FDB" w:rsidP="00E176AF">
            <w:pPr>
              <w:pStyle w:val="Szvegtrzs"/>
              <w:rPr>
                <w:b w:val="0"/>
                <w:bCs/>
                <w:i w:val="0"/>
                <w:iCs/>
              </w:rPr>
            </w:pPr>
            <w:r>
              <w:rPr>
                <w:b w:val="0"/>
                <w:bCs/>
                <w:i w:val="0"/>
                <w:iCs/>
              </w:rPr>
              <w:t>Bőrpír</w:t>
            </w:r>
            <w:r>
              <w:rPr>
                <w:b w:val="0"/>
                <w:bCs/>
                <w:i w:val="0"/>
                <w:iCs/>
                <w:vertAlign w:val="superscript"/>
              </w:rPr>
              <w:t>5</w:t>
            </w:r>
          </w:p>
        </w:tc>
      </w:tr>
      <w:tr w:rsidR="00B91FDB" w14:paraId="75ABB34B" w14:textId="77777777" w:rsidTr="00E176AF">
        <w:tc>
          <w:tcPr>
            <w:tcW w:w="3027" w:type="dxa"/>
            <w:vMerge/>
          </w:tcPr>
          <w:p w14:paraId="6EBF7028" w14:textId="77777777" w:rsidR="00B91FDB" w:rsidRDefault="00B91FDB" w:rsidP="00E176AF">
            <w:pPr>
              <w:pStyle w:val="Szvegtrzs"/>
              <w:rPr>
                <w:b w:val="0"/>
                <w:bCs/>
                <w:i w:val="0"/>
                <w:iCs/>
              </w:rPr>
            </w:pPr>
          </w:p>
        </w:tc>
        <w:tc>
          <w:tcPr>
            <w:tcW w:w="2013" w:type="dxa"/>
          </w:tcPr>
          <w:p w14:paraId="413E9422" w14:textId="77777777" w:rsidR="00B91FDB" w:rsidRDefault="00B91FDB" w:rsidP="00E176AF">
            <w:pPr>
              <w:pStyle w:val="Szvegtrzs"/>
              <w:rPr>
                <w:b w:val="0"/>
                <w:bCs/>
                <w:i w:val="0"/>
                <w:iCs/>
              </w:rPr>
            </w:pPr>
            <w:r>
              <w:rPr>
                <w:b w:val="0"/>
                <w:bCs/>
                <w:i w:val="0"/>
                <w:iCs/>
              </w:rPr>
              <w:t>Gyakori</w:t>
            </w:r>
          </w:p>
        </w:tc>
        <w:tc>
          <w:tcPr>
            <w:tcW w:w="4021" w:type="dxa"/>
          </w:tcPr>
          <w:p w14:paraId="18C5C1E2" w14:textId="77777777" w:rsidR="00B91FDB" w:rsidRPr="002276D4" w:rsidRDefault="00B91FDB" w:rsidP="00E176AF">
            <w:pPr>
              <w:pStyle w:val="Szvegtrzs"/>
              <w:rPr>
                <w:b w:val="0"/>
                <w:bCs/>
                <w:i w:val="0"/>
                <w:iCs/>
              </w:rPr>
            </w:pPr>
            <w:r w:rsidRPr="00CC559B">
              <w:rPr>
                <w:b w:val="0"/>
                <w:bCs/>
                <w:i w:val="0"/>
                <w:iCs/>
              </w:rPr>
              <w:t xml:space="preserve">Hypotensio, </w:t>
            </w:r>
            <w:r>
              <w:rPr>
                <w:b w:val="0"/>
                <w:bCs/>
                <w:i w:val="0"/>
                <w:iCs/>
              </w:rPr>
              <w:t>ájulás</w:t>
            </w:r>
          </w:p>
        </w:tc>
      </w:tr>
      <w:tr w:rsidR="00B91FDB" w:rsidRPr="009C776D" w14:paraId="5116CBAA" w14:textId="77777777" w:rsidTr="00E176AF">
        <w:tc>
          <w:tcPr>
            <w:tcW w:w="3027" w:type="dxa"/>
            <w:vMerge w:val="restart"/>
          </w:tcPr>
          <w:p w14:paraId="570A4D4A" w14:textId="77777777" w:rsidR="00B91FDB" w:rsidRPr="00732CF1" w:rsidRDefault="00B91FDB" w:rsidP="00E176AF">
            <w:pPr>
              <w:pStyle w:val="Szvegtrzs"/>
              <w:rPr>
                <w:b w:val="0"/>
                <w:bCs/>
                <w:i w:val="0"/>
                <w:iCs/>
              </w:rPr>
            </w:pPr>
            <w:r w:rsidRPr="00732CF1">
              <w:rPr>
                <w:b w:val="0"/>
                <w:i w:val="0"/>
                <w:iCs/>
              </w:rPr>
              <w:lastRenderedPageBreak/>
              <w:t>Légzőrendszeri, mellkasi és mediastinalis betegségek és tünetek</w:t>
            </w:r>
          </w:p>
        </w:tc>
        <w:tc>
          <w:tcPr>
            <w:tcW w:w="2013" w:type="dxa"/>
          </w:tcPr>
          <w:p w14:paraId="4143F244" w14:textId="77777777" w:rsidR="00B91FDB" w:rsidRPr="00732CF1" w:rsidRDefault="00B91FDB" w:rsidP="00E176AF">
            <w:pPr>
              <w:pStyle w:val="Szvegtrzs"/>
              <w:rPr>
                <w:b w:val="0"/>
                <w:bCs/>
                <w:i w:val="0"/>
                <w:iCs/>
              </w:rPr>
            </w:pPr>
            <w:r>
              <w:rPr>
                <w:b w:val="0"/>
                <w:bCs/>
                <w:i w:val="0"/>
                <w:iCs/>
              </w:rPr>
              <w:t>Nagyon gyakori</w:t>
            </w:r>
          </w:p>
        </w:tc>
        <w:tc>
          <w:tcPr>
            <w:tcW w:w="4021" w:type="dxa"/>
          </w:tcPr>
          <w:p w14:paraId="66B1E122" w14:textId="457B93E1" w:rsidR="00B91FDB" w:rsidRPr="00732CF1" w:rsidRDefault="00B91FDB" w:rsidP="00E176AF">
            <w:pPr>
              <w:pStyle w:val="Szvegtrzs"/>
              <w:rPr>
                <w:b w:val="0"/>
                <w:bCs/>
                <w:i w:val="0"/>
                <w:iCs/>
              </w:rPr>
            </w:pPr>
            <w:r w:rsidRPr="00732CF1">
              <w:rPr>
                <w:b w:val="0"/>
                <w:bCs/>
                <w:i w:val="0"/>
                <w:iCs/>
              </w:rPr>
              <w:t>Dyspnoe</w:t>
            </w:r>
            <w:r w:rsidRPr="00732CF1">
              <w:rPr>
                <w:b w:val="0"/>
                <w:bCs/>
                <w:i w:val="0"/>
                <w:iCs/>
                <w:vertAlign w:val="superscript"/>
              </w:rPr>
              <w:t>6</w:t>
            </w:r>
            <w:r w:rsidRPr="00732CF1">
              <w:rPr>
                <w:b w:val="0"/>
                <w:bCs/>
                <w:i w:val="0"/>
                <w:iCs/>
              </w:rPr>
              <w:t xml:space="preserve">, </w:t>
            </w:r>
            <w:r>
              <w:rPr>
                <w:b w:val="0"/>
                <w:bCs/>
                <w:i w:val="0"/>
                <w:iCs/>
              </w:rPr>
              <w:t>f</w:t>
            </w:r>
            <w:r w:rsidRPr="00732CF1">
              <w:rPr>
                <w:b w:val="0"/>
                <w:bCs/>
                <w:i w:val="0"/>
                <w:iCs/>
                <w:szCs w:val="22"/>
              </w:rPr>
              <w:t xml:space="preserve">első légúti (pl. nasalis, sinus) </w:t>
            </w:r>
            <w:r>
              <w:rPr>
                <w:b w:val="0"/>
                <w:bCs/>
                <w:i w:val="0"/>
                <w:iCs/>
                <w:szCs w:val="22"/>
              </w:rPr>
              <w:t>nyálkahártya</w:t>
            </w:r>
            <w:r w:rsidR="00C7652A">
              <w:rPr>
                <w:b w:val="0"/>
                <w:bCs/>
                <w:i w:val="0"/>
                <w:iCs/>
                <w:szCs w:val="22"/>
              </w:rPr>
              <w:t>-</w:t>
            </w:r>
            <w:r>
              <w:rPr>
                <w:b w:val="0"/>
                <w:bCs/>
                <w:i w:val="0"/>
                <w:iCs/>
                <w:szCs w:val="22"/>
              </w:rPr>
              <w:t>duzzanat</w:t>
            </w:r>
            <w:r w:rsidRPr="001C3F46">
              <w:rPr>
                <w:b w:val="0"/>
                <w:bCs/>
                <w:i w:val="0"/>
                <w:iCs/>
                <w:vertAlign w:val="superscript"/>
              </w:rPr>
              <w:t>7</w:t>
            </w:r>
            <w:r w:rsidRPr="00732CF1">
              <w:rPr>
                <w:b w:val="0"/>
                <w:bCs/>
                <w:i w:val="0"/>
                <w:iCs/>
                <w:szCs w:val="22"/>
              </w:rPr>
              <w:t xml:space="preserve">, </w:t>
            </w:r>
            <w:r w:rsidRPr="00732CF1">
              <w:rPr>
                <w:b w:val="0"/>
                <w:bCs/>
                <w:i w:val="0"/>
                <w:iCs/>
              </w:rPr>
              <w:t>nasopharyngitis</w:t>
            </w:r>
            <w:r w:rsidRPr="00732CF1">
              <w:rPr>
                <w:b w:val="0"/>
                <w:bCs/>
                <w:i w:val="0"/>
                <w:iCs/>
                <w:vertAlign w:val="superscript"/>
              </w:rPr>
              <w:t>7</w:t>
            </w:r>
          </w:p>
        </w:tc>
      </w:tr>
      <w:tr w:rsidR="00B91FDB" w14:paraId="61B89CCA" w14:textId="77777777" w:rsidTr="00E176AF">
        <w:tc>
          <w:tcPr>
            <w:tcW w:w="3027" w:type="dxa"/>
            <w:vMerge/>
          </w:tcPr>
          <w:p w14:paraId="72900B53" w14:textId="77777777" w:rsidR="00B91FDB" w:rsidRPr="00732CF1" w:rsidRDefault="00B91FDB" w:rsidP="00E176AF">
            <w:pPr>
              <w:pStyle w:val="Szvegtrzs"/>
              <w:rPr>
                <w:b w:val="0"/>
                <w:bCs/>
                <w:i w:val="0"/>
                <w:iCs/>
              </w:rPr>
            </w:pPr>
          </w:p>
        </w:tc>
        <w:tc>
          <w:tcPr>
            <w:tcW w:w="2013" w:type="dxa"/>
          </w:tcPr>
          <w:p w14:paraId="1B0F75CD" w14:textId="77777777" w:rsidR="00B91FDB" w:rsidRPr="00732CF1" w:rsidRDefault="00B91FDB" w:rsidP="00E176AF">
            <w:pPr>
              <w:pStyle w:val="Szvegtrzs"/>
              <w:rPr>
                <w:b w:val="0"/>
                <w:bCs/>
                <w:i w:val="0"/>
                <w:iCs/>
              </w:rPr>
            </w:pPr>
            <w:r>
              <w:rPr>
                <w:b w:val="0"/>
                <w:bCs/>
                <w:i w:val="0"/>
                <w:iCs/>
              </w:rPr>
              <w:t>Gyakori</w:t>
            </w:r>
          </w:p>
        </w:tc>
        <w:tc>
          <w:tcPr>
            <w:tcW w:w="4021" w:type="dxa"/>
          </w:tcPr>
          <w:p w14:paraId="3B26FCAF" w14:textId="77777777" w:rsidR="00B91FDB" w:rsidRPr="00732CF1" w:rsidRDefault="00B91FDB" w:rsidP="00E176AF">
            <w:pPr>
              <w:pStyle w:val="Szvegtrzs"/>
              <w:rPr>
                <w:b w:val="0"/>
                <w:bCs/>
                <w:i w:val="0"/>
                <w:iCs/>
              </w:rPr>
            </w:pPr>
            <w:r>
              <w:rPr>
                <w:b w:val="0"/>
                <w:bCs/>
                <w:i w:val="0"/>
                <w:iCs/>
              </w:rPr>
              <w:t>Orrvérzés</w:t>
            </w:r>
            <w:r w:rsidRPr="00732CF1">
              <w:rPr>
                <w:b w:val="0"/>
                <w:bCs/>
                <w:i w:val="0"/>
                <w:iCs/>
              </w:rPr>
              <w:t>, rhinitis</w:t>
            </w:r>
            <w:r w:rsidRPr="00732CF1">
              <w:rPr>
                <w:b w:val="0"/>
                <w:bCs/>
                <w:i w:val="0"/>
                <w:iCs/>
                <w:vertAlign w:val="superscript"/>
              </w:rPr>
              <w:t>7</w:t>
            </w:r>
            <w:r w:rsidRPr="00732CF1">
              <w:rPr>
                <w:b w:val="0"/>
                <w:bCs/>
                <w:i w:val="0"/>
                <w:iCs/>
              </w:rPr>
              <w:t>, sinusitis</w:t>
            </w:r>
            <w:r w:rsidRPr="00732CF1">
              <w:rPr>
                <w:b w:val="0"/>
                <w:bCs/>
                <w:i w:val="0"/>
                <w:iCs/>
                <w:vertAlign w:val="superscript"/>
              </w:rPr>
              <w:t>7</w:t>
            </w:r>
          </w:p>
        </w:tc>
      </w:tr>
      <w:tr w:rsidR="00B91FDB" w14:paraId="5A74BF53" w14:textId="77777777" w:rsidTr="00E176AF">
        <w:tc>
          <w:tcPr>
            <w:tcW w:w="3027" w:type="dxa"/>
            <w:vMerge w:val="restart"/>
          </w:tcPr>
          <w:p w14:paraId="0263DBB6" w14:textId="77777777" w:rsidR="00B91FDB" w:rsidRPr="00732CF1" w:rsidRDefault="00B91FDB" w:rsidP="00E176AF">
            <w:pPr>
              <w:pStyle w:val="Szvegtrzs"/>
              <w:rPr>
                <w:b w:val="0"/>
                <w:bCs/>
                <w:i w:val="0"/>
                <w:iCs/>
              </w:rPr>
            </w:pPr>
            <w:r w:rsidRPr="00732CF1">
              <w:rPr>
                <w:b w:val="0"/>
                <w:i w:val="0"/>
                <w:iCs/>
              </w:rPr>
              <w:t>Emésztőrendszeri betegségek és tünetek</w:t>
            </w:r>
          </w:p>
        </w:tc>
        <w:tc>
          <w:tcPr>
            <w:tcW w:w="2013" w:type="dxa"/>
          </w:tcPr>
          <w:p w14:paraId="4BF07EED" w14:textId="77777777" w:rsidR="00B91FDB" w:rsidRPr="00732CF1" w:rsidRDefault="00B91FDB" w:rsidP="00E176AF">
            <w:pPr>
              <w:pStyle w:val="Szvegtrzs"/>
              <w:rPr>
                <w:b w:val="0"/>
                <w:bCs/>
                <w:i w:val="0"/>
                <w:iCs/>
              </w:rPr>
            </w:pPr>
            <w:r>
              <w:rPr>
                <w:b w:val="0"/>
                <w:bCs/>
                <w:i w:val="0"/>
                <w:iCs/>
              </w:rPr>
              <w:t>Nagyon gyakori</w:t>
            </w:r>
          </w:p>
        </w:tc>
        <w:tc>
          <w:tcPr>
            <w:tcW w:w="4021" w:type="dxa"/>
          </w:tcPr>
          <w:p w14:paraId="64423193" w14:textId="77777777" w:rsidR="00B91FDB" w:rsidRPr="00732CF1" w:rsidRDefault="00B91FDB" w:rsidP="00E176AF">
            <w:pPr>
              <w:pStyle w:val="Szvegtrzs"/>
              <w:rPr>
                <w:b w:val="0"/>
                <w:bCs/>
                <w:i w:val="0"/>
                <w:iCs/>
              </w:rPr>
            </w:pPr>
            <w:r>
              <w:rPr>
                <w:b w:val="0"/>
                <w:bCs/>
                <w:i w:val="0"/>
                <w:iCs/>
              </w:rPr>
              <w:t>Émelygés</w:t>
            </w:r>
            <w:r w:rsidRPr="00732CF1">
              <w:rPr>
                <w:b w:val="0"/>
                <w:bCs/>
                <w:i w:val="0"/>
                <w:iCs/>
              </w:rPr>
              <w:t xml:space="preserve">, </w:t>
            </w:r>
            <w:r>
              <w:rPr>
                <w:b w:val="0"/>
                <w:bCs/>
                <w:i w:val="0"/>
                <w:iCs/>
              </w:rPr>
              <w:t>hasmenés</w:t>
            </w:r>
            <w:r w:rsidRPr="00732CF1">
              <w:rPr>
                <w:b w:val="0"/>
                <w:bCs/>
                <w:i w:val="0"/>
                <w:iCs/>
              </w:rPr>
              <w:t xml:space="preserve">, </w:t>
            </w:r>
            <w:r>
              <w:rPr>
                <w:b w:val="0"/>
                <w:bCs/>
                <w:i w:val="0"/>
                <w:iCs/>
              </w:rPr>
              <w:t>hányás</w:t>
            </w:r>
            <w:r w:rsidRPr="00732CF1">
              <w:rPr>
                <w:b w:val="0"/>
                <w:bCs/>
                <w:i w:val="0"/>
                <w:iCs/>
                <w:vertAlign w:val="superscript"/>
              </w:rPr>
              <w:t>5</w:t>
            </w:r>
          </w:p>
        </w:tc>
      </w:tr>
      <w:tr w:rsidR="00B91FDB" w14:paraId="09B15173" w14:textId="77777777" w:rsidTr="00E176AF">
        <w:tc>
          <w:tcPr>
            <w:tcW w:w="3027" w:type="dxa"/>
            <w:vMerge/>
          </w:tcPr>
          <w:p w14:paraId="4BDCB4B5" w14:textId="77777777" w:rsidR="00B91FDB" w:rsidRPr="00732CF1" w:rsidRDefault="00B91FDB" w:rsidP="00E176AF">
            <w:pPr>
              <w:pStyle w:val="Szvegtrzs"/>
              <w:rPr>
                <w:b w:val="0"/>
                <w:bCs/>
                <w:i w:val="0"/>
                <w:iCs/>
              </w:rPr>
            </w:pPr>
          </w:p>
        </w:tc>
        <w:tc>
          <w:tcPr>
            <w:tcW w:w="2013" w:type="dxa"/>
          </w:tcPr>
          <w:p w14:paraId="6D0D709F" w14:textId="77777777" w:rsidR="00B91FDB" w:rsidRPr="00732CF1" w:rsidRDefault="00B91FDB" w:rsidP="00E176AF">
            <w:pPr>
              <w:pStyle w:val="Szvegtrzs"/>
              <w:rPr>
                <w:b w:val="0"/>
                <w:bCs/>
                <w:i w:val="0"/>
                <w:iCs/>
              </w:rPr>
            </w:pPr>
            <w:r>
              <w:rPr>
                <w:b w:val="0"/>
                <w:bCs/>
                <w:i w:val="0"/>
                <w:iCs/>
              </w:rPr>
              <w:t>Gyakori</w:t>
            </w:r>
          </w:p>
        </w:tc>
        <w:tc>
          <w:tcPr>
            <w:tcW w:w="4021" w:type="dxa"/>
          </w:tcPr>
          <w:p w14:paraId="37A6810B" w14:textId="77777777" w:rsidR="00B91FDB" w:rsidRPr="00732CF1" w:rsidRDefault="00B91FDB" w:rsidP="00E176AF">
            <w:pPr>
              <w:pStyle w:val="Szvegtrzs"/>
              <w:rPr>
                <w:b w:val="0"/>
                <w:bCs/>
                <w:i w:val="0"/>
                <w:iCs/>
              </w:rPr>
            </w:pPr>
            <w:r w:rsidRPr="00732CF1">
              <w:rPr>
                <w:b w:val="0"/>
                <w:bCs/>
                <w:i w:val="0"/>
                <w:iCs/>
                <w:szCs w:val="22"/>
              </w:rPr>
              <w:t>Hasi</w:t>
            </w:r>
            <w:r w:rsidRPr="00C60440">
              <w:rPr>
                <w:szCs w:val="22"/>
              </w:rPr>
              <w:t xml:space="preserve"> </w:t>
            </w:r>
            <w:r w:rsidRPr="00732CF1">
              <w:rPr>
                <w:b w:val="0"/>
                <w:bCs/>
                <w:i w:val="0"/>
                <w:iCs/>
                <w:szCs w:val="22"/>
              </w:rPr>
              <w:t>fájdalom</w:t>
            </w:r>
            <w:r w:rsidRPr="00732CF1">
              <w:rPr>
                <w:b w:val="0"/>
                <w:bCs/>
                <w:i w:val="0"/>
                <w:iCs/>
              </w:rPr>
              <w:t xml:space="preserve">, </w:t>
            </w:r>
            <w:r>
              <w:rPr>
                <w:b w:val="0"/>
                <w:bCs/>
                <w:i w:val="0"/>
                <w:iCs/>
              </w:rPr>
              <w:t>székrekedés</w:t>
            </w:r>
          </w:p>
        </w:tc>
      </w:tr>
      <w:tr w:rsidR="00B91FDB" w14:paraId="0CBE3332" w14:textId="77777777" w:rsidTr="00E176AF">
        <w:tc>
          <w:tcPr>
            <w:tcW w:w="3027" w:type="dxa"/>
            <w:vMerge w:val="restart"/>
          </w:tcPr>
          <w:p w14:paraId="728E6312" w14:textId="77777777" w:rsidR="00B91FDB" w:rsidRPr="00732CF1" w:rsidRDefault="00B91FDB" w:rsidP="00E176AF">
            <w:pPr>
              <w:pStyle w:val="Szvegtrzs"/>
              <w:rPr>
                <w:b w:val="0"/>
                <w:bCs/>
                <w:i w:val="0"/>
                <w:iCs/>
              </w:rPr>
            </w:pPr>
            <w:r w:rsidRPr="00732CF1">
              <w:rPr>
                <w:b w:val="0"/>
                <w:i w:val="0"/>
                <w:iCs/>
              </w:rPr>
              <w:t>Máj- és epebetegségek, illetve tünetek</w:t>
            </w:r>
          </w:p>
        </w:tc>
        <w:tc>
          <w:tcPr>
            <w:tcW w:w="2013" w:type="dxa"/>
          </w:tcPr>
          <w:p w14:paraId="5B7B8F84" w14:textId="77777777" w:rsidR="00B91FDB" w:rsidRPr="00732CF1" w:rsidRDefault="00B91FDB" w:rsidP="00E176AF">
            <w:pPr>
              <w:pStyle w:val="Szvegtrzs"/>
              <w:rPr>
                <w:b w:val="0"/>
                <w:bCs/>
                <w:i w:val="0"/>
                <w:iCs/>
              </w:rPr>
            </w:pPr>
            <w:r>
              <w:rPr>
                <w:b w:val="0"/>
                <w:bCs/>
                <w:i w:val="0"/>
                <w:iCs/>
              </w:rPr>
              <w:t>Gyakori</w:t>
            </w:r>
          </w:p>
        </w:tc>
        <w:tc>
          <w:tcPr>
            <w:tcW w:w="4021" w:type="dxa"/>
          </w:tcPr>
          <w:p w14:paraId="2E3D9D09" w14:textId="4D7E3764" w:rsidR="00B91FDB" w:rsidRPr="00732CF1" w:rsidRDefault="00B91FDB" w:rsidP="00A70F6F">
            <w:pPr>
              <w:pStyle w:val="Szvegtrzs"/>
              <w:rPr>
                <w:b w:val="0"/>
                <w:bCs/>
                <w:i w:val="0"/>
                <w:iCs/>
              </w:rPr>
            </w:pPr>
            <w:r>
              <w:rPr>
                <w:b w:val="0"/>
                <w:bCs/>
                <w:i w:val="0"/>
                <w:iCs/>
              </w:rPr>
              <w:t xml:space="preserve">Emelkedett </w:t>
            </w:r>
            <w:r w:rsidR="00A70F6F">
              <w:rPr>
                <w:b w:val="0"/>
                <w:bCs/>
                <w:i w:val="0"/>
                <w:iCs/>
              </w:rPr>
              <w:t>máj-</w:t>
            </w:r>
            <w:r>
              <w:rPr>
                <w:b w:val="0"/>
                <w:bCs/>
                <w:i w:val="0"/>
                <w:iCs/>
              </w:rPr>
              <w:t>transzaminázszintek</w:t>
            </w:r>
          </w:p>
        </w:tc>
      </w:tr>
      <w:tr w:rsidR="00B91FDB" w:rsidRPr="009C776D" w14:paraId="2E944877" w14:textId="77777777" w:rsidTr="00E176AF">
        <w:tc>
          <w:tcPr>
            <w:tcW w:w="3027" w:type="dxa"/>
            <w:vMerge/>
          </w:tcPr>
          <w:p w14:paraId="77BEBF3B" w14:textId="77777777" w:rsidR="00B91FDB" w:rsidRPr="00732CF1" w:rsidRDefault="00B91FDB" w:rsidP="00E176AF">
            <w:pPr>
              <w:pStyle w:val="Szvegtrzs"/>
              <w:rPr>
                <w:b w:val="0"/>
                <w:bCs/>
                <w:i w:val="0"/>
                <w:iCs/>
              </w:rPr>
            </w:pPr>
          </w:p>
        </w:tc>
        <w:tc>
          <w:tcPr>
            <w:tcW w:w="2013" w:type="dxa"/>
          </w:tcPr>
          <w:p w14:paraId="6BBB31DE" w14:textId="06F8CE34" w:rsidR="00B91FDB" w:rsidRPr="00732CF1" w:rsidRDefault="00B91FDB" w:rsidP="00E176AF">
            <w:pPr>
              <w:pStyle w:val="Szvegtrzs"/>
              <w:rPr>
                <w:b w:val="0"/>
                <w:bCs/>
                <w:i w:val="0"/>
                <w:iCs/>
              </w:rPr>
            </w:pPr>
            <w:r>
              <w:rPr>
                <w:b w:val="0"/>
                <w:bCs/>
                <w:i w:val="0"/>
                <w:iCs/>
              </w:rPr>
              <w:t>N</w:t>
            </w:r>
            <w:r w:rsidR="00A613CA">
              <w:rPr>
                <w:b w:val="0"/>
                <w:bCs/>
                <w:i w:val="0"/>
                <w:iCs/>
              </w:rPr>
              <w:t>em</w:t>
            </w:r>
            <w:r>
              <w:rPr>
                <w:b w:val="0"/>
                <w:bCs/>
                <w:i w:val="0"/>
                <w:iCs/>
              </w:rPr>
              <w:t xml:space="preserve"> gyakori</w:t>
            </w:r>
          </w:p>
        </w:tc>
        <w:tc>
          <w:tcPr>
            <w:tcW w:w="4021" w:type="dxa"/>
          </w:tcPr>
          <w:p w14:paraId="0775002C" w14:textId="28B8ECFD" w:rsidR="00B91FDB" w:rsidRPr="00732CF1" w:rsidRDefault="00B91FDB" w:rsidP="00E176AF">
            <w:pPr>
              <w:pStyle w:val="Szvegtrzs"/>
              <w:rPr>
                <w:b w:val="0"/>
                <w:bCs/>
                <w:i w:val="0"/>
                <w:iCs/>
              </w:rPr>
            </w:pPr>
            <w:r>
              <w:rPr>
                <w:b w:val="0"/>
                <w:bCs/>
                <w:i w:val="0"/>
                <w:iCs/>
              </w:rPr>
              <w:t>Májkárosodás</w:t>
            </w:r>
            <w:r w:rsidRPr="00732CF1">
              <w:rPr>
                <w:b w:val="0"/>
                <w:bCs/>
                <w:i w:val="0"/>
                <w:iCs/>
              </w:rPr>
              <w:t xml:space="preserve"> (</w:t>
            </w:r>
            <w:r>
              <w:rPr>
                <w:b w:val="0"/>
                <w:bCs/>
                <w:i w:val="0"/>
                <w:iCs/>
              </w:rPr>
              <w:t>lásd 4.4 pont</w:t>
            </w:r>
            <w:r w:rsidRPr="00732CF1">
              <w:rPr>
                <w:b w:val="0"/>
                <w:bCs/>
                <w:i w:val="0"/>
                <w:iCs/>
              </w:rPr>
              <w:t>), autoimmun hepatitis (</w:t>
            </w:r>
            <w:r>
              <w:rPr>
                <w:b w:val="0"/>
                <w:bCs/>
                <w:i w:val="0"/>
                <w:iCs/>
              </w:rPr>
              <w:t>lásd 4.4 pont</w:t>
            </w:r>
            <w:r w:rsidRPr="00732CF1">
              <w:rPr>
                <w:b w:val="0"/>
                <w:bCs/>
                <w:i w:val="0"/>
                <w:iCs/>
              </w:rPr>
              <w:t>)</w:t>
            </w:r>
          </w:p>
        </w:tc>
      </w:tr>
      <w:tr w:rsidR="00B91FDB" w14:paraId="0260BD47" w14:textId="77777777" w:rsidTr="00E176AF">
        <w:tc>
          <w:tcPr>
            <w:tcW w:w="3027" w:type="dxa"/>
          </w:tcPr>
          <w:p w14:paraId="09ACC4B7" w14:textId="77777777" w:rsidR="00B91FDB" w:rsidRPr="00732CF1" w:rsidRDefault="00B91FDB" w:rsidP="00E176AF">
            <w:pPr>
              <w:pStyle w:val="Szvegtrzs"/>
              <w:rPr>
                <w:b w:val="0"/>
                <w:bCs/>
                <w:i w:val="0"/>
                <w:iCs/>
              </w:rPr>
            </w:pPr>
            <w:r w:rsidRPr="00732CF1">
              <w:rPr>
                <w:b w:val="0"/>
                <w:i w:val="0"/>
                <w:iCs/>
              </w:rPr>
              <w:t>A bőr és a bőr alatti szövet betegségei és tünetei</w:t>
            </w:r>
          </w:p>
        </w:tc>
        <w:tc>
          <w:tcPr>
            <w:tcW w:w="2013" w:type="dxa"/>
          </w:tcPr>
          <w:p w14:paraId="44035EE5" w14:textId="77777777" w:rsidR="00B91FDB" w:rsidRPr="00732CF1" w:rsidRDefault="00B91FDB" w:rsidP="00E176AF">
            <w:pPr>
              <w:pStyle w:val="Szvegtrzs"/>
              <w:rPr>
                <w:b w:val="0"/>
                <w:bCs/>
                <w:i w:val="0"/>
                <w:iCs/>
              </w:rPr>
            </w:pPr>
            <w:r>
              <w:rPr>
                <w:b w:val="0"/>
                <w:bCs/>
                <w:i w:val="0"/>
                <w:iCs/>
              </w:rPr>
              <w:t>Gyakori</w:t>
            </w:r>
          </w:p>
        </w:tc>
        <w:tc>
          <w:tcPr>
            <w:tcW w:w="4021" w:type="dxa"/>
          </w:tcPr>
          <w:p w14:paraId="505C5CCB" w14:textId="77777777" w:rsidR="00B91FDB" w:rsidRPr="00732CF1" w:rsidRDefault="00B91FDB" w:rsidP="00E176AF">
            <w:pPr>
              <w:pStyle w:val="Szvegtrzs"/>
              <w:rPr>
                <w:b w:val="0"/>
                <w:bCs/>
                <w:i w:val="0"/>
                <w:iCs/>
              </w:rPr>
            </w:pPr>
            <w:r>
              <w:rPr>
                <w:b w:val="0"/>
                <w:bCs/>
                <w:i w:val="0"/>
                <w:iCs/>
              </w:rPr>
              <w:t>Bőrkiütés</w:t>
            </w:r>
            <w:r w:rsidRPr="00732CF1">
              <w:rPr>
                <w:b w:val="0"/>
                <w:bCs/>
                <w:i w:val="0"/>
                <w:iCs/>
                <w:vertAlign w:val="superscript"/>
              </w:rPr>
              <w:t>8</w:t>
            </w:r>
          </w:p>
        </w:tc>
      </w:tr>
      <w:tr w:rsidR="00B91FDB" w:rsidRPr="009C776D" w14:paraId="13EE5A06" w14:textId="77777777" w:rsidTr="00E176AF">
        <w:tc>
          <w:tcPr>
            <w:tcW w:w="3027" w:type="dxa"/>
            <w:vMerge w:val="restart"/>
          </w:tcPr>
          <w:p w14:paraId="544A04FD" w14:textId="77777777" w:rsidR="00B91FDB" w:rsidRPr="00732CF1" w:rsidRDefault="00B91FDB" w:rsidP="00E176AF">
            <w:pPr>
              <w:pStyle w:val="Szvegtrzs"/>
              <w:rPr>
                <w:b w:val="0"/>
                <w:bCs/>
                <w:i w:val="0"/>
                <w:iCs/>
              </w:rPr>
            </w:pPr>
            <w:r w:rsidRPr="00732CF1">
              <w:rPr>
                <w:b w:val="0"/>
                <w:i w:val="0"/>
                <w:iCs/>
              </w:rPr>
              <w:t>Általános tünetek, az alkalmazás helyén fellépő reakciók</w:t>
            </w:r>
          </w:p>
        </w:tc>
        <w:tc>
          <w:tcPr>
            <w:tcW w:w="2013" w:type="dxa"/>
          </w:tcPr>
          <w:p w14:paraId="36AE4098" w14:textId="77777777" w:rsidR="00B91FDB" w:rsidRPr="00732CF1" w:rsidRDefault="00B91FDB" w:rsidP="00E176AF">
            <w:pPr>
              <w:pStyle w:val="Szvegtrzs"/>
              <w:rPr>
                <w:b w:val="0"/>
                <w:bCs/>
                <w:i w:val="0"/>
                <w:iCs/>
              </w:rPr>
            </w:pPr>
            <w:r>
              <w:rPr>
                <w:b w:val="0"/>
                <w:bCs/>
                <w:i w:val="0"/>
                <w:iCs/>
              </w:rPr>
              <w:t>Nagyon gyakori</w:t>
            </w:r>
          </w:p>
        </w:tc>
        <w:tc>
          <w:tcPr>
            <w:tcW w:w="4021" w:type="dxa"/>
          </w:tcPr>
          <w:p w14:paraId="55F0DA2A" w14:textId="77777777" w:rsidR="00B91FDB" w:rsidRPr="00732CF1" w:rsidRDefault="00B91FDB" w:rsidP="00E176AF">
            <w:pPr>
              <w:pStyle w:val="Szvegtrzs"/>
              <w:rPr>
                <w:b w:val="0"/>
                <w:bCs/>
                <w:i w:val="0"/>
                <w:iCs/>
              </w:rPr>
            </w:pPr>
            <w:r w:rsidRPr="00732CF1">
              <w:rPr>
                <w:b w:val="0"/>
                <w:bCs/>
                <w:i w:val="0"/>
                <w:iCs/>
              </w:rPr>
              <w:t>Peri</w:t>
            </w:r>
            <w:r>
              <w:rPr>
                <w:b w:val="0"/>
                <w:bCs/>
                <w:i w:val="0"/>
                <w:iCs/>
              </w:rPr>
              <w:t>fériás</w:t>
            </w:r>
            <w:r w:rsidRPr="00732CF1">
              <w:rPr>
                <w:b w:val="0"/>
                <w:bCs/>
                <w:i w:val="0"/>
                <w:iCs/>
              </w:rPr>
              <w:t xml:space="preserve"> </w:t>
            </w:r>
            <w:r>
              <w:rPr>
                <w:b w:val="0"/>
                <w:bCs/>
                <w:i w:val="0"/>
                <w:iCs/>
              </w:rPr>
              <w:t>oedema</w:t>
            </w:r>
            <w:r w:rsidRPr="00732CF1">
              <w:rPr>
                <w:b w:val="0"/>
                <w:bCs/>
                <w:i w:val="0"/>
                <w:iCs/>
              </w:rPr>
              <w:t xml:space="preserve">, </w:t>
            </w:r>
            <w:r>
              <w:rPr>
                <w:b w:val="0"/>
                <w:bCs/>
                <w:i w:val="0"/>
                <w:iCs/>
              </w:rPr>
              <w:t>folyadékretenció</w:t>
            </w:r>
            <w:r w:rsidRPr="00732CF1">
              <w:rPr>
                <w:b w:val="0"/>
                <w:bCs/>
                <w:i w:val="0"/>
                <w:iCs/>
              </w:rPr>
              <w:t xml:space="preserve">, </w:t>
            </w:r>
            <w:r>
              <w:rPr>
                <w:b w:val="0"/>
                <w:bCs/>
                <w:i w:val="0"/>
                <w:iCs/>
              </w:rPr>
              <w:t>mellkasi fájdalom</w:t>
            </w:r>
            <w:r w:rsidRPr="00732CF1">
              <w:rPr>
                <w:b w:val="0"/>
                <w:bCs/>
                <w:i w:val="0"/>
                <w:iCs/>
              </w:rPr>
              <w:t>/dis</w:t>
            </w:r>
            <w:r>
              <w:rPr>
                <w:b w:val="0"/>
                <w:bCs/>
                <w:i w:val="0"/>
                <w:iCs/>
              </w:rPr>
              <w:t>zk</w:t>
            </w:r>
            <w:r w:rsidRPr="00732CF1">
              <w:rPr>
                <w:b w:val="0"/>
                <w:bCs/>
                <w:i w:val="0"/>
                <w:iCs/>
              </w:rPr>
              <w:t>omfort</w:t>
            </w:r>
            <w:r>
              <w:rPr>
                <w:b w:val="0"/>
                <w:bCs/>
                <w:i w:val="0"/>
                <w:iCs/>
              </w:rPr>
              <w:t>érzés</w:t>
            </w:r>
            <w:r w:rsidRPr="00732CF1">
              <w:rPr>
                <w:b w:val="0"/>
                <w:bCs/>
                <w:i w:val="0"/>
                <w:iCs/>
                <w:vertAlign w:val="superscript"/>
              </w:rPr>
              <w:t>5</w:t>
            </w:r>
            <w:r w:rsidRPr="00732CF1">
              <w:rPr>
                <w:b w:val="0"/>
                <w:bCs/>
                <w:i w:val="0"/>
                <w:iCs/>
              </w:rPr>
              <w:t xml:space="preserve">, </w:t>
            </w:r>
            <w:r>
              <w:rPr>
                <w:b w:val="0"/>
                <w:bCs/>
                <w:i w:val="0"/>
                <w:iCs/>
              </w:rPr>
              <w:t>fáradtság</w:t>
            </w:r>
          </w:p>
        </w:tc>
      </w:tr>
      <w:tr w:rsidR="00B91FDB" w14:paraId="15154880" w14:textId="77777777" w:rsidTr="00E176AF">
        <w:tc>
          <w:tcPr>
            <w:tcW w:w="3027" w:type="dxa"/>
            <w:vMerge/>
          </w:tcPr>
          <w:p w14:paraId="3A0046B6" w14:textId="77777777" w:rsidR="00B91FDB" w:rsidRPr="00732CF1" w:rsidRDefault="00B91FDB" w:rsidP="00E176AF">
            <w:pPr>
              <w:pStyle w:val="Szvegtrzs"/>
              <w:rPr>
                <w:b w:val="0"/>
                <w:bCs/>
                <w:i w:val="0"/>
                <w:iCs/>
              </w:rPr>
            </w:pPr>
          </w:p>
        </w:tc>
        <w:tc>
          <w:tcPr>
            <w:tcW w:w="2013" w:type="dxa"/>
          </w:tcPr>
          <w:p w14:paraId="37A5863D" w14:textId="77777777" w:rsidR="00B91FDB" w:rsidRPr="00732CF1" w:rsidRDefault="00B91FDB" w:rsidP="00E176AF">
            <w:pPr>
              <w:pStyle w:val="Szvegtrzs"/>
              <w:rPr>
                <w:b w:val="0"/>
                <w:bCs/>
                <w:i w:val="0"/>
                <w:iCs/>
              </w:rPr>
            </w:pPr>
            <w:r>
              <w:rPr>
                <w:b w:val="0"/>
                <w:bCs/>
                <w:i w:val="0"/>
                <w:iCs/>
              </w:rPr>
              <w:t>Gyakori</w:t>
            </w:r>
          </w:p>
        </w:tc>
        <w:tc>
          <w:tcPr>
            <w:tcW w:w="4021" w:type="dxa"/>
          </w:tcPr>
          <w:p w14:paraId="641BAEFF" w14:textId="77777777" w:rsidR="00B91FDB" w:rsidRPr="00732CF1" w:rsidRDefault="00B91FDB" w:rsidP="00E176AF">
            <w:pPr>
              <w:pStyle w:val="Szvegtrzs"/>
              <w:rPr>
                <w:b w:val="0"/>
                <w:bCs/>
                <w:i w:val="0"/>
                <w:iCs/>
              </w:rPr>
            </w:pPr>
            <w:r w:rsidRPr="00732CF1">
              <w:rPr>
                <w:b w:val="0"/>
                <w:bCs/>
                <w:i w:val="0"/>
                <w:iCs/>
              </w:rPr>
              <w:t>Asthenia</w:t>
            </w:r>
          </w:p>
        </w:tc>
      </w:tr>
    </w:tbl>
    <w:p w14:paraId="5861ED35" w14:textId="2822756E" w:rsidR="00FF2B65" w:rsidRPr="000769C2" w:rsidRDefault="004E55C8" w:rsidP="000769C2">
      <w:pPr>
        <w:pStyle w:val="Default"/>
        <w:ind w:left="142" w:hanging="142"/>
        <w:rPr>
          <w:sz w:val="16"/>
          <w:szCs w:val="16"/>
          <w:lang w:val="hu-HU"/>
        </w:rPr>
      </w:pPr>
      <w:r w:rsidRPr="000769C2">
        <w:rPr>
          <w:sz w:val="16"/>
          <w:szCs w:val="16"/>
          <w:vertAlign w:val="superscript"/>
          <w:lang w:val="hu-HU"/>
        </w:rPr>
        <w:t xml:space="preserve">1 </w:t>
      </w:r>
      <w:r w:rsidR="00FF2B65" w:rsidRPr="000769C2">
        <w:rPr>
          <w:sz w:val="16"/>
          <w:szCs w:val="16"/>
          <w:lang w:val="hu-HU"/>
        </w:rPr>
        <w:t>Lásd a „</w:t>
      </w:r>
      <w:r w:rsidR="00A613CA">
        <w:rPr>
          <w:i/>
          <w:iCs/>
          <w:sz w:val="16"/>
          <w:szCs w:val="16"/>
          <w:lang w:val="hu-HU"/>
        </w:rPr>
        <w:t>Kiválasztott</w:t>
      </w:r>
      <w:r w:rsidR="00A613CA" w:rsidRPr="000769C2">
        <w:rPr>
          <w:i/>
          <w:iCs/>
          <w:sz w:val="16"/>
          <w:szCs w:val="16"/>
          <w:lang w:val="hu-HU"/>
        </w:rPr>
        <w:t xml:space="preserve"> </w:t>
      </w:r>
      <w:r w:rsidR="00FF2B65" w:rsidRPr="000769C2">
        <w:rPr>
          <w:i/>
          <w:iCs/>
          <w:sz w:val="16"/>
          <w:szCs w:val="16"/>
          <w:lang w:val="hu-HU"/>
        </w:rPr>
        <w:t>mellékhatások ismertetése</w:t>
      </w:r>
      <w:r w:rsidR="00FF2B65" w:rsidRPr="000769C2">
        <w:rPr>
          <w:sz w:val="16"/>
          <w:szCs w:val="16"/>
          <w:lang w:val="hu-HU"/>
        </w:rPr>
        <w:t>” részt.</w:t>
      </w:r>
    </w:p>
    <w:p w14:paraId="3FD5EAB0" w14:textId="69DD9E64" w:rsidR="00FF2B65" w:rsidRPr="000769C2" w:rsidRDefault="00FF2B65" w:rsidP="000769C2">
      <w:pPr>
        <w:pStyle w:val="Default"/>
        <w:ind w:left="142" w:hanging="142"/>
        <w:rPr>
          <w:sz w:val="16"/>
          <w:szCs w:val="16"/>
          <w:lang w:val="hu-HU"/>
        </w:rPr>
      </w:pPr>
      <w:r w:rsidRPr="000769C2">
        <w:rPr>
          <w:sz w:val="16"/>
          <w:szCs w:val="16"/>
          <w:vertAlign w:val="superscript"/>
          <w:lang w:val="hu-HU"/>
        </w:rPr>
        <w:t>2</w:t>
      </w:r>
      <w:r w:rsidR="004E55C8" w:rsidRPr="000769C2">
        <w:rPr>
          <w:sz w:val="16"/>
          <w:szCs w:val="16"/>
          <w:vertAlign w:val="superscript"/>
          <w:lang w:val="hu-HU"/>
        </w:rPr>
        <w:t xml:space="preserve"> </w:t>
      </w:r>
      <w:r w:rsidRPr="000769C2">
        <w:rPr>
          <w:sz w:val="16"/>
          <w:szCs w:val="16"/>
          <w:lang w:val="hu-HU"/>
        </w:rPr>
        <w:t>A fejfájás gyakorisága nagyobb volt 10</w:t>
      </w:r>
      <w:r w:rsidR="004E55C8" w:rsidRPr="000769C2">
        <w:rPr>
          <w:sz w:val="16"/>
          <w:szCs w:val="16"/>
          <w:lang w:val="hu-HU"/>
        </w:rPr>
        <w:t> </w:t>
      </w:r>
      <w:r w:rsidRPr="000769C2">
        <w:rPr>
          <w:sz w:val="16"/>
          <w:szCs w:val="16"/>
          <w:lang w:val="hu-HU"/>
        </w:rPr>
        <w:t>mg ambriszentán alkalmazása esetén.</w:t>
      </w:r>
    </w:p>
    <w:p w14:paraId="0C993303" w14:textId="4CFFD779" w:rsidR="00FF2B65" w:rsidRPr="000769C2" w:rsidRDefault="00FF2B65" w:rsidP="000769C2">
      <w:pPr>
        <w:pStyle w:val="Default"/>
        <w:ind w:left="142" w:hanging="142"/>
        <w:rPr>
          <w:sz w:val="16"/>
          <w:szCs w:val="16"/>
          <w:lang w:val="hu-HU"/>
        </w:rPr>
      </w:pPr>
      <w:r w:rsidRPr="000769C2">
        <w:rPr>
          <w:sz w:val="16"/>
          <w:szCs w:val="16"/>
          <w:vertAlign w:val="superscript"/>
          <w:lang w:val="hu-HU"/>
        </w:rPr>
        <w:t>3</w:t>
      </w:r>
      <w:r w:rsidR="004E55C8" w:rsidRPr="000769C2">
        <w:rPr>
          <w:sz w:val="16"/>
          <w:szCs w:val="16"/>
          <w:vertAlign w:val="superscript"/>
          <w:lang w:val="hu-HU"/>
        </w:rPr>
        <w:t xml:space="preserve"> </w:t>
      </w:r>
      <w:r w:rsidR="00A613CA">
        <w:rPr>
          <w:sz w:val="16"/>
          <w:szCs w:val="16"/>
          <w:lang w:val="hu-HU"/>
        </w:rPr>
        <w:t>Az</w:t>
      </w:r>
      <w:r w:rsidR="00A613CA" w:rsidRPr="007F5CF3">
        <w:rPr>
          <w:sz w:val="16"/>
          <w:szCs w:val="16"/>
          <w:lang w:val="hu-HU"/>
        </w:rPr>
        <w:t xml:space="preserve"> eseteket csak az ambriszentán és a tadalafil kombinációval végzett placebokontrollos klinikai vizsgálat</w:t>
      </w:r>
      <w:r w:rsidR="00A613CA">
        <w:rPr>
          <w:sz w:val="16"/>
          <w:szCs w:val="16"/>
          <w:lang w:val="hu-HU"/>
        </w:rPr>
        <w:t>ok során</w:t>
      </w:r>
      <w:r w:rsidR="00A613CA" w:rsidRPr="007F5CF3">
        <w:rPr>
          <w:sz w:val="16"/>
          <w:szCs w:val="16"/>
          <w:lang w:val="hu-HU"/>
        </w:rPr>
        <w:t xml:space="preserve"> figyelt</w:t>
      </w:r>
      <w:r w:rsidR="00A613CA">
        <w:rPr>
          <w:sz w:val="16"/>
          <w:szCs w:val="16"/>
          <w:lang w:val="hu-HU"/>
        </w:rPr>
        <w:t>é</w:t>
      </w:r>
      <w:r w:rsidR="00A613CA" w:rsidRPr="007F5CF3">
        <w:rPr>
          <w:sz w:val="16"/>
          <w:szCs w:val="16"/>
          <w:lang w:val="hu-HU"/>
        </w:rPr>
        <w:t>k meg.</w:t>
      </w:r>
    </w:p>
    <w:p w14:paraId="6C46C218" w14:textId="0DFA26FC" w:rsidR="00FF2B65" w:rsidRPr="000769C2" w:rsidRDefault="00FF2B65" w:rsidP="000769C2">
      <w:pPr>
        <w:pStyle w:val="Default"/>
        <w:ind w:left="142" w:hanging="142"/>
        <w:rPr>
          <w:sz w:val="16"/>
          <w:szCs w:val="16"/>
          <w:lang w:val="hu-HU"/>
        </w:rPr>
      </w:pPr>
      <w:r w:rsidRPr="000769C2">
        <w:rPr>
          <w:sz w:val="16"/>
          <w:szCs w:val="16"/>
          <w:vertAlign w:val="superscript"/>
          <w:lang w:val="hu-HU"/>
        </w:rPr>
        <w:t>4</w:t>
      </w:r>
      <w:r w:rsidRPr="000769C2">
        <w:rPr>
          <w:sz w:val="16"/>
          <w:szCs w:val="16"/>
          <w:lang w:val="hu-HU"/>
        </w:rPr>
        <w:t xml:space="preserve"> </w:t>
      </w:r>
      <w:r w:rsidR="00A613CA" w:rsidRPr="007F5CF3">
        <w:rPr>
          <w:sz w:val="16"/>
          <w:szCs w:val="16"/>
          <w:lang w:val="hu-HU"/>
        </w:rPr>
        <w:t>A jelentett szívelégtelenség esetek többségéhez folyadékretenció is társult.</w:t>
      </w:r>
    </w:p>
    <w:p w14:paraId="719101E9" w14:textId="7BA2676D" w:rsidR="00FF2B65" w:rsidRPr="000769C2" w:rsidRDefault="00FF2B65" w:rsidP="000769C2">
      <w:pPr>
        <w:pStyle w:val="Default"/>
        <w:ind w:left="142" w:hanging="142"/>
        <w:rPr>
          <w:sz w:val="16"/>
          <w:szCs w:val="16"/>
          <w:lang w:val="hu-HU"/>
        </w:rPr>
      </w:pPr>
      <w:r w:rsidRPr="000769C2">
        <w:rPr>
          <w:sz w:val="16"/>
          <w:szCs w:val="16"/>
          <w:vertAlign w:val="superscript"/>
          <w:lang w:val="hu-HU"/>
        </w:rPr>
        <w:t>5</w:t>
      </w:r>
      <w:r w:rsidR="00A613CA">
        <w:rPr>
          <w:sz w:val="16"/>
          <w:szCs w:val="16"/>
          <w:vertAlign w:val="superscript"/>
          <w:lang w:val="hu-HU"/>
        </w:rPr>
        <w:t xml:space="preserve"> </w:t>
      </w:r>
      <w:r w:rsidR="00A613CA" w:rsidRPr="007F5CF3">
        <w:rPr>
          <w:sz w:val="16"/>
          <w:szCs w:val="16"/>
          <w:lang w:val="hu-HU"/>
        </w:rPr>
        <w:t xml:space="preserve">Ezeket a gyakoriságokat az ambriszentán </w:t>
      </w:r>
      <w:r w:rsidR="00A613CA">
        <w:rPr>
          <w:sz w:val="16"/>
          <w:szCs w:val="16"/>
          <w:lang w:val="hu-HU"/>
        </w:rPr>
        <w:t>plusz</w:t>
      </w:r>
      <w:r w:rsidR="00A613CA" w:rsidRPr="007F5CF3">
        <w:rPr>
          <w:sz w:val="16"/>
          <w:szCs w:val="16"/>
          <w:lang w:val="hu-HU"/>
        </w:rPr>
        <w:t xml:space="preserve"> tadalafil kombinációval végzett placebokontrollos klinikai vizsgálat</w:t>
      </w:r>
      <w:r w:rsidR="00A613CA">
        <w:rPr>
          <w:sz w:val="16"/>
          <w:szCs w:val="16"/>
          <w:lang w:val="hu-HU"/>
        </w:rPr>
        <w:t>ok során</w:t>
      </w:r>
      <w:r w:rsidR="00A613CA" w:rsidRPr="007F5CF3">
        <w:rPr>
          <w:sz w:val="16"/>
          <w:szCs w:val="16"/>
          <w:lang w:val="hu-HU"/>
        </w:rPr>
        <w:t xml:space="preserve"> figyelték meg. Ambriszentán</w:t>
      </w:r>
      <w:r w:rsidR="00A613CA">
        <w:rPr>
          <w:sz w:val="16"/>
          <w:szCs w:val="16"/>
          <w:lang w:val="hu-HU"/>
        </w:rPr>
        <w:t>-</w:t>
      </w:r>
      <w:r w:rsidR="00A613CA" w:rsidRPr="007F5CF3">
        <w:rPr>
          <w:sz w:val="16"/>
          <w:szCs w:val="16"/>
          <w:lang w:val="hu-HU"/>
        </w:rPr>
        <w:t xml:space="preserve">monoterápia </w:t>
      </w:r>
      <w:r w:rsidR="00A613CA">
        <w:rPr>
          <w:sz w:val="16"/>
          <w:szCs w:val="16"/>
          <w:lang w:val="hu-HU"/>
        </w:rPr>
        <w:t>során</w:t>
      </w:r>
      <w:r w:rsidR="00A613CA" w:rsidRPr="007F5CF3">
        <w:rPr>
          <w:sz w:val="16"/>
          <w:szCs w:val="16"/>
          <w:lang w:val="hu-HU"/>
        </w:rPr>
        <w:t xml:space="preserve"> alacsonyabb incidenciát figyeltek meg.</w:t>
      </w:r>
    </w:p>
    <w:p w14:paraId="630336C3" w14:textId="07FF88D0" w:rsidR="00FF2B65" w:rsidRPr="000769C2" w:rsidRDefault="00FF2B65" w:rsidP="000769C2">
      <w:pPr>
        <w:pStyle w:val="Default"/>
        <w:ind w:left="142" w:hanging="142"/>
        <w:rPr>
          <w:sz w:val="16"/>
          <w:szCs w:val="16"/>
          <w:lang w:val="hu-HU"/>
        </w:rPr>
      </w:pPr>
      <w:r w:rsidRPr="000769C2">
        <w:rPr>
          <w:sz w:val="16"/>
          <w:szCs w:val="16"/>
          <w:vertAlign w:val="superscript"/>
          <w:lang w:val="hu-HU"/>
        </w:rPr>
        <w:t>6</w:t>
      </w:r>
      <w:r w:rsidRPr="000769C2">
        <w:rPr>
          <w:sz w:val="16"/>
          <w:szCs w:val="16"/>
          <w:lang w:val="hu-HU"/>
        </w:rPr>
        <w:t xml:space="preserve"> Tisztázatlan etiológiájú, romló dyspnoe eseteket jelentettek röviddel az ambriszentán</w:t>
      </w:r>
      <w:r w:rsidR="004E55C8" w:rsidRPr="000769C2">
        <w:rPr>
          <w:sz w:val="16"/>
          <w:szCs w:val="16"/>
          <w:lang w:val="hu-HU"/>
        </w:rPr>
        <w:noBreakHyphen/>
      </w:r>
      <w:r w:rsidRPr="000769C2">
        <w:rPr>
          <w:sz w:val="16"/>
          <w:szCs w:val="16"/>
          <w:lang w:val="hu-HU"/>
        </w:rPr>
        <w:t>kezelés megkezdését követően.</w:t>
      </w:r>
    </w:p>
    <w:p w14:paraId="0D58BF12" w14:textId="55451EE8" w:rsidR="00FF2B65" w:rsidRPr="000769C2" w:rsidRDefault="00FF2B65" w:rsidP="000769C2">
      <w:pPr>
        <w:pStyle w:val="Default"/>
        <w:ind w:left="142" w:hanging="142"/>
        <w:rPr>
          <w:sz w:val="16"/>
          <w:szCs w:val="16"/>
          <w:lang w:val="hu-HU"/>
        </w:rPr>
      </w:pPr>
      <w:r w:rsidRPr="000769C2">
        <w:rPr>
          <w:sz w:val="16"/>
          <w:szCs w:val="16"/>
          <w:vertAlign w:val="superscript"/>
          <w:lang w:val="hu-HU"/>
        </w:rPr>
        <w:t>7</w:t>
      </w:r>
      <w:r w:rsidR="004E55C8" w:rsidRPr="000769C2">
        <w:rPr>
          <w:sz w:val="16"/>
          <w:szCs w:val="16"/>
          <w:vertAlign w:val="superscript"/>
          <w:lang w:val="hu-HU"/>
        </w:rPr>
        <w:t xml:space="preserve"> </w:t>
      </w:r>
      <w:r w:rsidRPr="000769C2">
        <w:rPr>
          <w:sz w:val="16"/>
          <w:szCs w:val="16"/>
          <w:lang w:val="hu-HU"/>
        </w:rPr>
        <w:t>Az orrdugulás előfordulási gyakorisága dózisfüggőnek bizonyult az ambriszentán</w:t>
      </w:r>
      <w:r w:rsidR="004E55C8" w:rsidRPr="000769C2">
        <w:rPr>
          <w:sz w:val="16"/>
          <w:szCs w:val="16"/>
          <w:lang w:val="hu-HU"/>
        </w:rPr>
        <w:noBreakHyphen/>
      </w:r>
      <w:r w:rsidRPr="000769C2">
        <w:rPr>
          <w:sz w:val="16"/>
          <w:szCs w:val="16"/>
          <w:lang w:val="hu-HU"/>
        </w:rPr>
        <w:t>kezelés során.</w:t>
      </w:r>
    </w:p>
    <w:p w14:paraId="37892680" w14:textId="6ADD1F0D" w:rsidR="00FF2B65" w:rsidRPr="000769C2" w:rsidRDefault="00FF2B65" w:rsidP="000769C2">
      <w:pPr>
        <w:pStyle w:val="Default"/>
        <w:ind w:left="142" w:hanging="142"/>
        <w:rPr>
          <w:sz w:val="16"/>
          <w:szCs w:val="16"/>
          <w:lang w:val="hu-HU"/>
        </w:rPr>
      </w:pPr>
      <w:r w:rsidRPr="000769C2">
        <w:rPr>
          <w:sz w:val="16"/>
          <w:szCs w:val="16"/>
          <w:vertAlign w:val="superscript"/>
          <w:lang w:val="hu-HU"/>
        </w:rPr>
        <w:t>8</w:t>
      </w:r>
      <w:r w:rsidR="004E55C8" w:rsidRPr="000769C2">
        <w:rPr>
          <w:sz w:val="16"/>
          <w:szCs w:val="16"/>
          <w:vertAlign w:val="superscript"/>
          <w:lang w:val="hu-HU"/>
        </w:rPr>
        <w:t xml:space="preserve"> </w:t>
      </w:r>
      <w:r w:rsidRPr="000769C2">
        <w:rPr>
          <w:sz w:val="16"/>
          <w:szCs w:val="16"/>
          <w:lang w:val="hu-HU"/>
        </w:rPr>
        <w:t>A bőrkiütés magában foglalja az erythemás bőrkiütést, a generalizált bőrkiütést, valamint a papulás és a viszkető bőrkiütést is.</w:t>
      </w:r>
    </w:p>
    <w:p w14:paraId="3D815D03" w14:textId="77777777" w:rsidR="004E55C8" w:rsidRPr="00C60440" w:rsidRDefault="004E55C8" w:rsidP="00FF2B65">
      <w:pPr>
        <w:pStyle w:val="Default"/>
        <w:rPr>
          <w:sz w:val="22"/>
          <w:szCs w:val="22"/>
          <w:lang w:val="hu-HU"/>
        </w:rPr>
      </w:pPr>
    </w:p>
    <w:p w14:paraId="2396C5EF" w14:textId="3FFD1CF9" w:rsidR="00FF2B65" w:rsidRPr="00C60440" w:rsidRDefault="00A613CA" w:rsidP="00FF2B65">
      <w:pPr>
        <w:pStyle w:val="Default"/>
        <w:rPr>
          <w:sz w:val="22"/>
          <w:szCs w:val="22"/>
          <w:u w:val="single"/>
          <w:lang w:val="hu-HU"/>
        </w:rPr>
      </w:pPr>
      <w:r>
        <w:rPr>
          <w:sz w:val="22"/>
          <w:szCs w:val="22"/>
          <w:u w:val="single"/>
          <w:lang w:val="hu-HU"/>
        </w:rPr>
        <w:t>Kiválasztott</w:t>
      </w:r>
      <w:r w:rsidR="00FF2B65" w:rsidRPr="00C60440">
        <w:rPr>
          <w:sz w:val="22"/>
          <w:szCs w:val="22"/>
          <w:u w:val="single"/>
          <w:lang w:val="hu-HU"/>
        </w:rPr>
        <w:t xml:space="preserve"> mellékhatások ismertetése</w:t>
      </w:r>
    </w:p>
    <w:p w14:paraId="1EB743B8" w14:textId="77777777" w:rsidR="004E55C8" w:rsidRPr="00C60440" w:rsidRDefault="004E55C8" w:rsidP="00FF2B65">
      <w:pPr>
        <w:pStyle w:val="Default"/>
        <w:rPr>
          <w:i/>
          <w:iCs/>
          <w:sz w:val="22"/>
          <w:szCs w:val="22"/>
          <w:lang w:val="hu-HU"/>
        </w:rPr>
      </w:pPr>
    </w:p>
    <w:p w14:paraId="6A341599" w14:textId="77ADB332" w:rsidR="00FF2B65" w:rsidRPr="00C60440" w:rsidRDefault="00FF2B65" w:rsidP="00FF2B65">
      <w:pPr>
        <w:pStyle w:val="Default"/>
        <w:rPr>
          <w:sz w:val="22"/>
          <w:szCs w:val="22"/>
          <w:u w:val="single"/>
          <w:lang w:val="hu-HU"/>
        </w:rPr>
      </w:pPr>
      <w:r w:rsidRPr="00C60440">
        <w:rPr>
          <w:i/>
          <w:iCs/>
          <w:sz w:val="22"/>
          <w:szCs w:val="22"/>
          <w:u w:val="single"/>
          <w:lang w:val="hu-HU"/>
        </w:rPr>
        <w:t>Csökkent hemoglobinszint</w:t>
      </w:r>
    </w:p>
    <w:p w14:paraId="133DA578" w14:textId="2112EFC8" w:rsidR="00CF09F1" w:rsidRPr="00C60440" w:rsidRDefault="00693B9E" w:rsidP="00082A8E">
      <w:pPr>
        <w:spacing w:line="240" w:lineRule="auto"/>
        <w:rPr>
          <w:szCs w:val="22"/>
          <w:u w:val="single"/>
          <w:lang w:val="hu-HU"/>
        </w:rPr>
      </w:pPr>
      <w:r w:rsidRPr="00C60440">
        <w:rPr>
          <w:szCs w:val="22"/>
          <w:lang w:val="hu-HU"/>
        </w:rPr>
        <w:t>Az origin</w:t>
      </w:r>
      <w:r w:rsidR="00715791" w:rsidRPr="00C60440">
        <w:rPr>
          <w:szCs w:val="22"/>
          <w:lang w:val="hu-HU"/>
        </w:rPr>
        <w:t>á</w:t>
      </w:r>
      <w:r w:rsidRPr="00C60440">
        <w:rPr>
          <w:szCs w:val="22"/>
          <w:lang w:val="hu-HU"/>
        </w:rPr>
        <w:t xml:space="preserve">tor készítmény forgalomba hozatalát követő időszakban </w:t>
      </w:r>
      <w:r w:rsidR="002D778C">
        <w:rPr>
          <w:szCs w:val="22"/>
          <w:lang w:val="hu-HU"/>
        </w:rPr>
        <w:t xml:space="preserve">olyan anaemia eseteket jelentettek, amelyeknél </w:t>
      </w:r>
      <w:r w:rsidR="002D778C" w:rsidRPr="00291765">
        <w:rPr>
          <w:szCs w:val="22"/>
          <w:lang w:val="hu-HU"/>
        </w:rPr>
        <w:t>teljes</w:t>
      </w:r>
      <w:r w:rsidRPr="00291765">
        <w:rPr>
          <w:szCs w:val="22"/>
          <w:lang w:val="hu-HU"/>
        </w:rPr>
        <w:t xml:space="preserve"> </w:t>
      </w:r>
      <w:r w:rsidR="002D778C" w:rsidRPr="00291765">
        <w:rPr>
          <w:szCs w:val="22"/>
          <w:lang w:val="hu-HU"/>
        </w:rPr>
        <w:t>vér adására volt</w:t>
      </w:r>
      <w:r w:rsidR="002D778C">
        <w:rPr>
          <w:szCs w:val="22"/>
          <w:lang w:val="hu-HU"/>
        </w:rPr>
        <w:t xml:space="preserve"> szükség</w:t>
      </w:r>
      <w:r w:rsidRPr="00C60440">
        <w:rPr>
          <w:szCs w:val="22"/>
          <w:lang w:val="hu-HU"/>
        </w:rPr>
        <w:t xml:space="preserve"> (lásd 4.4 pont). A csökkent hemoglobinszint (anaemia) előfordulási gyakorisága magasabb volt 10 mg ambriszentán alkalmazása esetén. A 12</w:t>
      </w:r>
      <w:r w:rsidR="002D778C">
        <w:rPr>
          <w:szCs w:val="22"/>
          <w:lang w:val="hu-HU"/>
        </w:rPr>
        <w:t> </w:t>
      </w:r>
      <w:r w:rsidRPr="00C60440">
        <w:rPr>
          <w:szCs w:val="22"/>
          <w:lang w:val="hu-HU"/>
        </w:rPr>
        <w:t xml:space="preserve">hetes, placebokontrollos, </w:t>
      </w:r>
      <w:r w:rsidR="00291765">
        <w:rPr>
          <w:szCs w:val="22"/>
          <w:lang w:val="hu-HU"/>
        </w:rPr>
        <w:t>III</w:t>
      </w:r>
      <w:r w:rsidR="002D778C" w:rsidRPr="00291765">
        <w:rPr>
          <w:szCs w:val="22"/>
          <w:lang w:val="hu-HU"/>
        </w:rPr>
        <w:t>. fázisú</w:t>
      </w:r>
      <w:r w:rsidRPr="00291765">
        <w:rPr>
          <w:szCs w:val="22"/>
          <w:lang w:val="hu-HU"/>
        </w:rPr>
        <w:t xml:space="preserve"> klinikai</w:t>
      </w:r>
      <w:r w:rsidRPr="00C60440">
        <w:rPr>
          <w:szCs w:val="22"/>
          <w:lang w:val="hu-HU"/>
        </w:rPr>
        <w:t xml:space="preserve"> vizsgálatokban az ambriszentán</w:t>
      </w:r>
      <w:r w:rsidR="00935DA5">
        <w:rPr>
          <w:szCs w:val="22"/>
          <w:lang w:val="hu-HU"/>
        </w:rPr>
        <w:t>-</w:t>
      </w:r>
      <w:r w:rsidRPr="00C60440">
        <w:rPr>
          <w:szCs w:val="22"/>
          <w:lang w:val="hu-HU"/>
        </w:rPr>
        <w:t>csoportba tartozó betegeknél csökkent az átlagos hemoglobinkoncentráció, amit már a kezelés 4. hetében kimutattak (8</w:t>
      </w:r>
      <w:r w:rsidR="00935DA5">
        <w:rPr>
          <w:szCs w:val="22"/>
          <w:lang w:val="hu-HU"/>
        </w:rPr>
        <w:t>,</w:t>
      </w:r>
      <w:r w:rsidRPr="00C60440">
        <w:rPr>
          <w:szCs w:val="22"/>
          <w:lang w:val="hu-HU"/>
        </w:rPr>
        <w:t>3</w:t>
      </w:r>
      <w:r w:rsidR="002D778C">
        <w:rPr>
          <w:szCs w:val="22"/>
          <w:lang w:val="hu-HU"/>
        </w:rPr>
        <w:t> </w:t>
      </w:r>
      <w:r w:rsidRPr="00C60440">
        <w:rPr>
          <w:szCs w:val="22"/>
          <w:lang w:val="hu-HU"/>
        </w:rPr>
        <w:t>g/l-es csökkenés); a következő 8</w:t>
      </w:r>
      <w:r w:rsidR="002D778C">
        <w:rPr>
          <w:szCs w:val="22"/>
          <w:lang w:val="hu-HU"/>
        </w:rPr>
        <w:t> </w:t>
      </w:r>
      <w:r w:rsidRPr="00C60440">
        <w:rPr>
          <w:szCs w:val="22"/>
          <w:lang w:val="hu-HU"/>
        </w:rPr>
        <w:t>hét során a kiindulási értéktől való átlagos eltérések stabilizálódása volt látható. Az ambriszentánnal kezeltek csoportjából összesen 17</w:t>
      </w:r>
      <w:r w:rsidR="002D778C">
        <w:rPr>
          <w:szCs w:val="22"/>
          <w:lang w:val="hu-HU"/>
        </w:rPr>
        <w:t> </w:t>
      </w:r>
      <w:r w:rsidRPr="00C60440">
        <w:rPr>
          <w:szCs w:val="22"/>
          <w:lang w:val="hu-HU"/>
        </w:rPr>
        <w:t>betegnél (6,5%) észlelték a hemoglobinszint kiindulási értékhez viszonyított ≥</w:t>
      </w:r>
      <w:r w:rsidR="00715791" w:rsidRPr="00C60440">
        <w:rPr>
          <w:szCs w:val="22"/>
          <w:lang w:val="hu-HU"/>
        </w:rPr>
        <w:t> </w:t>
      </w:r>
      <w:r w:rsidRPr="00C60440">
        <w:rPr>
          <w:szCs w:val="22"/>
          <w:lang w:val="hu-HU"/>
        </w:rPr>
        <w:t>15%-os, a normálérték alsó határa alá eső csökkenését.</w:t>
      </w:r>
    </w:p>
    <w:p w14:paraId="404C1756" w14:textId="42280D11" w:rsidR="00CF09F1" w:rsidRDefault="00CF09F1" w:rsidP="00082A8E">
      <w:pPr>
        <w:spacing w:line="240" w:lineRule="auto"/>
        <w:rPr>
          <w:szCs w:val="22"/>
          <w:u w:val="single"/>
          <w:lang w:val="hu-HU"/>
        </w:rPr>
      </w:pPr>
    </w:p>
    <w:p w14:paraId="53C1AF8C" w14:textId="77777777" w:rsidR="00A613CA" w:rsidRDefault="00A613CA" w:rsidP="00A613CA">
      <w:pPr>
        <w:spacing w:line="240" w:lineRule="auto"/>
        <w:rPr>
          <w:szCs w:val="22"/>
          <w:lang w:val="hu-HU"/>
        </w:rPr>
      </w:pPr>
      <w:r>
        <w:rPr>
          <w:szCs w:val="22"/>
          <w:lang w:val="hu-HU"/>
        </w:rPr>
        <w:t>Gyermekek és serdülők</w:t>
      </w:r>
    </w:p>
    <w:p w14:paraId="48787D5A" w14:textId="77777777" w:rsidR="00A613CA" w:rsidRDefault="00A613CA" w:rsidP="00A613CA">
      <w:pPr>
        <w:spacing w:line="240" w:lineRule="auto"/>
        <w:rPr>
          <w:szCs w:val="22"/>
          <w:lang w:val="hu-HU"/>
        </w:rPr>
      </w:pPr>
    </w:p>
    <w:p w14:paraId="516DCA53" w14:textId="2BF8B869" w:rsidR="00A613CA" w:rsidRPr="00C60440" w:rsidRDefault="00A613CA" w:rsidP="00A613CA">
      <w:pPr>
        <w:spacing w:line="240" w:lineRule="auto"/>
        <w:rPr>
          <w:szCs w:val="22"/>
          <w:u w:val="single"/>
          <w:lang w:val="hu-HU"/>
        </w:rPr>
      </w:pPr>
      <w:r w:rsidRPr="00925008">
        <w:rPr>
          <w:szCs w:val="22"/>
          <w:lang w:val="hu-HU"/>
        </w:rPr>
        <w:t>Az ambriszentán biztonságosságát gyermekek és serdülők körében egy 24 hetes, nyílt</w:t>
      </w:r>
      <w:r w:rsidR="00331488">
        <w:rPr>
          <w:szCs w:val="22"/>
          <w:lang w:val="hu-HU"/>
        </w:rPr>
        <w:t xml:space="preserve"> elrendezésű</w:t>
      </w:r>
      <w:r w:rsidRPr="00925008">
        <w:rPr>
          <w:szCs w:val="22"/>
          <w:lang w:val="hu-HU"/>
        </w:rPr>
        <w:t xml:space="preserve">, IIb fázisú vizsgálatban értékelték 41, 8 és 18 éves kor közötti, PAH-beteg bevonásával. A betegek napi egyszeri </w:t>
      </w:r>
      <w:r w:rsidRPr="00732CF1">
        <w:rPr>
          <w:lang w:val="hu-HU"/>
        </w:rPr>
        <w:t>2,5 mg vagy 5 mg ambriszentánnal (</w:t>
      </w:r>
      <w:r w:rsidR="00B84BFC">
        <w:rPr>
          <w:lang w:val="hu-HU"/>
        </w:rPr>
        <w:t>kis</w:t>
      </w:r>
      <w:r w:rsidRPr="00732CF1">
        <w:rPr>
          <w:lang w:val="hu-HU"/>
        </w:rPr>
        <w:t xml:space="preserve"> dózisú csoport), </w:t>
      </w:r>
      <w:r>
        <w:rPr>
          <w:lang w:val="hu-HU"/>
        </w:rPr>
        <w:t>vagy</w:t>
      </w:r>
      <w:r w:rsidRPr="00732CF1">
        <w:rPr>
          <w:lang w:val="hu-HU"/>
        </w:rPr>
        <w:t xml:space="preserve"> napi egyszeri 2,5 m</w:t>
      </w:r>
      <w:r>
        <w:rPr>
          <w:lang w:val="hu-HU"/>
        </w:rPr>
        <w:t>g</w:t>
      </w:r>
      <w:r w:rsidRPr="00732CF1">
        <w:rPr>
          <w:lang w:val="hu-HU"/>
        </w:rPr>
        <w:t xml:space="preserve"> vagy 5 mg</w:t>
      </w:r>
      <w:r>
        <w:rPr>
          <w:lang w:val="hu-HU"/>
        </w:rPr>
        <w:t xml:space="preserve"> ambriszentánnal, amit</w:t>
      </w:r>
      <w:r w:rsidRPr="00732CF1">
        <w:rPr>
          <w:lang w:val="hu-HU"/>
        </w:rPr>
        <w:t xml:space="preserve"> a testtömeg alapján 5 </w:t>
      </w:r>
      <w:r>
        <w:rPr>
          <w:lang w:val="hu-HU"/>
        </w:rPr>
        <w:t>mg-ra</w:t>
      </w:r>
      <w:r w:rsidRPr="00732CF1">
        <w:rPr>
          <w:lang w:val="hu-HU"/>
        </w:rPr>
        <w:t>, 7,5</w:t>
      </w:r>
      <w:r>
        <w:rPr>
          <w:lang w:val="hu-HU"/>
        </w:rPr>
        <w:t> mg-ra</w:t>
      </w:r>
      <w:r w:rsidRPr="00732CF1">
        <w:rPr>
          <w:lang w:val="hu-HU"/>
        </w:rPr>
        <w:t xml:space="preserve"> vagy 10 mg-ra </w:t>
      </w:r>
      <w:r>
        <w:rPr>
          <w:lang w:val="hu-HU"/>
        </w:rPr>
        <w:t>titráltak</w:t>
      </w:r>
      <w:r w:rsidRPr="00732CF1">
        <w:rPr>
          <w:lang w:val="hu-HU"/>
        </w:rPr>
        <w:t xml:space="preserve"> (</w:t>
      </w:r>
      <w:r w:rsidR="00B84BFC">
        <w:rPr>
          <w:lang w:val="hu-HU"/>
        </w:rPr>
        <w:t>nagy</w:t>
      </w:r>
      <w:r w:rsidRPr="00732CF1">
        <w:rPr>
          <w:lang w:val="hu-HU"/>
        </w:rPr>
        <w:t xml:space="preserve"> dózisú csoport) </w:t>
      </w:r>
      <w:r>
        <w:rPr>
          <w:lang w:val="hu-HU"/>
        </w:rPr>
        <w:t xml:space="preserve">kezelték </w:t>
      </w:r>
      <w:r w:rsidRPr="00732CF1">
        <w:rPr>
          <w:lang w:val="hu-HU"/>
        </w:rPr>
        <w:t>monoterápiában, vagy más PAH</w:t>
      </w:r>
      <w:r>
        <w:rPr>
          <w:lang w:val="hu-HU"/>
        </w:rPr>
        <w:t>-</w:t>
      </w:r>
      <w:r w:rsidRPr="00732CF1">
        <w:rPr>
          <w:lang w:val="hu-HU"/>
        </w:rPr>
        <w:t>gyógyszer</w:t>
      </w:r>
      <w:r>
        <w:rPr>
          <w:lang w:val="hu-HU"/>
        </w:rPr>
        <w:t>r</w:t>
      </w:r>
      <w:r w:rsidRPr="00732CF1">
        <w:rPr>
          <w:lang w:val="hu-HU"/>
        </w:rPr>
        <w:t>el kombiná</w:t>
      </w:r>
      <w:r>
        <w:rPr>
          <w:lang w:val="hu-HU"/>
        </w:rPr>
        <w:t>cióban</w:t>
      </w:r>
      <w:r w:rsidR="00072260">
        <w:rPr>
          <w:lang w:val="hu-HU"/>
        </w:rPr>
        <w:t xml:space="preserve">. </w:t>
      </w:r>
      <w:bookmarkStart w:id="0" w:name="_GoBack"/>
      <w:bookmarkEnd w:id="0"/>
      <w:r>
        <w:rPr>
          <w:lang w:val="hu-HU"/>
        </w:rPr>
        <w:t xml:space="preserve">A biztonságosságot tovább értékelték egy folyamatban lévő, hosszú távra kiterjesztett vizsgálatban a </w:t>
      </w:r>
      <w:r w:rsidRPr="00193ED1">
        <w:rPr>
          <w:lang w:val="hu-HU"/>
        </w:rPr>
        <w:t>41 beteg közül 38 betegnél</w:t>
      </w:r>
      <w:r w:rsidRPr="00732CF1">
        <w:rPr>
          <w:lang w:val="hu-HU"/>
        </w:rPr>
        <w:t>. A megfigyelt mellékhatások közül, melyeket az ambriszentán-kezeléssel összefüggésbe hozhatónak</w:t>
      </w:r>
      <w:r>
        <w:rPr>
          <w:lang w:val="hu-HU"/>
        </w:rPr>
        <w:t xml:space="preserve"> értékeltek,</w:t>
      </w:r>
      <w:r w:rsidRPr="00732CF1">
        <w:rPr>
          <w:lang w:val="hu-HU"/>
        </w:rPr>
        <w:t xml:space="preserve"> a fejfájás (15%, 6/41 beteg a </w:t>
      </w:r>
      <w:r>
        <w:rPr>
          <w:lang w:val="hu-HU"/>
        </w:rPr>
        <w:t>II</w:t>
      </w:r>
      <w:r w:rsidRPr="00732CF1">
        <w:rPr>
          <w:lang w:val="hu-HU"/>
        </w:rPr>
        <w:t xml:space="preserve">b fázisú, nyílt </w:t>
      </w:r>
      <w:r w:rsidR="00B84BFC">
        <w:rPr>
          <w:lang w:val="hu-HU"/>
        </w:rPr>
        <w:t xml:space="preserve">elrendezésű </w:t>
      </w:r>
      <w:r w:rsidRPr="00732CF1">
        <w:rPr>
          <w:lang w:val="hu-HU"/>
        </w:rPr>
        <w:t>vizsgálat</w:t>
      </w:r>
      <w:r>
        <w:rPr>
          <w:lang w:val="hu-HU"/>
        </w:rPr>
        <w:t xml:space="preserve"> 24 hete során</w:t>
      </w:r>
      <w:r w:rsidRPr="00732CF1">
        <w:rPr>
          <w:lang w:val="hu-HU"/>
        </w:rPr>
        <w:t xml:space="preserve"> és 8%, 3/38 beteg a hosszú távú kiterjesztett vizsgálatban) és az orrdugulás (8%, 3/41 beteg a </w:t>
      </w:r>
      <w:r>
        <w:rPr>
          <w:lang w:val="hu-HU"/>
        </w:rPr>
        <w:t>IIb</w:t>
      </w:r>
      <w:r w:rsidRPr="00732CF1">
        <w:rPr>
          <w:lang w:val="hu-HU"/>
        </w:rPr>
        <w:t xml:space="preserve"> fázisú, nyílt </w:t>
      </w:r>
      <w:r w:rsidR="00B84BFC">
        <w:rPr>
          <w:lang w:val="hu-HU"/>
        </w:rPr>
        <w:t xml:space="preserve">elrendezésű </w:t>
      </w:r>
      <w:r w:rsidRPr="00732CF1">
        <w:rPr>
          <w:lang w:val="hu-HU"/>
        </w:rPr>
        <w:t>vizsgálat</w:t>
      </w:r>
      <w:r>
        <w:rPr>
          <w:lang w:val="hu-HU"/>
        </w:rPr>
        <w:t xml:space="preserve"> 24 hete során</w:t>
      </w:r>
      <w:r w:rsidRPr="00732CF1">
        <w:rPr>
          <w:lang w:val="hu-HU"/>
        </w:rPr>
        <w:t>) fordult elő leggyakrabban</w:t>
      </w:r>
      <w:r>
        <w:rPr>
          <w:lang w:val="hu-HU"/>
        </w:rPr>
        <w:t>, ami összhangban volt a</w:t>
      </w:r>
      <w:r w:rsidRPr="00596E2D">
        <w:rPr>
          <w:lang w:val="hu-HU"/>
        </w:rPr>
        <w:t xml:space="preserve"> felnőtt</w:t>
      </w:r>
      <w:r>
        <w:rPr>
          <w:lang w:val="hu-HU"/>
        </w:rPr>
        <w:t>ekkel</w:t>
      </w:r>
      <w:r w:rsidRPr="00596E2D">
        <w:rPr>
          <w:lang w:val="hu-HU"/>
        </w:rPr>
        <w:t xml:space="preserve"> </w:t>
      </w:r>
      <w:r>
        <w:rPr>
          <w:lang w:val="hu-HU"/>
        </w:rPr>
        <w:t>folytatott,</w:t>
      </w:r>
      <w:r w:rsidRPr="00596E2D">
        <w:rPr>
          <w:lang w:val="hu-HU"/>
        </w:rPr>
        <w:t xml:space="preserve"> kontrollos vizsgálatokban </w:t>
      </w:r>
      <w:r>
        <w:rPr>
          <w:lang w:val="hu-HU"/>
        </w:rPr>
        <w:t>megfigyeltekkel</w:t>
      </w:r>
      <w:r w:rsidRPr="00596E2D">
        <w:rPr>
          <w:lang w:val="hu-HU"/>
        </w:rPr>
        <w:t>.</w:t>
      </w:r>
    </w:p>
    <w:p w14:paraId="0EDD99E2" w14:textId="77777777" w:rsidR="00A613CA" w:rsidRPr="00C60440" w:rsidRDefault="00A613CA" w:rsidP="00082A8E">
      <w:pPr>
        <w:spacing w:line="240" w:lineRule="auto"/>
        <w:rPr>
          <w:szCs w:val="22"/>
          <w:u w:val="single"/>
          <w:lang w:val="hu-HU"/>
        </w:rPr>
      </w:pPr>
    </w:p>
    <w:p w14:paraId="425CDDF1" w14:textId="77777777" w:rsidR="00F5194B" w:rsidRPr="00C60440" w:rsidRDefault="00E61DC0" w:rsidP="00497F75">
      <w:pPr>
        <w:spacing w:line="240" w:lineRule="auto"/>
        <w:rPr>
          <w:szCs w:val="22"/>
          <w:u w:val="single"/>
          <w:lang w:val="hu-HU"/>
        </w:rPr>
      </w:pPr>
      <w:r w:rsidRPr="00C60440">
        <w:rPr>
          <w:szCs w:val="22"/>
          <w:u w:val="single"/>
          <w:lang w:val="hu-HU"/>
        </w:rPr>
        <w:t>Feltételezett mellékhatások bejelentése</w:t>
      </w:r>
    </w:p>
    <w:p w14:paraId="7FBB50DF" w14:textId="77777777" w:rsidR="00F5194B" w:rsidRPr="00C60440" w:rsidRDefault="00E61DC0" w:rsidP="00B311B8">
      <w:pPr>
        <w:spacing w:line="240" w:lineRule="auto"/>
        <w:rPr>
          <w:szCs w:val="22"/>
          <w:lang w:val="hu-HU"/>
        </w:rPr>
      </w:pPr>
      <w:r w:rsidRPr="00C60440">
        <w:rPr>
          <w:szCs w:val="22"/>
          <w:lang w:val="hu-HU"/>
        </w:rPr>
        <w:t xml:space="preserve">A gyógyszer engedélyezését követően lényeges a feltételezett mellékhatások bejelentése, mert ez fontos eszköze annak, hogy a gyógyszer előny/kockázat profilját folyamatosan figyelemmel lehessen kísérni. </w:t>
      </w:r>
    </w:p>
    <w:p w14:paraId="501A718C" w14:textId="47DCD647" w:rsidR="00F5194B" w:rsidRPr="00C60440" w:rsidRDefault="00E61DC0" w:rsidP="00082A8E">
      <w:pPr>
        <w:spacing w:line="240" w:lineRule="auto"/>
        <w:rPr>
          <w:szCs w:val="22"/>
          <w:lang w:val="hu-HU"/>
        </w:rPr>
      </w:pPr>
      <w:r w:rsidRPr="00C60440">
        <w:rPr>
          <w:szCs w:val="22"/>
          <w:lang w:val="hu-HU"/>
        </w:rPr>
        <w:t xml:space="preserve">Az egészségügyi szakembereket kérjük, hogy jelentsék be a feltételezett mellékhatásokat a hatóság részére az </w:t>
      </w:r>
      <w:hyperlink r:id="rId11" w:history="1">
        <w:r w:rsidRPr="00C60440">
          <w:rPr>
            <w:rStyle w:val="Hiperhivatkozs"/>
            <w:szCs w:val="22"/>
            <w:highlight w:val="lightGray"/>
            <w:lang w:val="hu-HU"/>
          </w:rPr>
          <w:t>V. füg</w:t>
        </w:r>
        <w:bookmarkStart w:id="1" w:name="_Hlt352075914"/>
        <w:bookmarkStart w:id="2" w:name="_Hlt352075915"/>
        <w:r w:rsidRPr="00C60440">
          <w:rPr>
            <w:rStyle w:val="Hiperhivatkozs"/>
            <w:szCs w:val="22"/>
            <w:highlight w:val="lightGray"/>
            <w:lang w:val="hu-HU"/>
          </w:rPr>
          <w:t>g</w:t>
        </w:r>
        <w:bookmarkEnd w:id="1"/>
        <w:bookmarkEnd w:id="2"/>
        <w:r w:rsidRPr="00C60440">
          <w:rPr>
            <w:rStyle w:val="Hiperhivatkozs"/>
            <w:szCs w:val="22"/>
            <w:highlight w:val="lightGray"/>
            <w:lang w:val="hu-HU"/>
          </w:rPr>
          <w:t>elékben</w:t>
        </w:r>
      </w:hyperlink>
      <w:r w:rsidRPr="00C60440">
        <w:rPr>
          <w:szCs w:val="22"/>
          <w:highlight w:val="lightGray"/>
          <w:lang w:val="hu-HU"/>
        </w:rPr>
        <w:t xml:space="preserve"> található elérhetőségek valamelyikén keresztül</w:t>
      </w:r>
      <w:r w:rsidR="002D1F2D" w:rsidRPr="00C60440">
        <w:rPr>
          <w:szCs w:val="22"/>
          <w:lang w:val="hu-HU"/>
        </w:rPr>
        <w:t>.</w:t>
      </w:r>
    </w:p>
    <w:p w14:paraId="407862BB" w14:textId="3E9727C0" w:rsidR="00F5194B" w:rsidRPr="00C60440" w:rsidRDefault="00F5194B" w:rsidP="00082A8E">
      <w:pPr>
        <w:spacing w:line="240" w:lineRule="auto"/>
        <w:rPr>
          <w:szCs w:val="22"/>
          <w:u w:val="single"/>
          <w:lang w:val="hu-HU"/>
        </w:rPr>
      </w:pPr>
    </w:p>
    <w:p w14:paraId="65707281" w14:textId="77777777" w:rsidR="00F45C51" w:rsidRPr="00C60440" w:rsidRDefault="00E61DC0" w:rsidP="00082A8E">
      <w:pPr>
        <w:spacing w:line="240" w:lineRule="auto"/>
        <w:ind w:left="567" w:hanging="567"/>
        <w:outlineLvl w:val="0"/>
        <w:rPr>
          <w:rFonts w:eastAsia="Times New Roman"/>
          <w:b/>
          <w:noProof/>
          <w:snapToGrid/>
          <w:szCs w:val="22"/>
          <w:lang w:val="hu-HU" w:eastAsia="en-US"/>
        </w:rPr>
      </w:pPr>
      <w:r w:rsidRPr="00C60440">
        <w:rPr>
          <w:rFonts w:eastAsia="Times New Roman"/>
          <w:b/>
          <w:noProof/>
          <w:snapToGrid/>
          <w:szCs w:val="22"/>
          <w:lang w:val="hu-HU" w:eastAsia="en-US"/>
        </w:rPr>
        <w:t>4.9</w:t>
      </w:r>
      <w:r w:rsidRPr="00C60440">
        <w:rPr>
          <w:rFonts w:eastAsia="Times New Roman"/>
          <w:b/>
          <w:noProof/>
          <w:snapToGrid/>
          <w:szCs w:val="22"/>
          <w:lang w:val="hu-HU" w:eastAsia="en-US"/>
        </w:rPr>
        <w:tab/>
        <w:t>Túladagolás</w:t>
      </w:r>
    </w:p>
    <w:p w14:paraId="25E59F26" w14:textId="77777777" w:rsidR="00F45C51" w:rsidRPr="00C60440" w:rsidRDefault="00F45C51" w:rsidP="00082A8E">
      <w:pPr>
        <w:spacing w:line="240" w:lineRule="auto"/>
        <w:ind w:left="567" w:hanging="567"/>
        <w:outlineLvl w:val="0"/>
        <w:rPr>
          <w:b/>
          <w:szCs w:val="22"/>
          <w:lang w:val="hu-HU"/>
        </w:rPr>
      </w:pPr>
    </w:p>
    <w:p w14:paraId="2D61E95E" w14:textId="5C58A4AE" w:rsidR="00715791" w:rsidRPr="00C60440" w:rsidRDefault="00715791" w:rsidP="00715791">
      <w:pPr>
        <w:pStyle w:val="Default"/>
        <w:rPr>
          <w:sz w:val="22"/>
          <w:szCs w:val="22"/>
          <w:lang w:val="hu-HU"/>
        </w:rPr>
      </w:pPr>
      <w:r w:rsidRPr="00C60440">
        <w:rPr>
          <w:sz w:val="22"/>
          <w:szCs w:val="22"/>
          <w:lang w:val="hu-HU"/>
        </w:rPr>
        <w:t xml:space="preserve">PAH-ban szenvedő betegeknél az ambriszentán napi 10 mg-nál nagyobb </w:t>
      </w:r>
      <w:r w:rsidR="004D0453">
        <w:rPr>
          <w:sz w:val="22"/>
          <w:szCs w:val="22"/>
          <w:lang w:val="hu-HU"/>
        </w:rPr>
        <w:t>dózis</w:t>
      </w:r>
      <w:r w:rsidRPr="00C60440">
        <w:rPr>
          <w:sz w:val="22"/>
          <w:szCs w:val="22"/>
          <w:lang w:val="hu-HU"/>
        </w:rPr>
        <w:t xml:space="preserve">aival kapcsolatban nincs tapasztalat. Egészséges önkéntesnél 50 és 100 mg-os egyszeri </w:t>
      </w:r>
      <w:r w:rsidR="004D0453">
        <w:rPr>
          <w:sz w:val="22"/>
          <w:szCs w:val="22"/>
          <w:lang w:val="hu-HU"/>
        </w:rPr>
        <w:t>dózis</w:t>
      </w:r>
      <w:r w:rsidRPr="00C60440">
        <w:rPr>
          <w:sz w:val="22"/>
          <w:szCs w:val="22"/>
          <w:lang w:val="hu-HU"/>
        </w:rPr>
        <w:t xml:space="preserve">ok (a legnagyobb ajánlott </w:t>
      </w:r>
      <w:r w:rsidR="004D0453">
        <w:rPr>
          <w:sz w:val="22"/>
          <w:szCs w:val="22"/>
          <w:lang w:val="hu-HU"/>
        </w:rPr>
        <w:t>dózis</w:t>
      </w:r>
      <w:r w:rsidRPr="00C60440">
        <w:rPr>
          <w:sz w:val="22"/>
          <w:szCs w:val="22"/>
          <w:lang w:val="hu-HU"/>
        </w:rPr>
        <w:t xml:space="preserve"> 5</w:t>
      </w:r>
      <w:r w:rsidR="00C60440">
        <w:rPr>
          <w:sz w:val="22"/>
          <w:szCs w:val="22"/>
          <w:lang w:val="hu-HU"/>
        </w:rPr>
        <w:noBreakHyphen/>
      </w:r>
      <w:r w:rsidRPr="00C60440">
        <w:rPr>
          <w:sz w:val="22"/>
          <w:szCs w:val="22"/>
          <w:lang w:val="hu-HU"/>
        </w:rPr>
        <w:t>10-szerese) alkalmazása kapcsán fejfájás, kipirulás, szédülés, hányinger és orrdugulás jelentkezett.</w:t>
      </w:r>
    </w:p>
    <w:p w14:paraId="141971D7" w14:textId="77777777" w:rsidR="00715791" w:rsidRPr="00C60440" w:rsidRDefault="00715791" w:rsidP="00715791">
      <w:pPr>
        <w:pStyle w:val="Default"/>
        <w:rPr>
          <w:sz w:val="22"/>
          <w:szCs w:val="22"/>
          <w:lang w:val="hu-HU"/>
        </w:rPr>
      </w:pPr>
    </w:p>
    <w:p w14:paraId="751737F0" w14:textId="4FB28013" w:rsidR="00F45C51" w:rsidRPr="00C60440" w:rsidRDefault="00715791" w:rsidP="00715791">
      <w:pPr>
        <w:spacing w:line="240" w:lineRule="auto"/>
        <w:rPr>
          <w:szCs w:val="22"/>
          <w:u w:val="single"/>
          <w:lang w:val="hu-HU"/>
        </w:rPr>
      </w:pPr>
      <w:r w:rsidRPr="00C60440">
        <w:rPr>
          <w:szCs w:val="22"/>
          <w:lang w:val="hu-HU"/>
        </w:rPr>
        <w:t xml:space="preserve">Hatásmechanizmusa révén az ambriszentán túladagolása potenciálisan hypotoniához vezethet (lásd 5.3 pont). Kifejezett hypotonia esetén </w:t>
      </w:r>
      <w:r w:rsidR="00912E6A">
        <w:rPr>
          <w:szCs w:val="22"/>
          <w:lang w:val="hu-HU"/>
        </w:rPr>
        <w:t>aktív</w:t>
      </w:r>
      <w:r w:rsidRPr="00C60440">
        <w:rPr>
          <w:szCs w:val="22"/>
          <w:lang w:val="hu-HU"/>
        </w:rPr>
        <w:t xml:space="preserve"> cardiovascularis szupportív kezelés válhat szükségessé. Specifikus antidotum nem áll rendelkezésre.</w:t>
      </w:r>
    </w:p>
    <w:p w14:paraId="16C9E8CD" w14:textId="77777777" w:rsidR="00F45C51" w:rsidRPr="00C60440" w:rsidRDefault="00F45C51" w:rsidP="00082A8E">
      <w:pPr>
        <w:spacing w:line="240" w:lineRule="auto"/>
        <w:ind w:left="567" w:hanging="567"/>
        <w:outlineLvl w:val="0"/>
        <w:rPr>
          <w:b/>
          <w:szCs w:val="22"/>
          <w:lang w:val="hu-HU"/>
        </w:rPr>
      </w:pPr>
    </w:p>
    <w:p w14:paraId="5AF4C8A1" w14:textId="77777777" w:rsidR="00F45C51" w:rsidRPr="00C60440" w:rsidRDefault="00F45C51" w:rsidP="00082A8E">
      <w:pPr>
        <w:spacing w:line="240" w:lineRule="auto"/>
        <w:ind w:left="567" w:hanging="567"/>
        <w:outlineLvl w:val="0"/>
        <w:rPr>
          <w:b/>
          <w:szCs w:val="22"/>
          <w:lang w:val="hu-HU"/>
        </w:rPr>
      </w:pPr>
    </w:p>
    <w:p w14:paraId="7BC19F40" w14:textId="77777777" w:rsidR="00F45C51" w:rsidRPr="00C60440" w:rsidRDefault="00E61DC0" w:rsidP="00082A8E">
      <w:pPr>
        <w:spacing w:line="240" w:lineRule="auto"/>
        <w:ind w:left="567" w:hanging="567"/>
        <w:outlineLvl w:val="0"/>
        <w:rPr>
          <w:rFonts w:eastAsia="Times New Roman"/>
          <w:b/>
          <w:noProof/>
          <w:snapToGrid/>
          <w:szCs w:val="22"/>
          <w:lang w:val="hu-HU" w:eastAsia="en-US"/>
        </w:rPr>
      </w:pPr>
      <w:r w:rsidRPr="00C60440">
        <w:rPr>
          <w:rFonts w:eastAsia="Times New Roman"/>
          <w:b/>
          <w:noProof/>
          <w:snapToGrid/>
          <w:szCs w:val="22"/>
          <w:lang w:val="hu-HU" w:eastAsia="en-US"/>
        </w:rPr>
        <w:t>5.</w:t>
      </w:r>
      <w:r w:rsidRPr="00C60440">
        <w:rPr>
          <w:rFonts w:eastAsia="Times New Roman"/>
          <w:b/>
          <w:noProof/>
          <w:snapToGrid/>
          <w:szCs w:val="22"/>
          <w:lang w:val="hu-HU" w:eastAsia="en-US"/>
        </w:rPr>
        <w:tab/>
        <w:t>FARMAKOLÓGIAI TULAJDONSÁGOK</w:t>
      </w:r>
    </w:p>
    <w:p w14:paraId="4E07677D" w14:textId="77777777" w:rsidR="00F45C51" w:rsidRPr="00C60440" w:rsidRDefault="00F45C51" w:rsidP="00082A8E">
      <w:pPr>
        <w:spacing w:line="240" w:lineRule="auto"/>
        <w:ind w:left="567" w:hanging="567"/>
        <w:outlineLvl w:val="0"/>
        <w:rPr>
          <w:rFonts w:eastAsia="Times New Roman"/>
          <w:b/>
          <w:noProof/>
          <w:snapToGrid/>
          <w:szCs w:val="22"/>
          <w:lang w:val="hu-HU" w:eastAsia="en-US"/>
        </w:rPr>
      </w:pPr>
    </w:p>
    <w:p w14:paraId="0D1A0F63" w14:textId="77777777" w:rsidR="00F45C51" w:rsidRPr="00C60440" w:rsidRDefault="00E61DC0" w:rsidP="00082A8E">
      <w:pPr>
        <w:spacing w:line="240" w:lineRule="auto"/>
        <w:ind w:left="567" w:hanging="567"/>
        <w:outlineLvl w:val="0"/>
        <w:rPr>
          <w:rFonts w:eastAsia="Times New Roman"/>
          <w:b/>
          <w:noProof/>
          <w:snapToGrid/>
          <w:szCs w:val="22"/>
          <w:lang w:val="hu-HU" w:eastAsia="en-US"/>
        </w:rPr>
      </w:pPr>
      <w:r w:rsidRPr="00C60440">
        <w:rPr>
          <w:rFonts w:eastAsia="Times New Roman"/>
          <w:b/>
          <w:noProof/>
          <w:snapToGrid/>
          <w:szCs w:val="22"/>
          <w:lang w:val="hu-HU" w:eastAsia="en-US"/>
        </w:rPr>
        <w:t>5.1</w:t>
      </w:r>
      <w:r w:rsidRPr="00C60440">
        <w:rPr>
          <w:rFonts w:eastAsia="Times New Roman"/>
          <w:b/>
          <w:noProof/>
          <w:snapToGrid/>
          <w:szCs w:val="22"/>
          <w:lang w:val="hu-HU" w:eastAsia="en-US"/>
        </w:rPr>
        <w:tab/>
        <w:t>Farmakodinámiás tulajdonságok</w:t>
      </w:r>
    </w:p>
    <w:p w14:paraId="3BCD0ECC" w14:textId="77777777" w:rsidR="00F45C51" w:rsidRPr="00C60440" w:rsidRDefault="00F45C51" w:rsidP="00082A8E">
      <w:pPr>
        <w:spacing w:line="240" w:lineRule="auto"/>
        <w:rPr>
          <w:rFonts w:eastAsia="Times New Roman"/>
          <w:noProof/>
          <w:snapToGrid/>
          <w:szCs w:val="22"/>
          <w:lang w:val="hu-HU" w:eastAsia="en-US"/>
        </w:rPr>
      </w:pPr>
    </w:p>
    <w:p w14:paraId="44BD8D0A" w14:textId="2E4CBD7B" w:rsidR="00F45C51" w:rsidRPr="00C60440" w:rsidRDefault="00E61DC0" w:rsidP="00082A8E">
      <w:pPr>
        <w:spacing w:line="240" w:lineRule="auto"/>
        <w:rPr>
          <w:rFonts w:eastAsia="Times New Roman"/>
          <w:noProof/>
          <w:snapToGrid/>
          <w:szCs w:val="22"/>
          <w:lang w:val="hu-HU" w:eastAsia="en-US"/>
        </w:rPr>
      </w:pPr>
      <w:r w:rsidRPr="00C60440">
        <w:rPr>
          <w:rFonts w:eastAsia="Times New Roman"/>
          <w:noProof/>
          <w:snapToGrid/>
          <w:szCs w:val="22"/>
          <w:lang w:val="hu-HU" w:eastAsia="en-US"/>
        </w:rPr>
        <w:t xml:space="preserve">Farmakoterápiás csoport: </w:t>
      </w:r>
      <w:r w:rsidR="00715791" w:rsidRPr="00C60440">
        <w:rPr>
          <w:szCs w:val="22"/>
          <w:lang w:val="hu-HU"/>
        </w:rPr>
        <w:t>Antihipertenzívumok, egyéb antihipertenzívumok</w:t>
      </w:r>
      <w:r w:rsidRPr="00C60440">
        <w:rPr>
          <w:rFonts w:eastAsia="Times New Roman"/>
          <w:noProof/>
          <w:snapToGrid/>
          <w:szCs w:val="22"/>
          <w:lang w:val="hu-HU" w:eastAsia="en-US"/>
        </w:rPr>
        <w:t xml:space="preserve">, ATC kód: </w:t>
      </w:r>
      <w:r w:rsidR="00715791" w:rsidRPr="00C60440">
        <w:rPr>
          <w:szCs w:val="22"/>
          <w:lang w:val="hu-HU"/>
        </w:rPr>
        <w:t>C02KX02</w:t>
      </w:r>
    </w:p>
    <w:p w14:paraId="36D885CF" w14:textId="77777777" w:rsidR="00F45C51" w:rsidRPr="00C60440" w:rsidRDefault="00F45C51" w:rsidP="00082A8E">
      <w:pPr>
        <w:spacing w:line="240" w:lineRule="auto"/>
        <w:rPr>
          <w:rFonts w:eastAsia="Times New Roman"/>
          <w:noProof/>
          <w:snapToGrid/>
          <w:szCs w:val="22"/>
          <w:lang w:val="hu-HU" w:eastAsia="en-US"/>
        </w:rPr>
      </w:pPr>
    </w:p>
    <w:p w14:paraId="5330ADB2" w14:textId="79C120D0" w:rsidR="00F45C51" w:rsidRPr="00C60440" w:rsidRDefault="00E61DC0" w:rsidP="00082A8E">
      <w:pPr>
        <w:spacing w:line="240" w:lineRule="auto"/>
        <w:rPr>
          <w:szCs w:val="22"/>
          <w:u w:val="single"/>
          <w:lang w:val="hu-HU"/>
        </w:rPr>
      </w:pPr>
      <w:r w:rsidRPr="00C60440">
        <w:rPr>
          <w:szCs w:val="22"/>
          <w:u w:val="single"/>
          <w:lang w:val="hu-HU"/>
        </w:rPr>
        <w:t>Hatásmechanizmus</w:t>
      </w:r>
    </w:p>
    <w:p w14:paraId="0114B9C9" w14:textId="13280EFE" w:rsidR="00715791" w:rsidRPr="00C60440" w:rsidRDefault="00715791" w:rsidP="00082A8E">
      <w:pPr>
        <w:spacing w:line="240" w:lineRule="auto"/>
        <w:rPr>
          <w:szCs w:val="22"/>
          <w:u w:val="single"/>
          <w:lang w:val="hu-HU"/>
        </w:rPr>
      </w:pPr>
    </w:p>
    <w:p w14:paraId="735C4F57" w14:textId="5615D1A7" w:rsidR="00715791" w:rsidRPr="00C60440" w:rsidRDefault="00715791" w:rsidP="00715791">
      <w:pPr>
        <w:pStyle w:val="Default"/>
        <w:rPr>
          <w:sz w:val="22"/>
          <w:szCs w:val="22"/>
          <w:lang w:val="hu-HU"/>
        </w:rPr>
      </w:pPr>
      <w:r w:rsidRPr="00C60440">
        <w:rPr>
          <w:sz w:val="22"/>
          <w:szCs w:val="22"/>
          <w:lang w:val="hu-HU"/>
        </w:rPr>
        <w:t>Az ambriszentán orálisan aktív, a propánsav osztályba tartozó, endotelin A (ET</w:t>
      </w:r>
      <w:r w:rsidR="000B0C05" w:rsidRPr="00C60440">
        <w:rPr>
          <w:sz w:val="22"/>
          <w:szCs w:val="22"/>
          <w:vertAlign w:val="subscript"/>
          <w:lang w:val="hu-HU"/>
        </w:rPr>
        <w:t>A</w:t>
      </w:r>
      <w:r w:rsidRPr="00C60440">
        <w:rPr>
          <w:sz w:val="22"/>
          <w:szCs w:val="22"/>
          <w:lang w:val="hu-HU"/>
        </w:rPr>
        <w:t>) receptor-szelektív ERA. Az endotelin jelentős szerepet játszik a PAH patofiziológiájában.</w:t>
      </w:r>
    </w:p>
    <w:p w14:paraId="0AEECACC" w14:textId="77777777" w:rsidR="00715791" w:rsidRPr="00C60440" w:rsidRDefault="00715791" w:rsidP="00715791">
      <w:pPr>
        <w:pStyle w:val="Default"/>
        <w:rPr>
          <w:sz w:val="22"/>
          <w:szCs w:val="22"/>
          <w:lang w:val="hu-HU"/>
        </w:rPr>
      </w:pPr>
    </w:p>
    <w:p w14:paraId="375CA595" w14:textId="0DE84314" w:rsidR="00715791" w:rsidRPr="00C60440" w:rsidRDefault="00715791" w:rsidP="00715791">
      <w:pPr>
        <w:pStyle w:val="Default"/>
        <w:rPr>
          <w:sz w:val="22"/>
          <w:szCs w:val="22"/>
          <w:lang w:val="hu-HU"/>
        </w:rPr>
      </w:pPr>
      <w:r w:rsidRPr="00C60440">
        <w:rPr>
          <w:sz w:val="22"/>
          <w:szCs w:val="22"/>
          <w:lang w:val="hu-HU"/>
        </w:rPr>
        <w:t>Az ambriszentán erős (K</w:t>
      </w:r>
      <w:r w:rsidRPr="00463230">
        <w:rPr>
          <w:sz w:val="22"/>
          <w:szCs w:val="22"/>
          <w:vertAlign w:val="subscript"/>
          <w:lang w:val="hu-HU"/>
        </w:rPr>
        <w:t>i</w:t>
      </w:r>
      <w:r w:rsidRPr="00C60440">
        <w:rPr>
          <w:sz w:val="22"/>
          <w:szCs w:val="22"/>
          <w:lang w:val="hu-HU"/>
        </w:rPr>
        <w:t xml:space="preserve"> 0,016</w:t>
      </w:r>
      <w:r w:rsidR="000B0C05" w:rsidRPr="00C60440">
        <w:rPr>
          <w:sz w:val="22"/>
          <w:szCs w:val="22"/>
          <w:lang w:val="hu-HU"/>
        </w:rPr>
        <w:t> </w:t>
      </w:r>
      <w:r w:rsidRPr="00C60440">
        <w:rPr>
          <w:sz w:val="22"/>
          <w:szCs w:val="22"/>
          <w:lang w:val="hu-HU"/>
        </w:rPr>
        <w:t>nM) és igen szelektív ET</w:t>
      </w:r>
      <w:r w:rsidR="000B0C05" w:rsidRPr="00C60440">
        <w:rPr>
          <w:sz w:val="22"/>
          <w:szCs w:val="22"/>
          <w:vertAlign w:val="subscript"/>
          <w:lang w:val="hu-HU"/>
        </w:rPr>
        <w:t>A</w:t>
      </w:r>
      <w:r w:rsidRPr="00C60440">
        <w:rPr>
          <w:sz w:val="22"/>
          <w:szCs w:val="22"/>
          <w:lang w:val="hu-HU"/>
        </w:rPr>
        <w:t xml:space="preserve">-antagonista (megközelítőleg 4000-szer szelektívebb az </w:t>
      </w:r>
      <w:r w:rsidR="000B0C05" w:rsidRPr="00C60440">
        <w:rPr>
          <w:sz w:val="22"/>
          <w:szCs w:val="22"/>
          <w:lang w:val="hu-HU"/>
        </w:rPr>
        <w:t>ET</w:t>
      </w:r>
      <w:r w:rsidR="000B0C05" w:rsidRPr="00C60440">
        <w:rPr>
          <w:sz w:val="22"/>
          <w:szCs w:val="22"/>
          <w:vertAlign w:val="subscript"/>
          <w:lang w:val="hu-HU"/>
        </w:rPr>
        <w:t>A</w:t>
      </w:r>
      <w:r w:rsidRPr="00C60440">
        <w:rPr>
          <w:sz w:val="22"/>
          <w:szCs w:val="22"/>
          <w:lang w:val="hu-HU"/>
        </w:rPr>
        <w:t>-ra, mint az ET</w:t>
      </w:r>
      <w:r w:rsidR="000B0C05" w:rsidRPr="00C60440">
        <w:rPr>
          <w:sz w:val="22"/>
          <w:szCs w:val="22"/>
          <w:vertAlign w:val="subscript"/>
          <w:lang w:val="hu-HU"/>
        </w:rPr>
        <w:t>B</w:t>
      </w:r>
      <w:r w:rsidRPr="00C60440">
        <w:rPr>
          <w:sz w:val="22"/>
          <w:szCs w:val="22"/>
          <w:lang w:val="hu-HU"/>
        </w:rPr>
        <w:t>-re).</w:t>
      </w:r>
    </w:p>
    <w:p w14:paraId="43BEB9B0" w14:textId="77777777" w:rsidR="000B0C05" w:rsidRPr="00C60440" w:rsidRDefault="000B0C05" w:rsidP="00715791">
      <w:pPr>
        <w:pStyle w:val="Default"/>
        <w:rPr>
          <w:sz w:val="22"/>
          <w:szCs w:val="22"/>
          <w:lang w:val="hu-HU"/>
        </w:rPr>
      </w:pPr>
    </w:p>
    <w:p w14:paraId="78490B09" w14:textId="13079442" w:rsidR="00715791" w:rsidRPr="00C60440" w:rsidRDefault="00715791" w:rsidP="00715791">
      <w:pPr>
        <w:pStyle w:val="Default"/>
        <w:rPr>
          <w:sz w:val="22"/>
          <w:szCs w:val="22"/>
          <w:lang w:val="hu-HU"/>
        </w:rPr>
      </w:pPr>
      <w:r w:rsidRPr="00C60440">
        <w:rPr>
          <w:sz w:val="22"/>
          <w:szCs w:val="22"/>
          <w:lang w:val="hu-HU"/>
        </w:rPr>
        <w:t xml:space="preserve">Az ambriszentán blokkolja az </w:t>
      </w:r>
      <w:r w:rsidR="000B0C05" w:rsidRPr="00C60440">
        <w:rPr>
          <w:sz w:val="22"/>
          <w:szCs w:val="22"/>
          <w:lang w:val="hu-HU"/>
        </w:rPr>
        <w:t>ET</w:t>
      </w:r>
      <w:r w:rsidR="000B0C05" w:rsidRPr="00C60440">
        <w:rPr>
          <w:sz w:val="22"/>
          <w:szCs w:val="22"/>
          <w:vertAlign w:val="subscript"/>
          <w:lang w:val="hu-HU"/>
        </w:rPr>
        <w:t>A</w:t>
      </w:r>
      <w:r w:rsidRPr="00C60440">
        <w:rPr>
          <w:sz w:val="22"/>
          <w:szCs w:val="22"/>
          <w:lang w:val="hu-HU"/>
        </w:rPr>
        <w:t xml:space="preserve"> receptor altípust, ami főként a vascularis s</w:t>
      </w:r>
      <w:r w:rsidR="000B0C05" w:rsidRPr="00C60440">
        <w:rPr>
          <w:sz w:val="22"/>
          <w:szCs w:val="22"/>
          <w:lang w:val="hu-HU"/>
        </w:rPr>
        <w:t>i</w:t>
      </w:r>
      <w:r w:rsidRPr="00C60440">
        <w:rPr>
          <w:sz w:val="22"/>
          <w:szCs w:val="22"/>
          <w:lang w:val="hu-HU"/>
        </w:rPr>
        <w:t xml:space="preserve">maizomsejteken és a cardialis myocytákon található. Ez kivédi az endotelin által mediált </w:t>
      </w:r>
      <w:r w:rsidR="00C86111">
        <w:rPr>
          <w:sz w:val="22"/>
          <w:szCs w:val="22"/>
          <w:lang w:val="hu-HU"/>
        </w:rPr>
        <w:t>másodlagos</w:t>
      </w:r>
      <w:r w:rsidRPr="00C60440">
        <w:rPr>
          <w:sz w:val="22"/>
          <w:szCs w:val="22"/>
          <w:lang w:val="hu-HU"/>
        </w:rPr>
        <w:t xml:space="preserve"> messenger rendszer aktivációját, amely a vasoconstrictio kiváltásá</w:t>
      </w:r>
      <w:r w:rsidR="00C86111">
        <w:rPr>
          <w:sz w:val="22"/>
          <w:szCs w:val="22"/>
          <w:lang w:val="hu-HU"/>
        </w:rPr>
        <w:t>t</w:t>
      </w:r>
      <w:r w:rsidRPr="00C60440">
        <w:rPr>
          <w:sz w:val="22"/>
          <w:szCs w:val="22"/>
          <w:lang w:val="hu-HU"/>
        </w:rPr>
        <w:t xml:space="preserve"> és a s</w:t>
      </w:r>
      <w:r w:rsidR="000B0C05" w:rsidRPr="00C60440">
        <w:rPr>
          <w:sz w:val="22"/>
          <w:szCs w:val="22"/>
          <w:lang w:val="hu-HU"/>
        </w:rPr>
        <w:t>i</w:t>
      </w:r>
      <w:r w:rsidRPr="00C60440">
        <w:rPr>
          <w:sz w:val="22"/>
          <w:szCs w:val="22"/>
          <w:lang w:val="hu-HU"/>
        </w:rPr>
        <w:t xml:space="preserve">maizomsejtek proliferációját </w:t>
      </w:r>
      <w:r w:rsidR="00C86111">
        <w:rPr>
          <w:sz w:val="22"/>
          <w:szCs w:val="22"/>
          <w:lang w:val="hu-HU"/>
        </w:rPr>
        <w:t>eredményezi</w:t>
      </w:r>
      <w:r w:rsidRPr="00C60440">
        <w:rPr>
          <w:sz w:val="22"/>
          <w:szCs w:val="22"/>
          <w:lang w:val="hu-HU"/>
        </w:rPr>
        <w:t>.</w:t>
      </w:r>
    </w:p>
    <w:p w14:paraId="54EB67B8" w14:textId="77777777" w:rsidR="000B0C05" w:rsidRPr="00C60440" w:rsidRDefault="000B0C05" w:rsidP="00715791">
      <w:pPr>
        <w:pStyle w:val="Default"/>
        <w:rPr>
          <w:sz w:val="22"/>
          <w:szCs w:val="22"/>
          <w:lang w:val="hu-HU"/>
        </w:rPr>
      </w:pPr>
    </w:p>
    <w:p w14:paraId="4881FB75" w14:textId="77777777" w:rsidR="009574F9" w:rsidRPr="00C60440" w:rsidRDefault="009574F9" w:rsidP="009574F9">
      <w:pPr>
        <w:pStyle w:val="Default"/>
        <w:rPr>
          <w:sz w:val="22"/>
          <w:szCs w:val="22"/>
          <w:lang w:val="hu-HU"/>
        </w:rPr>
      </w:pPr>
      <w:r w:rsidRPr="00C60440">
        <w:rPr>
          <w:sz w:val="22"/>
          <w:szCs w:val="22"/>
          <w:lang w:val="hu-HU"/>
        </w:rPr>
        <w:t>Az ambriszentánnak az ET</w:t>
      </w:r>
      <w:r w:rsidRPr="00C60440">
        <w:rPr>
          <w:sz w:val="22"/>
          <w:szCs w:val="22"/>
          <w:vertAlign w:val="subscript"/>
          <w:lang w:val="hu-HU"/>
        </w:rPr>
        <w:t>B</w:t>
      </w:r>
      <w:r w:rsidRPr="00C60440">
        <w:rPr>
          <w:sz w:val="22"/>
          <w:szCs w:val="22"/>
          <w:lang w:val="hu-HU"/>
        </w:rPr>
        <w:t xml:space="preserve"> receptorhoz viszonyított ET</w:t>
      </w:r>
      <w:r w:rsidRPr="00C60440">
        <w:rPr>
          <w:sz w:val="22"/>
          <w:szCs w:val="22"/>
          <w:vertAlign w:val="subscript"/>
          <w:lang w:val="hu-HU"/>
        </w:rPr>
        <w:t>A</w:t>
      </w:r>
      <w:r w:rsidRPr="00C60440">
        <w:rPr>
          <w:sz w:val="22"/>
          <w:szCs w:val="22"/>
          <w:lang w:val="hu-HU"/>
        </w:rPr>
        <w:t xml:space="preserve"> szelektivitása várhatóan azt eredményezi, hogy érintetlenül marad az ET</w:t>
      </w:r>
      <w:r w:rsidRPr="00C60440">
        <w:rPr>
          <w:sz w:val="22"/>
          <w:szCs w:val="22"/>
          <w:vertAlign w:val="subscript"/>
          <w:lang w:val="hu-HU"/>
        </w:rPr>
        <w:t>B</w:t>
      </w:r>
      <w:r w:rsidRPr="00C60440">
        <w:rPr>
          <w:sz w:val="22"/>
          <w:szCs w:val="22"/>
          <w:lang w:val="hu-HU"/>
        </w:rPr>
        <w:t xml:space="preserve"> receptor által mediált vazodilatátor hatású nitrogén-monoxid és prosztaciklin termelődés.</w:t>
      </w:r>
    </w:p>
    <w:p w14:paraId="02D3D7E2" w14:textId="140D9B29" w:rsidR="00715791" w:rsidRPr="00C60440" w:rsidRDefault="00715791" w:rsidP="00082A8E">
      <w:pPr>
        <w:spacing w:line="240" w:lineRule="auto"/>
        <w:rPr>
          <w:szCs w:val="22"/>
          <w:u w:val="single"/>
          <w:lang w:val="hu-HU"/>
        </w:rPr>
      </w:pPr>
    </w:p>
    <w:p w14:paraId="2B283FD6" w14:textId="20128AF1" w:rsidR="00F45C51" w:rsidRPr="00C60440" w:rsidRDefault="00E61DC0" w:rsidP="00082A8E">
      <w:pPr>
        <w:spacing w:line="240" w:lineRule="auto"/>
        <w:rPr>
          <w:szCs w:val="22"/>
          <w:u w:val="single"/>
          <w:lang w:val="hu-HU"/>
        </w:rPr>
      </w:pPr>
      <w:r w:rsidRPr="00C60440">
        <w:rPr>
          <w:szCs w:val="22"/>
          <w:u w:val="single"/>
          <w:lang w:val="hu-HU"/>
        </w:rPr>
        <w:t>Klinikai hatásosság és biztonságosság</w:t>
      </w:r>
    </w:p>
    <w:p w14:paraId="0269065D" w14:textId="1225C3DA" w:rsidR="000B0C05" w:rsidRPr="00C60440" w:rsidRDefault="000B0C05" w:rsidP="00082A8E">
      <w:pPr>
        <w:spacing w:line="240" w:lineRule="auto"/>
        <w:rPr>
          <w:szCs w:val="22"/>
          <w:u w:val="single"/>
          <w:lang w:val="hu-HU"/>
        </w:rPr>
      </w:pPr>
    </w:p>
    <w:p w14:paraId="4DD7402A" w14:textId="7AEA4DE7" w:rsidR="000B0C05" w:rsidRPr="00C60440" w:rsidRDefault="000B0C05" w:rsidP="00082A8E">
      <w:pPr>
        <w:spacing w:line="240" w:lineRule="auto"/>
        <w:rPr>
          <w:szCs w:val="22"/>
          <w:u w:val="single"/>
          <w:lang w:val="hu-HU"/>
        </w:rPr>
      </w:pPr>
      <w:r w:rsidRPr="00C60440">
        <w:rPr>
          <w:szCs w:val="22"/>
          <w:lang w:val="hu-HU"/>
        </w:rPr>
        <w:t xml:space="preserve">Két randomizált, kettős vak, multicentrikus, placebokontrollos, </w:t>
      </w:r>
      <w:r w:rsidR="00291765">
        <w:rPr>
          <w:szCs w:val="22"/>
          <w:lang w:val="hu-HU"/>
        </w:rPr>
        <w:t>III</w:t>
      </w:r>
      <w:r w:rsidR="00C86111" w:rsidRPr="00291765">
        <w:rPr>
          <w:szCs w:val="22"/>
          <w:lang w:val="hu-HU"/>
        </w:rPr>
        <w:t>. fázisú</w:t>
      </w:r>
      <w:r w:rsidRPr="00C60440">
        <w:rPr>
          <w:szCs w:val="22"/>
          <w:lang w:val="hu-HU"/>
        </w:rPr>
        <w:t xml:space="preserve"> pivotális klinikai vizsgálatot végeztek. Az első vizsgálatba 201 beteget vontak be, és az 5 mg-os és a 10 mg-os ambriszentán</w:t>
      </w:r>
      <w:r w:rsidR="0078293B">
        <w:rPr>
          <w:szCs w:val="22"/>
          <w:lang w:val="hu-HU"/>
        </w:rPr>
        <w:t xml:space="preserve"> dózis</w:t>
      </w:r>
      <w:r w:rsidRPr="00C60440">
        <w:rPr>
          <w:szCs w:val="22"/>
          <w:lang w:val="hu-HU"/>
        </w:rPr>
        <w:t>t hasonlították össze a placebóval. A második vizsgálatba 192 beteget vontak be, és a 2,5 mg-os és az 5 mg-os ambriszentán</w:t>
      </w:r>
      <w:r w:rsidR="0078293B">
        <w:rPr>
          <w:szCs w:val="22"/>
          <w:lang w:val="hu-HU"/>
        </w:rPr>
        <w:t xml:space="preserve"> dózis</w:t>
      </w:r>
      <w:r w:rsidRPr="00C60440">
        <w:rPr>
          <w:szCs w:val="22"/>
          <w:lang w:val="hu-HU"/>
        </w:rPr>
        <w:t>t hasonlították össze placebóval. A betegek az ambriszentánt mindkét vizsgálatban olyan szupportív/háttérkezelés mellett kapták, amelyben a következő gyógyszerek kombinációja szerepelhetett: digoxin, antikoagulánsok, diuretikumok, oxigén és vazodilatátorok (kalciumcsatorna</w:t>
      </w:r>
      <w:r w:rsidR="00DC3F79">
        <w:rPr>
          <w:szCs w:val="22"/>
          <w:lang w:val="hu-HU"/>
        </w:rPr>
        <w:t>-</w:t>
      </w:r>
      <w:r w:rsidRPr="00C60440">
        <w:rPr>
          <w:szCs w:val="22"/>
          <w:lang w:val="hu-HU"/>
        </w:rPr>
        <w:t xml:space="preserve">blokkolók, ACE-gátlók). A vizsgálatba bevont betegek IPAH-ban vagy kötőszöveti betegséggel társult PAH-ban (PAH-CTD-ben) szenvedtek. A betegek többsége a WHO funkcionális besorolása szerinti II. (38,4%) illetve III. osztály (55,0%) tüneteit mutatta. Azokat a betegeket, akiknek korábban meglévő májbetegségük volt (cirrhosis vagy klinikalilag jelentős mértékben emelkedett </w:t>
      </w:r>
      <w:r w:rsidR="001A69FA">
        <w:rPr>
          <w:szCs w:val="22"/>
          <w:lang w:val="hu-HU"/>
        </w:rPr>
        <w:t>transzaminázszintek</w:t>
      </w:r>
      <w:r w:rsidRPr="00C60440">
        <w:rPr>
          <w:szCs w:val="22"/>
          <w:lang w:val="hu-HU"/>
        </w:rPr>
        <w:t>), valamint a célzott PAH-terápiát (pl. prosztanoidokat) kapó betegeket kizárták a vizsgálatból. A hemodinamikai jellemzőket ezekben a vizsgálatokban nem értékelték.</w:t>
      </w:r>
    </w:p>
    <w:p w14:paraId="0FB60DEA" w14:textId="564080C8" w:rsidR="000B0C05" w:rsidRPr="00C60440" w:rsidRDefault="000B0C05" w:rsidP="00082A8E">
      <w:pPr>
        <w:spacing w:line="240" w:lineRule="auto"/>
        <w:rPr>
          <w:szCs w:val="22"/>
          <w:u w:val="single"/>
          <w:lang w:val="hu-HU"/>
        </w:rPr>
      </w:pPr>
    </w:p>
    <w:p w14:paraId="2A5AA5AB" w14:textId="2A5EE5E1" w:rsidR="000B0C05" w:rsidRPr="00C60440" w:rsidRDefault="000B0C05" w:rsidP="000B0C05">
      <w:pPr>
        <w:pStyle w:val="Default"/>
        <w:rPr>
          <w:sz w:val="22"/>
          <w:szCs w:val="22"/>
          <w:lang w:val="hu-HU"/>
        </w:rPr>
      </w:pPr>
      <w:r w:rsidRPr="00C60440">
        <w:rPr>
          <w:sz w:val="22"/>
          <w:szCs w:val="22"/>
          <w:lang w:val="hu-HU"/>
        </w:rPr>
        <w:t xml:space="preserve">A </w:t>
      </w:r>
      <w:r w:rsidR="00291765">
        <w:rPr>
          <w:sz w:val="22"/>
          <w:szCs w:val="22"/>
          <w:lang w:val="hu-HU"/>
        </w:rPr>
        <w:t>III</w:t>
      </w:r>
      <w:r w:rsidR="002364E6" w:rsidRPr="00291765">
        <w:rPr>
          <w:sz w:val="22"/>
          <w:szCs w:val="22"/>
          <w:lang w:val="hu-HU"/>
        </w:rPr>
        <w:t>. fázisú</w:t>
      </w:r>
      <w:r w:rsidRPr="00C60440">
        <w:rPr>
          <w:sz w:val="22"/>
          <w:szCs w:val="22"/>
          <w:lang w:val="hu-HU"/>
        </w:rPr>
        <w:t xml:space="preserve"> vizsgálatokra meghatározott elsődleges végpont a fizikai terhelhetőség javulása volt, amit a 6 perces járási távolság (6 Minute Walk Distance, 6MWD) kiindulási értékhez viszonyított változásával mértek a 12. héten. Az ambriszentán</w:t>
      </w:r>
      <w:r w:rsidRPr="00C60440">
        <w:rPr>
          <w:sz w:val="22"/>
          <w:szCs w:val="22"/>
          <w:lang w:val="hu-HU"/>
        </w:rPr>
        <w:noBreakHyphen/>
        <w:t xml:space="preserve">kezelés mindkét vizsgálatban, valamennyi ambriszentán </w:t>
      </w:r>
      <w:r w:rsidR="002364E6">
        <w:rPr>
          <w:sz w:val="22"/>
          <w:szCs w:val="22"/>
          <w:lang w:val="hu-HU"/>
        </w:rPr>
        <w:t>dózis</w:t>
      </w:r>
      <w:r w:rsidRPr="00C60440">
        <w:rPr>
          <w:sz w:val="22"/>
          <w:szCs w:val="22"/>
          <w:lang w:val="hu-HU"/>
        </w:rPr>
        <w:t xml:space="preserve"> esetén, a 6MWD szignifikáns javulását eredményezte.</w:t>
      </w:r>
    </w:p>
    <w:p w14:paraId="1A8FA0D0" w14:textId="77777777" w:rsidR="003501C4" w:rsidRPr="00C60440" w:rsidRDefault="003501C4" w:rsidP="000B0C05">
      <w:pPr>
        <w:pStyle w:val="Default"/>
        <w:rPr>
          <w:sz w:val="22"/>
          <w:szCs w:val="22"/>
          <w:lang w:val="hu-HU"/>
        </w:rPr>
      </w:pPr>
    </w:p>
    <w:p w14:paraId="72926C91" w14:textId="0EDC6AD8" w:rsidR="000B0C05" w:rsidRPr="00C60440" w:rsidRDefault="000B0C05" w:rsidP="000B0C05">
      <w:pPr>
        <w:pStyle w:val="Default"/>
        <w:rPr>
          <w:sz w:val="22"/>
          <w:szCs w:val="22"/>
          <w:lang w:val="hu-HU"/>
        </w:rPr>
      </w:pPr>
      <w:r w:rsidRPr="00C60440">
        <w:rPr>
          <w:sz w:val="22"/>
          <w:szCs w:val="22"/>
          <w:lang w:val="hu-HU"/>
        </w:rPr>
        <w:t xml:space="preserve">Az </w:t>
      </w:r>
      <w:r w:rsidR="003501C4" w:rsidRPr="00C60440">
        <w:rPr>
          <w:sz w:val="22"/>
          <w:szCs w:val="22"/>
          <w:lang w:val="hu-HU"/>
        </w:rPr>
        <w:t>első és a második</w:t>
      </w:r>
      <w:r w:rsidRPr="00C60440">
        <w:rPr>
          <w:sz w:val="22"/>
          <w:szCs w:val="22"/>
          <w:lang w:val="hu-HU"/>
        </w:rPr>
        <w:t xml:space="preserve"> vizsgálatban a 12. héten az átlagos 6MWD placebokorrigált javulása az 5</w:t>
      </w:r>
      <w:r w:rsidR="003501C4" w:rsidRPr="00C60440">
        <w:rPr>
          <w:sz w:val="22"/>
          <w:szCs w:val="22"/>
          <w:lang w:val="hu-HU"/>
        </w:rPr>
        <w:t> </w:t>
      </w:r>
      <w:r w:rsidRPr="00C60440">
        <w:rPr>
          <w:sz w:val="22"/>
          <w:szCs w:val="22"/>
          <w:lang w:val="hu-HU"/>
        </w:rPr>
        <w:t>mg-mal kezelt csoportban 30,6</w:t>
      </w:r>
      <w:r w:rsidR="003501C4" w:rsidRPr="00C60440">
        <w:rPr>
          <w:sz w:val="22"/>
          <w:szCs w:val="22"/>
          <w:lang w:val="hu-HU"/>
        </w:rPr>
        <w:t> </w:t>
      </w:r>
      <w:r w:rsidRPr="00C60440">
        <w:rPr>
          <w:sz w:val="22"/>
          <w:szCs w:val="22"/>
          <w:lang w:val="hu-HU"/>
        </w:rPr>
        <w:t>m (95%-os CI: 2,9</w:t>
      </w:r>
      <w:r w:rsidR="003501C4" w:rsidRPr="00C60440">
        <w:rPr>
          <w:sz w:val="22"/>
          <w:szCs w:val="22"/>
          <w:lang w:val="hu-HU"/>
        </w:rPr>
        <w:t> </w:t>
      </w:r>
      <w:r w:rsidR="003501C4" w:rsidRPr="00C60440">
        <w:rPr>
          <w:sz w:val="22"/>
          <w:szCs w:val="22"/>
          <w:lang w:val="hu-HU"/>
        </w:rPr>
        <w:noBreakHyphen/>
        <w:t> </w:t>
      </w:r>
      <w:r w:rsidRPr="00C60440">
        <w:rPr>
          <w:sz w:val="22"/>
          <w:szCs w:val="22"/>
          <w:lang w:val="hu-HU"/>
        </w:rPr>
        <w:t>58,3; p</w:t>
      </w:r>
      <w:r w:rsidR="003501C4" w:rsidRPr="00C60440">
        <w:rPr>
          <w:sz w:val="22"/>
          <w:szCs w:val="22"/>
          <w:lang w:val="hu-HU"/>
        </w:rPr>
        <w:t> </w:t>
      </w:r>
      <w:r w:rsidRPr="00C60440">
        <w:rPr>
          <w:sz w:val="22"/>
          <w:szCs w:val="22"/>
          <w:lang w:val="hu-HU"/>
        </w:rPr>
        <w:t>=</w:t>
      </w:r>
      <w:r w:rsidR="003501C4" w:rsidRPr="00C60440">
        <w:rPr>
          <w:sz w:val="22"/>
          <w:szCs w:val="22"/>
          <w:lang w:val="hu-HU"/>
        </w:rPr>
        <w:t> </w:t>
      </w:r>
      <w:r w:rsidRPr="00C60440">
        <w:rPr>
          <w:sz w:val="22"/>
          <w:szCs w:val="22"/>
          <w:lang w:val="hu-HU"/>
        </w:rPr>
        <w:t>0,008), illetve 59,4</w:t>
      </w:r>
      <w:r w:rsidR="003501C4" w:rsidRPr="00C60440">
        <w:rPr>
          <w:sz w:val="22"/>
          <w:szCs w:val="22"/>
          <w:lang w:val="hu-HU"/>
        </w:rPr>
        <w:t> </w:t>
      </w:r>
      <w:r w:rsidRPr="00C60440">
        <w:rPr>
          <w:sz w:val="22"/>
          <w:szCs w:val="22"/>
          <w:lang w:val="hu-HU"/>
        </w:rPr>
        <w:t>m (95%-os CI: 29,6</w:t>
      </w:r>
      <w:r w:rsidR="003501C4" w:rsidRPr="00C60440">
        <w:rPr>
          <w:sz w:val="22"/>
          <w:szCs w:val="22"/>
          <w:lang w:val="hu-HU"/>
        </w:rPr>
        <w:t> </w:t>
      </w:r>
      <w:r w:rsidRPr="00C60440">
        <w:rPr>
          <w:sz w:val="22"/>
          <w:szCs w:val="22"/>
          <w:lang w:val="hu-HU"/>
        </w:rPr>
        <w:t>–</w:t>
      </w:r>
      <w:r w:rsidR="003501C4" w:rsidRPr="00C60440">
        <w:rPr>
          <w:sz w:val="22"/>
          <w:szCs w:val="22"/>
          <w:lang w:val="hu-HU"/>
        </w:rPr>
        <w:t> </w:t>
      </w:r>
      <w:r w:rsidRPr="00C60440">
        <w:rPr>
          <w:sz w:val="22"/>
          <w:szCs w:val="22"/>
          <w:lang w:val="hu-HU"/>
        </w:rPr>
        <w:t>89,3; p</w:t>
      </w:r>
      <w:r w:rsidR="003501C4" w:rsidRPr="00C60440">
        <w:rPr>
          <w:sz w:val="22"/>
          <w:szCs w:val="22"/>
          <w:lang w:val="hu-HU"/>
        </w:rPr>
        <w:t> </w:t>
      </w:r>
      <w:r w:rsidRPr="00C60440">
        <w:rPr>
          <w:sz w:val="22"/>
          <w:szCs w:val="22"/>
          <w:lang w:val="hu-HU"/>
        </w:rPr>
        <w:t>&lt;</w:t>
      </w:r>
      <w:r w:rsidR="003501C4" w:rsidRPr="00C60440">
        <w:rPr>
          <w:sz w:val="22"/>
          <w:szCs w:val="22"/>
          <w:lang w:val="hu-HU"/>
        </w:rPr>
        <w:t> </w:t>
      </w:r>
      <w:r w:rsidRPr="00C60440">
        <w:rPr>
          <w:sz w:val="22"/>
          <w:szCs w:val="22"/>
          <w:lang w:val="hu-HU"/>
        </w:rPr>
        <w:t xml:space="preserve">0,001) volt. Az </w:t>
      </w:r>
      <w:r w:rsidR="003501C4" w:rsidRPr="00C60440">
        <w:rPr>
          <w:sz w:val="22"/>
          <w:szCs w:val="22"/>
          <w:lang w:val="hu-HU"/>
        </w:rPr>
        <w:t>első</w:t>
      </w:r>
      <w:r w:rsidRPr="00C60440">
        <w:rPr>
          <w:sz w:val="22"/>
          <w:szCs w:val="22"/>
          <w:lang w:val="hu-HU"/>
        </w:rPr>
        <w:t xml:space="preserve"> vizsgálatban a 12. héten az átlagos 6MWD placebokorrigált javulása a 10</w:t>
      </w:r>
      <w:r w:rsidR="003501C4" w:rsidRPr="00C60440">
        <w:rPr>
          <w:sz w:val="22"/>
          <w:szCs w:val="22"/>
          <w:lang w:val="hu-HU"/>
        </w:rPr>
        <w:t> </w:t>
      </w:r>
      <w:r w:rsidRPr="00C60440">
        <w:rPr>
          <w:sz w:val="22"/>
          <w:szCs w:val="22"/>
          <w:lang w:val="hu-HU"/>
        </w:rPr>
        <w:t>mg-mal kezelt csoportban 51,4</w:t>
      </w:r>
      <w:r w:rsidR="003501C4" w:rsidRPr="00C60440">
        <w:rPr>
          <w:sz w:val="22"/>
          <w:szCs w:val="22"/>
          <w:lang w:val="hu-HU"/>
        </w:rPr>
        <w:t> </w:t>
      </w:r>
      <w:r w:rsidRPr="00C60440">
        <w:rPr>
          <w:sz w:val="22"/>
          <w:szCs w:val="22"/>
          <w:lang w:val="hu-HU"/>
        </w:rPr>
        <w:t>m (95%-os CI: 26,6</w:t>
      </w:r>
      <w:r w:rsidR="003501C4" w:rsidRPr="00C60440">
        <w:rPr>
          <w:sz w:val="22"/>
          <w:szCs w:val="22"/>
          <w:lang w:val="hu-HU"/>
        </w:rPr>
        <w:t> </w:t>
      </w:r>
      <w:r w:rsidRPr="00C60440">
        <w:rPr>
          <w:sz w:val="22"/>
          <w:szCs w:val="22"/>
          <w:lang w:val="hu-HU"/>
        </w:rPr>
        <w:t>–</w:t>
      </w:r>
      <w:r w:rsidR="003501C4" w:rsidRPr="00C60440">
        <w:rPr>
          <w:sz w:val="22"/>
          <w:szCs w:val="22"/>
          <w:lang w:val="hu-HU"/>
        </w:rPr>
        <w:t> </w:t>
      </w:r>
      <w:r w:rsidRPr="00C60440">
        <w:rPr>
          <w:sz w:val="22"/>
          <w:szCs w:val="22"/>
          <w:lang w:val="hu-HU"/>
        </w:rPr>
        <w:t>76,2; p</w:t>
      </w:r>
      <w:r w:rsidR="003501C4" w:rsidRPr="00C60440">
        <w:rPr>
          <w:sz w:val="22"/>
          <w:szCs w:val="22"/>
          <w:lang w:val="hu-HU"/>
        </w:rPr>
        <w:t> </w:t>
      </w:r>
      <w:r w:rsidRPr="00C60440">
        <w:rPr>
          <w:sz w:val="22"/>
          <w:szCs w:val="22"/>
          <w:lang w:val="hu-HU"/>
        </w:rPr>
        <w:t>&lt;</w:t>
      </w:r>
      <w:r w:rsidR="003501C4" w:rsidRPr="00C60440">
        <w:rPr>
          <w:sz w:val="22"/>
          <w:szCs w:val="22"/>
          <w:lang w:val="hu-HU"/>
        </w:rPr>
        <w:t> </w:t>
      </w:r>
      <w:r w:rsidRPr="00C60440">
        <w:rPr>
          <w:sz w:val="22"/>
          <w:szCs w:val="22"/>
          <w:lang w:val="hu-HU"/>
        </w:rPr>
        <w:t>0,001) volt.</w:t>
      </w:r>
    </w:p>
    <w:p w14:paraId="139CF382" w14:textId="77777777" w:rsidR="003501C4" w:rsidRPr="00C60440" w:rsidRDefault="003501C4" w:rsidP="000B0C05">
      <w:pPr>
        <w:pStyle w:val="Default"/>
        <w:rPr>
          <w:sz w:val="22"/>
          <w:szCs w:val="22"/>
          <w:lang w:val="hu-HU"/>
        </w:rPr>
      </w:pPr>
    </w:p>
    <w:p w14:paraId="765BFE41" w14:textId="16705693" w:rsidR="000B0C05" w:rsidRPr="00C60440" w:rsidRDefault="000B0C05" w:rsidP="000B0C05">
      <w:pPr>
        <w:pStyle w:val="Default"/>
        <w:rPr>
          <w:sz w:val="22"/>
          <w:szCs w:val="22"/>
          <w:lang w:val="hu-HU"/>
        </w:rPr>
      </w:pPr>
      <w:r w:rsidRPr="00C60440">
        <w:rPr>
          <w:sz w:val="22"/>
          <w:szCs w:val="22"/>
          <w:lang w:val="hu-HU"/>
        </w:rPr>
        <w:lastRenderedPageBreak/>
        <w:t xml:space="preserve">A </w:t>
      </w:r>
      <w:r w:rsidR="00291765">
        <w:rPr>
          <w:sz w:val="22"/>
          <w:szCs w:val="22"/>
          <w:lang w:val="hu-HU"/>
        </w:rPr>
        <w:t>III</w:t>
      </w:r>
      <w:r w:rsidR="00E36E5E" w:rsidRPr="00291765">
        <w:rPr>
          <w:sz w:val="22"/>
          <w:szCs w:val="22"/>
          <w:lang w:val="hu-HU"/>
        </w:rPr>
        <w:t xml:space="preserve">. </w:t>
      </w:r>
      <w:r w:rsidRPr="00291765">
        <w:rPr>
          <w:sz w:val="22"/>
          <w:szCs w:val="22"/>
          <w:lang w:val="hu-HU"/>
        </w:rPr>
        <w:t>fázis</w:t>
      </w:r>
      <w:r w:rsidR="00E36E5E" w:rsidRPr="00291765">
        <w:rPr>
          <w:sz w:val="22"/>
          <w:szCs w:val="22"/>
          <w:lang w:val="hu-HU"/>
        </w:rPr>
        <w:t>ú</w:t>
      </w:r>
      <w:r w:rsidRPr="00C60440">
        <w:rPr>
          <w:sz w:val="22"/>
          <w:szCs w:val="22"/>
          <w:lang w:val="hu-HU"/>
        </w:rPr>
        <w:t xml:space="preserve"> vizsgálatra vonatkozóan előre meghatározott szempontok szerinti kombinált elemzést végeztek. A placebokorrigált átlagos 6MWD javulás az 5</w:t>
      </w:r>
      <w:r w:rsidR="003501C4" w:rsidRPr="00C60440">
        <w:rPr>
          <w:sz w:val="22"/>
          <w:szCs w:val="22"/>
          <w:lang w:val="hu-HU"/>
        </w:rPr>
        <w:t> </w:t>
      </w:r>
      <w:r w:rsidRPr="00C60440">
        <w:rPr>
          <w:sz w:val="22"/>
          <w:szCs w:val="22"/>
          <w:lang w:val="hu-HU"/>
        </w:rPr>
        <w:t>mg-os csoportban 44,6</w:t>
      </w:r>
      <w:r w:rsidR="003501C4" w:rsidRPr="00C60440">
        <w:rPr>
          <w:sz w:val="22"/>
          <w:szCs w:val="22"/>
          <w:lang w:val="hu-HU"/>
        </w:rPr>
        <w:t> </w:t>
      </w:r>
      <w:r w:rsidRPr="00C60440">
        <w:rPr>
          <w:sz w:val="22"/>
          <w:szCs w:val="22"/>
          <w:lang w:val="hu-HU"/>
        </w:rPr>
        <w:t>m (95%-os CI: 24,3</w:t>
      </w:r>
      <w:r w:rsidR="003501C4" w:rsidRPr="00C60440">
        <w:rPr>
          <w:sz w:val="22"/>
          <w:szCs w:val="22"/>
          <w:lang w:val="hu-HU"/>
        </w:rPr>
        <w:t> </w:t>
      </w:r>
      <w:r w:rsidRPr="00C60440">
        <w:rPr>
          <w:sz w:val="22"/>
          <w:szCs w:val="22"/>
          <w:lang w:val="hu-HU"/>
        </w:rPr>
        <w:t>–</w:t>
      </w:r>
      <w:r w:rsidR="003501C4" w:rsidRPr="00C60440">
        <w:rPr>
          <w:sz w:val="22"/>
          <w:szCs w:val="22"/>
          <w:lang w:val="hu-HU"/>
        </w:rPr>
        <w:t> </w:t>
      </w:r>
      <w:r w:rsidRPr="00C60440">
        <w:rPr>
          <w:sz w:val="22"/>
          <w:szCs w:val="22"/>
          <w:lang w:val="hu-HU"/>
        </w:rPr>
        <w:t>64,9; p</w:t>
      </w:r>
      <w:r w:rsidR="003501C4" w:rsidRPr="00C60440">
        <w:rPr>
          <w:sz w:val="22"/>
          <w:szCs w:val="22"/>
          <w:lang w:val="hu-HU"/>
        </w:rPr>
        <w:t> </w:t>
      </w:r>
      <w:r w:rsidRPr="00C60440">
        <w:rPr>
          <w:sz w:val="22"/>
          <w:szCs w:val="22"/>
          <w:lang w:val="hu-HU"/>
        </w:rPr>
        <w:t>&lt;</w:t>
      </w:r>
      <w:r w:rsidR="003501C4" w:rsidRPr="00C60440">
        <w:rPr>
          <w:sz w:val="22"/>
          <w:szCs w:val="22"/>
          <w:lang w:val="hu-HU"/>
        </w:rPr>
        <w:t> </w:t>
      </w:r>
      <w:r w:rsidRPr="00C60440">
        <w:rPr>
          <w:sz w:val="22"/>
          <w:szCs w:val="22"/>
          <w:lang w:val="hu-HU"/>
        </w:rPr>
        <w:t>0,001), a 10</w:t>
      </w:r>
      <w:r w:rsidR="003501C4" w:rsidRPr="00C60440">
        <w:rPr>
          <w:sz w:val="22"/>
          <w:szCs w:val="22"/>
          <w:lang w:val="hu-HU"/>
        </w:rPr>
        <w:t> </w:t>
      </w:r>
      <w:r w:rsidRPr="00C60440">
        <w:rPr>
          <w:sz w:val="22"/>
          <w:szCs w:val="22"/>
          <w:lang w:val="hu-HU"/>
        </w:rPr>
        <w:t>mg-os csoportban 52,5</w:t>
      </w:r>
      <w:r w:rsidR="003501C4" w:rsidRPr="00C60440">
        <w:rPr>
          <w:sz w:val="22"/>
          <w:szCs w:val="22"/>
          <w:lang w:val="hu-HU"/>
        </w:rPr>
        <w:t> </w:t>
      </w:r>
      <w:r w:rsidRPr="00C60440">
        <w:rPr>
          <w:sz w:val="22"/>
          <w:szCs w:val="22"/>
          <w:lang w:val="hu-HU"/>
        </w:rPr>
        <w:t>m (95%-os CI: 28,8</w:t>
      </w:r>
      <w:r w:rsidR="003501C4" w:rsidRPr="00C60440">
        <w:rPr>
          <w:sz w:val="22"/>
          <w:szCs w:val="22"/>
          <w:lang w:val="hu-HU"/>
        </w:rPr>
        <w:t> </w:t>
      </w:r>
      <w:r w:rsidRPr="00C60440">
        <w:rPr>
          <w:sz w:val="22"/>
          <w:szCs w:val="22"/>
          <w:lang w:val="hu-HU"/>
        </w:rPr>
        <w:t>–</w:t>
      </w:r>
      <w:r w:rsidR="003501C4" w:rsidRPr="00C60440">
        <w:rPr>
          <w:sz w:val="22"/>
          <w:szCs w:val="22"/>
          <w:lang w:val="hu-HU"/>
        </w:rPr>
        <w:t> </w:t>
      </w:r>
      <w:r w:rsidRPr="00C60440">
        <w:rPr>
          <w:sz w:val="22"/>
          <w:szCs w:val="22"/>
          <w:lang w:val="hu-HU"/>
        </w:rPr>
        <w:t>76,2; p</w:t>
      </w:r>
      <w:r w:rsidR="003501C4" w:rsidRPr="00C60440">
        <w:rPr>
          <w:sz w:val="22"/>
          <w:szCs w:val="22"/>
          <w:lang w:val="hu-HU"/>
        </w:rPr>
        <w:t> </w:t>
      </w:r>
      <w:r w:rsidRPr="00C60440">
        <w:rPr>
          <w:sz w:val="22"/>
          <w:szCs w:val="22"/>
          <w:lang w:val="hu-HU"/>
        </w:rPr>
        <w:t>&lt;</w:t>
      </w:r>
      <w:r w:rsidR="003501C4" w:rsidRPr="00C60440">
        <w:rPr>
          <w:sz w:val="22"/>
          <w:szCs w:val="22"/>
          <w:lang w:val="hu-HU"/>
        </w:rPr>
        <w:t> </w:t>
      </w:r>
      <w:r w:rsidRPr="00C60440">
        <w:rPr>
          <w:sz w:val="22"/>
          <w:szCs w:val="22"/>
          <w:lang w:val="hu-HU"/>
        </w:rPr>
        <w:t>0,001) volt.</w:t>
      </w:r>
    </w:p>
    <w:p w14:paraId="52B9C73E" w14:textId="77777777" w:rsidR="003501C4" w:rsidRPr="00C60440" w:rsidRDefault="003501C4" w:rsidP="000B0C05">
      <w:pPr>
        <w:pStyle w:val="Default"/>
        <w:rPr>
          <w:sz w:val="22"/>
          <w:szCs w:val="22"/>
          <w:lang w:val="hu-HU"/>
        </w:rPr>
      </w:pPr>
    </w:p>
    <w:p w14:paraId="42360AB6" w14:textId="4430C6FF" w:rsidR="000B0C05" w:rsidRPr="00C60440" w:rsidRDefault="000B0C05" w:rsidP="000B0C05">
      <w:pPr>
        <w:pStyle w:val="Default"/>
        <w:rPr>
          <w:sz w:val="22"/>
          <w:szCs w:val="22"/>
          <w:lang w:val="hu-HU"/>
        </w:rPr>
      </w:pPr>
      <w:r w:rsidRPr="00C60440">
        <w:rPr>
          <w:sz w:val="22"/>
          <w:szCs w:val="22"/>
          <w:lang w:val="hu-HU"/>
        </w:rPr>
        <w:t>A</w:t>
      </w:r>
      <w:r w:rsidR="003501C4" w:rsidRPr="00C60440">
        <w:rPr>
          <w:sz w:val="22"/>
          <w:szCs w:val="22"/>
          <w:lang w:val="hu-HU"/>
        </w:rPr>
        <w:t xml:space="preserve"> második</w:t>
      </w:r>
      <w:r w:rsidRPr="00C60440">
        <w:rPr>
          <w:sz w:val="22"/>
          <w:szCs w:val="22"/>
          <w:lang w:val="hu-HU"/>
        </w:rPr>
        <w:t xml:space="preserve"> vizsgálatban az ambriszentán (a kombinált dózisú csoportban) a placebóhoz képest szignifikánsan megnyújtotta a PAH klinikai rosszabbodásáig eltelt időt (p</w:t>
      </w:r>
      <w:r w:rsidR="003501C4" w:rsidRPr="00C60440">
        <w:rPr>
          <w:sz w:val="22"/>
          <w:szCs w:val="22"/>
          <w:lang w:val="hu-HU"/>
        </w:rPr>
        <w:t> </w:t>
      </w:r>
      <w:r w:rsidRPr="00C60440">
        <w:rPr>
          <w:sz w:val="22"/>
          <w:szCs w:val="22"/>
          <w:lang w:val="hu-HU"/>
        </w:rPr>
        <w:t>&lt;</w:t>
      </w:r>
      <w:r w:rsidR="003501C4" w:rsidRPr="00C60440">
        <w:rPr>
          <w:sz w:val="22"/>
          <w:szCs w:val="22"/>
          <w:lang w:val="hu-HU"/>
        </w:rPr>
        <w:t> </w:t>
      </w:r>
      <w:r w:rsidRPr="00C60440">
        <w:rPr>
          <w:sz w:val="22"/>
          <w:szCs w:val="22"/>
          <w:lang w:val="hu-HU"/>
        </w:rPr>
        <w:t>0,001), a relatív hazárd 80%-kal csökkent (95%-os CI: 47%</w:t>
      </w:r>
      <w:r w:rsidR="003501C4" w:rsidRPr="00C60440">
        <w:rPr>
          <w:sz w:val="22"/>
          <w:szCs w:val="22"/>
          <w:lang w:val="hu-HU"/>
        </w:rPr>
        <w:t> </w:t>
      </w:r>
      <w:r w:rsidRPr="00C60440">
        <w:rPr>
          <w:sz w:val="22"/>
          <w:szCs w:val="22"/>
          <w:lang w:val="hu-HU"/>
        </w:rPr>
        <w:t>–</w:t>
      </w:r>
      <w:r w:rsidR="003501C4" w:rsidRPr="00C60440">
        <w:rPr>
          <w:sz w:val="22"/>
          <w:szCs w:val="22"/>
          <w:lang w:val="hu-HU"/>
        </w:rPr>
        <w:t> </w:t>
      </w:r>
      <w:r w:rsidRPr="00C60440">
        <w:rPr>
          <w:sz w:val="22"/>
          <w:szCs w:val="22"/>
          <w:lang w:val="hu-HU"/>
        </w:rPr>
        <w:t xml:space="preserve">92%). A következőkre terjedt ki a vizsgálat: halálozás, tüdőtranszplantáció, PAH miatti hospitalizáció, pitvari septostomia, egyéb PAH gyógyszerek adása és a </w:t>
      </w:r>
      <w:r w:rsidRPr="00DC3F79">
        <w:rPr>
          <w:sz w:val="22"/>
          <w:szCs w:val="22"/>
          <w:lang w:val="hu-HU"/>
        </w:rPr>
        <w:t>korai kimaradás kritériumai</w:t>
      </w:r>
      <w:r w:rsidRPr="00C60440">
        <w:rPr>
          <w:sz w:val="22"/>
          <w:szCs w:val="22"/>
          <w:lang w:val="hu-HU"/>
        </w:rPr>
        <w:t>. A kombinált dózisú csoportban az SF-36 Health Survey fizikális funkció skálájában statisztikailag szignifikáns emelkedést tapasztaltak (3,41</w:t>
      </w:r>
      <w:r w:rsidR="003501C4" w:rsidRPr="00C60440">
        <w:rPr>
          <w:sz w:val="22"/>
          <w:szCs w:val="22"/>
          <w:lang w:val="hu-HU"/>
        </w:rPr>
        <w:t> </w:t>
      </w:r>
      <w:r w:rsidRPr="00C60440">
        <w:rPr>
          <w:sz w:val="22"/>
          <w:szCs w:val="22"/>
          <w:lang w:val="hu-HU"/>
        </w:rPr>
        <w:t>±</w:t>
      </w:r>
      <w:r w:rsidR="003501C4" w:rsidRPr="00C60440">
        <w:rPr>
          <w:sz w:val="22"/>
          <w:szCs w:val="22"/>
          <w:lang w:val="hu-HU"/>
        </w:rPr>
        <w:t> </w:t>
      </w:r>
      <w:r w:rsidRPr="00C60440">
        <w:rPr>
          <w:sz w:val="22"/>
          <w:szCs w:val="22"/>
          <w:lang w:val="hu-HU"/>
        </w:rPr>
        <w:t>6,96),</w:t>
      </w:r>
      <w:r w:rsidR="000535D1">
        <w:rPr>
          <w:sz w:val="22"/>
          <w:szCs w:val="22"/>
          <w:lang w:val="hu-HU"/>
        </w:rPr>
        <w:t xml:space="preserve"> </w:t>
      </w:r>
      <w:r w:rsidRPr="00C60440">
        <w:rPr>
          <w:sz w:val="22"/>
          <w:szCs w:val="22"/>
          <w:lang w:val="hu-HU"/>
        </w:rPr>
        <w:t>a placebóhoz képest (</w:t>
      </w:r>
      <w:r w:rsidR="003501C4" w:rsidRPr="00C60440">
        <w:rPr>
          <w:sz w:val="22"/>
          <w:szCs w:val="22"/>
          <w:lang w:val="hu-HU"/>
        </w:rPr>
        <w:noBreakHyphen/>
      </w:r>
      <w:r w:rsidRPr="00C60440">
        <w:rPr>
          <w:sz w:val="22"/>
          <w:szCs w:val="22"/>
          <w:lang w:val="hu-HU"/>
        </w:rPr>
        <w:t>0,20</w:t>
      </w:r>
      <w:r w:rsidR="003501C4" w:rsidRPr="00C60440">
        <w:rPr>
          <w:sz w:val="22"/>
          <w:szCs w:val="22"/>
          <w:lang w:val="hu-HU"/>
        </w:rPr>
        <w:t> </w:t>
      </w:r>
      <w:r w:rsidRPr="00C60440">
        <w:rPr>
          <w:sz w:val="22"/>
          <w:szCs w:val="22"/>
          <w:lang w:val="hu-HU"/>
        </w:rPr>
        <w:t>±</w:t>
      </w:r>
      <w:r w:rsidR="003501C4" w:rsidRPr="00C60440">
        <w:rPr>
          <w:sz w:val="22"/>
          <w:szCs w:val="22"/>
          <w:lang w:val="hu-HU"/>
        </w:rPr>
        <w:t> </w:t>
      </w:r>
      <w:r w:rsidRPr="00C60440">
        <w:rPr>
          <w:sz w:val="22"/>
          <w:szCs w:val="22"/>
          <w:lang w:val="hu-HU"/>
        </w:rPr>
        <w:t>8,14, p</w:t>
      </w:r>
      <w:r w:rsidR="003501C4" w:rsidRPr="00C60440">
        <w:rPr>
          <w:sz w:val="22"/>
          <w:szCs w:val="22"/>
          <w:lang w:val="hu-HU"/>
        </w:rPr>
        <w:t> </w:t>
      </w:r>
      <w:r w:rsidRPr="00C60440">
        <w:rPr>
          <w:sz w:val="22"/>
          <w:szCs w:val="22"/>
          <w:lang w:val="hu-HU"/>
        </w:rPr>
        <w:t>=</w:t>
      </w:r>
      <w:r w:rsidR="003501C4" w:rsidRPr="00C60440">
        <w:rPr>
          <w:sz w:val="22"/>
          <w:szCs w:val="22"/>
          <w:lang w:val="hu-HU"/>
        </w:rPr>
        <w:t> </w:t>
      </w:r>
      <w:r w:rsidRPr="00C60440">
        <w:rPr>
          <w:sz w:val="22"/>
          <w:szCs w:val="22"/>
          <w:lang w:val="hu-HU"/>
        </w:rPr>
        <w:t>0,005). Az ambriszentán</w:t>
      </w:r>
      <w:r w:rsidR="003501C4" w:rsidRPr="00C60440">
        <w:rPr>
          <w:sz w:val="22"/>
          <w:szCs w:val="22"/>
          <w:lang w:val="hu-HU"/>
        </w:rPr>
        <w:noBreakHyphen/>
      </w:r>
      <w:r w:rsidRPr="00C60440">
        <w:rPr>
          <w:sz w:val="22"/>
          <w:szCs w:val="22"/>
          <w:lang w:val="hu-HU"/>
        </w:rPr>
        <w:t xml:space="preserve">kezelés eredményeképpen a Borg Dyspnoea Index (BDI) statisztikailag szignifikáns mértékben javult (placebóval korrigált BDI-nél </w:t>
      </w:r>
      <w:r w:rsidR="004150A9" w:rsidRPr="00C60440">
        <w:rPr>
          <w:sz w:val="22"/>
          <w:szCs w:val="22"/>
          <w:lang w:val="hu-HU"/>
        </w:rPr>
        <w:noBreakHyphen/>
      </w:r>
      <w:r w:rsidRPr="00C60440">
        <w:rPr>
          <w:sz w:val="22"/>
          <w:szCs w:val="22"/>
          <w:lang w:val="hu-HU"/>
        </w:rPr>
        <w:t xml:space="preserve">1,1 [95%-os CI: </w:t>
      </w:r>
      <w:r w:rsidR="0015003B" w:rsidRPr="00C60440">
        <w:rPr>
          <w:sz w:val="22"/>
          <w:szCs w:val="22"/>
          <w:lang w:val="hu-HU"/>
        </w:rPr>
        <w:noBreakHyphen/>
      </w:r>
      <w:r w:rsidRPr="00C60440">
        <w:rPr>
          <w:sz w:val="22"/>
          <w:szCs w:val="22"/>
          <w:lang w:val="hu-HU"/>
        </w:rPr>
        <w:t>1,8</w:t>
      </w:r>
      <w:r w:rsidR="00A812B6">
        <w:rPr>
          <w:sz w:val="22"/>
          <w:szCs w:val="22"/>
          <w:lang w:val="hu-HU"/>
        </w:rPr>
        <w:t>-tól</w:t>
      </w:r>
      <w:r w:rsidR="004150A9" w:rsidRPr="00C60440">
        <w:rPr>
          <w:sz w:val="22"/>
          <w:szCs w:val="22"/>
          <w:lang w:val="hu-HU"/>
        </w:rPr>
        <w:t> </w:t>
      </w:r>
      <w:r w:rsidR="004150A9" w:rsidRPr="00C60440">
        <w:rPr>
          <w:sz w:val="22"/>
          <w:szCs w:val="22"/>
          <w:lang w:val="hu-HU"/>
        </w:rPr>
        <w:noBreakHyphen/>
      </w:r>
      <w:r w:rsidRPr="00C60440">
        <w:rPr>
          <w:sz w:val="22"/>
          <w:szCs w:val="22"/>
          <w:lang w:val="hu-HU"/>
        </w:rPr>
        <w:t>0,4</w:t>
      </w:r>
      <w:r w:rsidR="00A812B6">
        <w:rPr>
          <w:sz w:val="22"/>
          <w:szCs w:val="22"/>
          <w:lang w:val="hu-HU"/>
        </w:rPr>
        <w:t>-ig</w:t>
      </w:r>
      <w:r w:rsidRPr="00C60440">
        <w:rPr>
          <w:sz w:val="22"/>
          <w:szCs w:val="22"/>
          <w:lang w:val="hu-HU"/>
        </w:rPr>
        <w:t>; p</w:t>
      </w:r>
      <w:r w:rsidR="004150A9" w:rsidRPr="00C60440">
        <w:rPr>
          <w:sz w:val="22"/>
          <w:szCs w:val="22"/>
          <w:lang w:val="hu-HU"/>
        </w:rPr>
        <w:t> </w:t>
      </w:r>
      <w:r w:rsidRPr="00C60440">
        <w:rPr>
          <w:sz w:val="22"/>
          <w:szCs w:val="22"/>
          <w:lang w:val="hu-HU"/>
        </w:rPr>
        <w:t>=</w:t>
      </w:r>
      <w:r w:rsidR="004150A9" w:rsidRPr="00C60440">
        <w:rPr>
          <w:sz w:val="22"/>
          <w:szCs w:val="22"/>
          <w:lang w:val="hu-HU"/>
        </w:rPr>
        <w:t> </w:t>
      </w:r>
      <w:r w:rsidRPr="00C60440">
        <w:rPr>
          <w:sz w:val="22"/>
          <w:szCs w:val="22"/>
          <w:lang w:val="hu-HU"/>
        </w:rPr>
        <w:t>0,019; kombinált dózisú csoport]).</w:t>
      </w:r>
    </w:p>
    <w:p w14:paraId="4CA9C09C" w14:textId="77777777" w:rsidR="004150A9" w:rsidRPr="00C60440" w:rsidRDefault="004150A9" w:rsidP="000B0C05">
      <w:pPr>
        <w:pStyle w:val="Default"/>
        <w:rPr>
          <w:sz w:val="22"/>
          <w:szCs w:val="22"/>
          <w:lang w:val="hu-HU"/>
        </w:rPr>
      </w:pPr>
    </w:p>
    <w:p w14:paraId="2E45AEC7" w14:textId="111675A1" w:rsidR="000B0C05" w:rsidRPr="00C60440" w:rsidRDefault="000B0C05" w:rsidP="000B0C05">
      <w:pPr>
        <w:pStyle w:val="Default"/>
        <w:rPr>
          <w:sz w:val="22"/>
          <w:szCs w:val="22"/>
          <w:u w:val="single"/>
          <w:lang w:val="hu-HU"/>
        </w:rPr>
      </w:pPr>
      <w:r w:rsidRPr="00C60440">
        <w:rPr>
          <w:sz w:val="22"/>
          <w:szCs w:val="22"/>
          <w:u w:val="single"/>
          <w:lang w:val="hu-HU"/>
        </w:rPr>
        <w:t>Hosszú</w:t>
      </w:r>
      <w:r w:rsidR="001C6038">
        <w:rPr>
          <w:sz w:val="22"/>
          <w:szCs w:val="22"/>
          <w:u w:val="single"/>
          <w:lang w:val="hu-HU"/>
        </w:rPr>
        <w:t xml:space="preserve"> </w:t>
      </w:r>
      <w:r w:rsidRPr="00C60440">
        <w:rPr>
          <w:sz w:val="22"/>
          <w:szCs w:val="22"/>
          <w:u w:val="single"/>
          <w:lang w:val="hu-HU"/>
        </w:rPr>
        <w:t>távú adatok</w:t>
      </w:r>
    </w:p>
    <w:p w14:paraId="36F7F12A" w14:textId="77777777" w:rsidR="004150A9" w:rsidRPr="00C60440" w:rsidRDefault="004150A9" w:rsidP="000B0C05">
      <w:pPr>
        <w:pStyle w:val="Default"/>
        <w:rPr>
          <w:sz w:val="22"/>
          <w:szCs w:val="22"/>
          <w:u w:val="single"/>
          <w:lang w:val="hu-HU"/>
        </w:rPr>
      </w:pPr>
    </w:p>
    <w:p w14:paraId="76076CBE" w14:textId="6DE01565" w:rsidR="004150A9" w:rsidRPr="00C60440" w:rsidRDefault="004150A9" w:rsidP="004150A9">
      <w:pPr>
        <w:pStyle w:val="Default"/>
        <w:rPr>
          <w:sz w:val="22"/>
          <w:szCs w:val="22"/>
          <w:lang w:val="hu-HU"/>
        </w:rPr>
      </w:pPr>
      <w:r w:rsidRPr="00C60440">
        <w:rPr>
          <w:sz w:val="22"/>
          <w:szCs w:val="22"/>
          <w:lang w:val="hu-HU"/>
        </w:rPr>
        <w:t>Az első és a második vizsgálatba bevont betegek alkalmasak voltak egy hosszú</w:t>
      </w:r>
      <w:r w:rsidR="001C6038">
        <w:rPr>
          <w:sz w:val="22"/>
          <w:szCs w:val="22"/>
          <w:lang w:val="hu-HU"/>
        </w:rPr>
        <w:t xml:space="preserve"> </w:t>
      </w:r>
      <w:r w:rsidRPr="00C60440">
        <w:rPr>
          <w:sz w:val="22"/>
          <w:szCs w:val="22"/>
          <w:lang w:val="hu-HU"/>
        </w:rPr>
        <w:t>távú, nyílt</w:t>
      </w:r>
      <w:r w:rsidR="00D048C2">
        <w:rPr>
          <w:sz w:val="22"/>
          <w:szCs w:val="22"/>
          <w:lang w:val="hu-HU"/>
        </w:rPr>
        <w:t xml:space="preserve"> elrendezésű</w:t>
      </w:r>
      <w:r w:rsidRPr="00C60440">
        <w:rPr>
          <w:sz w:val="22"/>
          <w:szCs w:val="22"/>
          <w:lang w:val="hu-HU"/>
        </w:rPr>
        <w:t>, kiterjesztéses klinikai vizsgálatba történő beválasztásra (n = 383). Az összesített átlagos expozíció 145 ± 80 hét, míg a maximális expozíció kb. 295</w:t>
      </w:r>
      <w:r w:rsidR="001C6038">
        <w:rPr>
          <w:sz w:val="22"/>
          <w:szCs w:val="22"/>
          <w:lang w:val="hu-HU"/>
        </w:rPr>
        <w:t> </w:t>
      </w:r>
      <w:r w:rsidRPr="00C60440">
        <w:rPr>
          <w:sz w:val="22"/>
          <w:szCs w:val="22"/>
          <w:lang w:val="hu-HU"/>
        </w:rPr>
        <w:t>hét volt. E vizsgálat fő elsődleges végpontjai a hosszú időtartamú ambriszentán</w:t>
      </w:r>
      <w:r w:rsidR="002B1EEA">
        <w:rPr>
          <w:sz w:val="22"/>
          <w:szCs w:val="22"/>
          <w:lang w:val="hu-HU"/>
        </w:rPr>
        <w:t>-</w:t>
      </w:r>
      <w:r w:rsidRPr="00C60440">
        <w:rPr>
          <w:sz w:val="22"/>
          <w:szCs w:val="22"/>
          <w:lang w:val="hu-HU"/>
        </w:rPr>
        <w:t>expozícióhoz társuló mellékhatások incidenciája és súlyossága (beleértve a szérum</w:t>
      </w:r>
      <w:r w:rsidR="000E69F3">
        <w:rPr>
          <w:sz w:val="22"/>
          <w:szCs w:val="22"/>
          <w:lang w:val="hu-HU"/>
        </w:rPr>
        <w:t>ból meghatározott</w:t>
      </w:r>
      <w:r w:rsidRPr="00C60440">
        <w:rPr>
          <w:sz w:val="22"/>
          <w:szCs w:val="22"/>
          <w:lang w:val="hu-HU"/>
        </w:rPr>
        <w:t xml:space="preserve"> májfunkciós vizsgálati eredményeket is) voltak. A hosszú időtartamú ambriszentán-expozícióhoz társuló, megfigyelt mellékhatások általában megegyeztek a 12 hetes placebokontrollos vizsgálatokban megfigyeltekkel.</w:t>
      </w:r>
    </w:p>
    <w:p w14:paraId="78937222" w14:textId="77777777" w:rsidR="004150A9" w:rsidRPr="00C60440" w:rsidRDefault="004150A9" w:rsidP="004150A9">
      <w:pPr>
        <w:pStyle w:val="Default"/>
        <w:rPr>
          <w:sz w:val="22"/>
          <w:szCs w:val="22"/>
          <w:lang w:val="hu-HU"/>
        </w:rPr>
      </w:pPr>
    </w:p>
    <w:p w14:paraId="15E3A498" w14:textId="4E517B29" w:rsidR="004150A9" w:rsidRPr="00C60440" w:rsidRDefault="004150A9" w:rsidP="004150A9">
      <w:pPr>
        <w:pStyle w:val="Default"/>
        <w:rPr>
          <w:sz w:val="22"/>
          <w:szCs w:val="22"/>
          <w:lang w:val="hu-HU"/>
        </w:rPr>
      </w:pPr>
      <w:r w:rsidRPr="00C60440">
        <w:rPr>
          <w:sz w:val="22"/>
          <w:szCs w:val="22"/>
          <w:lang w:val="hu-HU"/>
        </w:rPr>
        <w:t xml:space="preserve">Az ambriszentánt kapó betegek (kombinált </w:t>
      </w:r>
      <w:r w:rsidR="001C6038">
        <w:rPr>
          <w:sz w:val="22"/>
          <w:szCs w:val="22"/>
          <w:lang w:val="hu-HU"/>
        </w:rPr>
        <w:t xml:space="preserve">dózisú </w:t>
      </w:r>
      <w:r w:rsidRPr="00C60440">
        <w:rPr>
          <w:sz w:val="22"/>
          <w:szCs w:val="22"/>
          <w:lang w:val="hu-HU"/>
        </w:rPr>
        <w:t>ambriszentán</w:t>
      </w:r>
      <w:r w:rsidR="00DC3F79">
        <w:rPr>
          <w:sz w:val="22"/>
          <w:szCs w:val="22"/>
          <w:lang w:val="hu-HU"/>
        </w:rPr>
        <w:t>-</w:t>
      </w:r>
      <w:r w:rsidRPr="00C60440">
        <w:rPr>
          <w:sz w:val="22"/>
          <w:szCs w:val="22"/>
          <w:lang w:val="hu-HU"/>
        </w:rPr>
        <w:t>csoport)</w:t>
      </w:r>
      <w:r w:rsidR="001C6038">
        <w:rPr>
          <w:sz w:val="22"/>
          <w:szCs w:val="22"/>
          <w:lang w:val="hu-HU"/>
        </w:rPr>
        <w:t xml:space="preserve"> megfigyelt</w:t>
      </w:r>
      <w:r w:rsidRPr="00C60440">
        <w:rPr>
          <w:sz w:val="22"/>
          <w:szCs w:val="22"/>
          <w:lang w:val="hu-HU"/>
        </w:rPr>
        <w:t xml:space="preserve"> túlélés</w:t>
      </w:r>
      <w:r w:rsidR="001C6038">
        <w:rPr>
          <w:sz w:val="22"/>
          <w:szCs w:val="22"/>
          <w:lang w:val="hu-HU"/>
        </w:rPr>
        <w:t>i</w:t>
      </w:r>
      <w:r w:rsidRPr="00C60440">
        <w:rPr>
          <w:sz w:val="22"/>
          <w:szCs w:val="22"/>
          <w:lang w:val="hu-HU"/>
        </w:rPr>
        <w:t xml:space="preserve"> valószínűsége az 1. évnél 93%, a 2. évnél 85%, míg a 3. évnél 79% volt.</w:t>
      </w:r>
    </w:p>
    <w:p w14:paraId="273FB65A" w14:textId="77777777" w:rsidR="004150A9" w:rsidRPr="00C60440" w:rsidRDefault="004150A9" w:rsidP="004150A9">
      <w:pPr>
        <w:pStyle w:val="Default"/>
        <w:rPr>
          <w:sz w:val="22"/>
          <w:szCs w:val="22"/>
          <w:lang w:val="hu-HU"/>
        </w:rPr>
      </w:pPr>
    </w:p>
    <w:p w14:paraId="592E2087" w14:textId="7213473E" w:rsidR="004150A9" w:rsidRPr="00C60440" w:rsidRDefault="004150A9" w:rsidP="004150A9">
      <w:pPr>
        <w:pStyle w:val="Default"/>
        <w:rPr>
          <w:sz w:val="22"/>
          <w:szCs w:val="22"/>
          <w:lang w:val="hu-HU"/>
        </w:rPr>
      </w:pPr>
      <w:r w:rsidRPr="00C60440">
        <w:rPr>
          <w:sz w:val="22"/>
          <w:szCs w:val="22"/>
          <w:lang w:val="hu-HU"/>
        </w:rPr>
        <w:t>Egy nyílt</w:t>
      </w:r>
      <w:r w:rsidR="000E69F3">
        <w:rPr>
          <w:sz w:val="22"/>
          <w:szCs w:val="22"/>
          <w:lang w:val="hu-HU"/>
        </w:rPr>
        <w:t xml:space="preserve"> elrendezésű</w:t>
      </w:r>
      <w:r w:rsidRPr="00C60440">
        <w:rPr>
          <w:sz w:val="22"/>
          <w:szCs w:val="22"/>
          <w:lang w:val="hu-HU"/>
        </w:rPr>
        <w:t xml:space="preserve"> klinikai vizsgálatban (májfunkció</w:t>
      </w:r>
      <w:r w:rsidR="00A17110">
        <w:rPr>
          <w:sz w:val="22"/>
          <w:szCs w:val="22"/>
          <w:lang w:val="hu-HU"/>
        </w:rPr>
        <w:t>s</w:t>
      </w:r>
      <w:r w:rsidR="000E69F3">
        <w:rPr>
          <w:sz w:val="22"/>
          <w:szCs w:val="22"/>
          <w:lang w:val="hu-HU"/>
        </w:rPr>
        <w:t xml:space="preserve"> értékeket megfigyelő</w:t>
      </w:r>
      <w:r w:rsidRPr="00C60440">
        <w:rPr>
          <w:sz w:val="22"/>
          <w:szCs w:val="22"/>
          <w:lang w:val="hu-HU"/>
        </w:rPr>
        <w:t xml:space="preserve"> biztonságossági vizsgálat) 36, ambriszentánnal kezelt betegen azt vizsgálták, hogy milyen gyakorisággal fordulnak elő emelkedett szérum </w:t>
      </w:r>
      <w:r w:rsidR="00DC3F79">
        <w:rPr>
          <w:sz w:val="22"/>
          <w:szCs w:val="22"/>
          <w:lang w:val="hu-HU"/>
        </w:rPr>
        <w:t>transzamináz</w:t>
      </w:r>
      <w:r w:rsidRPr="00C60440">
        <w:rPr>
          <w:sz w:val="22"/>
          <w:szCs w:val="22"/>
          <w:lang w:val="hu-HU"/>
        </w:rPr>
        <w:t xml:space="preserve">-koncentrációk olyan betegeknél, akiknél korábban </w:t>
      </w:r>
      <w:r w:rsidR="000E69F3">
        <w:rPr>
          <w:sz w:val="22"/>
          <w:szCs w:val="22"/>
          <w:lang w:val="hu-HU"/>
        </w:rPr>
        <w:t>meg</w:t>
      </w:r>
      <w:r w:rsidRPr="00C60440">
        <w:rPr>
          <w:sz w:val="22"/>
          <w:szCs w:val="22"/>
          <w:lang w:val="hu-HU"/>
        </w:rPr>
        <w:t>szakítottak egy másik ERA</w:t>
      </w:r>
      <w:r w:rsidRPr="00C60440">
        <w:rPr>
          <w:sz w:val="22"/>
          <w:szCs w:val="22"/>
          <w:lang w:val="hu-HU"/>
        </w:rPr>
        <w:noBreakHyphen/>
        <w:t xml:space="preserve">kezelést kóros </w:t>
      </w:r>
      <w:r w:rsidR="00FA35FC">
        <w:rPr>
          <w:sz w:val="22"/>
          <w:szCs w:val="22"/>
          <w:lang w:val="hu-HU"/>
        </w:rPr>
        <w:t>transzamináz</w:t>
      </w:r>
      <w:r w:rsidRPr="00C60440">
        <w:rPr>
          <w:sz w:val="22"/>
          <w:szCs w:val="22"/>
          <w:lang w:val="hu-HU"/>
        </w:rPr>
        <w:t>értékek miatt. Az átlagosan 53</w:t>
      </w:r>
      <w:r w:rsidR="00703AFB">
        <w:rPr>
          <w:sz w:val="22"/>
          <w:szCs w:val="22"/>
          <w:lang w:val="hu-HU"/>
        </w:rPr>
        <w:t> </w:t>
      </w:r>
      <w:r w:rsidRPr="00C60440">
        <w:rPr>
          <w:sz w:val="22"/>
          <w:szCs w:val="22"/>
          <w:lang w:val="hu-HU"/>
        </w:rPr>
        <w:t>hetes ambriszentán</w:t>
      </w:r>
      <w:r w:rsidRPr="00C60440">
        <w:rPr>
          <w:sz w:val="22"/>
          <w:szCs w:val="22"/>
          <w:lang w:val="hu-HU"/>
        </w:rPr>
        <w:noBreakHyphen/>
        <w:t xml:space="preserve">kezelés alatt a vizsgálatba bevont betegek közül senkinél sem mértek bizonyítottan &gt; 3×ULN szérum </w:t>
      </w:r>
      <w:r w:rsidR="00FA35FC">
        <w:rPr>
          <w:sz w:val="22"/>
          <w:szCs w:val="22"/>
          <w:lang w:val="hu-HU"/>
        </w:rPr>
        <w:t>GPT</w:t>
      </w:r>
      <w:r w:rsidR="000E69F3">
        <w:rPr>
          <w:sz w:val="22"/>
          <w:szCs w:val="22"/>
          <w:lang w:val="hu-HU"/>
        </w:rPr>
        <w:t>-szintet</w:t>
      </w:r>
      <w:r w:rsidRPr="00C60440">
        <w:rPr>
          <w:sz w:val="22"/>
          <w:szCs w:val="22"/>
          <w:lang w:val="hu-HU"/>
        </w:rPr>
        <w:t xml:space="preserve">, ami a kezelés végleges </w:t>
      </w:r>
      <w:r w:rsidR="000E69F3">
        <w:rPr>
          <w:sz w:val="22"/>
          <w:szCs w:val="22"/>
          <w:lang w:val="hu-HU"/>
        </w:rPr>
        <w:t xml:space="preserve">abbahagyását </w:t>
      </w:r>
      <w:r w:rsidRPr="00C60440">
        <w:rPr>
          <w:sz w:val="22"/>
          <w:szCs w:val="22"/>
          <w:lang w:val="hu-HU"/>
        </w:rPr>
        <w:t>vonná maga után. A betegek 50%-ánál emelték ezen időszakban az ambriszentán dózisát 5 mg-ról 10 mg</w:t>
      </w:r>
      <w:r w:rsidR="00DC0B70">
        <w:rPr>
          <w:sz w:val="22"/>
          <w:szCs w:val="22"/>
          <w:lang w:val="hu-HU"/>
        </w:rPr>
        <w:noBreakHyphen/>
      </w:r>
      <w:r w:rsidRPr="00C60440">
        <w:rPr>
          <w:sz w:val="22"/>
          <w:szCs w:val="22"/>
          <w:lang w:val="hu-HU"/>
        </w:rPr>
        <w:t>ra.</w:t>
      </w:r>
    </w:p>
    <w:p w14:paraId="670FB87D" w14:textId="77777777" w:rsidR="004150A9" w:rsidRPr="00C60440" w:rsidRDefault="004150A9" w:rsidP="004150A9">
      <w:pPr>
        <w:pStyle w:val="Default"/>
        <w:rPr>
          <w:sz w:val="22"/>
          <w:szCs w:val="22"/>
          <w:lang w:val="hu-HU"/>
        </w:rPr>
      </w:pPr>
    </w:p>
    <w:p w14:paraId="03994A08" w14:textId="41B9F90D" w:rsidR="000B0C05" w:rsidRPr="00C60440" w:rsidRDefault="004150A9" w:rsidP="004150A9">
      <w:pPr>
        <w:spacing w:line="240" w:lineRule="auto"/>
        <w:rPr>
          <w:szCs w:val="22"/>
          <w:u w:val="single"/>
          <w:lang w:val="hu-HU"/>
        </w:rPr>
      </w:pPr>
      <w:r w:rsidRPr="00291765">
        <w:rPr>
          <w:szCs w:val="22"/>
          <w:lang w:val="hu-HU"/>
        </w:rPr>
        <w:t xml:space="preserve">Valamennyi </w:t>
      </w:r>
      <w:r w:rsidR="00291765">
        <w:rPr>
          <w:szCs w:val="22"/>
          <w:lang w:val="hu-HU"/>
        </w:rPr>
        <w:t>II</w:t>
      </w:r>
      <w:r w:rsidR="00703AFB" w:rsidRPr="00291765">
        <w:rPr>
          <w:szCs w:val="22"/>
          <w:lang w:val="hu-HU"/>
        </w:rPr>
        <w:t xml:space="preserve">. és </w:t>
      </w:r>
      <w:r w:rsidR="00291765">
        <w:rPr>
          <w:szCs w:val="22"/>
          <w:lang w:val="hu-HU"/>
        </w:rPr>
        <w:t>III</w:t>
      </w:r>
      <w:r w:rsidR="00703AFB" w:rsidRPr="00291765">
        <w:rPr>
          <w:szCs w:val="22"/>
          <w:lang w:val="hu-HU"/>
        </w:rPr>
        <w:t xml:space="preserve">. </w:t>
      </w:r>
      <w:r w:rsidRPr="00291765">
        <w:rPr>
          <w:szCs w:val="22"/>
          <w:lang w:val="hu-HU"/>
        </w:rPr>
        <w:t>fázis</w:t>
      </w:r>
      <w:r w:rsidR="00703AFB" w:rsidRPr="00291765">
        <w:rPr>
          <w:szCs w:val="22"/>
          <w:lang w:val="hu-HU"/>
        </w:rPr>
        <w:t>ú</w:t>
      </w:r>
      <w:r w:rsidRPr="00C60440">
        <w:rPr>
          <w:szCs w:val="22"/>
          <w:lang w:val="hu-HU"/>
        </w:rPr>
        <w:t xml:space="preserve"> vizsgálatban (beleértve a vizsgálatok nyílt </w:t>
      </w:r>
      <w:r w:rsidR="00D048C2">
        <w:rPr>
          <w:szCs w:val="22"/>
          <w:lang w:val="hu-HU"/>
        </w:rPr>
        <w:t xml:space="preserve">elrendezésű </w:t>
      </w:r>
      <w:r w:rsidRPr="00C60440">
        <w:rPr>
          <w:szCs w:val="22"/>
          <w:lang w:val="hu-HU"/>
        </w:rPr>
        <w:t>kiterjesztését is) a 79,5</w:t>
      </w:r>
      <w:r w:rsidR="00703AFB">
        <w:rPr>
          <w:szCs w:val="22"/>
          <w:lang w:val="hu-HU"/>
        </w:rPr>
        <w:t> </w:t>
      </w:r>
      <w:r w:rsidRPr="00C60440">
        <w:rPr>
          <w:szCs w:val="22"/>
          <w:lang w:val="hu-HU"/>
        </w:rPr>
        <w:t xml:space="preserve">hetes átlagos expozíciós idő alatt a normálérték felső határának háromszorosát meghaladó (&gt; 3×ULN) szérum </w:t>
      </w:r>
      <w:r w:rsidR="00FA35FC">
        <w:rPr>
          <w:szCs w:val="22"/>
          <w:lang w:val="hu-HU"/>
        </w:rPr>
        <w:t>transzamináz</w:t>
      </w:r>
      <w:r w:rsidRPr="00C60440">
        <w:rPr>
          <w:szCs w:val="22"/>
          <w:lang w:val="hu-HU"/>
        </w:rPr>
        <w:t xml:space="preserve"> eltérések kumulatív incidenciája 17 volt a 483 vizsgálati személynél. Ez </w:t>
      </w:r>
      <w:r w:rsidR="000E69F3">
        <w:rPr>
          <w:szCs w:val="22"/>
          <w:lang w:val="hu-HU"/>
        </w:rPr>
        <w:t xml:space="preserve">2,3 esemény </w:t>
      </w:r>
      <w:r w:rsidRPr="00C60440">
        <w:rPr>
          <w:szCs w:val="22"/>
          <w:lang w:val="hu-HU"/>
        </w:rPr>
        <w:t>100 betegévenként</w:t>
      </w:r>
      <w:r w:rsidR="000E69F3">
        <w:rPr>
          <w:szCs w:val="22"/>
          <w:lang w:val="hu-HU"/>
        </w:rPr>
        <w:t>i</w:t>
      </w:r>
      <w:r w:rsidRPr="00C60440">
        <w:rPr>
          <w:szCs w:val="22"/>
          <w:lang w:val="hu-HU"/>
        </w:rPr>
        <w:t xml:space="preserve"> gyakoriságot </w:t>
      </w:r>
      <w:r w:rsidR="000E69F3">
        <w:rPr>
          <w:szCs w:val="22"/>
          <w:lang w:val="hu-HU"/>
        </w:rPr>
        <w:t xml:space="preserve">jelent az </w:t>
      </w:r>
      <w:r w:rsidR="000E69F3" w:rsidRPr="00C60440">
        <w:rPr>
          <w:szCs w:val="22"/>
          <w:lang w:val="hu-HU"/>
        </w:rPr>
        <w:t>ambriszentán</w:t>
      </w:r>
      <w:r w:rsidR="000E69F3">
        <w:rPr>
          <w:szCs w:val="22"/>
          <w:lang w:val="hu-HU"/>
        </w:rPr>
        <w:t>-</w:t>
      </w:r>
      <w:r w:rsidR="000E69F3" w:rsidRPr="00C60440">
        <w:rPr>
          <w:szCs w:val="22"/>
          <w:lang w:val="hu-HU"/>
        </w:rPr>
        <w:t>expozíció</w:t>
      </w:r>
      <w:r w:rsidR="000E69F3">
        <w:rPr>
          <w:szCs w:val="22"/>
          <w:lang w:val="hu-HU"/>
        </w:rPr>
        <w:t xml:space="preserve"> esetén</w:t>
      </w:r>
      <w:r w:rsidRPr="00C60440">
        <w:rPr>
          <w:szCs w:val="22"/>
          <w:lang w:val="hu-HU"/>
        </w:rPr>
        <w:t>. Egy nyílt elrendezésű, hosszú</w:t>
      </w:r>
      <w:r w:rsidR="00CD092B">
        <w:rPr>
          <w:szCs w:val="22"/>
          <w:lang w:val="hu-HU"/>
        </w:rPr>
        <w:t xml:space="preserve"> </w:t>
      </w:r>
      <w:r w:rsidRPr="00C60440">
        <w:rPr>
          <w:szCs w:val="22"/>
          <w:lang w:val="hu-HU"/>
        </w:rPr>
        <w:t xml:space="preserve">távú, kiterjesztéses vizsgálatban a normálérték felső határát több mint háromszoros mértékben meghaladó szérum </w:t>
      </w:r>
      <w:r w:rsidR="00FA35FC">
        <w:rPr>
          <w:szCs w:val="22"/>
          <w:lang w:val="hu-HU"/>
        </w:rPr>
        <w:t>transzamináz</w:t>
      </w:r>
      <w:r w:rsidRPr="00C60440">
        <w:rPr>
          <w:szCs w:val="22"/>
          <w:lang w:val="hu-HU"/>
        </w:rPr>
        <w:t>szint</w:t>
      </w:r>
      <w:r w:rsidR="00FA35FC">
        <w:rPr>
          <w:szCs w:val="22"/>
          <w:lang w:val="hu-HU"/>
        </w:rPr>
        <w:t>-</w:t>
      </w:r>
      <w:r w:rsidRPr="00C60440">
        <w:rPr>
          <w:szCs w:val="22"/>
          <w:lang w:val="hu-HU"/>
        </w:rPr>
        <w:t>emelkedés kialakulásának 2</w:t>
      </w:r>
      <w:r w:rsidR="00CD092B">
        <w:rPr>
          <w:szCs w:val="22"/>
          <w:lang w:val="hu-HU"/>
        </w:rPr>
        <w:t> </w:t>
      </w:r>
      <w:r w:rsidRPr="00C60440">
        <w:rPr>
          <w:szCs w:val="22"/>
          <w:lang w:val="hu-HU"/>
        </w:rPr>
        <w:t>éves kockázata az ambriszentánnal kezelt betegeknél 3,9% volt.</w:t>
      </w:r>
    </w:p>
    <w:p w14:paraId="35CA57F2" w14:textId="2E9CA92B" w:rsidR="000B0C05" w:rsidRPr="00C60440" w:rsidRDefault="000B0C05" w:rsidP="00082A8E">
      <w:pPr>
        <w:spacing w:line="240" w:lineRule="auto"/>
        <w:rPr>
          <w:szCs w:val="22"/>
          <w:u w:val="single"/>
          <w:lang w:val="hu-HU"/>
        </w:rPr>
      </w:pPr>
    </w:p>
    <w:p w14:paraId="7642C96F" w14:textId="7128331C" w:rsidR="00D72A72" w:rsidRPr="00C60440" w:rsidRDefault="00D72A72" w:rsidP="00D72A72">
      <w:pPr>
        <w:pStyle w:val="Default"/>
        <w:rPr>
          <w:sz w:val="22"/>
          <w:szCs w:val="22"/>
          <w:u w:val="single"/>
          <w:lang w:val="hu-HU"/>
        </w:rPr>
      </w:pPr>
      <w:r w:rsidRPr="00C60440">
        <w:rPr>
          <w:sz w:val="22"/>
          <w:szCs w:val="22"/>
          <w:u w:val="single"/>
          <w:lang w:val="hu-HU"/>
        </w:rPr>
        <w:t>Egyéb klinikai információ</w:t>
      </w:r>
      <w:r w:rsidR="00674194">
        <w:rPr>
          <w:sz w:val="22"/>
          <w:szCs w:val="22"/>
          <w:u w:val="single"/>
          <w:lang w:val="hu-HU"/>
        </w:rPr>
        <w:t>k</w:t>
      </w:r>
    </w:p>
    <w:p w14:paraId="557C2A9E" w14:textId="77777777" w:rsidR="00D72A72" w:rsidRPr="00C60440" w:rsidRDefault="00D72A72" w:rsidP="00D72A72">
      <w:pPr>
        <w:pStyle w:val="Default"/>
        <w:rPr>
          <w:sz w:val="22"/>
          <w:szCs w:val="22"/>
          <w:u w:val="single"/>
          <w:lang w:val="hu-HU"/>
        </w:rPr>
      </w:pPr>
    </w:p>
    <w:p w14:paraId="7B36A92C" w14:textId="50312232" w:rsidR="00D72A72" w:rsidRPr="00C60440" w:rsidRDefault="00D72A72" w:rsidP="00D72A72">
      <w:pPr>
        <w:pStyle w:val="Default"/>
        <w:rPr>
          <w:sz w:val="22"/>
          <w:szCs w:val="22"/>
          <w:lang w:val="hu-HU"/>
        </w:rPr>
      </w:pPr>
      <w:r w:rsidRPr="00C60440">
        <w:rPr>
          <w:sz w:val="22"/>
          <w:szCs w:val="22"/>
          <w:lang w:val="hu-HU"/>
        </w:rPr>
        <w:t xml:space="preserve">Egy </w:t>
      </w:r>
      <w:r w:rsidR="00291765">
        <w:rPr>
          <w:sz w:val="22"/>
          <w:szCs w:val="22"/>
          <w:lang w:val="hu-HU"/>
        </w:rPr>
        <w:t>II</w:t>
      </w:r>
      <w:r w:rsidR="00674194" w:rsidRPr="00291765">
        <w:rPr>
          <w:sz w:val="22"/>
          <w:szCs w:val="22"/>
          <w:lang w:val="hu-HU"/>
        </w:rPr>
        <w:t xml:space="preserve">. </w:t>
      </w:r>
      <w:r w:rsidRPr="00291765">
        <w:rPr>
          <w:sz w:val="22"/>
          <w:szCs w:val="22"/>
          <w:lang w:val="hu-HU"/>
        </w:rPr>
        <w:t>fázis</w:t>
      </w:r>
      <w:r w:rsidR="00674194" w:rsidRPr="00291765">
        <w:rPr>
          <w:sz w:val="22"/>
          <w:szCs w:val="22"/>
          <w:lang w:val="hu-HU"/>
        </w:rPr>
        <w:t>ú</w:t>
      </w:r>
      <w:r w:rsidRPr="00C60440">
        <w:rPr>
          <w:sz w:val="22"/>
          <w:szCs w:val="22"/>
          <w:lang w:val="hu-HU"/>
        </w:rPr>
        <w:t xml:space="preserve"> vizsgálatban a PAH-ban szenvedő betegeknél (n = 29) 12</w:t>
      </w:r>
      <w:r w:rsidR="00674194">
        <w:rPr>
          <w:sz w:val="22"/>
          <w:szCs w:val="22"/>
          <w:lang w:val="hu-HU"/>
        </w:rPr>
        <w:t> </w:t>
      </w:r>
      <w:r w:rsidRPr="00C60440">
        <w:rPr>
          <w:sz w:val="22"/>
          <w:szCs w:val="22"/>
          <w:lang w:val="hu-HU"/>
        </w:rPr>
        <w:t>hetes kezelés után a hemodinamikai paraméterek javulása volt megfigyelhető. Az ambriszentán</w:t>
      </w:r>
      <w:r w:rsidRPr="00C60440">
        <w:rPr>
          <w:sz w:val="22"/>
          <w:szCs w:val="22"/>
          <w:lang w:val="hu-HU"/>
        </w:rPr>
        <w:noBreakHyphen/>
        <w:t>kezelés eredményeként az átlagos szívindex növekedett, az átlagos pulmonális artériás nyomás csökkent, és az átlagos pulmonális vascularis rezisztencia csökkent.</w:t>
      </w:r>
    </w:p>
    <w:p w14:paraId="041FC855" w14:textId="77777777" w:rsidR="00D72A72" w:rsidRPr="00C60440" w:rsidRDefault="00D72A72" w:rsidP="00D72A72">
      <w:pPr>
        <w:pStyle w:val="Default"/>
        <w:rPr>
          <w:sz w:val="22"/>
          <w:szCs w:val="22"/>
          <w:lang w:val="hu-HU"/>
        </w:rPr>
      </w:pPr>
    </w:p>
    <w:p w14:paraId="7B04F4F1" w14:textId="123CD5E2" w:rsidR="00D72A72" w:rsidRPr="00C60440" w:rsidRDefault="00D72A72" w:rsidP="00D72A72">
      <w:pPr>
        <w:pStyle w:val="Default"/>
        <w:rPr>
          <w:sz w:val="22"/>
          <w:szCs w:val="22"/>
          <w:lang w:val="hu-HU"/>
        </w:rPr>
      </w:pPr>
      <w:r w:rsidRPr="00C60440">
        <w:rPr>
          <w:sz w:val="22"/>
          <w:szCs w:val="22"/>
          <w:lang w:val="hu-HU"/>
        </w:rPr>
        <w:t>Az ambriszentán</w:t>
      </w:r>
      <w:r w:rsidRPr="00C60440">
        <w:rPr>
          <w:sz w:val="22"/>
          <w:szCs w:val="22"/>
          <w:lang w:val="hu-HU"/>
        </w:rPr>
        <w:noBreakHyphen/>
        <w:t>kezelés során a szisztolés és a diasztolés vérnyomásérték</w:t>
      </w:r>
      <w:r w:rsidR="00674194">
        <w:rPr>
          <w:sz w:val="22"/>
          <w:szCs w:val="22"/>
          <w:lang w:val="hu-HU"/>
        </w:rPr>
        <w:t>ek</w:t>
      </w:r>
      <w:r w:rsidRPr="00C60440">
        <w:rPr>
          <w:sz w:val="22"/>
          <w:szCs w:val="22"/>
          <w:lang w:val="hu-HU"/>
        </w:rPr>
        <w:t xml:space="preserve"> csökkenését jelentették. Tizenkét hetes időtartamú placebokontrollos klinikai vizsgálatokban a kiindulási állapottól a kezelés végéig a szisztolés vérnyomásérték átlagos csökkenése 3 Hgmm, a diasztolés vérnyomásérték átlagos csökkenése pedig 4,2 Hgmm volt. Egy hosszú</w:t>
      </w:r>
      <w:r w:rsidR="00674194">
        <w:rPr>
          <w:sz w:val="22"/>
          <w:szCs w:val="22"/>
          <w:lang w:val="hu-HU"/>
        </w:rPr>
        <w:t xml:space="preserve"> </w:t>
      </w:r>
      <w:r w:rsidRPr="00C60440">
        <w:rPr>
          <w:sz w:val="22"/>
          <w:szCs w:val="22"/>
          <w:lang w:val="hu-HU"/>
        </w:rPr>
        <w:t>távú, nyílt elrendezésű kiterjesztéses vizsgálatban a szisztolés és a diasztolés vérnyomásértékek átlagos csökkenése a maximum 4</w:t>
      </w:r>
      <w:r w:rsidR="00674194">
        <w:rPr>
          <w:sz w:val="22"/>
          <w:szCs w:val="22"/>
          <w:lang w:val="hu-HU"/>
        </w:rPr>
        <w:t> </w:t>
      </w:r>
      <w:r w:rsidRPr="00C60440">
        <w:rPr>
          <w:sz w:val="22"/>
          <w:szCs w:val="22"/>
          <w:lang w:val="hu-HU"/>
        </w:rPr>
        <w:t>évig tartó ambriszentán</w:t>
      </w:r>
      <w:r w:rsidRPr="00C60440">
        <w:rPr>
          <w:sz w:val="22"/>
          <w:szCs w:val="22"/>
          <w:lang w:val="hu-HU"/>
        </w:rPr>
        <w:noBreakHyphen/>
        <w:t xml:space="preserve">kezelés során </w:t>
      </w:r>
      <w:r w:rsidR="0033730E">
        <w:rPr>
          <w:sz w:val="22"/>
          <w:szCs w:val="22"/>
          <w:lang w:val="hu-HU"/>
        </w:rPr>
        <w:t>fenn</w:t>
      </w:r>
      <w:r w:rsidRPr="00C60440">
        <w:rPr>
          <w:sz w:val="22"/>
          <w:szCs w:val="22"/>
          <w:lang w:val="hu-HU"/>
        </w:rPr>
        <w:t>maradt.</w:t>
      </w:r>
    </w:p>
    <w:p w14:paraId="5BD6E3DB" w14:textId="77777777" w:rsidR="00D72A72" w:rsidRPr="00C60440" w:rsidRDefault="00D72A72" w:rsidP="00D72A72">
      <w:pPr>
        <w:pStyle w:val="Default"/>
        <w:rPr>
          <w:sz w:val="22"/>
          <w:szCs w:val="22"/>
          <w:lang w:val="hu-HU"/>
        </w:rPr>
      </w:pPr>
    </w:p>
    <w:p w14:paraId="0835BA6A" w14:textId="1F26A462" w:rsidR="00D72A72" w:rsidRPr="00C60440" w:rsidRDefault="00D72A72" w:rsidP="00D72A72">
      <w:pPr>
        <w:pStyle w:val="Default"/>
        <w:rPr>
          <w:sz w:val="22"/>
          <w:szCs w:val="22"/>
          <w:lang w:val="hu-HU"/>
        </w:rPr>
      </w:pPr>
      <w:r w:rsidRPr="00C60440">
        <w:rPr>
          <w:sz w:val="22"/>
          <w:szCs w:val="22"/>
          <w:lang w:val="hu-HU"/>
        </w:rPr>
        <w:lastRenderedPageBreak/>
        <w:t>Egy egészséges önkénteseken végzett gyógyszerkölcsönhatás vizsgálatban nem tapasztaltak klinikai jelentőséggel bíró változásokat az ambriszentán vagy a szildenafil farmakokinetikájában, és a kombináció jól tolerálhatónak bizonyult. A</w:t>
      </w:r>
      <w:r w:rsidR="008A6022" w:rsidRPr="00C60440">
        <w:rPr>
          <w:sz w:val="22"/>
          <w:szCs w:val="22"/>
          <w:lang w:val="hu-HU"/>
        </w:rPr>
        <w:t xml:space="preserve"> kiterjesztéses</w:t>
      </w:r>
      <w:r w:rsidRPr="00C60440">
        <w:rPr>
          <w:sz w:val="22"/>
          <w:szCs w:val="22"/>
          <w:lang w:val="hu-HU"/>
        </w:rPr>
        <w:t xml:space="preserve"> vizsgálatban az ambriszentánt és szildenafilt egyidejűleg kapó betegek száma 22 (5,7%), a</w:t>
      </w:r>
      <w:r w:rsidR="008A6022" w:rsidRPr="00C60440">
        <w:rPr>
          <w:sz w:val="22"/>
          <w:szCs w:val="22"/>
          <w:lang w:val="hu-HU"/>
        </w:rPr>
        <w:t xml:space="preserve"> májfunkció teszt biztonságossági vizsgálat</w:t>
      </w:r>
      <w:r w:rsidRPr="00C60440">
        <w:rPr>
          <w:sz w:val="22"/>
          <w:szCs w:val="22"/>
          <w:lang w:val="hu-HU"/>
        </w:rPr>
        <w:t>ban pedig 17 (47%) volt. Nem állapítottak meg további biztonságossági problémát ezeknél a betegeknél.</w:t>
      </w:r>
    </w:p>
    <w:p w14:paraId="287D046B" w14:textId="77777777" w:rsidR="008A6022" w:rsidRPr="00C60440" w:rsidRDefault="008A6022" w:rsidP="00D72A72">
      <w:pPr>
        <w:pStyle w:val="Default"/>
        <w:rPr>
          <w:sz w:val="22"/>
          <w:szCs w:val="22"/>
          <w:lang w:val="hu-HU"/>
        </w:rPr>
      </w:pPr>
    </w:p>
    <w:p w14:paraId="103D278A" w14:textId="0A9904B2" w:rsidR="00D72A72" w:rsidRPr="00C60440" w:rsidRDefault="00D72A72" w:rsidP="00D72A72">
      <w:pPr>
        <w:pStyle w:val="Default"/>
        <w:rPr>
          <w:sz w:val="22"/>
          <w:szCs w:val="22"/>
          <w:u w:val="single"/>
          <w:lang w:val="hu-HU"/>
        </w:rPr>
      </w:pPr>
      <w:r w:rsidRPr="00C60440">
        <w:rPr>
          <w:sz w:val="22"/>
          <w:szCs w:val="22"/>
          <w:u w:val="single"/>
          <w:lang w:val="hu-HU"/>
        </w:rPr>
        <w:t>A tadalafillal való kombináció klinikai hatásossága</w:t>
      </w:r>
    </w:p>
    <w:p w14:paraId="2B55DA6F" w14:textId="77777777" w:rsidR="00315E18" w:rsidRPr="00C60440" w:rsidRDefault="00315E18" w:rsidP="00D72A72">
      <w:pPr>
        <w:pStyle w:val="Default"/>
        <w:rPr>
          <w:sz w:val="22"/>
          <w:szCs w:val="22"/>
          <w:u w:val="single"/>
          <w:lang w:val="hu-HU"/>
        </w:rPr>
      </w:pPr>
    </w:p>
    <w:p w14:paraId="152280FF" w14:textId="413085DD" w:rsidR="00D72A72" w:rsidRPr="00C60440" w:rsidRDefault="00D72A72" w:rsidP="00D72A72">
      <w:pPr>
        <w:pStyle w:val="Default"/>
        <w:rPr>
          <w:sz w:val="22"/>
          <w:szCs w:val="22"/>
          <w:lang w:val="hu-HU"/>
        </w:rPr>
      </w:pPr>
      <w:r w:rsidRPr="00C60440">
        <w:rPr>
          <w:sz w:val="22"/>
          <w:szCs w:val="22"/>
          <w:lang w:val="hu-HU"/>
        </w:rPr>
        <w:t>Egy multicentrikus, kettős</w:t>
      </w:r>
      <w:r w:rsidR="00315E18" w:rsidRPr="00C60440">
        <w:rPr>
          <w:sz w:val="22"/>
          <w:szCs w:val="22"/>
          <w:lang w:val="hu-HU"/>
        </w:rPr>
        <w:t xml:space="preserve"> </w:t>
      </w:r>
      <w:r w:rsidRPr="00C60440">
        <w:rPr>
          <w:sz w:val="22"/>
          <w:szCs w:val="22"/>
          <w:lang w:val="hu-HU"/>
        </w:rPr>
        <w:t>vak, aktív komparátoros, esemény</w:t>
      </w:r>
      <w:r w:rsidR="00A17110">
        <w:rPr>
          <w:sz w:val="22"/>
          <w:szCs w:val="22"/>
          <w:lang w:val="hu-HU"/>
        </w:rPr>
        <w:t>vezérelt</w:t>
      </w:r>
      <w:r w:rsidRPr="00C60440">
        <w:rPr>
          <w:sz w:val="22"/>
          <w:szCs w:val="22"/>
          <w:lang w:val="hu-HU"/>
        </w:rPr>
        <w:t xml:space="preserve">, </w:t>
      </w:r>
      <w:r w:rsidR="00291765">
        <w:rPr>
          <w:sz w:val="22"/>
          <w:szCs w:val="22"/>
          <w:lang w:val="hu-HU"/>
        </w:rPr>
        <w:t>III</w:t>
      </w:r>
      <w:r w:rsidR="00C32028" w:rsidRPr="00291765">
        <w:rPr>
          <w:sz w:val="22"/>
          <w:szCs w:val="22"/>
          <w:lang w:val="hu-HU"/>
        </w:rPr>
        <w:t xml:space="preserve">. </w:t>
      </w:r>
      <w:r w:rsidRPr="00291765">
        <w:rPr>
          <w:sz w:val="22"/>
          <w:szCs w:val="22"/>
          <w:lang w:val="hu-HU"/>
        </w:rPr>
        <w:t>fázis</w:t>
      </w:r>
      <w:r w:rsidR="00C32028" w:rsidRPr="00291765">
        <w:rPr>
          <w:sz w:val="22"/>
          <w:szCs w:val="22"/>
          <w:lang w:val="hu-HU"/>
        </w:rPr>
        <w:t>ú</w:t>
      </w:r>
      <w:r w:rsidRPr="00C60440">
        <w:rPr>
          <w:sz w:val="22"/>
          <w:szCs w:val="22"/>
          <w:lang w:val="hu-HU"/>
        </w:rPr>
        <w:t xml:space="preserve"> eredményességi vizsgálatot végeztek az ambriszentán és a tadalafil kezdetektől való kombinációjának, illetve mind az ambriszentán és a tadalafil monoterápiában való alkalmazásának összehasonlító értékelésére 500, korábban kezelésben még nem részesült PAH beteg részvételével, akiket 2:1:1 arányban randomizáltak a kezelési csoportok megadott sorrendjében. Egyetlen betegnek sem adtak csak placebót. A primer analízist a kombinációs csoport és a monoterápiás csoportok összesítése között végezték el. Szupportív összehasonlító elemzést szintén végeztek a kombinációs kezelést kapó csoport, illetve az egyes monoterápiás csoportok között. A jelentős mértékű anaemiában, folyadékretencióban vagy ritka retinabetegségekben szenvedőket a vizsgálói kritériumoknak megfelelően kizárták. Szintén kizárásra kerültek </w:t>
      </w:r>
      <w:r w:rsidR="00A231D2">
        <w:rPr>
          <w:sz w:val="22"/>
          <w:szCs w:val="22"/>
          <w:lang w:val="hu-HU"/>
        </w:rPr>
        <w:t xml:space="preserve">azok a betegek, akiknek </w:t>
      </w:r>
      <w:r w:rsidRPr="00C60440">
        <w:rPr>
          <w:sz w:val="22"/>
          <w:szCs w:val="22"/>
          <w:lang w:val="hu-HU"/>
        </w:rPr>
        <w:t xml:space="preserve">a kiindulási időpontban a normálérték felső határánál kétszer magasabb </w:t>
      </w:r>
      <w:r w:rsidR="003D362B">
        <w:rPr>
          <w:sz w:val="22"/>
          <w:szCs w:val="22"/>
          <w:lang w:val="hu-HU"/>
        </w:rPr>
        <w:t>GPT-</w:t>
      </w:r>
      <w:r w:rsidRPr="00C60440">
        <w:rPr>
          <w:sz w:val="22"/>
          <w:szCs w:val="22"/>
          <w:lang w:val="hu-HU"/>
        </w:rPr>
        <w:t xml:space="preserve"> és </w:t>
      </w:r>
      <w:r w:rsidR="003D362B">
        <w:rPr>
          <w:sz w:val="22"/>
          <w:szCs w:val="22"/>
          <w:lang w:val="hu-HU"/>
        </w:rPr>
        <w:t>GOT-</w:t>
      </w:r>
      <w:r w:rsidRPr="00C60440">
        <w:rPr>
          <w:sz w:val="22"/>
          <w:szCs w:val="22"/>
          <w:lang w:val="hu-HU"/>
        </w:rPr>
        <w:t>szint</w:t>
      </w:r>
      <w:r w:rsidR="00A231D2">
        <w:rPr>
          <w:sz w:val="22"/>
          <w:szCs w:val="22"/>
          <w:lang w:val="hu-HU"/>
        </w:rPr>
        <w:t>jük volt.</w:t>
      </w:r>
    </w:p>
    <w:p w14:paraId="6D150CBC" w14:textId="77777777" w:rsidR="00315E18" w:rsidRPr="00C60440" w:rsidRDefault="00315E18" w:rsidP="00D72A72">
      <w:pPr>
        <w:pStyle w:val="Default"/>
        <w:rPr>
          <w:sz w:val="22"/>
          <w:szCs w:val="22"/>
          <w:lang w:val="hu-HU"/>
        </w:rPr>
      </w:pPr>
    </w:p>
    <w:p w14:paraId="67BB8263" w14:textId="2360EA73" w:rsidR="00D72A72" w:rsidRPr="00C60440" w:rsidRDefault="00D72A72" w:rsidP="00D72A72">
      <w:pPr>
        <w:pStyle w:val="Default"/>
        <w:rPr>
          <w:sz w:val="22"/>
          <w:szCs w:val="22"/>
          <w:lang w:val="hu-HU"/>
        </w:rPr>
      </w:pPr>
      <w:r w:rsidRPr="00C60440">
        <w:rPr>
          <w:sz w:val="22"/>
          <w:szCs w:val="22"/>
          <w:lang w:val="hu-HU"/>
        </w:rPr>
        <w:t>A kiindulási időpontban a betegek 96%-a korábban semmilyen PAH-specifikus kezelést sem kapott, és a diagnózistól a vizsgálatba való belépésig terjedő medián időtartam 22</w:t>
      </w:r>
      <w:r w:rsidR="008D2E83">
        <w:rPr>
          <w:sz w:val="22"/>
          <w:szCs w:val="22"/>
          <w:lang w:val="hu-HU"/>
        </w:rPr>
        <w:t> </w:t>
      </w:r>
      <w:r w:rsidRPr="00C60440">
        <w:rPr>
          <w:sz w:val="22"/>
          <w:szCs w:val="22"/>
          <w:lang w:val="hu-HU"/>
        </w:rPr>
        <w:t>nap volt. A betegek a kezelést 5</w:t>
      </w:r>
      <w:r w:rsidR="00315E18" w:rsidRPr="00C60440">
        <w:rPr>
          <w:sz w:val="22"/>
          <w:szCs w:val="22"/>
          <w:lang w:val="hu-HU"/>
        </w:rPr>
        <w:t> </w:t>
      </w:r>
      <w:r w:rsidRPr="00C60440">
        <w:rPr>
          <w:sz w:val="22"/>
          <w:szCs w:val="22"/>
          <w:lang w:val="hu-HU"/>
        </w:rPr>
        <w:t>mg ambriszentánnal és 20</w:t>
      </w:r>
      <w:r w:rsidR="00315E18" w:rsidRPr="00C60440">
        <w:rPr>
          <w:sz w:val="22"/>
          <w:szCs w:val="22"/>
          <w:lang w:val="hu-HU"/>
        </w:rPr>
        <w:t> </w:t>
      </w:r>
      <w:r w:rsidRPr="00C60440">
        <w:rPr>
          <w:sz w:val="22"/>
          <w:szCs w:val="22"/>
          <w:lang w:val="hu-HU"/>
        </w:rPr>
        <w:t xml:space="preserve">mg tadalafillal kezdték, majd a 4. héten a tadalafil </w:t>
      </w:r>
      <w:r w:rsidR="004D0453">
        <w:rPr>
          <w:sz w:val="22"/>
          <w:szCs w:val="22"/>
          <w:lang w:val="hu-HU"/>
        </w:rPr>
        <w:t>dózis</w:t>
      </w:r>
      <w:r w:rsidRPr="00C60440">
        <w:rPr>
          <w:sz w:val="22"/>
          <w:szCs w:val="22"/>
          <w:lang w:val="hu-HU"/>
        </w:rPr>
        <w:t>át 40</w:t>
      </w:r>
      <w:r w:rsidR="00315E18" w:rsidRPr="00C60440">
        <w:rPr>
          <w:sz w:val="22"/>
          <w:szCs w:val="22"/>
          <w:lang w:val="hu-HU"/>
        </w:rPr>
        <w:t> </w:t>
      </w:r>
      <w:r w:rsidRPr="00C60440">
        <w:rPr>
          <w:sz w:val="22"/>
          <w:szCs w:val="22"/>
          <w:lang w:val="hu-HU"/>
        </w:rPr>
        <w:t>mg</w:t>
      </w:r>
      <w:r w:rsidR="00DC0B70">
        <w:rPr>
          <w:sz w:val="22"/>
          <w:szCs w:val="22"/>
          <w:lang w:val="hu-HU"/>
        </w:rPr>
        <w:noBreakHyphen/>
        <w:t>ra</w:t>
      </w:r>
      <w:r w:rsidRPr="00C60440">
        <w:rPr>
          <w:sz w:val="22"/>
          <w:szCs w:val="22"/>
          <w:lang w:val="hu-HU"/>
        </w:rPr>
        <w:t xml:space="preserve">, és a 8. héten az ambriszentán </w:t>
      </w:r>
      <w:r w:rsidR="004D0453">
        <w:rPr>
          <w:sz w:val="22"/>
          <w:szCs w:val="22"/>
          <w:lang w:val="hu-HU"/>
        </w:rPr>
        <w:t>dózis</w:t>
      </w:r>
      <w:r w:rsidRPr="00C60440">
        <w:rPr>
          <w:sz w:val="22"/>
          <w:szCs w:val="22"/>
          <w:lang w:val="hu-HU"/>
        </w:rPr>
        <w:t>át 10</w:t>
      </w:r>
      <w:r w:rsidR="00315E18" w:rsidRPr="00C60440">
        <w:rPr>
          <w:sz w:val="22"/>
          <w:szCs w:val="22"/>
          <w:lang w:val="hu-HU"/>
        </w:rPr>
        <w:t> </w:t>
      </w:r>
      <w:r w:rsidRPr="00C60440">
        <w:rPr>
          <w:sz w:val="22"/>
          <w:szCs w:val="22"/>
          <w:lang w:val="hu-HU"/>
        </w:rPr>
        <w:t>mg</w:t>
      </w:r>
      <w:r w:rsidR="00DC0B70">
        <w:rPr>
          <w:sz w:val="22"/>
          <w:szCs w:val="22"/>
          <w:lang w:val="hu-HU"/>
        </w:rPr>
        <w:noBreakHyphen/>
      </w:r>
      <w:r w:rsidRPr="00C60440">
        <w:rPr>
          <w:sz w:val="22"/>
          <w:szCs w:val="22"/>
          <w:lang w:val="hu-HU"/>
        </w:rPr>
        <w:t>ra emelték, amennyiben nem jelentkeztek tolerálhatósági problémák. A kombinált kettős</w:t>
      </w:r>
      <w:r w:rsidR="00315E18" w:rsidRPr="00C60440">
        <w:rPr>
          <w:sz w:val="22"/>
          <w:szCs w:val="22"/>
          <w:lang w:val="hu-HU"/>
        </w:rPr>
        <w:t xml:space="preserve"> </w:t>
      </w:r>
      <w:r w:rsidRPr="00C60440">
        <w:rPr>
          <w:sz w:val="22"/>
          <w:szCs w:val="22"/>
          <w:lang w:val="hu-HU"/>
        </w:rPr>
        <w:t xml:space="preserve">vak </w:t>
      </w:r>
      <w:r w:rsidR="008D2E83">
        <w:rPr>
          <w:sz w:val="22"/>
          <w:szCs w:val="22"/>
          <w:lang w:val="hu-HU"/>
        </w:rPr>
        <w:t xml:space="preserve">kezelés </w:t>
      </w:r>
      <w:r w:rsidRPr="00C60440">
        <w:rPr>
          <w:sz w:val="22"/>
          <w:szCs w:val="22"/>
          <w:lang w:val="hu-HU"/>
        </w:rPr>
        <w:t>medián időtartama több mint 1,5</w:t>
      </w:r>
      <w:r w:rsidR="008D2E83">
        <w:rPr>
          <w:sz w:val="22"/>
          <w:szCs w:val="22"/>
          <w:lang w:val="hu-HU"/>
        </w:rPr>
        <w:t> </w:t>
      </w:r>
      <w:r w:rsidRPr="00C60440">
        <w:rPr>
          <w:sz w:val="22"/>
          <w:szCs w:val="22"/>
          <w:lang w:val="hu-HU"/>
        </w:rPr>
        <w:t>év volt.</w:t>
      </w:r>
    </w:p>
    <w:p w14:paraId="4DA0C333" w14:textId="77777777" w:rsidR="00315E18" w:rsidRPr="00C60440" w:rsidRDefault="00315E18" w:rsidP="00D72A72">
      <w:pPr>
        <w:pStyle w:val="Default"/>
        <w:rPr>
          <w:sz w:val="22"/>
          <w:szCs w:val="22"/>
          <w:lang w:val="hu-HU"/>
        </w:rPr>
      </w:pPr>
    </w:p>
    <w:p w14:paraId="1F86024F" w14:textId="2B6D5A3D" w:rsidR="00D72A72" w:rsidRPr="00C60440" w:rsidRDefault="00D72A72" w:rsidP="00D72A72">
      <w:pPr>
        <w:pStyle w:val="Default"/>
        <w:rPr>
          <w:sz w:val="22"/>
          <w:szCs w:val="22"/>
          <w:lang w:val="hu-HU"/>
        </w:rPr>
      </w:pPr>
      <w:r w:rsidRPr="00C60440">
        <w:rPr>
          <w:sz w:val="22"/>
          <w:szCs w:val="22"/>
          <w:lang w:val="hu-HU"/>
        </w:rPr>
        <w:t>Az elsődleges végpont az az időpont volt, amikor először jelentkezett klinikai sikertelenséget jelző esemény, amelynek meghatározása az alábbi:</w:t>
      </w:r>
    </w:p>
    <w:p w14:paraId="73134B37" w14:textId="1D2BA06B" w:rsidR="00D72A72" w:rsidRPr="00C60440" w:rsidRDefault="00D72A72" w:rsidP="00315E18">
      <w:pPr>
        <w:pStyle w:val="Default"/>
        <w:rPr>
          <w:sz w:val="22"/>
          <w:szCs w:val="22"/>
          <w:lang w:val="hu-HU"/>
        </w:rPr>
      </w:pPr>
      <w:r w:rsidRPr="00C60440">
        <w:rPr>
          <w:sz w:val="22"/>
          <w:szCs w:val="22"/>
          <w:lang w:val="hu-HU"/>
        </w:rPr>
        <w:t>- halál, vagy</w:t>
      </w:r>
    </w:p>
    <w:p w14:paraId="463977DD" w14:textId="2DB5DC93" w:rsidR="00D72A72" w:rsidRPr="00C60440" w:rsidRDefault="00D72A72" w:rsidP="00D72A72">
      <w:pPr>
        <w:pStyle w:val="Default"/>
        <w:rPr>
          <w:sz w:val="22"/>
          <w:szCs w:val="22"/>
          <w:lang w:val="hu-HU"/>
        </w:rPr>
      </w:pPr>
      <w:r w:rsidRPr="00C60440">
        <w:rPr>
          <w:sz w:val="22"/>
          <w:szCs w:val="22"/>
          <w:lang w:val="hu-HU"/>
        </w:rPr>
        <w:t>- a romló PAH miatti hospitalizáció,</w:t>
      </w:r>
    </w:p>
    <w:p w14:paraId="25B82EEE" w14:textId="34DBB39E" w:rsidR="00D72A72" w:rsidRPr="00C60440" w:rsidRDefault="00D72A72" w:rsidP="00D72A72">
      <w:pPr>
        <w:pStyle w:val="Default"/>
        <w:rPr>
          <w:sz w:val="22"/>
          <w:szCs w:val="22"/>
          <w:lang w:val="hu-HU"/>
        </w:rPr>
      </w:pPr>
      <w:r w:rsidRPr="00C60440">
        <w:rPr>
          <w:sz w:val="22"/>
          <w:szCs w:val="22"/>
          <w:lang w:val="hu-HU"/>
        </w:rPr>
        <w:t>- a betegség progressziója,</w:t>
      </w:r>
    </w:p>
    <w:p w14:paraId="25ED2B8A" w14:textId="6B86816C" w:rsidR="00D72A72" w:rsidRPr="00C60440" w:rsidRDefault="00D72A72" w:rsidP="00D72A72">
      <w:pPr>
        <w:pStyle w:val="Default"/>
        <w:rPr>
          <w:sz w:val="22"/>
          <w:szCs w:val="22"/>
          <w:lang w:val="hu-HU"/>
        </w:rPr>
      </w:pPr>
      <w:r w:rsidRPr="00C60440">
        <w:rPr>
          <w:sz w:val="22"/>
          <w:szCs w:val="22"/>
          <w:lang w:val="hu-HU"/>
        </w:rPr>
        <w:t>- hosszú távon nem kielégítő klinikai válasz.</w:t>
      </w:r>
    </w:p>
    <w:p w14:paraId="16AC2720" w14:textId="77777777" w:rsidR="00D72A72" w:rsidRPr="00C60440" w:rsidRDefault="00D72A72" w:rsidP="00D72A72">
      <w:pPr>
        <w:pStyle w:val="Default"/>
        <w:rPr>
          <w:sz w:val="22"/>
          <w:szCs w:val="22"/>
          <w:lang w:val="hu-HU"/>
        </w:rPr>
      </w:pPr>
    </w:p>
    <w:p w14:paraId="6565AFDE" w14:textId="4EF28C86" w:rsidR="00D72A72" w:rsidRPr="00C60440" w:rsidRDefault="00D72A72" w:rsidP="00D72A72">
      <w:pPr>
        <w:pStyle w:val="Default"/>
        <w:rPr>
          <w:sz w:val="22"/>
          <w:szCs w:val="22"/>
          <w:lang w:val="hu-HU"/>
        </w:rPr>
      </w:pPr>
      <w:r w:rsidRPr="00C60440">
        <w:rPr>
          <w:sz w:val="22"/>
          <w:szCs w:val="22"/>
          <w:lang w:val="hu-HU"/>
        </w:rPr>
        <w:t>Az beteg</w:t>
      </w:r>
      <w:r w:rsidR="008D2E83">
        <w:rPr>
          <w:sz w:val="22"/>
          <w:szCs w:val="22"/>
          <w:lang w:val="hu-HU"/>
        </w:rPr>
        <w:t>ek</w:t>
      </w:r>
      <w:r w:rsidRPr="00C60440">
        <w:rPr>
          <w:sz w:val="22"/>
          <w:szCs w:val="22"/>
          <w:lang w:val="hu-HU"/>
        </w:rPr>
        <w:t xml:space="preserve"> átlagéletkora 54</w:t>
      </w:r>
      <w:r w:rsidR="008D2E83">
        <w:rPr>
          <w:sz w:val="22"/>
          <w:szCs w:val="22"/>
          <w:lang w:val="hu-HU"/>
        </w:rPr>
        <w:t> </w:t>
      </w:r>
      <w:r w:rsidRPr="00C60440">
        <w:rPr>
          <w:sz w:val="22"/>
          <w:szCs w:val="22"/>
          <w:lang w:val="hu-HU"/>
        </w:rPr>
        <w:t>év volt (SD</w:t>
      </w:r>
      <w:r w:rsidR="008D2E83">
        <w:rPr>
          <w:sz w:val="22"/>
          <w:szCs w:val="22"/>
          <w:lang w:val="hu-HU"/>
        </w:rPr>
        <w:t> </w:t>
      </w:r>
      <w:r w:rsidRPr="00C60440">
        <w:rPr>
          <w:sz w:val="22"/>
          <w:szCs w:val="22"/>
          <w:lang w:val="hu-HU"/>
        </w:rPr>
        <w:t>15; tartomány: 18</w:t>
      </w:r>
      <w:r w:rsidR="00315E18" w:rsidRPr="00C60440">
        <w:rPr>
          <w:sz w:val="22"/>
          <w:szCs w:val="22"/>
          <w:lang w:val="hu-HU"/>
        </w:rPr>
        <w:noBreakHyphen/>
      </w:r>
      <w:r w:rsidRPr="00C60440">
        <w:rPr>
          <w:sz w:val="22"/>
          <w:szCs w:val="22"/>
          <w:lang w:val="hu-HU"/>
        </w:rPr>
        <w:t xml:space="preserve">75 év). A WHO FO a kiindulási időpontban II (31%), illetve III (69%) volt. A vizsgálati populációban a leggyakoribb etiológia (56%) az idiopathiás vagy örökletes PAH volt, amelyet a kötőszöveti rendellenességek miatti PAH (37%), a gyógyszerek, illetve toxinok miatti PAH (3%), a korrigált, egyszerű, veleszületett szívbetegség (2%) és a HIV miatti PAH (2%) követett. A WHO II. illetve III. </w:t>
      </w:r>
      <w:r w:rsidRPr="00BF1ABF">
        <w:rPr>
          <w:sz w:val="22"/>
          <w:szCs w:val="22"/>
          <w:lang w:val="hu-HU"/>
        </w:rPr>
        <w:t>FO</w:t>
      </w:r>
      <w:r w:rsidRPr="00C60440">
        <w:rPr>
          <w:sz w:val="22"/>
          <w:szCs w:val="22"/>
          <w:lang w:val="hu-HU"/>
        </w:rPr>
        <w:t>-ba tartozó betegeknél a 6MWD kiindulási átlagértéke 353</w:t>
      </w:r>
      <w:r w:rsidR="00EA55BE">
        <w:rPr>
          <w:sz w:val="22"/>
          <w:szCs w:val="22"/>
          <w:lang w:val="hu-HU"/>
        </w:rPr>
        <w:t> </w:t>
      </w:r>
      <w:r w:rsidRPr="00C60440">
        <w:rPr>
          <w:sz w:val="22"/>
          <w:szCs w:val="22"/>
          <w:lang w:val="hu-HU"/>
        </w:rPr>
        <w:t>méter volt.</w:t>
      </w:r>
    </w:p>
    <w:p w14:paraId="0AD60EC2" w14:textId="77777777" w:rsidR="00315E18" w:rsidRPr="00C60440" w:rsidRDefault="00315E18" w:rsidP="00D72A72">
      <w:pPr>
        <w:pStyle w:val="Default"/>
        <w:rPr>
          <w:sz w:val="22"/>
          <w:szCs w:val="22"/>
          <w:lang w:val="hu-HU"/>
        </w:rPr>
      </w:pPr>
    </w:p>
    <w:p w14:paraId="0918CF2A" w14:textId="4E4A44E5" w:rsidR="00D72A72" w:rsidRPr="00C60440" w:rsidRDefault="00D72A72" w:rsidP="00D72A72">
      <w:pPr>
        <w:pStyle w:val="Default"/>
        <w:rPr>
          <w:i/>
          <w:iCs/>
          <w:sz w:val="22"/>
          <w:szCs w:val="22"/>
          <w:u w:val="single"/>
          <w:lang w:val="hu-HU"/>
        </w:rPr>
      </w:pPr>
      <w:r w:rsidRPr="00C60440">
        <w:rPr>
          <w:i/>
          <w:iCs/>
          <w:sz w:val="22"/>
          <w:szCs w:val="22"/>
          <w:u w:val="single"/>
          <w:lang w:val="hu-HU"/>
        </w:rPr>
        <w:t>A terápiás eredményeket értékelő végpontok</w:t>
      </w:r>
    </w:p>
    <w:p w14:paraId="1241DE82" w14:textId="77777777" w:rsidR="00315E18" w:rsidRPr="00C60440" w:rsidRDefault="00315E18" w:rsidP="00D72A72">
      <w:pPr>
        <w:pStyle w:val="Default"/>
        <w:rPr>
          <w:sz w:val="22"/>
          <w:szCs w:val="22"/>
          <w:u w:val="single"/>
          <w:lang w:val="hu-HU"/>
        </w:rPr>
      </w:pPr>
    </w:p>
    <w:p w14:paraId="096EC47B" w14:textId="3E64B869" w:rsidR="00315E18" w:rsidRPr="00C60440" w:rsidRDefault="00D72A72" w:rsidP="00315E18">
      <w:pPr>
        <w:spacing w:line="240" w:lineRule="auto"/>
        <w:rPr>
          <w:szCs w:val="22"/>
          <w:lang w:val="hu-HU"/>
        </w:rPr>
      </w:pPr>
      <w:r w:rsidRPr="00C60440">
        <w:rPr>
          <w:szCs w:val="22"/>
          <w:lang w:val="hu-HU"/>
        </w:rPr>
        <w:t>A kombinációs kezelés a végső értékelő kontrollvizsgálatig</w:t>
      </w:r>
      <w:r w:rsidR="00315E18" w:rsidRPr="00C60440">
        <w:rPr>
          <w:szCs w:val="22"/>
          <w:lang w:val="hu-HU"/>
        </w:rPr>
        <w:t xml:space="preserve"> az összesített monoterápiás csoporthoz viszonyítva az összetett klinikai sikertelenséget értékelő végpont 50%-os kockázatcsökkenését eredményezte (relatív hazárd [HR] 0,502; 95%</w:t>
      </w:r>
      <w:r w:rsidR="00EA55BE">
        <w:rPr>
          <w:szCs w:val="22"/>
          <w:lang w:val="hu-HU"/>
        </w:rPr>
        <w:t>-os</w:t>
      </w:r>
      <w:r w:rsidR="00315E18" w:rsidRPr="00C60440">
        <w:rPr>
          <w:szCs w:val="22"/>
          <w:lang w:val="hu-HU"/>
        </w:rPr>
        <w:t xml:space="preserve"> CI: 0,348 </w:t>
      </w:r>
      <w:r w:rsidR="00315E18" w:rsidRPr="00C60440">
        <w:rPr>
          <w:szCs w:val="22"/>
          <w:lang w:val="hu-HU"/>
        </w:rPr>
        <w:noBreakHyphen/>
        <w:t xml:space="preserve"> 0,724; p = 0,0002) [1. ábra és 1. táblázat]. A kezelés hatását a hospitalizációk kombinációs terápia alatti 63%-os csökkenése határozta meg, amely korán alakult ki, és azt követően fennmaradt. A kombinációs terápia elsődleges végpontban mutatott hatásossága konzisztens volt az egyes monoterápiákkal való összehasonlítás, továbbá az életkori, etnikai, földrajzi és etiológiai alcsoportok (IPAH /hPAH és PAH-CTD) esetében is. A hatás mind a II, mind a III. </w:t>
      </w:r>
      <w:r w:rsidR="00315E18" w:rsidRPr="00BF1ABF">
        <w:rPr>
          <w:szCs w:val="22"/>
          <w:lang w:val="hu-HU"/>
        </w:rPr>
        <w:t>FO</w:t>
      </w:r>
      <w:r w:rsidR="00315E18" w:rsidRPr="00C60440">
        <w:rPr>
          <w:szCs w:val="22"/>
          <w:lang w:val="hu-HU"/>
        </w:rPr>
        <w:t>-ba sorolt betegek esetében szignifikáns volt.</w:t>
      </w:r>
    </w:p>
    <w:p w14:paraId="3166D020" w14:textId="77777777" w:rsidR="00315E18" w:rsidRPr="00C60440" w:rsidRDefault="00315E18" w:rsidP="00315E18">
      <w:pPr>
        <w:spacing w:line="240" w:lineRule="auto"/>
        <w:rPr>
          <w:szCs w:val="22"/>
          <w:lang w:val="hu-HU"/>
        </w:rPr>
      </w:pPr>
    </w:p>
    <w:p w14:paraId="7974660A" w14:textId="77777777" w:rsidR="00315E18" w:rsidRPr="00C60440" w:rsidRDefault="00315E18" w:rsidP="00315E18">
      <w:pPr>
        <w:pStyle w:val="Default"/>
        <w:rPr>
          <w:sz w:val="22"/>
          <w:szCs w:val="22"/>
          <w:lang w:val="hu-HU"/>
        </w:rPr>
      </w:pPr>
      <w:r w:rsidRPr="00C60440">
        <w:rPr>
          <w:sz w:val="22"/>
          <w:szCs w:val="22"/>
          <w:lang w:val="hu-HU"/>
        </w:rPr>
        <w:t xml:space="preserve">1. ábra A klinikai sikertelenségig eltelt időtartam </w:t>
      </w:r>
    </w:p>
    <w:p w14:paraId="5D385F24" w14:textId="4A05D1B6" w:rsidR="000B0C05" w:rsidRPr="00C60440" w:rsidRDefault="000B0C05" w:rsidP="00082A8E">
      <w:pPr>
        <w:spacing w:line="240" w:lineRule="auto"/>
        <w:rPr>
          <w:szCs w:val="22"/>
          <w:u w:val="single"/>
          <w:lang w:val="hu-HU"/>
        </w:rPr>
      </w:pPr>
    </w:p>
    <w:p w14:paraId="33E517E8" w14:textId="7AE7277E" w:rsidR="00AC028C" w:rsidRPr="00C60440" w:rsidRDefault="00AC028C" w:rsidP="008A1703">
      <w:pPr>
        <w:pStyle w:val="Default"/>
        <w:tabs>
          <w:tab w:val="left" w:pos="3119"/>
        </w:tabs>
        <w:rPr>
          <w:sz w:val="22"/>
          <w:szCs w:val="22"/>
          <w:lang w:val="hu-HU"/>
        </w:rPr>
      </w:pPr>
      <w:r>
        <w:rPr>
          <w:noProof/>
          <w:sz w:val="22"/>
          <w:szCs w:val="22"/>
          <w:lang w:val="hu-HU" w:eastAsia="hu-HU"/>
        </w:rPr>
        <w:lastRenderedPageBreak/>
        <w:drawing>
          <wp:inline distT="0" distB="0" distL="0" distR="0" wp14:anchorId="4924C954" wp14:editId="569F2A09">
            <wp:extent cx="5895110" cy="37433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5907234" cy="3751094"/>
                    </a:xfrm>
                    <a:prstGeom prst="rect">
                      <a:avLst/>
                    </a:prstGeom>
                  </pic:spPr>
                </pic:pic>
              </a:graphicData>
            </a:graphic>
          </wp:inline>
        </w:drawing>
      </w:r>
    </w:p>
    <w:p w14:paraId="2BA3840F" w14:textId="77777777" w:rsidR="001304EC" w:rsidRPr="00C60440" w:rsidRDefault="001304EC" w:rsidP="001304EC">
      <w:pPr>
        <w:spacing w:line="240" w:lineRule="auto"/>
        <w:rPr>
          <w:szCs w:val="22"/>
          <w:lang w:val="hu-HU"/>
        </w:rPr>
      </w:pPr>
    </w:p>
    <w:p w14:paraId="55CC0007" w14:textId="68B2BA57" w:rsidR="000B0C05" w:rsidRPr="00C60440" w:rsidRDefault="001304EC" w:rsidP="001304EC">
      <w:pPr>
        <w:spacing w:line="240" w:lineRule="auto"/>
        <w:rPr>
          <w:b/>
          <w:bCs/>
          <w:szCs w:val="22"/>
          <w:u w:val="single"/>
          <w:lang w:val="hu-HU"/>
        </w:rPr>
      </w:pPr>
      <w:r w:rsidRPr="00C60440">
        <w:rPr>
          <w:b/>
          <w:bCs/>
          <w:szCs w:val="22"/>
          <w:lang w:val="hu-HU"/>
        </w:rPr>
        <w:t>1. táblázat</w:t>
      </w:r>
    </w:p>
    <w:tbl>
      <w:tblPr>
        <w:tblW w:w="9290" w:type="dxa"/>
        <w:tblCellMar>
          <w:top w:w="85" w:type="dxa"/>
          <w:bottom w:w="85" w:type="dxa"/>
        </w:tblCellMar>
        <w:tblLook w:val="04A0" w:firstRow="1" w:lastRow="0" w:firstColumn="1" w:lastColumn="0" w:noHBand="0" w:noVBand="1"/>
      </w:tblPr>
      <w:tblGrid>
        <w:gridCol w:w="2714"/>
        <w:gridCol w:w="1672"/>
        <w:gridCol w:w="1835"/>
        <w:gridCol w:w="1594"/>
        <w:gridCol w:w="1475"/>
      </w:tblGrid>
      <w:tr w:rsidR="00EA3330" w:rsidRPr="00C60440" w14:paraId="3515ABE4" w14:textId="77777777" w:rsidTr="00EA3330">
        <w:tc>
          <w:tcPr>
            <w:tcW w:w="2714" w:type="dxa"/>
            <w:tcBorders>
              <w:top w:val="single" w:sz="8" w:space="0" w:color="000000"/>
              <w:left w:val="single" w:sz="8" w:space="0" w:color="000000"/>
              <w:bottom w:val="single" w:sz="8" w:space="0" w:color="000000"/>
              <w:right w:val="single" w:sz="8" w:space="0" w:color="000000"/>
            </w:tcBorders>
            <w:shd w:val="clear" w:color="auto" w:fill="auto"/>
          </w:tcPr>
          <w:p w14:paraId="68ED7409" w14:textId="77777777" w:rsidR="00EA3330" w:rsidRPr="00C60440" w:rsidRDefault="00EA3330" w:rsidP="005A0BB2">
            <w:pPr>
              <w:tabs>
                <w:tab w:val="clear" w:pos="567"/>
              </w:tabs>
              <w:spacing w:line="240" w:lineRule="auto"/>
              <w:rPr>
                <w:color w:val="000000"/>
                <w:szCs w:val="22"/>
                <w:lang w:val="hu-HU" w:eastAsia="de-AT"/>
              </w:rPr>
            </w:pPr>
            <w:r w:rsidRPr="00C60440">
              <w:rPr>
                <w:color w:val="000000"/>
                <w:szCs w:val="22"/>
                <w:lang w:val="hu-HU" w:eastAsia="de-AT"/>
              </w:rPr>
              <w:t xml:space="preserve"> </w:t>
            </w:r>
          </w:p>
        </w:tc>
        <w:tc>
          <w:tcPr>
            <w:tcW w:w="1672" w:type="dxa"/>
            <w:tcBorders>
              <w:top w:val="single" w:sz="8" w:space="0" w:color="000000"/>
              <w:left w:val="single" w:sz="8" w:space="0" w:color="000000"/>
              <w:bottom w:val="single" w:sz="8" w:space="0" w:color="000000"/>
              <w:right w:val="single" w:sz="8" w:space="0" w:color="000000"/>
            </w:tcBorders>
            <w:shd w:val="clear" w:color="auto" w:fill="auto"/>
          </w:tcPr>
          <w:p w14:paraId="4D4EE040" w14:textId="3E5393EB" w:rsidR="00EA3330" w:rsidRPr="00C60440" w:rsidRDefault="00EA3330" w:rsidP="00EA3330">
            <w:pPr>
              <w:tabs>
                <w:tab w:val="clear" w:pos="567"/>
              </w:tabs>
              <w:spacing w:line="240" w:lineRule="auto"/>
              <w:rPr>
                <w:color w:val="000000"/>
                <w:szCs w:val="22"/>
                <w:lang w:val="hu-HU" w:eastAsia="de-AT"/>
              </w:rPr>
            </w:pPr>
            <w:r w:rsidRPr="00C60440">
              <w:rPr>
                <w:b/>
                <w:color w:val="000000"/>
                <w:szCs w:val="22"/>
                <w:lang w:val="hu-HU" w:eastAsia="de-AT"/>
              </w:rPr>
              <w:t>Ambriszentán + Tadalafil</w:t>
            </w:r>
          </w:p>
          <w:p w14:paraId="65FDD116" w14:textId="00BF0BF8" w:rsidR="00EA3330" w:rsidRPr="00C60440" w:rsidRDefault="00EA3330" w:rsidP="005A0BB2">
            <w:pPr>
              <w:tabs>
                <w:tab w:val="clear" w:pos="567"/>
              </w:tabs>
              <w:spacing w:line="240" w:lineRule="auto"/>
              <w:jc w:val="center"/>
              <w:rPr>
                <w:color w:val="000000"/>
                <w:szCs w:val="22"/>
                <w:lang w:val="hu-HU" w:eastAsia="de-AT"/>
              </w:rPr>
            </w:pPr>
            <w:r w:rsidRPr="00C60440">
              <w:rPr>
                <w:b/>
                <w:color w:val="000000"/>
                <w:szCs w:val="22"/>
                <w:lang w:val="hu-HU" w:eastAsia="de-AT"/>
              </w:rPr>
              <w:t>(n = 253)</w:t>
            </w:r>
          </w:p>
        </w:tc>
        <w:tc>
          <w:tcPr>
            <w:tcW w:w="1835" w:type="dxa"/>
            <w:tcBorders>
              <w:top w:val="single" w:sz="8" w:space="0" w:color="000000"/>
              <w:left w:val="single" w:sz="8" w:space="0" w:color="000000"/>
              <w:bottom w:val="single" w:sz="8" w:space="0" w:color="000000"/>
              <w:right w:val="single" w:sz="8" w:space="0" w:color="000000"/>
            </w:tcBorders>
            <w:shd w:val="clear" w:color="auto" w:fill="auto"/>
          </w:tcPr>
          <w:p w14:paraId="40A4B2EF" w14:textId="1AF4853B" w:rsidR="00EA3330" w:rsidRPr="00C60440" w:rsidRDefault="00EA3330" w:rsidP="005A0BB2">
            <w:pPr>
              <w:tabs>
                <w:tab w:val="clear" w:pos="567"/>
              </w:tabs>
              <w:spacing w:line="240" w:lineRule="auto"/>
              <w:jc w:val="center"/>
              <w:rPr>
                <w:b/>
                <w:color w:val="000000"/>
                <w:szCs w:val="22"/>
                <w:lang w:val="hu-HU" w:eastAsia="de-AT"/>
              </w:rPr>
            </w:pPr>
            <w:r w:rsidRPr="00C60440">
              <w:rPr>
                <w:b/>
                <w:color w:val="000000"/>
                <w:szCs w:val="22"/>
                <w:lang w:val="hu-HU" w:eastAsia="de-AT"/>
              </w:rPr>
              <w:t>Monoterápiák, összesített</w:t>
            </w:r>
          </w:p>
          <w:p w14:paraId="0971490E" w14:textId="245E0FC9" w:rsidR="00EA3330" w:rsidRPr="00C60440" w:rsidRDefault="00EA3330" w:rsidP="005A0BB2">
            <w:pPr>
              <w:tabs>
                <w:tab w:val="clear" w:pos="567"/>
              </w:tabs>
              <w:spacing w:line="240" w:lineRule="auto"/>
              <w:jc w:val="center"/>
              <w:rPr>
                <w:color w:val="000000"/>
                <w:szCs w:val="22"/>
                <w:lang w:val="hu-HU" w:eastAsia="de-AT"/>
              </w:rPr>
            </w:pPr>
            <w:r w:rsidRPr="00C60440">
              <w:rPr>
                <w:b/>
                <w:color w:val="000000"/>
                <w:szCs w:val="22"/>
                <w:lang w:val="hu-HU" w:eastAsia="de-AT"/>
              </w:rPr>
              <w:t>(n = 247)</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14:paraId="5A0C4379" w14:textId="5F756905" w:rsidR="00EA3330" w:rsidRPr="00C60440" w:rsidRDefault="00EA3330" w:rsidP="005A0BB2">
            <w:pPr>
              <w:tabs>
                <w:tab w:val="clear" w:pos="567"/>
              </w:tabs>
              <w:spacing w:line="240" w:lineRule="auto"/>
              <w:jc w:val="center"/>
              <w:rPr>
                <w:b/>
                <w:color w:val="000000"/>
                <w:szCs w:val="22"/>
                <w:lang w:val="hu-HU" w:eastAsia="de-AT"/>
              </w:rPr>
            </w:pPr>
            <w:r w:rsidRPr="00C60440">
              <w:rPr>
                <w:b/>
                <w:color w:val="000000"/>
                <w:szCs w:val="22"/>
                <w:lang w:val="hu-HU" w:eastAsia="de-AT"/>
              </w:rPr>
              <w:t>Ambriszentán monoterápia</w:t>
            </w:r>
          </w:p>
          <w:p w14:paraId="23856B4D" w14:textId="2935D1CD" w:rsidR="00EA3330" w:rsidRPr="00C60440" w:rsidRDefault="00EA3330" w:rsidP="005A0BB2">
            <w:pPr>
              <w:tabs>
                <w:tab w:val="clear" w:pos="567"/>
              </w:tabs>
              <w:spacing w:line="240" w:lineRule="auto"/>
              <w:jc w:val="center"/>
              <w:rPr>
                <w:color w:val="000000"/>
                <w:szCs w:val="22"/>
                <w:lang w:val="hu-HU" w:eastAsia="de-AT"/>
              </w:rPr>
            </w:pPr>
            <w:r w:rsidRPr="00C60440">
              <w:rPr>
                <w:b/>
                <w:color w:val="000000"/>
                <w:szCs w:val="22"/>
                <w:lang w:val="hu-HU" w:eastAsia="de-AT"/>
              </w:rPr>
              <w:t>(n = 126)</w:t>
            </w:r>
          </w:p>
        </w:tc>
        <w:tc>
          <w:tcPr>
            <w:tcW w:w="1475" w:type="dxa"/>
            <w:tcBorders>
              <w:top w:val="single" w:sz="8" w:space="0" w:color="000000"/>
              <w:left w:val="single" w:sz="8" w:space="0" w:color="000000"/>
              <w:bottom w:val="single" w:sz="8" w:space="0" w:color="000000"/>
              <w:right w:val="single" w:sz="8" w:space="0" w:color="000000"/>
            </w:tcBorders>
            <w:shd w:val="clear" w:color="auto" w:fill="auto"/>
          </w:tcPr>
          <w:p w14:paraId="5072237E" w14:textId="19BE3676" w:rsidR="00EA3330" w:rsidRPr="00C60440" w:rsidRDefault="00EA3330" w:rsidP="005A0BB2">
            <w:pPr>
              <w:tabs>
                <w:tab w:val="clear" w:pos="567"/>
              </w:tabs>
              <w:spacing w:line="240" w:lineRule="auto"/>
              <w:jc w:val="center"/>
              <w:rPr>
                <w:b/>
                <w:color w:val="000000"/>
                <w:szCs w:val="22"/>
                <w:lang w:val="hu-HU" w:eastAsia="de-AT"/>
              </w:rPr>
            </w:pPr>
            <w:r w:rsidRPr="00C60440">
              <w:rPr>
                <w:b/>
                <w:color w:val="000000"/>
                <w:szCs w:val="22"/>
                <w:lang w:val="hu-HU" w:eastAsia="de-AT"/>
              </w:rPr>
              <w:t>Tadalafil monoterápia</w:t>
            </w:r>
          </w:p>
          <w:p w14:paraId="45C86D4B" w14:textId="01B352F7" w:rsidR="00EA3330" w:rsidRPr="00C60440" w:rsidRDefault="00EA3330" w:rsidP="005A0BB2">
            <w:pPr>
              <w:tabs>
                <w:tab w:val="clear" w:pos="567"/>
              </w:tabs>
              <w:spacing w:line="240" w:lineRule="auto"/>
              <w:jc w:val="center"/>
              <w:rPr>
                <w:color w:val="000000"/>
                <w:szCs w:val="22"/>
                <w:lang w:val="hu-HU" w:eastAsia="de-AT"/>
              </w:rPr>
            </w:pPr>
            <w:r w:rsidRPr="00C60440">
              <w:rPr>
                <w:b/>
                <w:color w:val="000000"/>
                <w:szCs w:val="22"/>
                <w:lang w:val="hu-HU" w:eastAsia="de-AT"/>
              </w:rPr>
              <w:t>(n = 121)</w:t>
            </w:r>
          </w:p>
        </w:tc>
      </w:tr>
      <w:tr w:rsidR="00EA3330" w:rsidRPr="00C60440" w14:paraId="5B72CDFE" w14:textId="77777777" w:rsidTr="005A0BB2">
        <w:tc>
          <w:tcPr>
            <w:tcW w:w="9290"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429B50AD" w14:textId="6029D1A0" w:rsidR="00EA3330" w:rsidRPr="00C60440" w:rsidRDefault="00EA3330" w:rsidP="00EA3330">
            <w:pPr>
              <w:pStyle w:val="Default"/>
              <w:rPr>
                <w:sz w:val="22"/>
                <w:szCs w:val="22"/>
                <w:lang w:val="hu-HU" w:eastAsia="de-AT"/>
              </w:rPr>
            </w:pPr>
            <w:r w:rsidRPr="00C60440">
              <w:rPr>
                <w:b/>
                <w:bCs/>
                <w:sz w:val="22"/>
                <w:szCs w:val="22"/>
                <w:lang w:val="hu-HU"/>
              </w:rPr>
              <w:t>Az első klinikai sikertelenséget jelző eseményig (megítélt) eltelt időtartam</w:t>
            </w:r>
          </w:p>
        </w:tc>
      </w:tr>
      <w:tr w:rsidR="00EA3330" w:rsidRPr="00C60440" w14:paraId="6C81ED83" w14:textId="77777777" w:rsidTr="00EA3330">
        <w:tc>
          <w:tcPr>
            <w:tcW w:w="2714" w:type="dxa"/>
            <w:tcBorders>
              <w:top w:val="single" w:sz="8" w:space="0" w:color="000000"/>
              <w:left w:val="single" w:sz="8" w:space="0" w:color="000000"/>
              <w:bottom w:val="single" w:sz="8" w:space="0" w:color="000000"/>
              <w:right w:val="single" w:sz="8" w:space="0" w:color="000000"/>
            </w:tcBorders>
            <w:shd w:val="clear" w:color="auto" w:fill="auto"/>
          </w:tcPr>
          <w:p w14:paraId="5E557E9C" w14:textId="2B37FFCF" w:rsidR="00EA3330" w:rsidRPr="00C60440" w:rsidRDefault="00EA3330" w:rsidP="00EA3330">
            <w:pPr>
              <w:pStyle w:val="Default"/>
              <w:rPr>
                <w:sz w:val="22"/>
                <w:szCs w:val="22"/>
                <w:lang w:val="hu-HU" w:eastAsia="de-AT"/>
              </w:rPr>
            </w:pPr>
            <w:r w:rsidRPr="00C60440">
              <w:rPr>
                <w:sz w:val="22"/>
                <w:szCs w:val="22"/>
                <w:lang w:val="hu-HU"/>
              </w:rPr>
              <w:t>Klinikai sikertelenség, száma (%)</w:t>
            </w:r>
          </w:p>
        </w:tc>
        <w:tc>
          <w:tcPr>
            <w:tcW w:w="1672" w:type="dxa"/>
            <w:tcBorders>
              <w:top w:val="single" w:sz="8" w:space="0" w:color="000000"/>
              <w:left w:val="single" w:sz="8" w:space="0" w:color="000000"/>
              <w:bottom w:val="single" w:sz="8" w:space="0" w:color="000000"/>
              <w:right w:val="single" w:sz="8" w:space="0" w:color="000000"/>
            </w:tcBorders>
            <w:shd w:val="clear" w:color="auto" w:fill="auto"/>
          </w:tcPr>
          <w:p w14:paraId="10E711BF" w14:textId="16B13560"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46 (18%)</w:t>
            </w:r>
          </w:p>
        </w:tc>
        <w:tc>
          <w:tcPr>
            <w:tcW w:w="1835" w:type="dxa"/>
            <w:tcBorders>
              <w:top w:val="single" w:sz="8" w:space="0" w:color="000000"/>
              <w:left w:val="single" w:sz="8" w:space="0" w:color="000000"/>
              <w:bottom w:val="single" w:sz="8" w:space="0" w:color="000000"/>
              <w:right w:val="single" w:sz="8" w:space="0" w:color="000000"/>
            </w:tcBorders>
            <w:shd w:val="clear" w:color="auto" w:fill="auto"/>
          </w:tcPr>
          <w:p w14:paraId="0BA09585" w14:textId="1E5D7BF9"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77 (31%)</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14:paraId="2A94CD95" w14:textId="0369B5C9"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43 (34)</w:t>
            </w:r>
          </w:p>
        </w:tc>
        <w:tc>
          <w:tcPr>
            <w:tcW w:w="1475" w:type="dxa"/>
            <w:tcBorders>
              <w:top w:val="single" w:sz="8" w:space="0" w:color="000000"/>
              <w:left w:val="single" w:sz="8" w:space="0" w:color="000000"/>
              <w:bottom w:val="single" w:sz="8" w:space="0" w:color="000000"/>
              <w:right w:val="single" w:sz="8" w:space="0" w:color="000000"/>
            </w:tcBorders>
            <w:shd w:val="clear" w:color="auto" w:fill="auto"/>
          </w:tcPr>
          <w:p w14:paraId="299FA4CC" w14:textId="096F8796"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34 (28)</w:t>
            </w:r>
          </w:p>
        </w:tc>
      </w:tr>
      <w:tr w:rsidR="00EA3330" w:rsidRPr="00C60440" w14:paraId="750B1960" w14:textId="77777777" w:rsidTr="00EA3330">
        <w:tc>
          <w:tcPr>
            <w:tcW w:w="271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F81BEC3" w14:textId="3596C80B" w:rsidR="00EA3330" w:rsidRPr="00C60440" w:rsidRDefault="00EA3330" w:rsidP="005A0BB2">
            <w:pPr>
              <w:tabs>
                <w:tab w:val="clear" w:pos="567"/>
              </w:tabs>
              <w:spacing w:line="240" w:lineRule="auto"/>
              <w:rPr>
                <w:color w:val="000000"/>
                <w:szCs w:val="22"/>
                <w:lang w:val="hu-HU" w:eastAsia="de-AT"/>
              </w:rPr>
            </w:pPr>
            <w:r w:rsidRPr="00C60440">
              <w:rPr>
                <w:color w:val="000000"/>
                <w:szCs w:val="22"/>
                <w:lang w:val="hu-HU" w:eastAsia="de-AT"/>
              </w:rPr>
              <w:t xml:space="preserve">Relatív hazárd (95%-os CI) </w:t>
            </w:r>
          </w:p>
        </w:tc>
        <w:tc>
          <w:tcPr>
            <w:tcW w:w="1672" w:type="dxa"/>
            <w:tcBorders>
              <w:top w:val="single" w:sz="8" w:space="0" w:color="000000"/>
              <w:left w:val="single" w:sz="8" w:space="0" w:color="000000"/>
              <w:bottom w:val="single" w:sz="8" w:space="0" w:color="000000"/>
              <w:right w:val="single" w:sz="8" w:space="0" w:color="000000"/>
            </w:tcBorders>
            <w:shd w:val="clear" w:color="auto" w:fill="auto"/>
            <w:vAlign w:val="bottom"/>
          </w:tcPr>
          <w:p w14:paraId="3F802890" w14:textId="693CED7D" w:rsidR="00EA3330" w:rsidRPr="00C60440" w:rsidRDefault="00EA3330" w:rsidP="005A0BB2">
            <w:pPr>
              <w:tabs>
                <w:tab w:val="clear" w:pos="567"/>
              </w:tabs>
              <w:spacing w:line="240" w:lineRule="auto"/>
              <w:rPr>
                <w:color w:val="000000"/>
                <w:szCs w:val="22"/>
                <w:lang w:val="hu-HU" w:eastAsia="de-AT"/>
              </w:rPr>
            </w:pPr>
          </w:p>
        </w:tc>
        <w:tc>
          <w:tcPr>
            <w:tcW w:w="1835" w:type="dxa"/>
            <w:tcBorders>
              <w:top w:val="single" w:sz="8" w:space="0" w:color="000000"/>
              <w:left w:val="single" w:sz="8" w:space="0" w:color="000000"/>
              <w:bottom w:val="single" w:sz="8" w:space="0" w:color="000000"/>
              <w:right w:val="single" w:sz="8" w:space="0" w:color="000000"/>
            </w:tcBorders>
            <w:shd w:val="clear" w:color="auto" w:fill="auto"/>
          </w:tcPr>
          <w:p w14:paraId="32A10178" w14:textId="32EBB333"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0,502</w:t>
            </w:r>
          </w:p>
          <w:p w14:paraId="65C2144F" w14:textId="7BDBA2C8"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 xml:space="preserve">(0,348, 0,724) </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14:paraId="619211FC" w14:textId="2049C0CA"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0,477</w:t>
            </w:r>
          </w:p>
          <w:p w14:paraId="3BC8D0FB" w14:textId="1B73BA63" w:rsidR="00EA3330" w:rsidRPr="00C60440" w:rsidRDefault="00EA3330" w:rsidP="005A0BB2">
            <w:pPr>
              <w:tabs>
                <w:tab w:val="clear" w:pos="567"/>
              </w:tabs>
              <w:spacing w:line="240" w:lineRule="auto"/>
              <w:rPr>
                <w:color w:val="000000"/>
                <w:szCs w:val="22"/>
                <w:lang w:val="hu-HU" w:eastAsia="de-AT"/>
              </w:rPr>
            </w:pPr>
            <w:r w:rsidRPr="00C60440">
              <w:rPr>
                <w:color w:val="000000"/>
                <w:szCs w:val="22"/>
                <w:lang w:val="hu-HU" w:eastAsia="de-AT"/>
              </w:rPr>
              <w:t xml:space="preserve">(0,314, 0,723) </w:t>
            </w:r>
          </w:p>
        </w:tc>
        <w:tc>
          <w:tcPr>
            <w:tcW w:w="1475" w:type="dxa"/>
            <w:tcBorders>
              <w:top w:val="single" w:sz="8" w:space="0" w:color="000000"/>
              <w:left w:val="single" w:sz="8" w:space="0" w:color="000000"/>
              <w:bottom w:val="single" w:sz="8" w:space="0" w:color="000000"/>
              <w:right w:val="single" w:sz="8" w:space="0" w:color="000000"/>
            </w:tcBorders>
            <w:shd w:val="clear" w:color="auto" w:fill="auto"/>
          </w:tcPr>
          <w:p w14:paraId="2205FE42" w14:textId="5318BC61"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0,528</w:t>
            </w:r>
          </w:p>
          <w:p w14:paraId="5AF7F1FB" w14:textId="689CFA58" w:rsidR="00EA3330" w:rsidRPr="00C60440" w:rsidRDefault="00EA3330" w:rsidP="005A0BB2">
            <w:pPr>
              <w:tabs>
                <w:tab w:val="clear" w:pos="567"/>
              </w:tabs>
              <w:spacing w:line="240" w:lineRule="auto"/>
              <w:rPr>
                <w:color w:val="000000"/>
                <w:szCs w:val="22"/>
                <w:lang w:val="hu-HU" w:eastAsia="de-AT"/>
              </w:rPr>
            </w:pPr>
            <w:r w:rsidRPr="00C60440">
              <w:rPr>
                <w:color w:val="000000"/>
                <w:szCs w:val="22"/>
                <w:lang w:val="hu-HU" w:eastAsia="de-AT"/>
              </w:rPr>
              <w:t>(0,338, 0,827)</w:t>
            </w:r>
          </w:p>
        </w:tc>
      </w:tr>
      <w:tr w:rsidR="00EA3330" w:rsidRPr="00C60440" w14:paraId="7906F017" w14:textId="77777777" w:rsidTr="00EA3330">
        <w:tc>
          <w:tcPr>
            <w:tcW w:w="2714" w:type="dxa"/>
            <w:tcBorders>
              <w:top w:val="single" w:sz="8" w:space="0" w:color="000000"/>
              <w:left w:val="single" w:sz="8" w:space="0" w:color="000000"/>
              <w:bottom w:val="single" w:sz="8" w:space="0" w:color="000000"/>
              <w:right w:val="single" w:sz="8" w:space="0" w:color="000000"/>
            </w:tcBorders>
            <w:shd w:val="clear" w:color="auto" w:fill="auto"/>
          </w:tcPr>
          <w:p w14:paraId="45D966FE" w14:textId="610F5B07" w:rsidR="00EA3330" w:rsidRPr="00C60440" w:rsidRDefault="00EA3330" w:rsidP="005A0BB2">
            <w:pPr>
              <w:tabs>
                <w:tab w:val="clear" w:pos="567"/>
              </w:tabs>
              <w:spacing w:line="240" w:lineRule="auto"/>
              <w:rPr>
                <w:color w:val="000000"/>
                <w:szCs w:val="22"/>
                <w:lang w:val="hu-HU" w:eastAsia="de-AT"/>
              </w:rPr>
            </w:pPr>
            <w:r w:rsidRPr="00C60440">
              <w:rPr>
                <w:color w:val="000000"/>
                <w:szCs w:val="22"/>
                <w:lang w:val="hu-HU" w:eastAsia="de-AT"/>
              </w:rPr>
              <w:t>p-érték, Lograng próba</w:t>
            </w:r>
          </w:p>
        </w:tc>
        <w:tc>
          <w:tcPr>
            <w:tcW w:w="1672" w:type="dxa"/>
            <w:tcBorders>
              <w:top w:val="single" w:sz="8" w:space="0" w:color="000000"/>
              <w:left w:val="single" w:sz="8" w:space="0" w:color="000000"/>
              <w:bottom w:val="single" w:sz="8" w:space="0" w:color="000000"/>
              <w:right w:val="single" w:sz="8" w:space="0" w:color="000000"/>
            </w:tcBorders>
            <w:shd w:val="clear" w:color="auto" w:fill="auto"/>
            <w:vAlign w:val="bottom"/>
          </w:tcPr>
          <w:p w14:paraId="40510680" w14:textId="2523F6A8" w:rsidR="00EA3330" w:rsidRPr="00C60440" w:rsidRDefault="00EA3330" w:rsidP="005A0BB2">
            <w:pPr>
              <w:tabs>
                <w:tab w:val="clear" w:pos="567"/>
              </w:tabs>
              <w:spacing w:line="240" w:lineRule="auto"/>
              <w:rPr>
                <w:color w:val="000000"/>
                <w:szCs w:val="22"/>
                <w:lang w:val="hu-HU" w:eastAsia="de-AT"/>
              </w:rPr>
            </w:pPr>
          </w:p>
        </w:tc>
        <w:tc>
          <w:tcPr>
            <w:tcW w:w="1835" w:type="dxa"/>
            <w:tcBorders>
              <w:top w:val="single" w:sz="8" w:space="0" w:color="000000"/>
              <w:left w:val="single" w:sz="8" w:space="0" w:color="000000"/>
              <w:bottom w:val="single" w:sz="8" w:space="0" w:color="000000"/>
              <w:right w:val="single" w:sz="8" w:space="0" w:color="000000"/>
            </w:tcBorders>
            <w:shd w:val="clear" w:color="auto" w:fill="auto"/>
          </w:tcPr>
          <w:p w14:paraId="7F73295F" w14:textId="7DCD5DEB"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0,0002</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14:paraId="00072FA8" w14:textId="4A9901D9"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0,0004</w:t>
            </w:r>
          </w:p>
        </w:tc>
        <w:tc>
          <w:tcPr>
            <w:tcW w:w="1475" w:type="dxa"/>
            <w:tcBorders>
              <w:top w:val="single" w:sz="8" w:space="0" w:color="000000"/>
              <w:left w:val="single" w:sz="8" w:space="0" w:color="000000"/>
              <w:bottom w:val="single" w:sz="8" w:space="0" w:color="000000"/>
              <w:right w:val="single" w:sz="8" w:space="0" w:color="000000"/>
            </w:tcBorders>
            <w:shd w:val="clear" w:color="auto" w:fill="auto"/>
          </w:tcPr>
          <w:p w14:paraId="2EBBE32D" w14:textId="68D76A11"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0,0045</w:t>
            </w:r>
          </w:p>
        </w:tc>
      </w:tr>
      <w:tr w:rsidR="00BD5692" w:rsidRPr="00C60440" w14:paraId="4BFE518C" w14:textId="77777777" w:rsidTr="005A0BB2">
        <w:tc>
          <w:tcPr>
            <w:tcW w:w="9290"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091A2B5D" w14:textId="5E38BE35" w:rsidR="00BD5692" w:rsidRPr="00C60440" w:rsidRDefault="00BD5692" w:rsidP="00BD5692">
            <w:pPr>
              <w:pStyle w:val="Default"/>
              <w:rPr>
                <w:sz w:val="22"/>
                <w:szCs w:val="22"/>
                <w:lang w:val="hu-HU" w:eastAsia="de-AT"/>
              </w:rPr>
            </w:pPr>
            <w:r w:rsidRPr="00C60440">
              <w:rPr>
                <w:b/>
                <w:bCs/>
                <w:sz w:val="22"/>
                <w:szCs w:val="22"/>
                <w:lang w:val="hu-HU"/>
              </w:rPr>
              <w:t>Az első klinikai sikertelenséget jelző esemény összetevője (megítélt)</w:t>
            </w:r>
          </w:p>
        </w:tc>
      </w:tr>
      <w:tr w:rsidR="00EA3330" w:rsidRPr="00C60440" w14:paraId="16226094" w14:textId="77777777" w:rsidTr="00EA3330">
        <w:tc>
          <w:tcPr>
            <w:tcW w:w="2714" w:type="dxa"/>
            <w:tcBorders>
              <w:top w:val="single" w:sz="8" w:space="0" w:color="000000"/>
              <w:left w:val="single" w:sz="8" w:space="0" w:color="000000"/>
              <w:bottom w:val="single" w:sz="8" w:space="0" w:color="000000"/>
              <w:right w:val="single" w:sz="8" w:space="0" w:color="000000"/>
            </w:tcBorders>
            <w:shd w:val="clear" w:color="auto" w:fill="auto"/>
          </w:tcPr>
          <w:p w14:paraId="768B3BA0" w14:textId="0922646D" w:rsidR="00EA3330" w:rsidRPr="00C60440" w:rsidRDefault="00BD5692" w:rsidP="005A0BB2">
            <w:pPr>
              <w:tabs>
                <w:tab w:val="clear" w:pos="567"/>
              </w:tabs>
              <w:spacing w:line="240" w:lineRule="auto"/>
              <w:rPr>
                <w:color w:val="000000"/>
                <w:szCs w:val="22"/>
                <w:lang w:val="hu-HU" w:eastAsia="de-AT"/>
              </w:rPr>
            </w:pPr>
            <w:r w:rsidRPr="00C60440">
              <w:rPr>
                <w:color w:val="000000"/>
                <w:szCs w:val="22"/>
                <w:lang w:val="hu-HU" w:eastAsia="de-AT"/>
              </w:rPr>
              <w:t>Halálozás (össz</w:t>
            </w:r>
            <w:r w:rsidR="00EA3330" w:rsidRPr="00C60440">
              <w:rPr>
                <w:color w:val="000000"/>
                <w:szCs w:val="22"/>
                <w:lang w:val="hu-HU" w:eastAsia="de-AT"/>
              </w:rPr>
              <w:t xml:space="preserve">) </w:t>
            </w:r>
          </w:p>
        </w:tc>
        <w:tc>
          <w:tcPr>
            <w:tcW w:w="1672" w:type="dxa"/>
            <w:tcBorders>
              <w:top w:val="single" w:sz="8" w:space="0" w:color="000000"/>
              <w:left w:val="single" w:sz="8" w:space="0" w:color="000000"/>
              <w:bottom w:val="single" w:sz="8" w:space="0" w:color="000000"/>
              <w:right w:val="single" w:sz="8" w:space="0" w:color="000000"/>
            </w:tcBorders>
            <w:shd w:val="clear" w:color="auto" w:fill="auto"/>
          </w:tcPr>
          <w:p w14:paraId="567B6C2C" w14:textId="6FCA87C5"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9 (4%)</w:t>
            </w:r>
          </w:p>
        </w:tc>
        <w:tc>
          <w:tcPr>
            <w:tcW w:w="1835" w:type="dxa"/>
            <w:tcBorders>
              <w:top w:val="single" w:sz="8" w:space="0" w:color="000000"/>
              <w:left w:val="single" w:sz="8" w:space="0" w:color="000000"/>
              <w:bottom w:val="single" w:sz="8" w:space="0" w:color="000000"/>
              <w:right w:val="single" w:sz="8" w:space="0" w:color="000000"/>
            </w:tcBorders>
            <w:shd w:val="clear" w:color="auto" w:fill="auto"/>
          </w:tcPr>
          <w:p w14:paraId="57F1C859" w14:textId="47C78AA0"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8 (3%)</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14:paraId="719FDB8A" w14:textId="4D1DF1EB"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2 (2)</w:t>
            </w:r>
          </w:p>
        </w:tc>
        <w:tc>
          <w:tcPr>
            <w:tcW w:w="1475" w:type="dxa"/>
            <w:tcBorders>
              <w:top w:val="single" w:sz="8" w:space="0" w:color="000000"/>
              <w:left w:val="single" w:sz="8" w:space="0" w:color="000000"/>
              <w:bottom w:val="single" w:sz="8" w:space="0" w:color="000000"/>
              <w:right w:val="single" w:sz="8" w:space="0" w:color="000000"/>
            </w:tcBorders>
            <w:shd w:val="clear" w:color="auto" w:fill="auto"/>
          </w:tcPr>
          <w:p w14:paraId="1CB63BD7" w14:textId="10D69D64"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6 (5)</w:t>
            </w:r>
          </w:p>
        </w:tc>
      </w:tr>
      <w:tr w:rsidR="00EA3330" w:rsidRPr="00C60440" w14:paraId="00ABFD28" w14:textId="77777777" w:rsidTr="00EA3330">
        <w:tc>
          <w:tcPr>
            <w:tcW w:w="2714" w:type="dxa"/>
            <w:tcBorders>
              <w:top w:val="single" w:sz="8" w:space="0" w:color="000000"/>
              <w:left w:val="single" w:sz="8" w:space="0" w:color="000000"/>
              <w:bottom w:val="single" w:sz="8" w:space="0" w:color="000000"/>
              <w:right w:val="single" w:sz="8" w:space="0" w:color="000000"/>
            </w:tcBorders>
            <w:shd w:val="clear" w:color="auto" w:fill="auto"/>
          </w:tcPr>
          <w:p w14:paraId="3FDFCD74" w14:textId="3D15DE6F" w:rsidR="00EA3330" w:rsidRPr="00C60440" w:rsidRDefault="00BD5692" w:rsidP="00BD5692">
            <w:pPr>
              <w:pStyle w:val="Default"/>
              <w:rPr>
                <w:sz w:val="22"/>
                <w:szCs w:val="22"/>
                <w:lang w:val="hu-HU" w:eastAsia="de-AT"/>
              </w:rPr>
            </w:pPr>
            <w:r w:rsidRPr="00C60440">
              <w:rPr>
                <w:sz w:val="22"/>
                <w:szCs w:val="22"/>
                <w:lang w:val="hu-HU"/>
              </w:rPr>
              <w:t>Súlyosbodó PAH miatti hospitalizáció</w:t>
            </w:r>
          </w:p>
        </w:tc>
        <w:tc>
          <w:tcPr>
            <w:tcW w:w="1672" w:type="dxa"/>
            <w:tcBorders>
              <w:top w:val="single" w:sz="8" w:space="0" w:color="000000"/>
              <w:left w:val="single" w:sz="8" w:space="0" w:color="000000"/>
              <w:bottom w:val="single" w:sz="8" w:space="0" w:color="000000"/>
              <w:right w:val="single" w:sz="8" w:space="0" w:color="000000"/>
            </w:tcBorders>
            <w:shd w:val="clear" w:color="auto" w:fill="auto"/>
          </w:tcPr>
          <w:p w14:paraId="07D9C41E" w14:textId="1460B0B7"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10 (4%)</w:t>
            </w:r>
          </w:p>
        </w:tc>
        <w:tc>
          <w:tcPr>
            <w:tcW w:w="1835" w:type="dxa"/>
            <w:tcBorders>
              <w:top w:val="single" w:sz="8" w:space="0" w:color="000000"/>
              <w:left w:val="single" w:sz="8" w:space="0" w:color="000000"/>
              <w:bottom w:val="single" w:sz="8" w:space="0" w:color="000000"/>
              <w:right w:val="single" w:sz="8" w:space="0" w:color="000000"/>
            </w:tcBorders>
            <w:shd w:val="clear" w:color="auto" w:fill="auto"/>
          </w:tcPr>
          <w:p w14:paraId="484578BB" w14:textId="5C681679"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30 (12%)</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14:paraId="2C3582DD" w14:textId="2033106D"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18 (14)</w:t>
            </w:r>
          </w:p>
        </w:tc>
        <w:tc>
          <w:tcPr>
            <w:tcW w:w="1475" w:type="dxa"/>
            <w:tcBorders>
              <w:top w:val="single" w:sz="8" w:space="0" w:color="000000"/>
              <w:left w:val="single" w:sz="8" w:space="0" w:color="000000"/>
              <w:bottom w:val="single" w:sz="8" w:space="0" w:color="000000"/>
              <w:right w:val="single" w:sz="8" w:space="0" w:color="000000"/>
            </w:tcBorders>
            <w:shd w:val="clear" w:color="auto" w:fill="auto"/>
          </w:tcPr>
          <w:p w14:paraId="1BEA2577" w14:textId="6209F1B9"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12 (10)</w:t>
            </w:r>
          </w:p>
        </w:tc>
      </w:tr>
      <w:tr w:rsidR="00EA3330" w:rsidRPr="00C60440" w14:paraId="73275AF0" w14:textId="77777777" w:rsidTr="00EA3330">
        <w:tc>
          <w:tcPr>
            <w:tcW w:w="2714" w:type="dxa"/>
            <w:tcBorders>
              <w:top w:val="single" w:sz="8" w:space="0" w:color="000000"/>
              <w:left w:val="single" w:sz="8" w:space="0" w:color="000000"/>
              <w:bottom w:val="single" w:sz="8" w:space="0" w:color="000000"/>
              <w:right w:val="single" w:sz="8" w:space="0" w:color="000000"/>
            </w:tcBorders>
            <w:shd w:val="clear" w:color="auto" w:fill="auto"/>
          </w:tcPr>
          <w:p w14:paraId="611BA07A" w14:textId="0EF15E75" w:rsidR="00EA3330" w:rsidRPr="00C60440" w:rsidRDefault="00BD5692" w:rsidP="00BD5692">
            <w:pPr>
              <w:pStyle w:val="Default"/>
              <w:rPr>
                <w:sz w:val="22"/>
                <w:szCs w:val="22"/>
                <w:lang w:val="hu-HU" w:eastAsia="de-AT"/>
              </w:rPr>
            </w:pPr>
            <w:r w:rsidRPr="00C60440">
              <w:rPr>
                <w:sz w:val="22"/>
                <w:szCs w:val="22"/>
                <w:lang w:val="hu-HU"/>
              </w:rPr>
              <w:t>A betegség progressziója</w:t>
            </w:r>
          </w:p>
        </w:tc>
        <w:tc>
          <w:tcPr>
            <w:tcW w:w="1672" w:type="dxa"/>
            <w:tcBorders>
              <w:top w:val="single" w:sz="8" w:space="0" w:color="000000"/>
              <w:left w:val="single" w:sz="8" w:space="0" w:color="000000"/>
              <w:bottom w:val="single" w:sz="8" w:space="0" w:color="000000"/>
              <w:right w:val="single" w:sz="8" w:space="0" w:color="000000"/>
            </w:tcBorders>
            <w:shd w:val="clear" w:color="auto" w:fill="auto"/>
          </w:tcPr>
          <w:p w14:paraId="7BE843F5" w14:textId="7962A4DB"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10 (4%)</w:t>
            </w:r>
          </w:p>
        </w:tc>
        <w:tc>
          <w:tcPr>
            <w:tcW w:w="1835" w:type="dxa"/>
            <w:tcBorders>
              <w:top w:val="single" w:sz="8" w:space="0" w:color="000000"/>
              <w:left w:val="single" w:sz="8" w:space="0" w:color="000000"/>
              <w:bottom w:val="single" w:sz="8" w:space="0" w:color="000000"/>
              <w:right w:val="single" w:sz="8" w:space="0" w:color="000000"/>
            </w:tcBorders>
            <w:shd w:val="clear" w:color="auto" w:fill="auto"/>
          </w:tcPr>
          <w:p w14:paraId="1883F8EE" w14:textId="4539DBD0"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16 (6%)</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14:paraId="19F17DBB" w14:textId="7DB163AE"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12 (10)</w:t>
            </w:r>
          </w:p>
        </w:tc>
        <w:tc>
          <w:tcPr>
            <w:tcW w:w="1475" w:type="dxa"/>
            <w:tcBorders>
              <w:top w:val="single" w:sz="8" w:space="0" w:color="000000"/>
              <w:left w:val="single" w:sz="8" w:space="0" w:color="000000"/>
              <w:bottom w:val="single" w:sz="8" w:space="0" w:color="000000"/>
              <w:right w:val="single" w:sz="8" w:space="0" w:color="000000"/>
            </w:tcBorders>
            <w:shd w:val="clear" w:color="auto" w:fill="auto"/>
          </w:tcPr>
          <w:p w14:paraId="60713C68" w14:textId="328B3507"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4 (3)</w:t>
            </w:r>
          </w:p>
        </w:tc>
      </w:tr>
      <w:tr w:rsidR="00EA3330" w:rsidRPr="00C60440" w14:paraId="7095CB55" w14:textId="77777777" w:rsidTr="00EA3330">
        <w:tc>
          <w:tcPr>
            <w:tcW w:w="2714" w:type="dxa"/>
            <w:tcBorders>
              <w:top w:val="single" w:sz="8" w:space="0" w:color="000000"/>
              <w:left w:val="single" w:sz="8" w:space="0" w:color="000000"/>
              <w:bottom w:val="single" w:sz="8" w:space="0" w:color="000000"/>
              <w:right w:val="single" w:sz="8" w:space="0" w:color="000000"/>
            </w:tcBorders>
            <w:shd w:val="clear" w:color="auto" w:fill="auto"/>
          </w:tcPr>
          <w:p w14:paraId="47D89E60" w14:textId="6A2A31EF" w:rsidR="00EA3330" w:rsidRPr="00C60440" w:rsidRDefault="00BD5692" w:rsidP="00BD5692">
            <w:pPr>
              <w:pStyle w:val="Default"/>
              <w:rPr>
                <w:sz w:val="22"/>
                <w:szCs w:val="22"/>
                <w:lang w:val="hu-HU" w:eastAsia="de-AT"/>
              </w:rPr>
            </w:pPr>
            <w:r w:rsidRPr="00C60440">
              <w:rPr>
                <w:sz w:val="22"/>
                <w:szCs w:val="22"/>
                <w:lang w:val="hu-HU"/>
              </w:rPr>
              <w:t>Hosszú távon nem kielégítő klinikai válasz</w:t>
            </w:r>
          </w:p>
        </w:tc>
        <w:tc>
          <w:tcPr>
            <w:tcW w:w="1672" w:type="dxa"/>
            <w:tcBorders>
              <w:top w:val="single" w:sz="8" w:space="0" w:color="000000"/>
              <w:left w:val="single" w:sz="8" w:space="0" w:color="000000"/>
              <w:bottom w:val="single" w:sz="8" w:space="0" w:color="000000"/>
              <w:right w:val="single" w:sz="8" w:space="0" w:color="000000"/>
            </w:tcBorders>
            <w:shd w:val="clear" w:color="auto" w:fill="auto"/>
          </w:tcPr>
          <w:p w14:paraId="5C40A602" w14:textId="7A6114AA"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17 (7%)</w:t>
            </w:r>
          </w:p>
        </w:tc>
        <w:tc>
          <w:tcPr>
            <w:tcW w:w="1835" w:type="dxa"/>
            <w:tcBorders>
              <w:top w:val="single" w:sz="8" w:space="0" w:color="000000"/>
              <w:left w:val="single" w:sz="8" w:space="0" w:color="000000"/>
              <w:bottom w:val="single" w:sz="8" w:space="0" w:color="000000"/>
              <w:right w:val="single" w:sz="8" w:space="0" w:color="000000"/>
            </w:tcBorders>
            <w:shd w:val="clear" w:color="auto" w:fill="auto"/>
          </w:tcPr>
          <w:p w14:paraId="372D9276" w14:textId="57B29DEB"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23 (9%)</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14:paraId="6A589CBF" w14:textId="1949F49D"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11 (9)</w:t>
            </w:r>
          </w:p>
        </w:tc>
        <w:tc>
          <w:tcPr>
            <w:tcW w:w="1475" w:type="dxa"/>
            <w:tcBorders>
              <w:top w:val="single" w:sz="8" w:space="0" w:color="000000"/>
              <w:left w:val="single" w:sz="8" w:space="0" w:color="000000"/>
              <w:bottom w:val="single" w:sz="8" w:space="0" w:color="000000"/>
              <w:right w:val="single" w:sz="8" w:space="0" w:color="000000"/>
            </w:tcBorders>
            <w:shd w:val="clear" w:color="auto" w:fill="auto"/>
          </w:tcPr>
          <w:p w14:paraId="64822A18" w14:textId="217E19D2"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12 (10)</w:t>
            </w:r>
          </w:p>
        </w:tc>
      </w:tr>
      <w:tr w:rsidR="00BD5692" w:rsidRPr="00C60440" w14:paraId="431ED466" w14:textId="77777777" w:rsidTr="005A0BB2">
        <w:tc>
          <w:tcPr>
            <w:tcW w:w="9290"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6EAB77C6" w14:textId="02E6368B" w:rsidR="00BD5692" w:rsidRPr="00C60440" w:rsidRDefault="00BD5692" w:rsidP="00BD5692">
            <w:pPr>
              <w:pStyle w:val="Default"/>
              <w:rPr>
                <w:sz w:val="22"/>
                <w:szCs w:val="22"/>
                <w:lang w:val="hu-HU" w:eastAsia="de-AT"/>
              </w:rPr>
            </w:pPr>
            <w:r w:rsidRPr="00C60440">
              <w:rPr>
                <w:b/>
                <w:bCs/>
                <w:sz w:val="22"/>
                <w:szCs w:val="22"/>
                <w:lang w:val="hu-HU"/>
              </w:rPr>
              <w:t>Súlyosbodó PAH miatti első hospitalizációig eltelt időtartam (megítélt)</w:t>
            </w:r>
            <w:r w:rsidRPr="00C60440">
              <w:rPr>
                <w:b/>
                <w:sz w:val="22"/>
                <w:szCs w:val="22"/>
                <w:lang w:val="hu-HU" w:eastAsia="de-AT"/>
              </w:rPr>
              <w:t xml:space="preserve"> </w:t>
            </w:r>
          </w:p>
        </w:tc>
      </w:tr>
      <w:tr w:rsidR="00EA3330" w:rsidRPr="00C60440" w14:paraId="186FD6DC" w14:textId="77777777" w:rsidTr="00EA3330">
        <w:tc>
          <w:tcPr>
            <w:tcW w:w="2714" w:type="dxa"/>
            <w:tcBorders>
              <w:top w:val="single" w:sz="8" w:space="0" w:color="000000"/>
              <w:left w:val="single" w:sz="8" w:space="0" w:color="000000"/>
              <w:bottom w:val="single" w:sz="8" w:space="0" w:color="000000"/>
              <w:right w:val="single" w:sz="8" w:space="0" w:color="000000"/>
            </w:tcBorders>
            <w:shd w:val="clear" w:color="auto" w:fill="auto"/>
          </w:tcPr>
          <w:p w14:paraId="10C7356F" w14:textId="297CA0C5" w:rsidR="00EA3330" w:rsidRPr="00C60440" w:rsidRDefault="00BD5692" w:rsidP="00BD5692">
            <w:pPr>
              <w:pStyle w:val="Default"/>
              <w:rPr>
                <w:sz w:val="22"/>
                <w:szCs w:val="22"/>
                <w:lang w:val="hu-HU" w:eastAsia="de-AT"/>
              </w:rPr>
            </w:pPr>
            <w:r w:rsidRPr="00C60440">
              <w:rPr>
                <w:sz w:val="22"/>
                <w:szCs w:val="22"/>
                <w:lang w:val="hu-HU"/>
              </w:rPr>
              <w:t>Első hospitalizáció, db. (%)</w:t>
            </w:r>
          </w:p>
        </w:tc>
        <w:tc>
          <w:tcPr>
            <w:tcW w:w="1672" w:type="dxa"/>
            <w:tcBorders>
              <w:top w:val="single" w:sz="8" w:space="0" w:color="000000"/>
              <w:left w:val="single" w:sz="8" w:space="0" w:color="000000"/>
              <w:bottom w:val="single" w:sz="8" w:space="0" w:color="000000"/>
              <w:right w:val="single" w:sz="8" w:space="0" w:color="000000"/>
            </w:tcBorders>
            <w:shd w:val="clear" w:color="auto" w:fill="auto"/>
          </w:tcPr>
          <w:p w14:paraId="455997C6" w14:textId="1B1FC585"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19 (8%)</w:t>
            </w:r>
          </w:p>
        </w:tc>
        <w:tc>
          <w:tcPr>
            <w:tcW w:w="1835" w:type="dxa"/>
            <w:tcBorders>
              <w:top w:val="single" w:sz="8" w:space="0" w:color="000000"/>
              <w:left w:val="single" w:sz="8" w:space="0" w:color="000000"/>
              <w:bottom w:val="single" w:sz="8" w:space="0" w:color="000000"/>
              <w:right w:val="single" w:sz="8" w:space="0" w:color="000000"/>
            </w:tcBorders>
            <w:shd w:val="clear" w:color="auto" w:fill="auto"/>
          </w:tcPr>
          <w:p w14:paraId="19206677" w14:textId="2CE942E7"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44 (18%)</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14:paraId="0B07AD6A" w14:textId="0BB86B9E"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27 (21%)</w:t>
            </w:r>
          </w:p>
        </w:tc>
        <w:tc>
          <w:tcPr>
            <w:tcW w:w="1475" w:type="dxa"/>
            <w:tcBorders>
              <w:top w:val="single" w:sz="8" w:space="0" w:color="000000"/>
              <w:left w:val="single" w:sz="8" w:space="0" w:color="000000"/>
              <w:bottom w:val="single" w:sz="8" w:space="0" w:color="000000"/>
              <w:right w:val="single" w:sz="8" w:space="0" w:color="000000"/>
            </w:tcBorders>
            <w:shd w:val="clear" w:color="auto" w:fill="auto"/>
          </w:tcPr>
          <w:p w14:paraId="4094683E" w14:textId="3D053BC1"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17 (14%)</w:t>
            </w:r>
          </w:p>
        </w:tc>
      </w:tr>
      <w:tr w:rsidR="00EA3330" w:rsidRPr="00C60440" w14:paraId="6ADA40FF" w14:textId="77777777" w:rsidTr="00EA3330">
        <w:tc>
          <w:tcPr>
            <w:tcW w:w="2714" w:type="dxa"/>
            <w:tcBorders>
              <w:top w:val="single" w:sz="8" w:space="0" w:color="000000"/>
              <w:left w:val="single" w:sz="8" w:space="0" w:color="000000"/>
              <w:bottom w:val="single" w:sz="8" w:space="0" w:color="000000"/>
              <w:right w:val="single" w:sz="8" w:space="0" w:color="000000"/>
            </w:tcBorders>
            <w:shd w:val="clear" w:color="auto" w:fill="auto"/>
          </w:tcPr>
          <w:p w14:paraId="15928294" w14:textId="00D8EC52" w:rsidR="00EA3330" w:rsidRPr="00C60440" w:rsidRDefault="00BD5692" w:rsidP="00BD5692">
            <w:pPr>
              <w:pStyle w:val="Default"/>
              <w:rPr>
                <w:sz w:val="22"/>
                <w:szCs w:val="22"/>
                <w:lang w:val="hu-HU" w:eastAsia="de-AT"/>
              </w:rPr>
            </w:pPr>
            <w:r w:rsidRPr="00C60440">
              <w:rPr>
                <w:sz w:val="22"/>
                <w:szCs w:val="22"/>
                <w:lang w:val="hu-HU"/>
              </w:rPr>
              <w:t>Relatív hazárd (95%-os CI)</w:t>
            </w:r>
          </w:p>
        </w:tc>
        <w:tc>
          <w:tcPr>
            <w:tcW w:w="1672" w:type="dxa"/>
            <w:tcBorders>
              <w:top w:val="single" w:sz="8" w:space="0" w:color="000000"/>
              <w:left w:val="single" w:sz="8" w:space="0" w:color="000000"/>
              <w:bottom w:val="single" w:sz="8" w:space="0" w:color="000000"/>
              <w:right w:val="single" w:sz="8" w:space="0" w:color="000000"/>
            </w:tcBorders>
            <w:shd w:val="clear" w:color="auto" w:fill="auto"/>
          </w:tcPr>
          <w:p w14:paraId="30A81446" w14:textId="77777777" w:rsidR="00EA3330" w:rsidRPr="00C60440" w:rsidRDefault="00EA3330" w:rsidP="005A0BB2">
            <w:pPr>
              <w:tabs>
                <w:tab w:val="clear" w:pos="567"/>
              </w:tabs>
              <w:spacing w:line="240" w:lineRule="auto"/>
              <w:rPr>
                <w:color w:val="000000"/>
                <w:szCs w:val="22"/>
                <w:lang w:val="hu-HU" w:eastAsia="de-AT"/>
              </w:rPr>
            </w:pPr>
            <w:r w:rsidRPr="00C60440">
              <w:rPr>
                <w:color w:val="000000"/>
                <w:szCs w:val="22"/>
                <w:lang w:val="hu-HU" w:eastAsia="de-AT"/>
              </w:rPr>
              <w:t xml:space="preserve"> </w:t>
            </w:r>
          </w:p>
        </w:tc>
        <w:tc>
          <w:tcPr>
            <w:tcW w:w="1835" w:type="dxa"/>
            <w:tcBorders>
              <w:top w:val="single" w:sz="8" w:space="0" w:color="000000"/>
              <w:left w:val="single" w:sz="8" w:space="0" w:color="000000"/>
              <w:bottom w:val="single" w:sz="8" w:space="0" w:color="000000"/>
              <w:right w:val="single" w:sz="8" w:space="0" w:color="000000"/>
            </w:tcBorders>
            <w:shd w:val="clear" w:color="auto" w:fill="auto"/>
          </w:tcPr>
          <w:p w14:paraId="3B1E9739" w14:textId="726B1765"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0</w:t>
            </w:r>
            <w:r w:rsidR="00BD5692" w:rsidRPr="00C60440">
              <w:rPr>
                <w:color w:val="000000"/>
                <w:szCs w:val="22"/>
                <w:lang w:val="hu-HU" w:eastAsia="de-AT"/>
              </w:rPr>
              <w:t>,</w:t>
            </w:r>
            <w:r w:rsidRPr="00C60440">
              <w:rPr>
                <w:color w:val="000000"/>
                <w:szCs w:val="22"/>
                <w:lang w:val="hu-HU" w:eastAsia="de-AT"/>
              </w:rPr>
              <w:t>372</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14:paraId="1F9C3EB9" w14:textId="00E37667"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0</w:t>
            </w:r>
            <w:r w:rsidR="00BD5692" w:rsidRPr="00C60440">
              <w:rPr>
                <w:color w:val="000000"/>
                <w:szCs w:val="22"/>
                <w:lang w:val="hu-HU" w:eastAsia="de-AT"/>
              </w:rPr>
              <w:t>,</w:t>
            </w:r>
            <w:r w:rsidRPr="00C60440">
              <w:rPr>
                <w:color w:val="000000"/>
                <w:szCs w:val="22"/>
                <w:lang w:val="hu-HU" w:eastAsia="de-AT"/>
              </w:rPr>
              <w:t>323</w:t>
            </w:r>
          </w:p>
        </w:tc>
        <w:tc>
          <w:tcPr>
            <w:tcW w:w="1475" w:type="dxa"/>
            <w:tcBorders>
              <w:top w:val="single" w:sz="8" w:space="0" w:color="000000"/>
              <w:left w:val="single" w:sz="8" w:space="0" w:color="000000"/>
              <w:bottom w:val="single" w:sz="8" w:space="0" w:color="000000"/>
              <w:right w:val="single" w:sz="8" w:space="0" w:color="000000"/>
            </w:tcBorders>
            <w:shd w:val="clear" w:color="auto" w:fill="auto"/>
          </w:tcPr>
          <w:p w14:paraId="481F10F4" w14:textId="683B0DCD"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0</w:t>
            </w:r>
            <w:r w:rsidR="00BD5692" w:rsidRPr="00C60440">
              <w:rPr>
                <w:color w:val="000000"/>
                <w:szCs w:val="22"/>
                <w:lang w:val="hu-HU" w:eastAsia="de-AT"/>
              </w:rPr>
              <w:t>,</w:t>
            </w:r>
            <w:r w:rsidRPr="00C60440">
              <w:rPr>
                <w:color w:val="000000"/>
                <w:szCs w:val="22"/>
                <w:lang w:val="hu-HU" w:eastAsia="de-AT"/>
              </w:rPr>
              <w:t>442</w:t>
            </w:r>
          </w:p>
        </w:tc>
      </w:tr>
      <w:tr w:rsidR="00EA3330" w:rsidRPr="00C60440" w14:paraId="2B3BDE9B" w14:textId="77777777" w:rsidTr="00EA3330">
        <w:tc>
          <w:tcPr>
            <w:tcW w:w="2714" w:type="dxa"/>
            <w:tcBorders>
              <w:top w:val="single" w:sz="8" w:space="0" w:color="000000"/>
              <w:left w:val="single" w:sz="8" w:space="0" w:color="000000"/>
              <w:bottom w:val="single" w:sz="8" w:space="0" w:color="000000"/>
              <w:right w:val="single" w:sz="8" w:space="0" w:color="000000"/>
            </w:tcBorders>
            <w:shd w:val="clear" w:color="auto" w:fill="auto"/>
          </w:tcPr>
          <w:p w14:paraId="51FC671A" w14:textId="22B1D407" w:rsidR="00EA3330" w:rsidRPr="00C60440" w:rsidRDefault="00BD5692" w:rsidP="00BD5692">
            <w:pPr>
              <w:pStyle w:val="Default"/>
              <w:rPr>
                <w:sz w:val="22"/>
                <w:szCs w:val="22"/>
                <w:lang w:val="hu-HU" w:eastAsia="de-AT"/>
              </w:rPr>
            </w:pPr>
            <w:r w:rsidRPr="00C60440">
              <w:rPr>
                <w:sz w:val="22"/>
                <w:szCs w:val="22"/>
                <w:lang w:val="hu-HU"/>
              </w:rPr>
              <w:t>p-érték, Lograng próba</w:t>
            </w:r>
          </w:p>
        </w:tc>
        <w:tc>
          <w:tcPr>
            <w:tcW w:w="1672" w:type="dxa"/>
            <w:tcBorders>
              <w:top w:val="single" w:sz="8" w:space="0" w:color="000000"/>
              <w:left w:val="single" w:sz="8" w:space="0" w:color="000000"/>
              <w:bottom w:val="single" w:sz="8" w:space="0" w:color="000000"/>
              <w:right w:val="single" w:sz="8" w:space="0" w:color="000000"/>
            </w:tcBorders>
            <w:shd w:val="clear" w:color="auto" w:fill="auto"/>
          </w:tcPr>
          <w:p w14:paraId="5B0C4302" w14:textId="77777777" w:rsidR="00EA3330" w:rsidRPr="00C60440" w:rsidRDefault="00EA3330" w:rsidP="005A0BB2">
            <w:pPr>
              <w:tabs>
                <w:tab w:val="clear" w:pos="567"/>
              </w:tabs>
              <w:spacing w:line="240" w:lineRule="auto"/>
              <w:rPr>
                <w:color w:val="000000"/>
                <w:szCs w:val="22"/>
                <w:lang w:val="hu-HU" w:eastAsia="de-AT"/>
              </w:rPr>
            </w:pPr>
            <w:r w:rsidRPr="00C60440">
              <w:rPr>
                <w:color w:val="000000"/>
                <w:szCs w:val="22"/>
                <w:lang w:val="hu-HU" w:eastAsia="de-AT"/>
              </w:rPr>
              <w:t xml:space="preserve"> </w:t>
            </w:r>
          </w:p>
        </w:tc>
        <w:tc>
          <w:tcPr>
            <w:tcW w:w="1835" w:type="dxa"/>
            <w:tcBorders>
              <w:top w:val="single" w:sz="8" w:space="0" w:color="000000"/>
              <w:left w:val="single" w:sz="8" w:space="0" w:color="000000"/>
              <w:bottom w:val="single" w:sz="8" w:space="0" w:color="000000"/>
              <w:right w:val="single" w:sz="8" w:space="0" w:color="000000"/>
            </w:tcBorders>
            <w:shd w:val="clear" w:color="auto" w:fill="auto"/>
          </w:tcPr>
          <w:p w14:paraId="00739985" w14:textId="116D6685"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0</w:t>
            </w:r>
            <w:r w:rsidR="00BD5692" w:rsidRPr="00C60440">
              <w:rPr>
                <w:color w:val="000000"/>
                <w:szCs w:val="22"/>
                <w:lang w:val="hu-HU" w:eastAsia="de-AT"/>
              </w:rPr>
              <w:t>,</w:t>
            </w:r>
            <w:r w:rsidRPr="00C60440">
              <w:rPr>
                <w:color w:val="000000"/>
                <w:szCs w:val="22"/>
                <w:lang w:val="hu-HU" w:eastAsia="de-AT"/>
              </w:rPr>
              <w:t>0002</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14:paraId="6DD5251B" w14:textId="4DDB2F56"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&lt;0</w:t>
            </w:r>
            <w:r w:rsidR="00BD5692" w:rsidRPr="00C60440">
              <w:rPr>
                <w:color w:val="000000"/>
                <w:szCs w:val="22"/>
                <w:lang w:val="hu-HU" w:eastAsia="de-AT"/>
              </w:rPr>
              <w:t>,</w:t>
            </w:r>
            <w:r w:rsidRPr="00C60440">
              <w:rPr>
                <w:color w:val="000000"/>
                <w:szCs w:val="22"/>
                <w:lang w:val="hu-HU" w:eastAsia="de-AT"/>
              </w:rPr>
              <w:t>0001</w:t>
            </w:r>
          </w:p>
        </w:tc>
        <w:tc>
          <w:tcPr>
            <w:tcW w:w="1475" w:type="dxa"/>
            <w:tcBorders>
              <w:top w:val="single" w:sz="8" w:space="0" w:color="000000"/>
              <w:left w:val="single" w:sz="8" w:space="0" w:color="000000"/>
              <w:bottom w:val="single" w:sz="8" w:space="0" w:color="000000"/>
              <w:right w:val="single" w:sz="8" w:space="0" w:color="000000"/>
            </w:tcBorders>
            <w:shd w:val="clear" w:color="auto" w:fill="auto"/>
          </w:tcPr>
          <w:p w14:paraId="24FD79F1" w14:textId="49A5B2CD" w:rsidR="00EA3330" w:rsidRPr="00C60440" w:rsidRDefault="00EA3330" w:rsidP="005A0BB2">
            <w:pPr>
              <w:tabs>
                <w:tab w:val="clear" w:pos="567"/>
              </w:tabs>
              <w:spacing w:line="240" w:lineRule="auto"/>
              <w:jc w:val="center"/>
              <w:rPr>
                <w:color w:val="000000"/>
                <w:szCs w:val="22"/>
                <w:lang w:val="hu-HU" w:eastAsia="de-AT"/>
              </w:rPr>
            </w:pPr>
            <w:r w:rsidRPr="00C60440">
              <w:rPr>
                <w:color w:val="000000"/>
                <w:szCs w:val="22"/>
                <w:lang w:val="hu-HU" w:eastAsia="de-AT"/>
              </w:rPr>
              <w:t>0</w:t>
            </w:r>
            <w:r w:rsidR="00BD5692" w:rsidRPr="00C60440">
              <w:rPr>
                <w:color w:val="000000"/>
                <w:szCs w:val="22"/>
                <w:lang w:val="hu-HU" w:eastAsia="de-AT"/>
              </w:rPr>
              <w:t>,</w:t>
            </w:r>
            <w:r w:rsidRPr="00C60440">
              <w:rPr>
                <w:color w:val="000000"/>
                <w:szCs w:val="22"/>
                <w:lang w:val="hu-HU" w:eastAsia="de-AT"/>
              </w:rPr>
              <w:t>0124</w:t>
            </w:r>
          </w:p>
        </w:tc>
      </w:tr>
    </w:tbl>
    <w:p w14:paraId="32D7A1CC" w14:textId="77777777" w:rsidR="00EA3330" w:rsidRPr="00C60440" w:rsidRDefault="00EA3330" w:rsidP="00EA3330">
      <w:pPr>
        <w:tabs>
          <w:tab w:val="clear" w:pos="567"/>
        </w:tabs>
        <w:spacing w:line="240" w:lineRule="auto"/>
        <w:rPr>
          <w:color w:val="000000"/>
          <w:szCs w:val="22"/>
          <w:lang w:val="hu-HU" w:eastAsia="de-AT"/>
        </w:rPr>
      </w:pPr>
    </w:p>
    <w:p w14:paraId="1543B0B2" w14:textId="6B9B8120" w:rsidR="00BD5692" w:rsidRPr="00C60440" w:rsidRDefault="00BD5692" w:rsidP="00BD5692">
      <w:pPr>
        <w:pStyle w:val="Default"/>
        <w:rPr>
          <w:sz w:val="22"/>
          <w:szCs w:val="22"/>
          <w:lang w:val="hu-HU"/>
        </w:rPr>
      </w:pPr>
      <w:r w:rsidRPr="00C60440">
        <w:rPr>
          <w:i/>
          <w:iCs/>
          <w:sz w:val="22"/>
          <w:szCs w:val="22"/>
          <w:lang w:val="hu-HU"/>
        </w:rPr>
        <w:lastRenderedPageBreak/>
        <w:t>Másodlagos végpontok</w:t>
      </w:r>
    </w:p>
    <w:p w14:paraId="60DE4E1D" w14:textId="77777777" w:rsidR="00BD5692" w:rsidRPr="00C60440" w:rsidRDefault="00BD5692" w:rsidP="00BD5692">
      <w:pPr>
        <w:pStyle w:val="Default"/>
        <w:rPr>
          <w:sz w:val="22"/>
          <w:szCs w:val="22"/>
          <w:lang w:val="hu-HU"/>
        </w:rPr>
      </w:pPr>
      <w:r w:rsidRPr="00C60440">
        <w:rPr>
          <w:sz w:val="22"/>
          <w:szCs w:val="22"/>
          <w:lang w:val="hu-HU"/>
        </w:rPr>
        <w:t xml:space="preserve">A vizsgált másodlagos végpontok: </w:t>
      </w:r>
    </w:p>
    <w:p w14:paraId="1A29D7AB" w14:textId="77777777" w:rsidR="00BD5692" w:rsidRPr="00C60440" w:rsidRDefault="00BD5692" w:rsidP="00BD5692">
      <w:pPr>
        <w:spacing w:line="240" w:lineRule="auto"/>
        <w:rPr>
          <w:szCs w:val="22"/>
          <w:lang w:val="hu-HU"/>
        </w:rPr>
      </w:pPr>
    </w:p>
    <w:p w14:paraId="7A77B840" w14:textId="47B587DC" w:rsidR="000B0C05" w:rsidRPr="00C60440" w:rsidRDefault="00BD5692" w:rsidP="00BD5692">
      <w:pPr>
        <w:spacing w:line="240" w:lineRule="auto"/>
        <w:rPr>
          <w:b/>
          <w:bCs/>
          <w:szCs w:val="22"/>
          <w:u w:val="single"/>
          <w:lang w:val="hu-HU"/>
        </w:rPr>
      </w:pPr>
      <w:r w:rsidRPr="00C60440">
        <w:rPr>
          <w:b/>
          <w:bCs/>
          <w:szCs w:val="22"/>
          <w:lang w:val="hu-HU"/>
        </w:rPr>
        <w:t>2. táblázat</w:t>
      </w:r>
    </w:p>
    <w:tbl>
      <w:tblPr>
        <w:tblW w:w="0" w:type="auto"/>
        <w:tblCellMar>
          <w:top w:w="85" w:type="dxa"/>
          <w:bottom w:w="85" w:type="dxa"/>
        </w:tblCellMar>
        <w:tblLook w:val="04A0" w:firstRow="1" w:lastRow="0" w:firstColumn="1" w:lastColumn="0" w:noHBand="0" w:noVBand="1"/>
      </w:tblPr>
      <w:tblGrid>
        <w:gridCol w:w="2518"/>
        <w:gridCol w:w="1561"/>
        <w:gridCol w:w="1616"/>
        <w:gridCol w:w="1702"/>
        <w:gridCol w:w="1133"/>
      </w:tblGrid>
      <w:tr w:rsidR="00BD5692" w:rsidRPr="00C60440" w14:paraId="0DB2EC63" w14:textId="77777777" w:rsidTr="005A0BB2">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40C24293" w14:textId="4BC9CD1E" w:rsidR="00BD5692" w:rsidRPr="00C60440" w:rsidRDefault="008B62B6" w:rsidP="008B62B6">
            <w:pPr>
              <w:pStyle w:val="Default"/>
              <w:rPr>
                <w:sz w:val="22"/>
                <w:szCs w:val="22"/>
                <w:lang w:val="hu-HU" w:eastAsia="de-AT"/>
              </w:rPr>
            </w:pPr>
            <w:r w:rsidRPr="00C60440">
              <w:rPr>
                <w:sz w:val="22"/>
                <w:szCs w:val="22"/>
                <w:lang w:val="hu-HU"/>
              </w:rPr>
              <w:t>Másodlagos végpontok (változások a kiindulási időponttól a 24. hétig)</w:t>
            </w:r>
          </w:p>
        </w:tc>
        <w:tc>
          <w:tcPr>
            <w:tcW w:w="1561" w:type="dxa"/>
            <w:tcBorders>
              <w:top w:val="single" w:sz="4" w:space="0" w:color="000000"/>
              <w:left w:val="single" w:sz="4" w:space="0" w:color="000000"/>
              <w:bottom w:val="single" w:sz="4" w:space="0" w:color="000000"/>
              <w:right w:val="single" w:sz="4" w:space="0" w:color="000000"/>
            </w:tcBorders>
            <w:shd w:val="clear" w:color="auto" w:fill="auto"/>
          </w:tcPr>
          <w:p w14:paraId="406C6D64" w14:textId="281F8758" w:rsidR="00BD5692" w:rsidRPr="00C60440" w:rsidRDefault="00BD5692" w:rsidP="008B62B6">
            <w:pPr>
              <w:tabs>
                <w:tab w:val="clear" w:pos="567"/>
              </w:tabs>
              <w:spacing w:line="240" w:lineRule="auto"/>
              <w:rPr>
                <w:color w:val="000000"/>
                <w:szCs w:val="22"/>
                <w:lang w:val="hu-HU" w:eastAsia="de-AT"/>
              </w:rPr>
            </w:pPr>
            <w:r w:rsidRPr="00C60440">
              <w:rPr>
                <w:b/>
                <w:color w:val="000000"/>
                <w:szCs w:val="22"/>
                <w:lang w:val="hu-HU" w:eastAsia="de-AT"/>
              </w:rPr>
              <w:t>Ambris</w:t>
            </w:r>
            <w:r w:rsidR="008B62B6" w:rsidRPr="00C60440">
              <w:rPr>
                <w:b/>
                <w:color w:val="000000"/>
                <w:szCs w:val="22"/>
                <w:lang w:val="hu-HU" w:eastAsia="de-AT"/>
              </w:rPr>
              <w:t>z</w:t>
            </w:r>
            <w:r w:rsidRPr="00C60440">
              <w:rPr>
                <w:b/>
                <w:color w:val="000000"/>
                <w:szCs w:val="22"/>
                <w:lang w:val="hu-HU" w:eastAsia="de-AT"/>
              </w:rPr>
              <w:t>ent</w:t>
            </w:r>
            <w:r w:rsidR="008B62B6" w:rsidRPr="00C60440">
              <w:rPr>
                <w:b/>
                <w:color w:val="000000"/>
                <w:szCs w:val="22"/>
                <w:lang w:val="hu-HU" w:eastAsia="de-AT"/>
              </w:rPr>
              <w:t>á</w:t>
            </w:r>
            <w:r w:rsidRPr="00C60440">
              <w:rPr>
                <w:b/>
                <w:color w:val="000000"/>
                <w:szCs w:val="22"/>
                <w:lang w:val="hu-HU" w:eastAsia="de-AT"/>
              </w:rPr>
              <w:t>n</w:t>
            </w:r>
            <w:r w:rsidR="008B62B6" w:rsidRPr="00C60440">
              <w:rPr>
                <w:b/>
                <w:color w:val="000000"/>
                <w:szCs w:val="22"/>
                <w:lang w:val="hu-HU" w:eastAsia="de-AT"/>
              </w:rPr>
              <w:t xml:space="preserve"> </w:t>
            </w:r>
            <w:r w:rsidRPr="00C60440">
              <w:rPr>
                <w:b/>
                <w:color w:val="000000"/>
                <w:szCs w:val="22"/>
                <w:lang w:val="hu-HU" w:eastAsia="de-AT"/>
              </w:rPr>
              <w:t>+ Tadalafil</w:t>
            </w:r>
            <w:r w:rsidRPr="00C60440">
              <w:rPr>
                <w:color w:val="000000"/>
                <w:szCs w:val="22"/>
                <w:lang w:val="hu-HU" w:eastAsia="de-AT"/>
              </w:rPr>
              <w:t xml:space="preserve">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1AAD75FD" w14:textId="52A2B521" w:rsidR="00BD5692" w:rsidRPr="00C60440" w:rsidRDefault="008B62B6" w:rsidP="008B62B6">
            <w:pPr>
              <w:pStyle w:val="Default"/>
              <w:rPr>
                <w:sz w:val="22"/>
                <w:szCs w:val="22"/>
                <w:lang w:val="hu-HU" w:eastAsia="de-AT"/>
              </w:rPr>
            </w:pPr>
            <w:r w:rsidRPr="00C60440">
              <w:rPr>
                <w:b/>
                <w:bCs/>
                <w:sz w:val="22"/>
                <w:szCs w:val="22"/>
                <w:lang w:val="hu-HU"/>
              </w:rPr>
              <w:t>Monoterápiák, összesített</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4E3038AF" w14:textId="2449326A" w:rsidR="00BD5692" w:rsidRPr="00C60440" w:rsidRDefault="008B62B6" w:rsidP="008B62B6">
            <w:pPr>
              <w:pStyle w:val="Default"/>
              <w:rPr>
                <w:sz w:val="22"/>
                <w:szCs w:val="22"/>
                <w:lang w:val="hu-HU" w:eastAsia="de-AT"/>
              </w:rPr>
            </w:pPr>
            <w:r w:rsidRPr="00C60440">
              <w:rPr>
                <w:sz w:val="22"/>
                <w:szCs w:val="22"/>
                <w:lang w:val="hu-HU"/>
              </w:rPr>
              <w:t>Különbség és konfidencia</w:t>
            </w:r>
            <w:r w:rsidR="00DF4F8B">
              <w:rPr>
                <w:sz w:val="22"/>
                <w:szCs w:val="22"/>
                <w:lang w:val="hu-HU"/>
              </w:rPr>
              <w:t>-</w:t>
            </w:r>
            <w:r w:rsidRPr="00C60440">
              <w:rPr>
                <w:sz w:val="22"/>
                <w:szCs w:val="22"/>
                <w:lang w:val="hu-HU"/>
              </w:rPr>
              <w:t>intervallum</w:t>
            </w:r>
          </w:p>
        </w:tc>
        <w:tc>
          <w:tcPr>
            <w:tcW w:w="1133" w:type="dxa"/>
            <w:tcBorders>
              <w:top w:val="single" w:sz="4" w:space="0" w:color="000000"/>
              <w:left w:val="single" w:sz="4" w:space="0" w:color="000000"/>
              <w:bottom w:val="single" w:sz="4" w:space="0" w:color="000000"/>
              <w:right w:val="single" w:sz="4" w:space="0" w:color="000000"/>
            </w:tcBorders>
            <w:shd w:val="clear" w:color="auto" w:fill="auto"/>
          </w:tcPr>
          <w:p w14:paraId="2AFB81E5" w14:textId="465C7189" w:rsidR="00BD5692" w:rsidRPr="00C60440" w:rsidRDefault="00BD5692" w:rsidP="005A0BB2">
            <w:pPr>
              <w:tabs>
                <w:tab w:val="clear" w:pos="567"/>
              </w:tabs>
              <w:spacing w:line="240" w:lineRule="auto"/>
              <w:rPr>
                <w:color w:val="000000"/>
                <w:szCs w:val="22"/>
                <w:lang w:val="hu-HU" w:eastAsia="de-AT"/>
              </w:rPr>
            </w:pPr>
            <w:r w:rsidRPr="00C60440">
              <w:rPr>
                <w:color w:val="000000"/>
                <w:szCs w:val="22"/>
                <w:lang w:val="hu-HU" w:eastAsia="de-AT"/>
              </w:rPr>
              <w:t>p</w:t>
            </w:r>
            <w:r w:rsidR="008B62B6" w:rsidRPr="00C60440">
              <w:rPr>
                <w:color w:val="000000"/>
                <w:szCs w:val="22"/>
                <w:lang w:val="hu-HU" w:eastAsia="de-AT"/>
              </w:rPr>
              <w:t>-érték</w:t>
            </w:r>
          </w:p>
        </w:tc>
      </w:tr>
      <w:tr w:rsidR="00BD5692" w:rsidRPr="00C60440" w14:paraId="6A3A880F" w14:textId="77777777" w:rsidTr="005A0BB2">
        <w:tc>
          <w:tcPr>
            <w:tcW w:w="25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D217F" w14:textId="107F2BFD" w:rsidR="00BD5692" w:rsidRPr="00C60440" w:rsidRDefault="008B62B6" w:rsidP="008B62B6">
            <w:pPr>
              <w:pStyle w:val="Default"/>
              <w:rPr>
                <w:sz w:val="22"/>
                <w:szCs w:val="22"/>
                <w:lang w:val="hu-HU" w:eastAsia="de-AT"/>
              </w:rPr>
            </w:pPr>
            <w:r w:rsidRPr="00C60440">
              <w:rPr>
                <w:sz w:val="22"/>
                <w:szCs w:val="22"/>
                <w:lang w:val="hu-HU"/>
              </w:rPr>
              <w:t>NT-proBNP (%-os csökkenés)</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8B08F0" w14:textId="69C12889" w:rsidR="00BD5692" w:rsidRPr="00C60440" w:rsidRDefault="008B62B6" w:rsidP="005A0BB2">
            <w:pPr>
              <w:tabs>
                <w:tab w:val="clear" w:pos="567"/>
              </w:tabs>
              <w:spacing w:line="240" w:lineRule="auto"/>
              <w:rPr>
                <w:color w:val="000000"/>
                <w:szCs w:val="22"/>
                <w:lang w:val="hu-HU" w:eastAsia="de-AT"/>
              </w:rPr>
            </w:pPr>
            <w:r w:rsidRPr="00C60440">
              <w:rPr>
                <w:color w:val="000000"/>
                <w:szCs w:val="22"/>
                <w:lang w:val="hu-HU" w:eastAsia="de-AT"/>
              </w:rPr>
              <w:noBreakHyphen/>
            </w:r>
            <w:r w:rsidR="00BD5692" w:rsidRPr="00C60440">
              <w:rPr>
                <w:color w:val="000000"/>
                <w:szCs w:val="22"/>
                <w:lang w:val="hu-HU" w:eastAsia="de-AT"/>
              </w:rPr>
              <w:t>67</w:t>
            </w:r>
            <w:r w:rsidRPr="00C60440">
              <w:rPr>
                <w:color w:val="000000"/>
                <w:szCs w:val="22"/>
                <w:lang w:val="hu-HU" w:eastAsia="de-AT"/>
              </w:rPr>
              <w:t>,</w:t>
            </w:r>
            <w:r w:rsidR="00BD5692" w:rsidRPr="00C60440">
              <w:rPr>
                <w:color w:val="000000"/>
                <w:szCs w:val="22"/>
                <w:lang w:val="hu-HU" w:eastAsia="de-AT"/>
              </w:rPr>
              <w:t>2</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2A626" w14:textId="6A4D2421" w:rsidR="00BD5692" w:rsidRPr="00C60440" w:rsidRDefault="008B62B6" w:rsidP="005A0BB2">
            <w:pPr>
              <w:tabs>
                <w:tab w:val="clear" w:pos="567"/>
              </w:tabs>
              <w:spacing w:line="240" w:lineRule="auto"/>
              <w:rPr>
                <w:color w:val="000000"/>
                <w:szCs w:val="22"/>
                <w:lang w:val="hu-HU" w:eastAsia="de-AT"/>
              </w:rPr>
            </w:pPr>
            <w:r w:rsidRPr="00C60440">
              <w:rPr>
                <w:color w:val="000000"/>
                <w:szCs w:val="22"/>
                <w:lang w:val="hu-HU" w:eastAsia="de-AT"/>
              </w:rPr>
              <w:noBreakHyphen/>
            </w:r>
            <w:r w:rsidR="00BD5692" w:rsidRPr="00C60440">
              <w:rPr>
                <w:color w:val="000000"/>
                <w:szCs w:val="22"/>
                <w:lang w:val="hu-HU" w:eastAsia="de-AT"/>
              </w:rPr>
              <w:t>50</w:t>
            </w:r>
            <w:r w:rsidRPr="00C60440">
              <w:rPr>
                <w:color w:val="000000"/>
                <w:szCs w:val="22"/>
                <w:lang w:val="hu-HU" w:eastAsia="de-AT"/>
              </w:rPr>
              <w:t>,</w:t>
            </w:r>
            <w:r w:rsidR="00BD5692" w:rsidRPr="00C60440">
              <w:rPr>
                <w:color w:val="000000"/>
                <w:szCs w:val="22"/>
                <w:lang w:val="hu-HU" w:eastAsia="de-AT"/>
              </w:rPr>
              <w:t>4</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14:paraId="3F2EBEC5" w14:textId="59B611A0" w:rsidR="008B62B6" w:rsidRPr="00C60440" w:rsidRDefault="00BD5692" w:rsidP="005A0BB2">
            <w:pPr>
              <w:tabs>
                <w:tab w:val="clear" w:pos="567"/>
              </w:tabs>
              <w:spacing w:line="240" w:lineRule="auto"/>
              <w:rPr>
                <w:color w:val="000000"/>
                <w:szCs w:val="22"/>
                <w:lang w:val="hu-HU" w:eastAsia="de-AT"/>
              </w:rPr>
            </w:pPr>
            <w:r w:rsidRPr="00C60440">
              <w:rPr>
                <w:color w:val="000000"/>
                <w:szCs w:val="22"/>
                <w:lang w:val="hu-HU" w:eastAsia="de-AT"/>
              </w:rPr>
              <w:t>%</w:t>
            </w:r>
            <w:r w:rsidR="00CD515F">
              <w:rPr>
                <w:color w:val="000000"/>
                <w:szCs w:val="22"/>
                <w:lang w:val="hu-HU" w:eastAsia="de-AT"/>
              </w:rPr>
              <w:t>-os</w:t>
            </w:r>
            <w:r w:rsidRPr="00C60440">
              <w:rPr>
                <w:color w:val="000000"/>
                <w:szCs w:val="22"/>
                <w:lang w:val="hu-HU" w:eastAsia="de-AT"/>
              </w:rPr>
              <w:t xml:space="preserve"> </w:t>
            </w:r>
            <w:r w:rsidR="008B62B6" w:rsidRPr="00C60440">
              <w:rPr>
                <w:color w:val="000000"/>
                <w:szCs w:val="22"/>
                <w:lang w:val="hu-HU" w:eastAsia="de-AT"/>
              </w:rPr>
              <w:t xml:space="preserve">különbség </w:t>
            </w:r>
          </w:p>
          <w:p w14:paraId="5F389232" w14:textId="77777777" w:rsidR="00CD515F" w:rsidRDefault="008B62B6" w:rsidP="005A0BB2">
            <w:pPr>
              <w:tabs>
                <w:tab w:val="clear" w:pos="567"/>
              </w:tabs>
              <w:spacing w:line="240" w:lineRule="auto"/>
              <w:rPr>
                <w:color w:val="000000"/>
                <w:szCs w:val="22"/>
                <w:lang w:val="hu-HU" w:eastAsia="de-AT"/>
              </w:rPr>
            </w:pPr>
            <w:r w:rsidRPr="00C60440">
              <w:rPr>
                <w:color w:val="000000"/>
                <w:szCs w:val="22"/>
                <w:lang w:val="hu-HU" w:eastAsia="de-AT"/>
              </w:rPr>
              <w:noBreakHyphen/>
            </w:r>
            <w:r w:rsidR="00BD5692" w:rsidRPr="00C60440">
              <w:rPr>
                <w:color w:val="000000"/>
                <w:szCs w:val="22"/>
                <w:lang w:val="hu-HU" w:eastAsia="de-AT"/>
              </w:rPr>
              <w:t xml:space="preserve">33.8; </w:t>
            </w:r>
          </w:p>
          <w:p w14:paraId="0A5AC1ED" w14:textId="7AA9CD5E" w:rsidR="00BD5692" w:rsidRPr="00C60440" w:rsidRDefault="00BD5692" w:rsidP="005A0BB2">
            <w:pPr>
              <w:tabs>
                <w:tab w:val="clear" w:pos="567"/>
              </w:tabs>
              <w:spacing w:line="240" w:lineRule="auto"/>
              <w:rPr>
                <w:color w:val="000000"/>
                <w:szCs w:val="22"/>
                <w:lang w:val="hu-HU" w:eastAsia="de-AT"/>
              </w:rPr>
            </w:pPr>
            <w:r w:rsidRPr="00C60440">
              <w:rPr>
                <w:color w:val="000000"/>
                <w:szCs w:val="22"/>
                <w:lang w:val="hu-HU" w:eastAsia="de-AT"/>
              </w:rPr>
              <w:t>95%</w:t>
            </w:r>
            <w:r w:rsidR="00CD515F">
              <w:rPr>
                <w:color w:val="000000"/>
                <w:szCs w:val="22"/>
                <w:lang w:val="hu-HU" w:eastAsia="de-AT"/>
              </w:rPr>
              <w:t>-os</w:t>
            </w:r>
            <w:r w:rsidRPr="00C60440">
              <w:rPr>
                <w:color w:val="000000"/>
                <w:szCs w:val="22"/>
                <w:lang w:val="hu-HU" w:eastAsia="de-AT"/>
              </w:rPr>
              <w:t xml:space="preserve"> CI:</w:t>
            </w:r>
          </w:p>
          <w:p w14:paraId="56CE5DA3" w14:textId="7D864960" w:rsidR="00BD5692" w:rsidRPr="00C60440" w:rsidRDefault="008B62B6" w:rsidP="005A0BB2">
            <w:pPr>
              <w:tabs>
                <w:tab w:val="clear" w:pos="567"/>
              </w:tabs>
              <w:spacing w:line="240" w:lineRule="auto"/>
              <w:rPr>
                <w:color w:val="000000"/>
                <w:szCs w:val="22"/>
                <w:lang w:val="hu-HU" w:eastAsia="de-AT"/>
              </w:rPr>
            </w:pPr>
            <w:r w:rsidRPr="00C60440">
              <w:rPr>
                <w:color w:val="000000"/>
                <w:szCs w:val="22"/>
                <w:lang w:val="hu-HU" w:eastAsia="de-AT"/>
              </w:rPr>
              <w:noBreakHyphen/>
            </w:r>
            <w:r w:rsidR="00BD5692" w:rsidRPr="00C60440">
              <w:rPr>
                <w:color w:val="000000"/>
                <w:szCs w:val="22"/>
                <w:lang w:val="hu-HU" w:eastAsia="de-AT"/>
              </w:rPr>
              <w:t xml:space="preserve">44.8, </w:t>
            </w:r>
            <w:r w:rsidRPr="00C60440">
              <w:rPr>
                <w:color w:val="000000"/>
                <w:szCs w:val="22"/>
                <w:lang w:val="hu-HU" w:eastAsia="de-AT"/>
              </w:rPr>
              <w:noBreakHyphen/>
            </w:r>
            <w:r w:rsidR="00BD5692" w:rsidRPr="00C60440">
              <w:rPr>
                <w:color w:val="000000"/>
                <w:szCs w:val="22"/>
                <w:lang w:val="hu-HU" w:eastAsia="de-AT"/>
              </w:rPr>
              <w:t>20.7</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EB2D6D" w14:textId="0859F12F" w:rsidR="00BD5692" w:rsidRPr="00C60440" w:rsidRDefault="00BD5692" w:rsidP="005A0BB2">
            <w:pPr>
              <w:tabs>
                <w:tab w:val="clear" w:pos="567"/>
              </w:tabs>
              <w:spacing w:line="240" w:lineRule="auto"/>
              <w:rPr>
                <w:color w:val="000000"/>
                <w:szCs w:val="22"/>
                <w:lang w:val="hu-HU" w:eastAsia="de-AT"/>
              </w:rPr>
            </w:pPr>
            <w:r w:rsidRPr="00C60440">
              <w:rPr>
                <w:color w:val="000000"/>
                <w:szCs w:val="22"/>
                <w:lang w:val="hu-HU" w:eastAsia="de-AT"/>
              </w:rPr>
              <w:t>p&lt;0</w:t>
            </w:r>
            <w:r w:rsidR="008B62B6" w:rsidRPr="00C60440">
              <w:rPr>
                <w:color w:val="000000"/>
                <w:szCs w:val="22"/>
                <w:lang w:val="hu-HU" w:eastAsia="de-AT"/>
              </w:rPr>
              <w:t>,</w:t>
            </w:r>
            <w:r w:rsidRPr="00C60440">
              <w:rPr>
                <w:color w:val="000000"/>
                <w:szCs w:val="22"/>
                <w:lang w:val="hu-HU" w:eastAsia="de-AT"/>
              </w:rPr>
              <w:t>0001</w:t>
            </w:r>
          </w:p>
        </w:tc>
      </w:tr>
      <w:tr w:rsidR="00BD5692" w:rsidRPr="00C60440" w14:paraId="4CA6D3BE" w14:textId="77777777" w:rsidTr="005A0BB2">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47BBD4C6" w14:textId="5378D08F" w:rsidR="00BD5692" w:rsidRPr="00C60440" w:rsidRDefault="008B62B6" w:rsidP="008B62B6">
            <w:pPr>
              <w:pStyle w:val="Default"/>
              <w:rPr>
                <w:sz w:val="22"/>
                <w:szCs w:val="22"/>
                <w:lang w:val="hu-HU" w:eastAsia="de-AT"/>
              </w:rPr>
            </w:pPr>
            <w:r w:rsidRPr="00C60440">
              <w:rPr>
                <w:sz w:val="22"/>
                <w:szCs w:val="22"/>
                <w:lang w:val="hu-HU"/>
              </w:rPr>
              <w:t>A 24. héten kielégítő klinikai választ elérő betegek %-os aránya</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E8D4B" w14:textId="5CE5E74C" w:rsidR="00BD5692" w:rsidRPr="00C60440" w:rsidRDefault="00BD5692" w:rsidP="005A0BB2">
            <w:pPr>
              <w:tabs>
                <w:tab w:val="clear" w:pos="567"/>
              </w:tabs>
              <w:spacing w:line="240" w:lineRule="auto"/>
              <w:rPr>
                <w:color w:val="000000"/>
                <w:szCs w:val="22"/>
                <w:lang w:val="hu-HU" w:eastAsia="de-AT"/>
              </w:rPr>
            </w:pPr>
            <w:r w:rsidRPr="00C60440">
              <w:rPr>
                <w:color w:val="000000"/>
                <w:szCs w:val="22"/>
                <w:lang w:val="hu-HU" w:eastAsia="de-AT"/>
              </w:rPr>
              <w:t>39</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DF3628" w14:textId="7AE73748" w:rsidR="00BD5692" w:rsidRPr="00C60440" w:rsidRDefault="00BD5692" w:rsidP="005A0BB2">
            <w:pPr>
              <w:tabs>
                <w:tab w:val="clear" w:pos="567"/>
              </w:tabs>
              <w:spacing w:line="240" w:lineRule="auto"/>
              <w:rPr>
                <w:color w:val="000000"/>
                <w:szCs w:val="22"/>
                <w:lang w:val="hu-HU" w:eastAsia="de-AT"/>
              </w:rPr>
            </w:pPr>
            <w:r w:rsidRPr="00C60440">
              <w:rPr>
                <w:color w:val="000000"/>
                <w:szCs w:val="22"/>
                <w:lang w:val="hu-HU" w:eastAsia="de-AT"/>
              </w:rPr>
              <w:t>29</w:t>
            </w:r>
          </w:p>
        </w:tc>
        <w:tc>
          <w:tcPr>
            <w:tcW w:w="17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D9A69" w14:textId="572E3474" w:rsidR="00BD5692" w:rsidRPr="00C60440" w:rsidRDefault="008B62B6" w:rsidP="005A0BB2">
            <w:pPr>
              <w:tabs>
                <w:tab w:val="clear" w:pos="567"/>
              </w:tabs>
              <w:spacing w:line="240" w:lineRule="auto"/>
              <w:rPr>
                <w:color w:val="000000"/>
                <w:szCs w:val="22"/>
                <w:lang w:val="hu-HU" w:eastAsia="de-AT"/>
              </w:rPr>
            </w:pPr>
            <w:r w:rsidRPr="00C60440">
              <w:rPr>
                <w:color w:val="000000"/>
                <w:szCs w:val="22"/>
                <w:lang w:val="hu-HU" w:eastAsia="de-AT"/>
              </w:rPr>
              <w:t>Esélyhányados</w:t>
            </w:r>
            <w:r w:rsidR="00BD5692" w:rsidRPr="00C60440">
              <w:rPr>
                <w:color w:val="000000"/>
                <w:szCs w:val="22"/>
                <w:lang w:val="hu-HU" w:eastAsia="de-AT"/>
              </w:rPr>
              <w:t xml:space="preserve"> 1</w:t>
            </w:r>
            <w:r w:rsidRPr="00C60440">
              <w:rPr>
                <w:color w:val="000000"/>
                <w:szCs w:val="22"/>
                <w:lang w:val="hu-HU" w:eastAsia="de-AT"/>
              </w:rPr>
              <w:t>,</w:t>
            </w:r>
            <w:r w:rsidR="00BD5692" w:rsidRPr="00C60440">
              <w:rPr>
                <w:color w:val="000000"/>
                <w:szCs w:val="22"/>
                <w:lang w:val="hu-HU" w:eastAsia="de-AT"/>
              </w:rPr>
              <w:t>56;</w:t>
            </w:r>
          </w:p>
          <w:p w14:paraId="251895E0" w14:textId="4FCC7E19" w:rsidR="00BD5692" w:rsidRPr="00C60440" w:rsidRDefault="00BD5692" w:rsidP="008B62B6">
            <w:pPr>
              <w:tabs>
                <w:tab w:val="clear" w:pos="567"/>
              </w:tabs>
              <w:spacing w:line="240" w:lineRule="auto"/>
              <w:rPr>
                <w:color w:val="000000"/>
                <w:szCs w:val="22"/>
                <w:lang w:val="hu-HU" w:eastAsia="de-AT"/>
              </w:rPr>
            </w:pPr>
            <w:r w:rsidRPr="00C60440">
              <w:rPr>
                <w:color w:val="000000"/>
                <w:szCs w:val="22"/>
                <w:lang w:val="hu-HU" w:eastAsia="de-AT"/>
              </w:rPr>
              <w:t>95%</w:t>
            </w:r>
            <w:r w:rsidR="00CD515F">
              <w:rPr>
                <w:color w:val="000000"/>
                <w:szCs w:val="22"/>
                <w:lang w:val="hu-HU" w:eastAsia="de-AT"/>
              </w:rPr>
              <w:t>-os</w:t>
            </w:r>
            <w:r w:rsidRPr="00C60440">
              <w:rPr>
                <w:color w:val="000000"/>
                <w:szCs w:val="22"/>
                <w:lang w:val="hu-HU" w:eastAsia="de-AT"/>
              </w:rPr>
              <w:t xml:space="preserve"> CI: 1</w:t>
            </w:r>
            <w:r w:rsidR="008B62B6" w:rsidRPr="00C60440">
              <w:rPr>
                <w:color w:val="000000"/>
                <w:szCs w:val="22"/>
                <w:lang w:val="hu-HU" w:eastAsia="de-AT"/>
              </w:rPr>
              <w:t>,</w:t>
            </w:r>
            <w:r w:rsidRPr="00C60440">
              <w:rPr>
                <w:color w:val="000000"/>
                <w:szCs w:val="22"/>
                <w:lang w:val="hu-HU" w:eastAsia="de-AT"/>
              </w:rPr>
              <w:t>05,</w:t>
            </w:r>
            <w:r w:rsidR="008B62B6" w:rsidRPr="00C60440">
              <w:rPr>
                <w:color w:val="000000"/>
                <w:szCs w:val="22"/>
                <w:lang w:val="hu-HU" w:eastAsia="de-AT"/>
              </w:rPr>
              <w:t xml:space="preserve"> </w:t>
            </w:r>
            <w:r w:rsidRPr="00C60440">
              <w:rPr>
                <w:color w:val="000000"/>
                <w:szCs w:val="22"/>
                <w:lang w:val="hu-HU" w:eastAsia="de-AT"/>
              </w:rPr>
              <w:t>2</w:t>
            </w:r>
            <w:r w:rsidR="008B62B6" w:rsidRPr="00C60440">
              <w:rPr>
                <w:color w:val="000000"/>
                <w:szCs w:val="22"/>
                <w:lang w:val="hu-HU" w:eastAsia="de-AT"/>
              </w:rPr>
              <w:t>,</w:t>
            </w:r>
            <w:r w:rsidRPr="00C60440">
              <w:rPr>
                <w:color w:val="000000"/>
                <w:szCs w:val="22"/>
                <w:lang w:val="hu-HU" w:eastAsia="de-AT"/>
              </w:rPr>
              <w:t>32</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A74FD" w14:textId="2189649B" w:rsidR="00BD5692" w:rsidRPr="00C60440" w:rsidRDefault="00BD5692" w:rsidP="005A0BB2">
            <w:pPr>
              <w:tabs>
                <w:tab w:val="clear" w:pos="567"/>
              </w:tabs>
              <w:spacing w:line="240" w:lineRule="auto"/>
              <w:rPr>
                <w:color w:val="000000"/>
                <w:szCs w:val="22"/>
                <w:lang w:val="hu-HU" w:eastAsia="de-AT"/>
              </w:rPr>
            </w:pPr>
            <w:r w:rsidRPr="00C60440">
              <w:rPr>
                <w:color w:val="000000"/>
                <w:szCs w:val="22"/>
                <w:lang w:val="hu-HU" w:eastAsia="de-AT"/>
              </w:rPr>
              <w:t>p=0</w:t>
            </w:r>
            <w:r w:rsidR="008B62B6" w:rsidRPr="00C60440">
              <w:rPr>
                <w:color w:val="000000"/>
                <w:szCs w:val="22"/>
                <w:lang w:val="hu-HU" w:eastAsia="de-AT"/>
              </w:rPr>
              <w:t>,</w:t>
            </w:r>
            <w:r w:rsidRPr="00C60440">
              <w:rPr>
                <w:color w:val="000000"/>
                <w:szCs w:val="22"/>
                <w:lang w:val="hu-HU" w:eastAsia="de-AT"/>
              </w:rPr>
              <w:t>026</w:t>
            </w:r>
          </w:p>
        </w:tc>
      </w:tr>
      <w:tr w:rsidR="00BD5692" w:rsidRPr="00C60440" w14:paraId="5F68D827" w14:textId="77777777" w:rsidTr="005A0BB2">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371604F4" w14:textId="77777777" w:rsidR="00BD5692" w:rsidRPr="00C60440" w:rsidRDefault="00BD5692" w:rsidP="005A0BB2">
            <w:pPr>
              <w:tabs>
                <w:tab w:val="clear" w:pos="567"/>
              </w:tabs>
              <w:spacing w:line="240" w:lineRule="auto"/>
              <w:rPr>
                <w:color w:val="000000"/>
                <w:szCs w:val="22"/>
                <w:lang w:val="hu-HU" w:eastAsia="de-AT"/>
              </w:rPr>
            </w:pPr>
          </w:p>
          <w:p w14:paraId="4D261C36" w14:textId="2A87F9C8" w:rsidR="00BD5692" w:rsidRPr="00C60440" w:rsidRDefault="00BD5692" w:rsidP="008B62B6">
            <w:pPr>
              <w:tabs>
                <w:tab w:val="clear" w:pos="567"/>
              </w:tabs>
              <w:spacing w:line="240" w:lineRule="auto"/>
              <w:rPr>
                <w:color w:val="000000"/>
                <w:szCs w:val="22"/>
                <w:lang w:val="hu-HU" w:eastAsia="de-AT"/>
              </w:rPr>
            </w:pPr>
            <w:r w:rsidRPr="00C60440">
              <w:rPr>
                <w:color w:val="000000"/>
                <w:szCs w:val="22"/>
                <w:lang w:val="hu-HU" w:eastAsia="de-AT"/>
              </w:rPr>
              <w:t>6MWD (</w:t>
            </w:r>
            <w:r w:rsidR="008B62B6" w:rsidRPr="00C60440">
              <w:rPr>
                <w:color w:val="000000"/>
                <w:szCs w:val="22"/>
                <w:lang w:val="hu-HU" w:eastAsia="de-AT"/>
              </w:rPr>
              <w:t>méter, medián változás</w:t>
            </w:r>
            <w:r w:rsidRPr="00C60440">
              <w:rPr>
                <w:color w:val="000000"/>
                <w:szCs w:val="22"/>
                <w:lang w:val="hu-HU" w:eastAsia="de-AT"/>
              </w:rPr>
              <w:t>)</w:t>
            </w:r>
          </w:p>
        </w:tc>
        <w:tc>
          <w:tcPr>
            <w:tcW w:w="1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522ED" w14:textId="618C96C6" w:rsidR="00BD5692" w:rsidRPr="00C60440" w:rsidRDefault="00BD5692" w:rsidP="005A0BB2">
            <w:pPr>
              <w:tabs>
                <w:tab w:val="clear" w:pos="567"/>
              </w:tabs>
              <w:spacing w:line="240" w:lineRule="auto"/>
              <w:rPr>
                <w:color w:val="000000"/>
                <w:szCs w:val="22"/>
                <w:lang w:val="hu-HU" w:eastAsia="de-AT"/>
              </w:rPr>
            </w:pPr>
            <w:r w:rsidRPr="00C60440">
              <w:rPr>
                <w:color w:val="000000"/>
                <w:szCs w:val="22"/>
                <w:lang w:val="hu-HU" w:eastAsia="de-AT"/>
              </w:rPr>
              <w:t>49</w:t>
            </w:r>
            <w:r w:rsidR="008B62B6" w:rsidRPr="00C60440">
              <w:rPr>
                <w:color w:val="000000"/>
                <w:szCs w:val="22"/>
                <w:lang w:val="hu-HU" w:eastAsia="de-AT"/>
              </w:rPr>
              <w:t>,</w:t>
            </w:r>
            <w:r w:rsidRPr="00C60440">
              <w:rPr>
                <w:color w:val="000000"/>
                <w:szCs w:val="22"/>
                <w:lang w:val="hu-HU" w:eastAsia="de-AT"/>
              </w:rPr>
              <w:t>0</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9B9BD" w14:textId="77257385" w:rsidR="00BD5692" w:rsidRPr="00C60440" w:rsidRDefault="00BD5692" w:rsidP="005A0BB2">
            <w:pPr>
              <w:tabs>
                <w:tab w:val="clear" w:pos="567"/>
              </w:tabs>
              <w:spacing w:line="240" w:lineRule="auto"/>
              <w:rPr>
                <w:color w:val="000000"/>
                <w:szCs w:val="22"/>
                <w:lang w:val="hu-HU" w:eastAsia="de-AT"/>
              </w:rPr>
            </w:pPr>
            <w:r w:rsidRPr="00C60440">
              <w:rPr>
                <w:color w:val="000000"/>
                <w:szCs w:val="22"/>
                <w:lang w:val="hu-HU" w:eastAsia="de-AT"/>
              </w:rPr>
              <w:t>23</w:t>
            </w:r>
            <w:r w:rsidR="008B62B6" w:rsidRPr="00C60440">
              <w:rPr>
                <w:color w:val="000000"/>
                <w:szCs w:val="22"/>
                <w:lang w:val="hu-HU" w:eastAsia="de-AT"/>
              </w:rPr>
              <w:t>,</w:t>
            </w:r>
            <w:r w:rsidRPr="00C60440">
              <w:rPr>
                <w:color w:val="000000"/>
                <w:szCs w:val="22"/>
                <w:lang w:val="hu-HU" w:eastAsia="de-AT"/>
              </w:rPr>
              <w:t>8</w:t>
            </w:r>
          </w:p>
        </w:tc>
        <w:tc>
          <w:tcPr>
            <w:tcW w:w="17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D054B5" w14:textId="77777777" w:rsidR="00CD515F" w:rsidRDefault="00BD5692" w:rsidP="005A0BB2">
            <w:pPr>
              <w:tabs>
                <w:tab w:val="clear" w:pos="567"/>
              </w:tabs>
              <w:spacing w:line="240" w:lineRule="auto"/>
              <w:rPr>
                <w:color w:val="000000"/>
                <w:szCs w:val="22"/>
                <w:lang w:val="hu-HU" w:eastAsia="de-AT"/>
              </w:rPr>
            </w:pPr>
            <w:r w:rsidRPr="00C60440">
              <w:rPr>
                <w:color w:val="000000"/>
                <w:szCs w:val="22"/>
                <w:lang w:val="hu-HU" w:eastAsia="de-AT"/>
              </w:rPr>
              <w:t>22</w:t>
            </w:r>
            <w:r w:rsidR="008B62B6" w:rsidRPr="00C60440">
              <w:rPr>
                <w:color w:val="000000"/>
                <w:szCs w:val="22"/>
                <w:lang w:val="hu-HU" w:eastAsia="de-AT"/>
              </w:rPr>
              <w:t>,</w:t>
            </w:r>
            <w:r w:rsidRPr="00C60440">
              <w:rPr>
                <w:color w:val="000000"/>
                <w:szCs w:val="22"/>
                <w:lang w:val="hu-HU" w:eastAsia="de-AT"/>
              </w:rPr>
              <w:t>75</w:t>
            </w:r>
            <w:r w:rsidR="008B62B6" w:rsidRPr="00C60440">
              <w:rPr>
                <w:color w:val="000000"/>
                <w:szCs w:val="22"/>
                <w:lang w:val="hu-HU" w:eastAsia="de-AT"/>
              </w:rPr>
              <w:t> </w:t>
            </w:r>
            <w:r w:rsidRPr="00C60440">
              <w:rPr>
                <w:color w:val="000000"/>
                <w:szCs w:val="22"/>
                <w:lang w:val="hu-HU" w:eastAsia="de-AT"/>
              </w:rPr>
              <w:t xml:space="preserve">m; </w:t>
            </w:r>
          </w:p>
          <w:p w14:paraId="4C8740C1" w14:textId="5234132C" w:rsidR="00BD5692" w:rsidRPr="00C60440" w:rsidRDefault="00BD5692" w:rsidP="005A0BB2">
            <w:pPr>
              <w:tabs>
                <w:tab w:val="clear" w:pos="567"/>
              </w:tabs>
              <w:spacing w:line="240" w:lineRule="auto"/>
              <w:rPr>
                <w:color w:val="000000"/>
                <w:szCs w:val="22"/>
                <w:lang w:val="hu-HU" w:eastAsia="de-AT"/>
              </w:rPr>
            </w:pPr>
            <w:r w:rsidRPr="00C60440">
              <w:rPr>
                <w:color w:val="000000"/>
                <w:szCs w:val="22"/>
                <w:lang w:val="hu-HU" w:eastAsia="de-AT"/>
              </w:rPr>
              <w:t>95%</w:t>
            </w:r>
            <w:r w:rsidR="00CD515F">
              <w:rPr>
                <w:color w:val="000000"/>
                <w:szCs w:val="22"/>
                <w:lang w:val="hu-HU" w:eastAsia="de-AT"/>
              </w:rPr>
              <w:t>-os</w:t>
            </w:r>
            <w:r w:rsidRPr="00C60440">
              <w:rPr>
                <w:color w:val="000000"/>
                <w:szCs w:val="22"/>
                <w:lang w:val="hu-HU" w:eastAsia="de-AT"/>
              </w:rPr>
              <w:t xml:space="preserve"> CI: 12</w:t>
            </w:r>
            <w:r w:rsidR="008B62B6" w:rsidRPr="00C60440">
              <w:rPr>
                <w:color w:val="000000"/>
                <w:szCs w:val="22"/>
                <w:lang w:val="hu-HU" w:eastAsia="de-AT"/>
              </w:rPr>
              <w:t>,</w:t>
            </w:r>
            <w:r w:rsidRPr="00C60440">
              <w:rPr>
                <w:color w:val="000000"/>
                <w:szCs w:val="22"/>
                <w:lang w:val="hu-HU" w:eastAsia="de-AT"/>
              </w:rPr>
              <w:t>00, 33</w:t>
            </w:r>
            <w:r w:rsidR="008B62B6" w:rsidRPr="00C60440">
              <w:rPr>
                <w:color w:val="000000"/>
                <w:szCs w:val="22"/>
                <w:lang w:val="hu-HU" w:eastAsia="de-AT"/>
              </w:rPr>
              <w:t>,</w:t>
            </w:r>
            <w:r w:rsidRPr="00C60440">
              <w:rPr>
                <w:color w:val="000000"/>
                <w:szCs w:val="22"/>
                <w:lang w:val="hu-HU" w:eastAsia="de-AT"/>
              </w:rPr>
              <w:t>50</w:t>
            </w:r>
          </w:p>
        </w:tc>
        <w:tc>
          <w:tcPr>
            <w:tcW w:w="11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CC15AF" w14:textId="4E87E14C" w:rsidR="00BD5692" w:rsidRPr="00C60440" w:rsidRDefault="00BD5692" w:rsidP="005A0BB2">
            <w:pPr>
              <w:tabs>
                <w:tab w:val="clear" w:pos="567"/>
              </w:tabs>
              <w:spacing w:line="240" w:lineRule="auto"/>
              <w:rPr>
                <w:color w:val="000000"/>
                <w:szCs w:val="22"/>
                <w:lang w:val="hu-HU" w:eastAsia="de-AT"/>
              </w:rPr>
            </w:pPr>
            <w:r w:rsidRPr="00C60440">
              <w:rPr>
                <w:color w:val="000000"/>
                <w:szCs w:val="22"/>
                <w:lang w:val="hu-HU" w:eastAsia="de-AT"/>
              </w:rPr>
              <w:t>p&lt;0</w:t>
            </w:r>
            <w:r w:rsidR="008B62B6" w:rsidRPr="00C60440">
              <w:rPr>
                <w:color w:val="000000"/>
                <w:szCs w:val="22"/>
                <w:lang w:val="hu-HU" w:eastAsia="de-AT"/>
              </w:rPr>
              <w:t>,</w:t>
            </w:r>
            <w:r w:rsidRPr="00C60440">
              <w:rPr>
                <w:color w:val="000000"/>
                <w:szCs w:val="22"/>
                <w:lang w:val="hu-HU" w:eastAsia="de-AT"/>
              </w:rPr>
              <w:t>0001</w:t>
            </w:r>
          </w:p>
        </w:tc>
      </w:tr>
    </w:tbl>
    <w:p w14:paraId="54393A7E" w14:textId="77777777" w:rsidR="00BD5692" w:rsidRPr="00C60440" w:rsidRDefault="00BD5692" w:rsidP="00BD5692">
      <w:pPr>
        <w:tabs>
          <w:tab w:val="clear" w:pos="567"/>
        </w:tabs>
        <w:spacing w:line="240" w:lineRule="auto"/>
        <w:rPr>
          <w:color w:val="000000"/>
          <w:szCs w:val="22"/>
          <w:lang w:val="hu-HU" w:eastAsia="de-AT"/>
        </w:rPr>
      </w:pPr>
    </w:p>
    <w:p w14:paraId="46092B29" w14:textId="4A1AD09F" w:rsidR="004D4425" w:rsidRPr="00C60440" w:rsidRDefault="004D4425" w:rsidP="004D4425">
      <w:pPr>
        <w:pStyle w:val="Default"/>
        <w:rPr>
          <w:sz w:val="22"/>
          <w:szCs w:val="22"/>
          <w:u w:val="single"/>
          <w:lang w:val="hu-HU"/>
        </w:rPr>
      </w:pPr>
      <w:r w:rsidRPr="00C60440">
        <w:rPr>
          <w:sz w:val="22"/>
          <w:szCs w:val="22"/>
          <w:u w:val="single"/>
          <w:lang w:val="hu-HU"/>
        </w:rPr>
        <w:t>Idiopathiás tüdőfibrosis</w:t>
      </w:r>
    </w:p>
    <w:p w14:paraId="01C25283" w14:textId="77777777" w:rsidR="004D4425" w:rsidRPr="00C60440" w:rsidRDefault="004D4425" w:rsidP="004D4425">
      <w:pPr>
        <w:pStyle w:val="Default"/>
        <w:rPr>
          <w:sz w:val="22"/>
          <w:szCs w:val="22"/>
          <w:u w:val="single"/>
          <w:lang w:val="hu-HU"/>
        </w:rPr>
      </w:pPr>
    </w:p>
    <w:p w14:paraId="1ED10FAF" w14:textId="03365DC5" w:rsidR="000B0C05" w:rsidRDefault="004D4425" w:rsidP="004D4425">
      <w:pPr>
        <w:spacing w:line="240" w:lineRule="auto"/>
        <w:rPr>
          <w:szCs w:val="22"/>
          <w:lang w:val="hu-HU"/>
        </w:rPr>
      </w:pPr>
      <w:r w:rsidRPr="00C60440">
        <w:rPr>
          <w:szCs w:val="22"/>
          <w:lang w:val="hu-HU"/>
        </w:rPr>
        <w:t xml:space="preserve">492, idiopathiás tüdőfibrosisos (IPF-ben) beteggel (ambriszentán-csoport: </w:t>
      </w:r>
      <w:r w:rsidR="001F5FB3" w:rsidRPr="00C60440">
        <w:rPr>
          <w:szCs w:val="22"/>
          <w:lang w:val="hu-HU"/>
        </w:rPr>
        <w:t>n = </w:t>
      </w:r>
      <w:r w:rsidRPr="00C60440">
        <w:rPr>
          <w:szCs w:val="22"/>
          <w:lang w:val="hu-HU"/>
        </w:rPr>
        <w:t xml:space="preserve">329; placebocsoport: </w:t>
      </w:r>
      <w:r w:rsidR="001F5FB3" w:rsidRPr="00C60440">
        <w:rPr>
          <w:szCs w:val="22"/>
          <w:lang w:val="hu-HU"/>
        </w:rPr>
        <w:t>n = </w:t>
      </w:r>
      <w:r w:rsidRPr="00C60440">
        <w:rPr>
          <w:szCs w:val="22"/>
          <w:lang w:val="hu-HU"/>
        </w:rPr>
        <w:t>163) egy vizsgálatot (ARTEMIS-IPF vizsgálat) végeztek, amelyben a betegek 11%-a szenvedett másodlagos pulmonalis hypertoniában (WHO 3. csoport), azonban azt idő előtt leállították, amikor megállapították, hogy nem teljesíthető az elsődleges hatásossági végpont. Kilencven esetben (27%) az IPF progresszióját (benne légzőszervi okokból történt hospitalizációkkal) vagy halálozást figyeltek meg az ambriszentán-csoportban, szemben a placebocsoportban észlelt 28 eseménnyel (17%). Ezért az ambriszentán alkalmazása másodlagos pulmonalis hypertoniával társult vagy azzal nem társult IPF-ben szenvedő betegeknél ellenjavallt (lásd 4.3</w:t>
      </w:r>
      <w:r w:rsidR="001F5FB3" w:rsidRPr="00C60440">
        <w:rPr>
          <w:szCs w:val="22"/>
          <w:lang w:val="hu-HU"/>
        </w:rPr>
        <w:t> </w:t>
      </w:r>
      <w:r w:rsidRPr="00C60440">
        <w:rPr>
          <w:szCs w:val="22"/>
          <w:lang w:val="hu-HU"/>
        </w:rPr>
        <w:t>pont).</w:t>
      </w:r>
    </w:p>
    <w:p w14:paraId="4C5D53A0" w14:textId="77777777" w:rsidR="00364519" w:rsidRDefault="00364519" w:rsidP="00364519">
      <w:pPr>
        <w:spacing w:line="240" w:lineRule="auto"/>
        <w:rPr>
          <w:szCs w:val="22"/>
          <w:lang w:val="hu-HU"/>
        </w:rPr>
      </w:pPr>
    </w:p>
    <w:p w14:paraId="1C19CCCC" w14:textId="4D32E1EC" w:rsidR="00364519" w:rsidRPr="00364519" w:rsidRDefault="00364519" w:rsidP="00364519">
      <w:pPr>
        <w:spacing w:line="240" w:lineRule="auto"/>
        <w:rPr>
          <w:szCs w:val="22"/>
          <w:u w:val="single"/>
          <w:lang w:val="hu-HU"/>
        </w:rPr>
      </w:pPr>
      <w:r w:rsidRPr="00364519">
        <w:rPr>
          <w:szCs w:val="22"/>
          <w:u w:val="single"/>
          <w:lang w:val="hu-HU"/>
        </w:rPr>
        <w:t>Gyermekek és serdülők</w:t>
      </w:r>
    </w:p>
    <w:p w14:paraId="39468303" w14:textId="7E8137C1" w:rsidR="00364519" w:rsidRPr="00811A42" w:rsidRDefault="00364519" w:rsidP="00364519">
      <w:pPr>
        <w:spacing w:line="240" w:lineRule="auto"/>
        <w:rPr>
          <w:lang w:val="hu-HU"/>
        </w:rPr>
      </w:pPr>
      <w:r w:rsidRPr="00925008">
        <w:rPr>
          <w:szCs w:val="22"/>
          <w:lang w:val="hu-HU"/>
        </w:rPr>
        <w:t>A napi egyszer alkalmazott ambriszentán biztonságosságát és tolerálhatóságát egy nyílt</w:t>
      </w:r>
      <w:r w:rsidR="00984922">
        <w:rPr>
          <w:szCs w:val="22"/>
          <w:lang w:val="hu-HU"/>
        </w:rPr>
        <w:t xml:space="preserve"> elrendezésű</w:t>
      </w:r>
      <w:r w:rsidRPr="00925008">
        <w:rPr>
          <w:szCs w:val="22"/>
          <w:lang w:val="hu-HU"/>
        </w:rPr>
        <w:t>, nem kontrol</w:t>
      </w:r>
      <w:r w:rsidR="00984922">
        <w:rPr>
          <w:szCs w:val="22"/>
          <w:lang w:val="hu-HU"/>
        </w:rPr>
        <w:t>l</w:t>
      </w:r>
      <w:r w:rsidRPr="00925008">
        <w:rPr>
          <w:szCs w:val="22"/>
          <w:lang w:val="hu-HU"/>
        </w:rPr>
        <w:t>os, 24 hetes vizsgálatban 41, 8 és 18 éves kor közötti (medi</w:t>
      </w:r>
      <w:r w:rsidR="00984922">
        <w:rPr>
          <w:szCs w:val="22"/>
          <w:lang w:val="hu-HU"/>
        </w:rPr>
        <w:t>á</w:t>
      </w:r>
      <w:r w:rsidRPr="00925008">
        <w:rPr>
          <w:szCs w:val="22"/>
          <w:lang w:val="hu-HU"/>
        </w:rPr>
        <w:t>n</w:t>
      </w:r>
      <w:r w:rsidR="00984922">
        <w:rPr>
          <w:szCs w:val="22"/>
          <w:lang w:val="hu-HU"/>
        </w:rPr>
        <w:t xml:space="preserve"> érték</w:t>
      </w:r>
      <w:r w:rsidRPr="00925008">
        <w:rPr>
          <w:szCs w:val="22"/>
          <w:lang w:val="hu-HU"/>
        </w:rPr>
        <w:t xml:space="preserve">: 13 év), PAH-ban szenvedő gyermek és serdülő bevonásával értékelték. A PAH etiológiája a következő volt: idiopathiás </w:t>
      </w:r>
      <w:r w:rsidRPr="00B84BFC">
        <w:rPr>
          <w:lang w:val="hu-HU"/>
        </w:rPr>
        <w:t>(n </w:t>
      </w:r>
      <w:r w:rsidRPr="00984922">
        <w:rPr>
          <w:lang w:val="hu-HU"/>
        </w:rPr>
        <w:t>= 26;</w:t>
      </w:r>
      <w:r w:rsidRPr="00D91D88">
        <w:rPr>
          <w:lang w:val="hu-HU"/>
        </w:rPr>
        <w:t xml:space="preserve"> 63%), műtéti korrekció </w:t>
      </w:r>
      <w:r>
        <w:rPr>
          <w:lang w:val="hu-HU"/>
        </w:rPr>
        <w:t>után is perzisztáló</w:t>
      </w:r>
      <w:r w:rsidRPr="00D91D88">
        <w:rPr>
          <w:lang w:val="hu-HU"/>
        </w:rPr>
        <w:t>, veleszületett PAH (n</w:t>
      </w:r>
      <w:r>
        <w:rPr>
          <w:lang w:val="hu-HU"/>
        </w:rPr>
        <w:t> </w:t>
      </w:r>
      <w:r w:rsidRPr="00D91D88">
        <w:rPr>
          <w:lang w:val="hu-HU"/>
        </w:rPr>
        <w:t>=</w:t>
      </w:r>
      <w:r>
        <w:rPr>
          <w:lang w:val="hu-HU"/>
        </w:rPr>
        <w:t> </w:t>
      </w:r>
      <w:r w:rsidRPr="00D91D88">
        <w:rPr>
          <w:lang w:val="hu-HU"/>
        </w:rPr>
        <w:t xml:space="preserve">11; 27%), </w:t>
      </w:r>
      <w:r>
        <w:rPr>
          <w:lang w:val="hu-HU"/>
        </w:rPr>
        <w:t xml:space="preserve">másodlagos, </w:t>
      </w:r>
      <w:r w:rsidRPr="00D91D88">
        <w:rPr>
          <w:lang w:val="hu-HU"/>
        </w:rPr>
        <w:t>kötőszöveti betegség</w:t>
      </w:r>
      <w:r>
        <w:rPr>
          <w:lang w:val="hu-HU"/>
        </w:rPr>
        <w:t>gel összefüggésben</w:t>
      </w:r>
      <w:r w:rsidRPr="00D91D88">
        <w:rPr>
          <w:lang w:val="hu-HU"/>
        </w:rPr>
        <w:t xml:space="preserve"> kialakul</w:t>
      </w:r>
      <w:r>
        <w:rPr>
          <w:lang w:val="hu-HU"/>
        </w:rPr>
        <w:t>t</w:t>
      </w:r>
      <w:r w:rsidRPr="00D91D88">
        <w:rPr>
          <w:lang w:val="hu-HU"/>
        </w:rPr>
        <w:t xml:space="preserve"> (n=1; 2%) vagy örökletes (n</w:t>
      </w:r>
      <w:r>
        <w:rPr>
          <w:lang w:val="hu-HU"/>
        </w:rPr>
        <w:t> = </w:t>
      </w:r>
      <w:r w:rsidRPr="00D91D88">
        <w:rPr>
          <w:lang w:val="hu-HU"/>
        </w:rPr>
        <w:t xml:space="preserve">3; 7,3%). A </w:t>
      </w:r>
      <w:r>
        <w:rPr>
          <w:lang w:val="hu-HU"/>
        </w:rPr>
        <w:t xml:space="preserve">11, </w:t>
      </w:r>
      <w:r w:rsidRPr="00D91D88">
        <w:rPr>
          <w:lang w:val="hu-HU"/>
        </w:rPr>
        <w:t xml:space="preserve">veleszületett szívbetegségben szenvedő </w:t>
      </w:r>
      <w:r>
        <w:rPr>
          <w:lang w:val="hu-HU"/>
        </w:rPr>
        <w:t>alany</w:t>
      </w:r>
      <w:r w:rsidRPr="00D91D88">
        <w:rPr>
          <w:lang w:val="hu-HU"/>
        </w:rPr>
        <w:t xml:space="preserve"> közül 9</w:t>
      </w:r>
      <w:r>
        <w:rPr>
          <w:lang w:val="hu-HU"/>
        </w:rPr>
        <w:t>-nek</w:t>
      </w:r>
      <w:r w:rsidRPr="00D91D88">
        <w:rPr>
          <w:lang w:val="hu-HU"/>
        </w:rPr>
        <w:t xml:space="preserve"> kamrai szeptumdefektus</w:t>
      </w:r>
      <w:r>
        <w:rPr>
          <w:lang w:val="hu-HU"/>
        </w:rPr>
        <w:t>a</w:t>
      </w:r>
      <w:r w:rsidRPr="00D91D88">
        <w:rPr>
          <w:lang w:val="hu-HU"/>
        </w:rPr>
        <w:t>, 2</w:t>
      </w:r>
      <w:r>
        <w:rPr>
          <w:lang w:val="hu-HU"/>
        </w:rPr>
        <w:t>-nek</w:t>
      </w:r>
      <w:r w:rsidRPr="00D91D88">
        <w:rPr>
          <w:lang w:val="hu-HU"/>
        </w:rPr>
        <w:t xml:space="preserve"> pitvari szeptumdefektus</w:t>
      </w:r>
      <w:r>
        <w:rPr>
          <w:lang w:val="hu-HU"/>
        </w:rPr>
        <w:t>a,</w:t>
      </w:r>
      <w:r w:rsidRPr="00D91D88">
        <w:rPr>
          <w:lang w:val="hu-HU"/>
        </w:rPr>
        <w:t xml:space="preserve"> 1</w:t>
      </w:r>
      <w:r>
        <w:rPr>
          <w:lang w:val="hu-HU"/>
        </w:rPr>
        <w:t>-nek</w:t>
      </w:r>
      <w:r w:rsidRPr="00D91D88">
        <w:rPr>
          <w:lang w:val="hu-HU"/>
        </w:rPr>
        <w:t xml:space="preserve"> </w:t>
      </w:r>
      <w:r w:rsidRPr="00D91D88">
        <w:rPr>
          <w:szCs w:val="22"/>
          <w:lang w:val="hu-HU"/>
        </w:rPr>
        <w:t>ductus arteriosus persistens</w:t>
      </w:r>
      <w:r>
        <w:rPr>
          <w:szCs w:val="22"/>
          <w:lang w:val="hu-HU"/>
        </w:rPr>
        <w:t>e</w:t>
      </w:r>
      <w:r w:rsidRPr="00D91D88">
        <w:rPr>
          <w:szCs w:val="22"/>
          <w:lang w:val="hu-HU"/>
        </w:rPr>
        <w:t xml:space="preserve"> volt</w:t>
      </w:r>
      <w:r w:rsidRPr="00D91D88">
        <w:rPr>
          <w:lang w:val="hu-HU"/>
        </w:rPr>
        <w:t>. A vizsgálat</w:t>
      </w:r>
      <w:r>
        <w:rPr>
          <w:lang w:val="hu-HU"/>
        </w:rPr>
        <w:t>i</w:t>
      </w:r>
      <w:r w:rsidRPr="00D91D88">
        <w:rPr>
          <w:lang w:val="hu-HU"/>
        </w:rPr>
        <w:t xml:space="preserve"> kezelés </w:t>
      </w:r>
      <w:r>
        <w:rPr>
          <w:lang w:val="hu-HU"/>
        </w:rPr>
        <w:t>meg</w:t>
      </w:r>
      <w:r w:rsidRPr="00D91D88">
        <w:rPr>
          <w:lang w:val="hu-HU"/>
        </w:rPr>
        <w:t xml:space="preserve">kezdésekor a </w:t>
      </w:r>
      <w:r>
        <w:rPr>
          <w:lang w:val="hu-HU"/>
        </w:rPr>
        <w:t xml:space="preserve">betegek a </w:t>
      </w:r>
      <w:r w:rsidRPr="00D91D88">
        <w:rPr>
          <w:lang w:val="hu-HU"/>
        </w:rPr>
        <w:t>WHO</w:t>
      </w:r>
      <w:r>
        <w:rPr>
          <w:lang w:val="hu-HU"/>
        </w:rPr>
        <w:t xml:space="preserve">-besorolás szerinti </w:t>
      </w:r>
      <w:r w:rsidRPr="00D91D88">
        <w:rPr>
          <w:lang w:val="hu-HU"/>
        </w:rPr>
        <w:t>II</w:t>
      </w:r>
      <w:r>
        <w:rPr>
          <w:lang w:val="hu-HU"/>
        </w:rPr>
        <w:t>.</w:t>
      </w:r>
      <w:r w:rsidRPr="00D91D88">
        <w:rPr>
          <w:lang w:val="hu-HU"/>
        </w:rPr>
        <w:t xml:space="preserve"> (n</w:t>
      </w:r>
      <w:r>
        <w:rPr>
          <w:lang w:val="hu-HU"/>
        </w:rPr>
        <w:t> </w:t>
      </w:r>
      <w:r w:rsidRPr="00D91D88">
        <w:rPr>
          <w:lang w:val="hu-HU"/>
        </w:rPr>
        <w:t>=</w:t>
      </w:r>
      <w:r>
        <w:rPr>
          <w:lang w:val="hu-HU"/>
        </w:rPr>
        <w:t> </w:t>
      </w:r>
      <w:r w:rsidRPr="00D91D88">
        <w:rPr>
          <w:lang w:val="hu-HU"/>
        </w:rPr>
        <w:t>32; 78%) vagy III</w:t>
      </w:r>
      <w:r>
        <w:rPr>
          <w:lang w:val="hu-HU"/>
        </w:rPr>
        <w:t>.</w:t>
      </w:r>
      <w:r w:rsidRPr="00D91D88">
        <w:rPr>
          <w:lang w:val="hu-HU"/>
        </w:rPr>
        <w:t xml:space="preserve"> (n</w:t>
      </w:r>
      <w:r>
        <w:rPr>
          <w:lang w:val="hu-HU"/>
        </w:rPr>
        <w:t> </w:t>
      </w:r>
      <w:r w:rsidRPr="00D91D88">
        <w:rPr>
          <w:lang w:val="hu-HU"/>
        </w:rPr>
        <w:t>=</w:t>
      </w:r>
      <w:r>
        <w:rPr>
          <w:lang w:val="hu-HU"/>
        </w:rPr>
        <w:t> </w:t>
      </w:r>
      <w:r w:rsidRPr="00D91D88">
        <w:rPr>
          <w:lang w:val="hu-HU"/>
        </w:rPr>
        <w:t xml:space="preserve">9; 22%) funkcionális osztályba tartoztak. A vizsgálatba </w:t>
      </w:r>
      <w:r>
        <w:rPr>
          <w:lang w:val="hu-HU"/>
        </w:rPr>
        <w:t>történő</w:t>
      </w:r>
      <w:r w:rsidRPr="00D91D88">
        <w:rPr>
          <w:lang w:val="hu-HU"/>
        </w:rPr>
        <w:t xml:space="preserve"> belépéskor a betegek</w:t>
      </w:r>
      <w:r>
        <w:rPr>
          <w:lang w:val="hu-HU"/>
        </w:rPr>
        <w:t>et</w:t>
      </w:r>
      <w:r w:rsidRPr="00D91D88">
        <w:rPr>
          <w:lang w:val="hu-HU"/>
        </w:rPr>
        <w:t xml:space="preserve"> PAH</w:t>
      </w:r>
      <w:r>
        <w:rPr>
          <w:lang w:val="hu-HU"/>
        </w:rPr>
        <w:t>-</w:t>
      </w:r>
      <w:r w:rsidRPr="00D91D88">
        <w:rPr>
          <w:lang w:val="hu-HU"/>
        </w:rPr>
        <w:t>gyógyszer</w:t>
      </w:r>
      <w:r>
        <w:rPr>
          <w:lang w:val="hu-HU"/>
        </w:rPr>
        <w:t>rel</w:t>
      </w:r>
      <w:r w:rsidRPr="00D91D88">
        <w:rPr>
          <w:lang w:val="hu-HU"/>
        </w:rPr>
        <w:t xml:space="preserve"> kezel</w:t>
      </w:r>
      <w:r>
        <w:rPr>
          <w:lang w:val="hu-HU"/>
        </w:rPr>
        <w:t>ték</w:t>
      </w:r>
      <w:r w:rsidRPr="00D91D88">
        <w:rPr>
          <w:lang w:val="hu-HU"/>
        </w:rPr>
        <w:t xml:space="preserve"> (leggyakrabban PDE5</w:t>
      </w:r>
      <w:r>
        <w:rPr>
          <w:lang w:val="hu-HU"/>
        </w:rPr>
        <w:t>-gátló</w:t>
      </w:r>
      <w:r w:rsidR="00984922">
        <w:rPr>
          <w:lang w:val="hu-HU"/>
        </w:rPr>
        <w:t>-</w:t>
      </w:r>
      <w:r w:rsidRPr="00D91D88">
        <w:rPr>
          <w:lang w:val="hu-HU"/>
        </w:rPr>
        <w:t>monoterápi</w:t>
      </w:r>
      <w:r>
        <w:rPr>
          <w:lang w:val="hu-HU"/>
        </w:rPr>
        <w:t>a</w:t>
      </w:r>
      <w:r w:rsidRPr="00D91D88">
        <w:rPr>
          <w:lang w:val="hu-HU"/>
        </w:rPr>
        <w:t xml:space="preserve"> [n</w:t>
      </w:r>
      <w:r>
        <w:rPr>
          <w:lang w:val="hu-HU"/>
        </w:rPr>
        <w:t> </w:t>
      </w:r>
      <w:r w:rsidRPr="00D91D88">
        <w:rPr>
          <w:lang w:val="hu-HU"/>
        </w:rPr>
        <w:t>=</w:t>
      </w:r>
      <w:r>
        <w:rPr>
          <w:lang w:val="hu-HU"/>
        </w:rPr>
        <w:t> </w:t>
      </w:r>
      <w:r w:rsidRPr="00D91D88">
        <w:rPr>
          <w:lang w:val="hu-HU"/>
        </w:rPr>
        <w:t>18; 44%], PDE5</w:t>
      </w:r>
      <w:r>
        <w:rPr>
          <w:lang w:val="hu-HU"/>
        </w:rPr>
        <w:t>-gátló plusz</w:t>
      </w:r>
      <w:r w:rsidRPr="00D91D88">
        <w:rPr>
          <w:lang w:val="hu-HU"/>
        </w:rPr>
        <w:t xml:space="preserve"> prosztanoid kombináció [n</w:t>
      </w:r>
      <w:r>
        <w:rPr>
          <w:lang w:val="hu-HU"/>
        </w:rPr>
        <w:t> </w:t>
      </w:r>
      <w:r w:rsidRPr="00D91D88">
        <w:rPr>
          <w:lang w:val="hu-HU"/>
        </w:rPr>
        <w:t>=</w:t>
      </w:r>
      <w:r>
        <w:rPr>
          <w:lang w:val="hu-HU"/>
        </w:rPr>
        <w:t> </w:t>
      </w:r>
      <w:r w:rsidRPr="00D91D88">
        <w:rPr>
          <w:lang w:val="hu-HU"/>
        </w:rPr>
        <w:t>8; 20%] vagy prosztanoid</w:t>
      </w:r>
      <w:r w:rsidR="00984922">
        <w:rPr>
          <w:lang w:val="hu-HU"/>
        </w:rPr>
        <w:t>-</w:t>
      </w:r>
      <w:r w:rsidRPr="00D91D88">
        <w:rPr>
          <w:lang w:val="hu-HU"/>
        </w:rPr>
        <w:t>monoterápi</w:t>
      </w:r>
      <w:r>
        <w:rPr>
          <w:lang w:val="hu-HU"/>
        </w:rPr>
        <w:t>a</w:t>
      </w:r>
      <w:r w:rsidRPr="00D91D88">
        <w:rPr>
          <w:lang w:val="hu-HU"/>
        </w:rPr>
        <w:t xml:space="preserve"> [n</w:t>
      </w:r>
      <w:r>
        <w:rPr>
          <w:lang w:val="hu-HU"/>
        </w:rPr>
        <w:t> </w:t>
      </w:r>
      <w:r w:rsidRPr="00D91D88">
        <w:rPr>
          <w:lang w:val="hu-HU"/>
        </w:rPr>
        <w:t>=</w:t>
      </w:r>
      <w:r>
        <w:rPr>
          <w:lang w:val="hu-HU"/>
        </w:rPr>
        <w:t> </w:t>
      </w:r>
      <w:r w:rsidRPr="00D91D88">
        <w:rPr>
          <w:lang w:val="hu-HU"/>
        </w:rPr>
        <w:t>1; 2%]), és</w:t>
      </w:r>
      <w:r>
        <w:rPr>
          <w:lang w:val="hu-HU"/>
        </w:rPr>
        <w:t xml:space="preserve"> ezt</w:t>
      </w:r>
      <w:r w:rsidRPr="00D91D88">
        <w:rPr>
          <w:lang w:val="hu-HU"/>
        </w:rPr>
        <w:t xml:space="preserve"> a </w:t>
      </w:r>
      <w:r>
        <w:rPr>
          <w:lang w:val="hu-HU"/>
        </w:rPr>
        <w:t>PAH-</w:t>
      </w:r>
      <w:r w:rsidRPr="00D91D88">
        <w:rPr>
          <w:lang w:val="hu-HU"/>
        </w:rPr>
        <w:t xml:space="preserve">kezelést </w:t>
      </w:r>
      <w:r>
        <w:rPr>
          <w:lang w:val="hu-HU"/>
        </w:rPr>
        <w:t xml:space="preserve">a vizsgálat alatt is </w:t>
      </w:r>
      <w:r w:rsidRPr="00D91D88">
        <w:rPr>
          <w:lang w:val="hu-HU"/>
        </w:rPr>
        <w:t>folytatták. A betegeket</w:t>
      </w:r>
      <w:r>
        <w:rPr>
          <w:lang w:val="hu-HU"/>
        </w:rPr>
        <w:t xml:space="preserve"> </w:t>
      </w:r>
      <w:r w:rsidRPr="00D91D88">
        <w:rPr>
          <w:lang w:val="hu-HU"/>
        </w:rPr>
        <w:t xml:space="preserve">két </w:t>
      </w:r>
      <w:r>
        <w:rPr>
          <w:lang w:val="hu-HU"/>
        </w:rPr>
        <w:t>dózis</w:t>
      </w:r>
      <w:r w:rsidRPr="00D91D88">
        <w:rPr>
          <w:lang w:val="hu-HU"/>
        </w:rPr>
        <w:t>csoport</w:t>
      </w:r>
      <w:r>
        <w:rPr>
          <w:lang w:val="hu-HU"/>
        </w:rPr>
        <w:t>b</w:t>
      </w:r>
      <w:r w:rsidRPr="00D91D88">
        <w:rPr>
          <w:lang w:val="hu-HU"/>
        </w:rPr>
        <w:t xml:space="preserve">a osztották: </w:t>
      </w:r>
      <w:r w:rsidRPr="00925008">
        <w:rPr>
          <w:szCs w:val="22"/>
          <w:lang w:val="hu-HU"/>
        </w:rPr>
        <w:t>napi egyszer</w:t>
      </w:r>
      <w:r w:rsidRPr="00D91D88">
        <w:rPr>
          <w:szCs w:val="22"/>
          <w:lang w:val="hu-HU"/>
        </w:rPr>
        <w:t xml:space="preserve"> </w:t>
      </w:r>
      <w:r w:rsidRPr="00D91D88">
        <w:rPr>
          <w:lang w:val="hu-HU"/>
        </w:rPr>
        <w:t>2,5 mg vagy 5 mg ambriszentán (</w:t>
      </w:r>
      <w:r w:rsidR="00984922">
        <w:rPr>
          <w:lang w:val="hu-HU"/>
        </w:rPr>
        <w:t>kis</w:t>
      </w:r>
      <w:r w:rsidRPr="00D91D88">
        <w:rPr>
          <w:lang w:val="hu-HU"/>
        </w:rPr>
        <w:t xml:space="preserve"> dózisú csoport, n</w:t>
      </w:r>
      <w:r>
        <w:rPr>
          <w:lang w:val="hu-HU"/>
        </w:rPr>
        <w:t> </w:t>
      </w:r>
      <w:r w:rsidRPr="00D91D88">
        <w:rPr>
          <w:lang w:val="hu-HU"/>
        </w:rPr>
        <w:t>=</w:t>
      </w:r>
      <w:r>
        <w:rPr>
          <w:lang w:val="hu-HU"/>
        </w:rPr>
        <w:t> </w:t>
      </w:r>
      <w:r w:rsidRPr="00D91D88">
        <w:rPr>
          <w:lang w:val="hu-HU"/>
        </w:rPr>
        <w:t xml:space="preserve">21), </w:t>
      </w:r>
      <w:r>
        <w:rPr>
          <w:lang w:val="hu-HU"/>
        </w:rPr>
        <w:t>és</w:t>
      </w:r>
      <w:r w:rsidRPr="00D91D88">
        <w:rPr>
          <w:lang w:val="hu-HU"/>
        </w:rPr>
        <w:t xml:space="preserve"> napi egyszer 2,5 mg vagy 5 mg, amit a testtömeg alapján 5</w:t>
      </w:r>
      <w:r>
        <w:rPr>
          <w:lang w:val="hu-HU"/>
        </w:rPr>
        <w:t> mg-ra</w:t>
      </w:r>
      <w:r w:rsidRPr="00D91D88">
        <w:rPr>
          <w:lang w:val="hu-HU"/>
        </w:rPr>
        <w:t>, 7,5</w:t>
      </w:r>
      <w:r>
        <w:rPr>
          <w:lang w:val="hu-HU"/>
        </w:rPr>
        <w:t> mg-ra</w:t>
      </w:r>
      <w:r w:rsidRPr="00D91D88">
        <w:rPr>
          <w:lang w:val="hu-HU"/>
        </w:rPr>
        <w:t xml:space="preserve"> vagy 10 mg-ra titráltak (</w:t>
      </w:r>
      <w:r w:rsidR="00984922">
        <w:rPr>
          <w:lang w:val="hu-HU"/>
        </w:rPr>
        <w:t>nagy</w:t>
      </w:r>
      <w:r w:rsidRPr="00D91D88">
        <w:rPr>
          <w:lang w:val="hu-HU"/>
        </w:rPr>
        <w:t xml:space="preserve"> dózisú csoport, n</w:t>
      </w:r>
      <w:r>
        <w:rPr>
          <w:lang w:val="hu-HU"/>
        </w:rPr>
        <w:t> </w:t>
      </w:r>
      <w:r w:rsidRPr="00D91D88">
        <w:rPr>
          <w:lang w:val="hu-HU"/>
        </w:rPr>
        <w:t>=</w:t>
      </w:r>
      <w:r>
        <w:rPr>
          <w:lang w:val="hu-HU"/>
        </w:rPr>
        <w:t> </w:t>
      </w:r>
      <w:r w:rsidRPr="00D91D88">
        <w:rPr>
          <w:lang w:val="hu-HU"/>
        </w:rPr>
        <w:t>20). A két csoportból összesen 20 beteg</w:t>
      </w:r>
      <w:r>
        <w:rPr>
          <w:lang w:val="hu-HU"/>
        </w:rPr>
        <w:t xml:space="preserve"> dózisát</w:t>
      </w:r>
      <w:r w:rsidRPr="00D91D88">
        <w:rPr>
          <w:lang w:val="hu-HU"/>
        </w:rPr>
        <w:t xml:space="preserve"> titrál</w:t>
      </w:r>
      <w:r>
        <w:rPr>
          <w:lang w:val="hu-HU"/>
        </w:rPr>
        <w:t>ták</w:t>
      </w:r>
      <w:r w:rsidRPr="00D91D88">
        <w:rPr>
          <w:lang w:val="hu-HU"/>
        </w:rPr>
        <w:t xml:space="preserve"> a </w:t>
      </w:r>
      <w:r>
        <w:rPr>
          <w:lang w:val="hu-HU"/>
        </w:rPr>
        <w:t xml:space="preserve">második </w:t>
      </w:r>
      <w:r w:rsidRPr="00D91D88">
        <w:rPr>
          <w:lang w:val="hu-HU"/>
        </w:rPr>
        <w:t>héten a klinikai válasz</w:t>
      </w:r>
      <w:r>
        <w:rPr>
          <w:lang w:val="hu-HU"/>
        </w:rPr>
        <w:t>tól</w:t>
      </w:r>
      <w:r w:rsidRPr="00D91D88">
        <w:rPr>
          <w:lang w:val="hu-HU"/>
        </w:rPr>
        <w:t xml:space="preserve"> és a tolerálhatóság</w:t>
      </w:r>
      <w:r>
        <w:rPr>
          <w:lang w:val="hu-HU"/>
        </w:rPr>
        <w:t>tól függően</w:t>
      </w:r>
      <w:r w:rsidRPr="00D91D88">
        <w:rPr>
          <w:lang w:val="hu-HU"/>
        </w:rPr>
        <w:t>; 37 beteg fejezte be a vizsgálat</w:t>
      </w:r>
      <w:r>
        <w:rPr>
          <w:lang w:val="hu-HU"/>
        </w:rPr>
        <w:t>ot</w:t>
      </w:r>
      <w:r w:rsidRPr="00D91D88">
        <w:rPr>
          <w:lang w:val="hu-HU"/>
        </w:rPr>
        <w:t>; 4 beteg kilépett a vizsgálatból.</w:t>
      </w:r>
    </w:p>
    <w:p w14:paraId="611CEF64" w14:textId="16CEC188" w:rsidR="00364519" w:rsidRDefault="00364519" w:rsidP="00364519">
      <w:pPr>
        <w:spacing w:line="240" w:lineRule="auto"/>
        <w:rPr>
          <w:lang w:val="hu-HU"/>
        </w:rPr>
      </w:pPr>
      <w:r w:rsidRPr="00D91D88">
        <w:rPr>
          <w:szCs w:val="22"/>
          <w:lang w:val="hu-HU"/>
        </w:rPr>
        <w:t>Nem figyeltek meg dózissal kapcsolatos összefüggést az ambriszentán</w:t>
      </w:r>
      <w:r>
        <w:rPr>
          <w:szCs w:val="22"/>
          <w:lang w:val="hu-HU"/>
        </w:rPr>
        <w:t>nak a</w:t>
      </w:r>
      <w:r w:rsidRPr="00D91D88">
        <w:rPr>
          <w:szCs w:val="22"/>
          <w:lang w:val="hu-HU"/>
        </w:rPr>
        <w:t xml:space="preserve"> </w:t>
      </w:r>
      <w:r w:rsidRPr="00D91D88">
        <w:rPr>
          <w:lang w:val="hu-HU"/>
        </w:rPr>
        <w:t>fő hatásossági kimenetelre, a fizikai terhelhetősé</w:t>
      </w:r>
      <w:r w:rsidRPr="005D779D">
        <w:rPr>
          <w:lang w:val="hu-HU"/>
        </w:rPr>
        <w:t>gre</w:t>
      </w:r>
      <w:r w:rsidRPr="00D91D88">
        <w:rPr>
          <w:lang w:val="hu-HU"/>
        </w:rPr>
        <w:t xml:space="preserve"> (6MWD</w:t>
      </w:r>
      <w:r>
        <w:rPr>
          <w:lang w:val="hu-HU"/>
        </w:rPr>
        <w:t>, 6 perces járástávolság</w:t>
      </w:r>
      <w:r w:rsidRPr="00D91D88">
        <w:rPr>
          <w:lang w:val="hu-HU"/>
        </w:rPr>
        <w:t>) gyakorolt hatás</w:t>
      </w:r>
      <w:r>
        <w:rPr>
          <w:lang w:val="hu-HU"/>
        </w:rPr>
        <w:t>á</w:t>
      </w:r>
      <w:r w:rsidRPr="00D91D88">
        <w:rPr>
          <w:lang w:val="hu-HU"/>
        </w:rPr>
        <w:t>ban. A</w:t>
      </w:r>
      <w:r w:rsidRPr="005D779D">
        <w:rPr>
          <w:lang w:val="hu-HU"/>
        </w:rPr>
        <w:t xml:space="preserve"> </w:t>
      </w:r>
      <w:r>
        <w:rPr>
          <w:lang w:val="hu-HU"/>
        </w:rPr>
        <w:t>vizsgálat megkezdésekor</w:t>
      </w:r>
      <w:r w:rsidRPr="005D779D">
        <w:rPr>
          <w:lang w:val="hu-HU"/>
        </w:rPr>
        <w:t xml:space="preserve"> és a 24</w:t>
      </w:r>
      <w:r>
        <w:rPr>
          <w:lang w:val="hu-HU"/>
        </w:rPr>
        <w:t>.</w:t>
      </w:r>
      <w:r w:rsidRPr="005D779D">
        <w:rPr>
          <w:lang w:val="hu-HU"/>
        </w:rPr>
        <w:t> héten mér</w:t>
      </w:r>
      <w:r>
        <w:rPr>
          <w:lang w:val="hu-HU"/>
        </w:rPr>
        <w:t xml:space="preserve">t </w:t>
      </w:r>
      <w:r w:rsidRPr="005D779D">
        <w:rPr>
          <w:lang w:val="hu-HU"/>
        </w:rPr>
        <w:t>6</w:t>
      </w:r>
      <w:r w:rsidR="005A0D2F">
        <w:rPr>
          <w:lang w:val="hu-HU"/>
        </w:rPr>
        <w:t xml:space="preserve"> perces járástávolság </w:t>
      </w:r>
      <w:r>
        <w:rPr>
          <w:lang w:val="hu-HU"/>
        </w:rPr>
        <w:t>átlagos változása</w:t>
      </w:r>
      <w:r w:rsidRPr="00D91D88">
        <w:rPr>
          <w:lang w:val="hu-HU"/>
        </w:rPr>
        <w:t xml:space="preserve"> </w:t>
      </w:r>
      <w:r>
        <w:rPr>
          <w:lang w:val="hu-HU"/>
        </w:rPr>
        <w:t>a</w:t>
      </w:r>
      <w:r w:rsidRPr="00D91D88">
        <w:rPr>
          <w:lang w:val="hu-HU"/>
        </w:rPr>
        <w:t xml:space="preserve"> 24.</w:t>
      </w:r>
      <w:r w:rsidRPr="005D779D">
        <w:rPr>
          <w:lang w:val="hu-HU"/>
        </w:rPr>
        <w:t> </w:t>
      </w:r>
      <w:r w:rsidRPr="00D91D88">
        <w:rPr>
          <w:lang w:val="hu-HU"/>
        </w:rPr>
        <w:t>h</w:t>
      </w:r>
      <w:r>
        <w:rPr>
          <w:lang w:val="hu-HU"/>
        </w:rPr>
        <w:t>éten</w:t>
      </w:r>
      <w:r w:rsidRPr="00D91D88">
        <w:rPr>
          <w:lang w:val="hu-HU"/>
        </w:rPr>
        <w:t xml:space="preserve"> a </w:t>
      </w:r>
      <w:r w:rsidR="00984922">
        <w:rPr>
          <w:lang w:val="hu-HU"/>
        </w:rPr>
        <w:t>kis</w:t>
      </w:r>
      <w:r w:rsidRPr="00D91D88">
        <w:rPr>
          <w:lang w:val="hu-HU"/>
        </w:rPr>
        <w:t xml:space="preserve"> dózisú csoportban </w:t>
      </w:r>
      <w:r>
        <w:rPr>
          <w:lang w:val="hu-HU"/>
        </w:rPr>
        <w:t xml:space="preserve">18 betegnél </w:t>
      </w:r>
      <w:r w:rsidRPr="00D91D88">
        <w:rPr>
          <w:lang w:val="hu-HU"/>
        </w:rPr>
        <w:t>+55,14</w:t>
      </w:r>
      <w:r w:rsidRPr="005D779D">
        <w:rPr>
          <w:lang w:val="hu-HU"/>
        </w:rPr>
        <w:t> </w:t>
      </w:r>
      <w:r w:rsidRPr="00D91D88">
        <w:rPr>
          <w:lang w:val="hu-HU"/>
        </w:rPr>
        <w:t>m (95%</w:t>
      </w:r>
      <w:r>
        <w:rPr>
          <w:lang w:val="hu-HU"/>
        </w:rPr>
        <w:t>-os</w:t>
      </w:r>
      <w:r w:rsidRPr="00D91D88">
        <w:rPr>
          <w:lang w:val="hu-HU"/>
        </w:rPr>
        <w:t xml:space="preserve"> </w:t>
      </w:r>
      <w:r>
        <w:rPr>
          <w:lang w:val="hu-HU"/>
        </w:rPr>
        <w:t>C</w:t>
      </w:r>
      <w:r w:rsidRPr="00D91D88">
        <w:rPr>
          <w:lang w:val="hu-HU"/>
        </w:rPr>
        <w:t xml:space="preserve">I: 4,32–105,95), illetve </w:t>
      </w:r>
      <w:r w:rsidR="001709D1" w:rsidRPr="00D91D88">
        <w:rPr>
          <w:lang w:val="hu-HU"/>
        </w:rPr>
        <w:t xml:space="preserve">a </w:t>
      </w:r>
      <w:r w:rsidR="001709D1">
        <w:rPr>
          <w:lang w:val="hu-HU"/>
        </w:rPr>
        <w:t>nagy</w:t>
      </w:r>
      <w:r w:rsidR="001709D1" w:rsidRPr="00D91D88">
        <w:rPr>
          <w:lang w:val="hu-HU"/>
        </w:rPr>
        <w:t xml:space="preserve"> dózisú csoportban </w:t>
      </w:r>
      <w:r>
        <w:rPr>
          <w:lang w:val="hu-HU"/>
        </w:rPr>
        <w:t xml:space="preserve">18 betegnél </w:t>
      </w:r>
      <w:r w:rsidRPr="00D91D88">
        <w:rPr>
          <w:lang w:val="hu-HU"/>
        </w:rPr>
        <w:t>+26,25</w:t>
      </w:r>
      <w:r w:rsidRPr="005D779D">
        <w:rPr>
          <w:lang w:val="hu-HU"/>
        </w:rPr>
        <w:t> </w:t>
      </w:r>
      <w:r w:rsidRPr="00D91D88">
        <w:rPr>
          <w:lang w:val="hu-HU"/>
        </w:rPr>
        <w:t>m (95%</w:t>
      </w:r>
      <w:r>
        <w:rPr>
          <w:lang w:val="hu-HU"/>
        </w:rPr>
        <w:t>-os</w:t>
      </w:r>
      <w:r w:rsidRPr="00D91D88">
        <w:rPr>
          <w:lang w:val="hu-HU"/>
        </w:rPr>
        <w:t xml:space="preserve"> </w:t>
      </w:r>
      <w:r>
        <w:rPr>
          <w:lang w:val="hu-HU"/>
        </w:rPr>
        <w:t>C</w:t>
      </w:r>
      <w:r w:rsidRPr="00D91D88">
        <w:rPr>
          <w:lang w:val="hu-HU"/>
        </w:rPr>
        <w:t xml:space="preserve">I: 4,59–57,09) volt. </w:t>
      </w:r>
      <w:r w:rsidRPr="00D91D88">
        <w:rPr>
          <w:szCs w:val="22"/>
          <w:lang w:val="hu-HU"/>
        </w:rPr>
        <w:t>A kiindulási értékhez viszonyított átlagos változás a 24. héten a</w:t>
      </w:r>
      <w:r>
        <w:rPr>
          <w:szCs w:val="22"/>
          <w:lang w:val="hu-HU"/>
        </w:rPr>
        <w:t>z összes</w:t>
      </w:r>
      <w:r w:rsidRPr="00D91D88">
        <w:rPr>
          <w:szCs w:val="22"/>
          <w:lang w:val="hu-HU"/>
        </w:rPr>
        <w:t xml:space="preserve"> 36 betegre (</w:t>
      </w:r>
      <w:r>
        <w:rPr>
          <w:szCs w:val="22"/>
          <w:lang w:val="hu-HU"/>
        </w:rPr>
        <w:t>mind</w:t>
      </w:r>
      <w:r w:rsidRPr="00D91D88">
        <w:rPr>
          <w:szCs w:val="22"/>
          <w:lang w:val="hu-HU"/>
        </w:rPr>
        <w:t>két dóziscsoportot összesítve) +40,69 m (95%</w:t>
      </w:r>
      <w:r>
        <w:rPr>
          <w:szCs w:val="22"/>
          <w:lang w:val="hu-HU"/>
        </w:rPr>
        <w:t>-os</w:t>
      </w:r>
      <w:r w:rsidRPr="00D91D88">
        <w:rPr>
          <w:szCs w:val="22"/>
          <w:lang w:val="hu-HU"/>
        </w:rPr>
        <w:t xml:space="preserve"> </w:t>
      </w:r>
      <w:r>
        <w:rPr>
          <w:szCs w:val="22"/>
          <w:lang w:val="hu-HU"/>
        </w:rPr>
        <w:t>C</w:t>
      </w:r>
      <w:r w:rsidRPr="00D91D88">
        <w:rPr>
          <w:szCs w:val="22"/>
          <w:lang w:val="hu-HU"/>
        </w:rPr>
        <w:t>I: 12,08</w:t>
      </w:r>
      <w:r>
        <w:rPr>
          <w:szCs w:val="22"/>
          <w:lang w:val="hu-HU"/>
        </w:rPr>
        <w:t>–</w:t>
      </w:r>
      <w:r w:rsidRPr="00D91D88">
        <w:rPr>
          <w:szCs w:val="22"/>
          <w:lang w:val="hu-HU"/>
        </w:rPr>
        <w:t>69,31)</w:t>
      </w:r>
      <w:r w:rsidRPr="00D91D88">
        <w:rPr>
          <w:lang w:val="hu-HU"/>
        </w:rPr>
        <w:t xml:space="preserve"> volt. Ezek az eredmények összhangban </w:t>
      </w:r>
      <w:r>
        <w:rPr>
          <w:lang w:val="hu-HU"/>
        </w:rPr>
        <w:t>voltak</w:t>
      </w:r>
      <w:r w:rsidRPr="00D91D88">
        <w:rPr>
          <w:lang w:val="hu-HU"/>
        </w:rPr>
        <w:t xml:space="preserve"> a felnőtteknél megfigyelt</w:t>
      </w:r>
      <w:r>
        <w:rPr>
          <w:lang w:val="hu-HU"/>
        </w:rPr>
        <w:t>ekkel</w:t>
      </w:r>
      <w:r w:rsidRPr="00D91D88">
        <w:rPr>
          <w:lang w:val="hu-HU"/>
        </w:rPr>
        <w:t xml:space="preserve">. A </w:t>
      </w:r>
      <w:r w:rsidR="001709D1">
        <w:rPr>
          <w:lang w:val="hu-HU"/>
        </w:rPr>
        <w:t>kis</w:t>
      </w:r>
      <w:r>
        <w:rPr>
          <w:lang w:val="hu-HU"/>
        </w:rPr>
        <w:t xml:space="preserve"> </w:t>
      </w:r>
      <w:r w:rsidRPr="00D91D88">
        <w:rPr>
          <w:lang w:val="hu-HU"/>
        </w:rPr>
        <w:lastRenderedPageBreak/>
        <w:t>dózisú csoport</w:t>
      </w:r>
      <w:r>
        <w:rPr>
          <w:lang w:val="hu-HU"/>
        </w:rPr>
        <w:t>ból a betegek</w:t>
      </w:r>
      <w:r w:rsidRPr="00D91D88">
        <w:rPr>
          <w:lang w:val="hu-HU"/>
        </w:rPr>
        <w:t xml:space="preserve"> 95%-</w:t>
      </w:r>
      <w:r w:rsidR="001709D1">
        <w:rPr>
          <w:lang w:val="hu-HU"/>
        </w:rPr>
        <w:t>ának</w:t>
      </w:r>
      <w:r>
        <w:rPr>
          <w:lang w:val="hu-HU"/>
        </w:rPr>
        <w:t>, illetve</w:t>
      </w:r>
      <w:r w:rsidRPr="00D91D88">
        <w:rPr>
          <w:lang w:val="hu-HU"/>
        </w:rPr>
        <w:t xml:space="preserve"> </w:t>
      </w:r>
      <w:r w:rsidR="001709D1">
        <w:rPr>
          <w:lang w:val="hu-HU"/>
        </w:rPr>
        <w:t xml:space="preserve">nagy </w:t>
      </w:r>
      <w:r w:rsidR="001709D1" w:rsidRPr="00D91D88">
        <w:rPr>
          <w:lang w:val="hu-HU"/>
        </w:rPr>
        <w:t xml:space="preserve">dózisú </w:t>
      </w:r>
      <w:r w:rsidR="001709D1">
        <w:rPr>
          <w:lang w:val="hu-HU"/>
        </w:rPr>
        <w:t xml:space="preserve">csoportból </w:t>
      </w:r>
      <w:r w:rsidRPr="00D91D88">
        <w:rPr>
          <w:lang w:val="hu-HU"/>
        </w:rPr>
        <w:t>100%-</w:t>
      </w:r>
      <w:r w:rsidR="001709D1">
        <w:rPr>
          <w:lang w:val="hu-HU"/>
        </w:rPr>
        <w:t>ának állapota</w:t>
      </w:r>
      <w:r>
        <w:rPr>
          <w:lang w:val="hu-HU"/>
        </w:rPr>
        <w:t xml:space="preserve"> maradt</w:t>
      </w:r>
      <w:r w:rsidRPr="00D91D88">
        <w:rPr>
          <w:lang w:val="hu-HU"/>
        </w:rPr>
        <w:t xml:space="preserve"> stabil</w:t>
      </w:r>
      <w:r>
        <w:rPr>
          <w:lang w:val="hu-HU"/>
        </w:rPr>
        <w:t xml:space="preserve"> a 24. hétre</w:t>
      </w:r>
      <w:r w:rsidRPr="00D91D88">
        <w:rPr>
          <w:lang w:val="hu-HU"/>
        </w:rPr>
        <w:t xml:space="preserve"> (a </w:t>
      </w:r>
      <w:r w:rsidR="005A0D2F">
        <w:rPr>
          <w:lang w:val="hu-HU"/>
        </w:rPr>
        <w:t xml:space="preserve">WHO-besorolás szerinti </w:t>
      </w:r>
      <w:r w:rsidRPr="00D91D88">
        <w:rPr>
          <w:lang w:val="hu-HU"/>
        </w:rPr>
        <w:t xml:space="preserve">funkcionális osztály </w:t>
      </w:r>
      <w:r>
        <w:rPr>
          <w:lang w:val="hu-HU"/>
        </w:rPr>
        <w:t xml:space="preserve">nem </w:t>
      </w:r>
      <w:r w:rsidRPr="00D91D88">
        <w:rPr>
          <w:lang w:val="hu-HU"/>
        </w:rPr>
        <w:t>változ</w:t>
      </w:r>
      <w:r>
        <w:rPr>
          <w:lang w:val="hu-HU"/>
        </w:rPr>
        <w:t>ott</w:t>
      </w:r>
      <w:r w:rsidRPr="00D91D88">
        <w:rPr>
          <w:lang w:val="hu-HU"/>
        </w:rPr>
        <w:t xml:space="preserve"> vagy javult). </w:t>
      </w:r>
      <w:r>
        <w:rPr>
          <w:lang w:val="hu-HU"/>
        </w:rPr>
        <w:t xml:space="preserve">A </w:t>
      </w:r>
      <w:r w:rsidRPr="00D91D88">
        <w:rPr>
          <w:lang w:val="hu-HU"/>
        </w:rPr>
        <w:t>Kaplan</w:t>
      </w:r>
      <w:r>
        <w:rPr>
          <w:lang w:val="hu-HU"/>
        </w:rPr>
        <w:t>–</w:t>
      </w:r>
      <w:r w:rsidRPr="00D91D88">
        <w:rPr>
          <w:lang w:val="hu-HU"/>
        </w:rPr>
        <w:t>Meier</w:t>
      </w:r>
      <w:r>
        <w:rPr>
          <w:lang w:val="hu-HU"/>
        </w:rPr>
        <w:t>-</w:t>
      </w:r>
      <w:r w:rsidRPr="00D91D88">
        <w:rPr>
          <w:lang w:val="hu-HU"/>
        </w:rPr>
        <w:t>becslés</w:t>
      </w:r>
      <w:r>
        <w:rPr>
          <w:lang w:val="hu-HU"/>
        </w:rPr>
        <w:t xml:space="preserve"> szerinti</w:t>
      </w:r>
      <w:r w:rsidRPr="00D91D88">
        <w:rPr>
          <w:lang w:val="hu-HU"/>
        </w:rPr>
        <w:t xml:space="preserve"> </w:t>
      </w:r>
      <w:r w:rsidRPr="00DA2965">
        <w:rPr>
          <w:lang w:val="hu-HU"/>
        </w:rPr>
        <w:t>eseménymentes túlélés</w:t>
      </w:r>
      <w:r>
        <w:rPr>
          <w:lang w:val="hu-HU"/>
        </w:rPr>
        <w:t xml:space="preserve"> a</w:t>
      </w:r>
      <w:r w:rsidRPr="00DA2965">
        <w:rPr>
          <w:lang w:val="hu-HU"/>
        </w:rPr>
        <w:t xml:space="preserve"> </w:t>
      </w:r>
      <w:r w:rsidRPr="006C0D6D">
        <w:rPr>
          <w:lang w:val="hu-HU"/>
        </w:rPr>
        <w:t xml:space="preserve">PAH </w:t>
      </w:r>
      <w:r>
        <w:rPr>
          <w:lang w:val="hu-HU"/>
        </w:rPr>
        <w:t>rosszabbodására</w:t>
      </w:r>
      <w:r w:rsidRPr="006C0D6D">
        <w:rPr>
          <w:lang w:val="hu-HU"/>
        </w:rPr>
        <w:t xml:space="preserve"> vonatkozó</w:t>
      </w:r>
      <w:r>
        <w:rPr>
          <w:lang w:val="hu-HU"/>
        </w:rPr>
        <w:t>an</w:t>
      </w:r>
      <w:r w:rsidRPr="006C0D6D">
        <w:rPr>
          <w:lang w:val="hu-HU"/>
        </w:rPr>
        <w:t xml:space="preserve"> </w:t>
      </w:r>
      <w:r w:rsidRPr="00D91D88">
        <w:rPr>
          <w:lang w:val="hu-HU"/>
        </w:rPr>
        <w:t>(halál</w:t>
      </w:r>
      <w:r>
        <w:rPr>
          <w:lang w:val="hu-HU"/>
        </w:rPr>
        <w:t xml:space="preserve">ozás </w:t>
      </w:r>
      <w:r w:rsidRPr="00B04572">
        <w:rPr>
          <w:lang w:val="hu-HU"/>
        </w:rPr>
        <w:t xml:space="preserve">[bármilyen </w:t>
      </w:r>
      <w:r>
        <w:rPr>
          <w:lang w:val="hu-HU"/>
        </w:rPr>
        <w:t>okból</w:t>
      </w:r>
      <w:r w:rsidRPr="00B04572">
        <w:rPr>
          <w:lang w:val="hu-HU"/>
        </w:rPr>
        <w:t>]</w:t>
      </w:r>
      <w:r w:rsidRPr="00D91D88">
        <w:rPr>
          <w:lang w:val="hu-HU"/>
        </w:rPr>
        <w:t>, tüdőtranszplantáció</w:t>
      </w:r>
      <w:r>
        <w:rPr>
          <w:lang w:val="hu-HU"/>
        </w:rPr>
        <w:t>, súlyosbodó</w:t>
      </w:r>
      <w:r w:rsidRPr="00D91D88">
        <w:rPr>
          <w:lang w:val="hu-HU"/>
        </w:rPr>
        <w:t xml:space="preserve"> PAH </w:t>
      </w:r>
      <w:r w:rsidRPr="00777A3C">
        <w:rPr>
          <w:lang w:val="hu-HU"/>
        </w:rPr>
        <w:t>miatti hospitalizáció</w:t>
      </w:r>
      <w:r w:rsidRPr="003F0AA0">
        <w:rPr>
          <w:lang w:val="hu-HU"/>
        </w:rPr>
        <w:t xml:space="preserve"> </w:t>
      </w:r>
      <w:r w:rsidRPr="00D91D88">
        <w:rPr>
          <w:lang w:val="hu-HU"/>
        </w:rPr>
        <w:t>vagy a PAH-</w:t>
      </w:r>
      <w:r>
        <w:rPr>
          <w:lang w:val="hu-HU"/>
        </w:rPr>
        <w:t>val összefüggő</w:t>
      </w:r>
      <w:r w:rsidRPr="00D91D88">
        <w:rPr>
          <w:lang w:val="hu-HU"/>
        </w:rPr>
        <w:t xml:space="preserve"> állapotromlás) a 24. hét</w:t>
      </w:r>
      <w:r>
        <w:rPr>
          <w:lang w:val="hu-HU"/>
        </w:rPr>
        <w:t xml:space="preserve">en </w:t>
      </w:r>
      <w:r w:rsidRPr="00D91D88">
        <w:rPr>
          <w:lang w:val="hu-HU"/>
        </w:rPr>
        <w:t xml:space="preserve">86% volt a </w:t>
      </w:r>
      <w:r w:rsidR="001709D1">
        <w:rPr>
          <w:lang w:val="hu-HU"/>
        </w:rPr>
        <w:t>kis</w:t>
      </w:r>
      <w:r>
        <w:rPr>
          <w:lang w:val="hu-HU"/>
        </w:rPr>
        <w:t xml:space="preserve">, illetve </w:t>
      </w:r>
      <w:r w:rsidRPr="00D91D88">
        <w:rPr>
          <w:lang w:val="hu-HU"/>
        </w:rPr>
        <w:t xml:space="preserve">85% a </w:t>
      </w:r>
      <w:r w:rsidR="001709D1">
        <w:rPr>
          <w:lang w:val="hu-HU"/>
        </w:rPr>
        <w:t>nagy</w:t>
      </w:r>
      <w:r>
        <w:rPr>
          <w:lang w:val="hu-HU"/>
        </w:rPr>
        <w:t xml:space="preserve"> </w:t>
      </w:r>
      <w:r w:rsidRPr="00D91D88">
        <w:rPr>
          <w:lang w:val="hu-HU"/>
        </w:rPr>
        <w:t>dózisú csoportban.</w:t>
      </w:r>
    </w:p>
    <w:p w14:paraId="06718204" w14:textId="14E32DEA" w:rsidR="00364519" w:rsidRDefault="00364519" w:rsidP="00364519">
      <w:pPr>
        <w:spacing w:line="240" w:lineRule="auto"/>
        <w:rPr>
          <w:lang w:val="hu-HU"/>
        </w:rPr>
      </w:pPr>
      <w:r w:rsidRPr="00D91D88">
        <w:rPr>
          <w:lang w:val="hu-HU"/>
        </w:rPr>
        <w:t>A hemodinamikai paraméterek</w:t>
      </w:r>
      <w:r>
        <w:rPr>
          <w:lang w:val="hu-HU"/>
        </w:rPr>
        <w:t>et</w:t>
      </w:r>
      <w:r w:rsidRPr="00D91D88">
        <w:rPr>
          <w:lang w:val="hu-HU"/>
        </w:rPr>
        <w:t xml:space="preserve"> 5 betegnél </w:t>
      </w:r>
      <w:r>
        <w:rPr>
          <w:lang w:val="hu-HU"/>
        </w:rPr>
        <w:t xml:space="preserve">mérték </w:t>
      </w:r>
      <w:r w:rsidRPr="00D91D88">
        <w:rPr>
          <w:lang w:val="hu-HU"/>
        </w:rPr>
        <w:t>(</w:t>
      </w:r>
      <w:r w:rsidR="001709D1">
        <w:rPr>
          <w:lang w:val="hu-HU"/>
        </w:rPr>
        <w:t>kis</w:t>
      </w:r>
      <w:r w:rsidRPr="00D91D88">
        <w:rPr>
          <w:lang w:val="hu-HU"/>
        </w:rPr>
        <w:t xml:space="preserve"> dózisú csoport). A szívindex átlagos </w:t>
      </w:r>
      <w:r>
        <w:rPr>
          <w:lang w:val="hu-HU"/>
        </w:rPr>
        <w:t>növekedése</w:t>
      </w:r>
      <w:r w:rsidRPr="00D91D88">
        <w:rPr>
          <w:lang w:val="hu-HU"/>
        </w:rPr>
        <w:t xml:space="preserve"> a kiindulás</w:t>
      </w:r>
      <w:r>
        <w:rPr>
          <w:lang w:val="hu-HU"/>
        </w:rPr>
        <w:t>i értékhez viszonyítva</w:t>
      </w:r>
      <w:r w:rsidRPr="00D91D88">
        <w:rPr>
          <w:lang w:val="hu-HU"/>
        </w:rPr>
        <w:t xml:space="preserve"> + 0,94 l/perc/m</w:t>
      </w:r>
      <w:r w:rsidRPr="00D91D88">
        <w:rPr>
          <w:vertAlign w:val="superscript"/>
          <w:lang w:val="hu-HU"/>
        </w:rPr>
        <w:t>2</w:t>
      </w:r>
      <w:r w:rsidRPr="00D91D88">
        <w:rPr>
          <w:lang w:val="hu-HU"/>
        </w:rPr>
        <w:t xml:space="preserve">, a pulmonális artériás középnyomás átlagos csökkenése -2,2 Hgmm, a PVR </w:t>
      </w:r>
      <w:r w:rsidRPr="009C776D">
        <w:rPr>
          <w:szCs w:val="22"/>
          <w:lang w:val="hu-HU"/>
        </w:rPr>
        <w:t xml:space="preserve">(pulmonális vaszkuláris rezisztencia) </w:t>
      </w:r>
      <w:r w:rsidRPr="00D91D88">
        <w:rPr>
          <w:lang w:val="hu-HU"/>
        </w:rPr>
        <w:t>átlagos csökkenése -277 dyn s/cm</w:t>
      </w:r>
      <w:r w:rsidRPr="00D91D88">
        <w:rPr>
          <w:vertAlign w:val="superscript"/>
          <w:lang w:val="hu-HU"/>
        </w:rPr>
        <w:t>5</w:t>
      </w:r>
      <w:r w:rsidRPr="00D91D88">
        <w:rPr>
          <w:lang w:val="hu-HU"/>
        </w:rPr>
        <w:t xml:space="preserve"> (-3,46 Hgmm/l/perc) volt.</w:t>
      </w:r>
    </w:p>
    <w:p w14:paraId="437FDD75" w14:textId="440F2A45" w:rsidR="00364519" w:rsidRPr="00D91D88" w:rsidRDefault="00364519" w:rsidP="00364519">
      <w:pPr>
        <w:spacing w:line="240" w:lineRule="auto"/>
        <w:rPr>
          <w:lang w:val="hu-HU"/>
        </w:rPr>
      </w:pPr>
      <w:r w:rsidRPr="00D91D88">
        <w:rPr>
          <w:szCs w:val="22"/>
          <w:lang w:val="hu-HU"/>
        </w:rPr>
        <w:t>A 24 hét</w:t>
      </w:r>
      <w:r>
        <w:rPr>
          <w:szCs w:val="22"/>
          <w:lang w:val="hu-HU"/>
        </w:rPr>
        <w:t>ig</w:t>
      </w:r>
      <w:r w:rsidRPr="00D91D88">
        <w:rPr>
          <w:szCs w:val="22"/>
          <w:lang w:val="hu-HU"/>
        </w:rPr>
        <w:t xml:space="preserve"> ambriszentán</w:t>
      </w:r>
      <w:r>
        <w:rPr>
          <w:szCs w:val="22"/>
          <w:lang w:val="hu-HU"/>
        </w:rPr>
        <w:t>nal kezelt</w:t>
      </w:r>
      <w:r w:rsidRPr="00D91D88">
        <w:rPr>
          <w:szCs w:val="22"/>
          <w:lang w:val="hu-HU"/>
        </w:rPr>
        <w:t>, PAH-ban szenvedő gyermek</w:t>
      </w:r>
      <w:r>
        <w:rPr>
          <w:szCs w:val="22"/>
          <w:lang w:val="hu-HU"/>
        </w:rPr>
        <w:t>eknél illetve</w:t>
      </w:r>
      <w:r w:rsidRPr="00D91D88">
        <w:rPr>
          <w:szCs w:val="22"/>
          <w:lang w:val="hu-HU"/>
        </w:rPr>
        <w:t xml:space="preserve"> serdülő</w:t>
      </w:r>
      <w:r>
        <w:rPr>
          <w:szCs w:val="22"/>
          <w:lang w:val="hu-HU"/>
        </w:rPr>
        <w:t>knél</w:t>
      </w:r>
      <w:r w:rsidRPr="00D91D88">
        <w:rPr>
          <w:szCs w:val="22"/>
          <w:lang w:val="hu-HU"/>
        </w:rPr>
        <w:t xml:space="preserve"> a</w:t>
      </w:r>
      <w:r>
        <w:rPr>
          <w:szCs w:val="22"/>
          <w:lang w:val="hu-HU"/>
        </w:rPr>
        <w:t xml:space="preserve"> kiindulási értékhez viszonyított</w:t>
      </w:r>
      <w:r w:rsidRPr="00925008">
        <w:rPr>
          <w:szCs w:val="22"/>
          <w:lang w:val="hu-HU"/>
        </w:rPr>
        <w:t xml:space="preserve"> </w:t>
      </w:r>
      <w:r w:rsidRPr="00D91D88">
        <w:rPr>
          <w:lang w:val="hu-HU"/>
        </w:rPr>
        <w:t xml:space="preserve">NT-pro-BNP csökkenés mértani középértéke 31% volt a </w:t>
      </w:r>
      <w:r w:rsidR="001709D1">
        <w:rPr>
          <w:lang w:val="hu-HU"/>
        </w:rPr>
        <w:t>kis</w:t>
      </w:r>
      <w:r w:rsidRPr="00D91D88">
        <w:rPr>
          <w:lang w:val="hu-HU"/>
        </w:rPr>
        <w:t xml:space="preserve"> dózisú</w:t>
      </w:r>
      <w:r>
        <w:rPr>
          <w:lang w:val="hu-HU"/>
        </w:rPr>
        <w:t xml:space="preserve"> csoportban</w:t>
      </w:r>
      <w:r w:rsidRPr="00D91D88">
        <w:rPr>
          <w:lang w:val="hu-HU"/>
        </w:rPr>
        <w:t xml:space="preserve"> (2,5 és 5 mg)</w:t>
      </w:r>
      <w:r>
        <w:rPr>
          <w:lang w:val="hu-HU"/>
        </w:rPr>
        <w:t>, illetve</w:t>
      </w:r>
      <w:r w:rsidRPr="00D91D88">
        <w:rPr>
          <w:lang w:val="hu-HU"/>
        </w:rPr>
        <w:t xml:space="preserve"> 28% volt a </w:t>
      </w:r>
      <w:r w:rsidR="001709D1">
        <w:rPr>
          <w:lang w:val="hu-HU"/>
        </w:rPr>
        <w:t>nagy</w:t>
      </w:r>
      <w:r w:rsidRPr="00D91D88">
        <w:rPr>
          <w:lang w:val="hu-HU"/>
        </w:rPr>
        <w:t xml:space="preserve"> dózisú </w:t>
      </w:r>
      <w:r>
        <w:rPr>
          <w:lang w:val="hu-HU"/>
        </w:rPr>
        <w:t xml:space="preserve">csoportban </w:t>
      </w:r>
      <w:r w:rsidRPr="00D91D88">
        <w:rPr>
          <w:lang w:val="hu-HU"/>
        </w:rPr>
        <w:t>(5, 7,5 és 10 mg).</w:t>
      </w:r>
    </w:p>
    <w:p w14:paraId="1B5FBD07" w14:textId="77777777" w:rsidR="00364519" w:rsidRPr="00811A42" w:rsidRDefault="00364519" w:rsidP="00364519">
      <w:pPr>
        <w:spacing w:line="240" w:lineRule="auto"/>
        <w:rPr>
          <w:lang w:val="hu-HU"/>
        </w:rPr>
      </w:pPr>
    </w:p>
    <w:p w14:paraId="42E3821F" w14:textId="77777777" w:rsidR="00364519" w:rsidRPr="004D75D6" w:rsidRDefault="00364519" w:rsidP="00364519">
      <w:pPr>
        <w:spacing w:line="240" w:lineRule="auto"/>
        <w:rPr>
          <w:u w:val="single"/>
          <w:lang w:val="hu-HU"/>
        </w:rPr>
      </w:pPr>
      <w:r w:rsidRPr="004D75D6">
        <w:rPr>
          <w:u w:val="single"/>
          <w:lang w:val="hu-HU"/>
        </w:rPr>
        <w:t>Hosszú távú vizsgálat</w:t>
      </w:r>
    </w:p>
    <w:p w14:paraId="1CD7508E" w14:textId="6D5A4045" w:rsidR="00364519" w:rsidRPr="00925008" w:rsidRDefault="00364519" w:rsidP="004D4425">
      <w:pPr>
        <w:spacing w:line="240" w:lineRule="auto"/>
        <w:rPr>
          <w:lang w:val="hu-HU"/>
        </w:rPr>
      </w:pPr>
      <w:r w:rsidRPr="00D91D88">
        <w:rPr>
          <w:lang w:val="hu-HU"/>
        </w:rPr>
        <w:t>A 24 hetes randomizált vizsgálatban</w:t>
      </w:r>
      <w:r>
        <w:rPr>
          <w:lang w:val="hu-HU"/>
        </w:rPr>
        <w:t xml:space="preserve"> részt vevő 41,</w:t>
      </w:r>
      <w:r w:rsidRPr="00D91D88">
        <w:rPr>
          <w:lang w:val="hu-HU"/>
        </w:rPr>
        <w:t xml:space="preserve"> ambriszentánnal kezelt beteg</w:t>
      </w:r>
      <w:r>
        <w:rPr>
          <w:lang w:val="hu-HU"/>
        </w:rPr>
        <w:t xml:space="preserve"> közül</w:t>
      </w:r>
      <w:r w:rsidRPr="00D91D88">
        <w:rPr>
          <w:lang w:val="hu-HU"/>
        </w:rPr>
        <w:t xml:space="preserve"> 38</w:t>
      </w:r>
      <w:r>
        <w:rPr>
          <w:lang w:val="hu-HU"/>
        </w:rPr>
        <w:t>-nál gyűjtöttek</w:t>
      </w:r>
      <w:r w:rsidRPr="00D91D88">
        <w:rPr>
          <w:lang w:val="hu-HU"/>
        </w:rPr>
        <w:t xml:space="preserve"> hosszú táv</w:t>
      </w:r>
      <w:r>
        <w:rPr>
          <w:lang w:val="hu-HU"/>
        </w:rPr>
        <w:t>on</w:t>
      </w:r>
      <w:r w:rsidRPr="00D91D88">
        <w:rPr>
          <w:lang w:val="hu-HU"/>
        </w:rPr>
        <w:t xml:space="preserve"> adatokat. Az ambriszentán</w:t>
      </w:r>
      <w:r>
        <w:rPr>
          <w:lang w:val="hu-HU"/>
        </w:rPr>
        <w:t>-</w:t>
      </w:r>
      <w:r w:rsidRPr="00D91D88">
        <w:rPr>
          <w:lang w:val="hu-HU"/>
        </w:rPr>
        <w:t xml:space="preserve">kezelés átlagos </w:t>
      </w:r>
      <w:r>
        <w:rPr>
          <w:lang w:val="hu-HU"/>
        </w:rPr>
        <w:t>hossza</w:t>
      </w:r>
      <w:r w:rsidRPr="00D91D88">
        <w:rPr>
          <w:lang w:val="hu-HU"/>
        </w:rPr>
        <w:t xml:space="preserve"> 3,4</w:t>
      </w:r>
      <w:r>
        <w:rPr>
          <w:lang w:val="hu-HU"/>
        </w:rPr>
        <w:t> </w:t>
      </w:r>
      <w:r w:rsidRPr="00D91D88">
        <w:rPr>
          <w:lang w:val="hu-HU"/>
        </w:rPr>
        <w:t>±</w:t>
      </w:r>
      <w:r>
        <w:rPr>
          <w:lang w:val="hu-HU"/>
        </w:rPr>
        <w:t> </w:t>
      </w:r>
      <w:r w:rsidRPr="00D91D88">
        <w:rPr>
          <w:lang w:val="hu-HU"/>
        </w:rPr>
        <w:t>1,8</w:t>
      </w:r>
      <w:r>
        <w:rPr>
          <w:lang w:val="hu-HU"/>
        </w:rPr>
        <w:t> </w:t>
      </w:r>
      <w:r w:rsidRPr="00D91D88">
        <w:rPr>
          <w:lang w:val="hu-HU"/>
        </w:rPr>
        <w:t>év (legfeljebb 6,4</w:t>
      </w:r>
      <w:r>
        <w:rPr>
          <w:lang w:val="hu-HU"/>
        </w:rPr>
        <w:t> </w:t>
      </w:r>
      <w:r w:rsidRPr="00D91D88">
        <w:rPr>
          <w:lang w:val="hu-HU"/>
        </w:rPr>
        <w:t>év) volt, a betegek 63%-át legalább 3</w:t>
      </w:r>
      <w:r>
        <w:rPr>
          <w:lang w:val="hu-HU"/>
        </w:rPr>
        <w:t> </w:t>
      </w:r>
      <w:r w:rsidRPr="00D91D88">
        <w:rPr>
          <w:lang w:val="hu-HU"/>
        </w:rPr>
        <w:t>évig</w:t>
      </w:r>
      <w:r>
        <w:rPr>
          <w:lang w:val="hu-HU"/>
        </w:rPr>
        <w:t>,</w:t>
      </w:r>
      <w:r w:rsidRPr="00D91D88">
        <w:rPr>
          <w:lang w:val="hu-HU"/>
        </w:rPr>
        <w:t xml:space="preserve"> 42%-át legalább 4 évig</w:t>
      </w:r>
      <w:r w:rsidRPr="007E2041">
        <w:rPr>
          <w:lang w:val="hu-HU"/>
        </w:rPr>
        <w:t xml:space="preserve"> </w:t>
      </w:r>
      <w:r w:rsidRPr="002F5F65">
        <w:rPr>
          <w:lang w:val="hu-HU"/>
        </w:rPr>
        <w:t>kezelték</w:t>
      </w:r>
      <w:r w:rsidRPr="00D91D88">
        <w:rPr>
          <w:lang w:val="hu-HU"/>
        </w:rPr>
        <w:t xml:space="preserve">. A vizsgálat nyílt </w:t>
      </w:r>
      <w:r w:rsidR="001709D1">
        <w:rPr>
          <w:lang w:val="hu-HU"/>
        </w:rPr>
        <w:t xml:space="preserve">elrendezésű </w:t>
      </w:r>
      <w:r>
        <w:rPr>
          <w:lang w:val="hu-HU"/>
        </w:rPr>
        <w:t>kiterjesztésében a betegek</w:t>
      </w:r>
      <w:r w:rsidRPr="00D91D88">
        <w:rPr>
          <w:lang w:val="hu-HU"/>
        </w:rPr>
        <w:t xml:space="preserve"> </w:t>
      </w:r>
      <w:r>
        <w:rPr>
          <w:lang w:val="hu-HU"/>
        </w:rPr>
        <w:t>kaphattak</w:t>
      </w:r>
      <w:r w:rsidRPr="00D91D88">
        <w:rPr>
          <w:lang w:val="hu-HU"/>
        </w:rPr>
        <w:t xml:space="preserve"> szükség </w:t>
      </w:r>
      <w:r>
        <w:rPr>
          <w:lang w:val="hu-HU"/>
        </w:rPr>
        <w:t xml:space="preserve">szerint </w:t>
      </w:r>
      <w:r w:rsidRPr="00D91D88">
        <w:rPr>
          <w:lang w:val="hu-HU"/>
        </w:rPr>
        <w:t>további PAH</w:t>
      </w:r>
      <w:r>
        <w:rPr>
          <w:lang w:val="hu-HU"/>
        </w:rPr>
        <w:t>-terápiát.</w:t>
      </w:r>
      <w:r w:rsidRPr="00D91D88">
        <w:rPr>
          <w:lang w:val="hu-HU"/>
        </w:rPr>
        <w:t xml:space="preserve"> A betegek </w:t>
      </w:r>
      <w:r>
        <w:rPr>
          <w:lang w:val="hu-HU"/>
        </w:rPr>
        <w:t>többségénél</w:t>
      </w:r>
      <w:r w:rsidRPr="00D91D88">
        <w:rPr>
          <w:lang w:val="hu-HU"/>
        </w:rPr>
        <w:t xml:space="preserve"> (68%-ánál) idiopathiás vagy öröklött PAH</w:t>
      </w:r>
      <w:r>
        <w:rPr>
          <w:lang w:val="hu-HU"/>
        </w:rPr>
        <w:t>-ot diagnosztizáltak</w:t>
      </w:r>
      <w:r w:rsidRPr="00D91D88">
        <w:rPr>
          <w:lang w:val="hu-HU"/>
        </w:rPr>
        <w:t>. Összességében a betegek 46%-a maradt a WHO</w:t>
      </w:r>
      <w:r>
        <w:rPr>
          <w:lang w:val="hu-HU"/>
        </w:rPr>
        <w:t xml:space="preserve">-besorolás szerinti </w:t>
      </w:r>
      <w:r w:rsidRPr="00D91D88">
        <w:rPr>
          <w:lang w:val="hu-HU"/>
        </w:rPr>
        <w:t>II</w:t>
      </w:r>
      <w:r>
        <w:rPr>
          <w:lang w:val="hu-HU"/>
        </w:rPr>
        <w:t>.</w:t>
      </w:r>
      <w:r w:rsidRPr="00D91D88">
        <w:rPr>
          <w:lang w:val="hu-HU"/>
        </w:rPr>
        <w:t xml:space="preserve"> funkcionális osztályban. A Kaplan</w:t>
      </w:r>
      <w:r>
        <w:rPr>
          <w:lang w:val="hu-HU"/>
        </w:rPr>
        <w:t>–</w:t>
      </w:r>
      <w:r w:rsidRPr="00D91D88">
        <w:rPr>
          <w:lang w:val="hu-HU"/>
        </w:rPr>
        <w:t>Meier</w:t>
      </w:r>
      <w:r>
        <w:rPr>
          <w:lang w:val="hu-HU"/>
        </w:rPr>
        <w:t>-</w:t>
      </w:r>
      <w:r w:rsidRPr="00D91D88">
        <w:rPr>
          <w:lang w:val="hu-HU"/>
        </w:rPr>
        <w:t xml:space="preserve">becslés </w:t>
      </w:r>
      <w:r>
        <w:rPr>
          <w:lang w:val="hu-HU"/>
        </w:rPr>
        <w:t>szerint</w:t>
      </w:r>
      <w:r w:rsidRPr="00D91D88">
        <w:rPr>
          <w:lang w:val="hu-HU"/>
        </w:rPr>
        <w:t xml:space="preserve"> a túlélés</w:t>
      </w:r>
      <w:r>
        <w:rPr>
          <w:lang w:val="hu-HU"/>
        </w:rPr>
        <w:t xml:space="preserve"> </w:t>
      </w:r>
      <w:r w:rsidRPr="00D91D88">
        <w:rPr>
          <w:lang w:val="hu-HU"/>
        </w:rPr>
        <w:t>94,42%</w:t>
      </w:r>
      <w:r w:rsidR="001709D1">
        <w:rPr>
          <w:lang w:val="hu-HU"/>
        </w:rPr>
        <w:t xml:space="preserve"> volt a kezelés kezdetétől számított 3,</w:t>
      </w:r>
      <w:r>
        <w:rPr>
          <w:lang w:val="hu-HU"/>
        </w:rPr>
        <w:t xml:space="preserve"> illetve 90,64% volt </w:t>
      </w:r>
      <w:r w:rsidRPr="00D91D88">
        <w:rPr>
          <w:lang w:val="hu-HU"/>
        </w:rPr>
        <w:t>4</w:t>
      </w:r>
      <w:r>
        <w:rPr>
          <w:lang w:val="hu-HU"/>
        </w:rPr>
        <w:t> </w:t>
      </w:r>
      <w:r w:rsidRPr="00D91D88">
        <w:rPr>
          <w:lang w:val="hu-HU"/>
        </w:rPr>
        <w:t>év</w:t>
      </w:r>
      <w:r>
        <w:rPr>
          <w:lang w:val="hu-HU"/>
        </w:rPr>
        <w:t xml:space="preserve"> elteltével. </w:t>
      </w:r>
      <w:r w:rsidRPr="00D91D88">
        <w:rPr>
          <w:lang w:val="hu-HU"/>
        </w:rPr>
        <w:t>Ugyanezekben az időpontokban a betegek 77,09</w:t>
      </w:r>
      <w:r>
        <w:rPr>
          <w:lang w:val="hu-HU"/>
        </w:rPr>
        <w:t>%-ánál</w:t>
      </w:r>
      <w:r w:rsidRPr="00D91D88">
        <w:rPr>
          <w:lang w:val="hu-HU"/>
        </w:rPr>
        <w:t xml:space="preserve">, illetve 73,24%-ánál nem </w:t>
      </w:r>
      <w:r>
        <w:rPr>
          <w:lang w:val="hu-HU"/>
        </w:rPr>
        <w:t>súlyosbodott</w:t>
      </w:r>
      <w:r w:rsidRPr="00D91D88">
        <w:rPr>
          <w:lang w:val="hu-HU"/>
        </w:rPr>
        <w:t xml:space="preserve"> a PAH</w:t>
      </w:r>
      <w:r>
        <w:rPr>
          <w:lang w:val="hu-HU"/>
        </w:rPr>
        <w:t>,</w:t>
      </w:r>
      <w:r w:rsidRPr="00D91D88">
        <w:rPr>
          <w:lang w:val="hu-HU"/>
        </w:rPr>
        <w:t xml:space="preserve"> </w:t>
      </w:r>
      <w:r w:rsidRPr="00D91D88">
        <w:rPr>
          <w:szCs w:val="22"/>
          <w:lang w:val="hu-HU"/>
        </w:rPr>
        <w:t>ahol a súlyosbodást a következők szerint definiálták</w:t>
      </w:r>
      <w:r w:rsidRPr="00811A42">
        <w:rPr>
          <w:szCs w:val="22"/>
          <w:lang w:val="hu-HU"/>
        </w:rPr>
        <w:t>:</w:t>
      </w:r>
      <w:r w:rsidRPr="00D91D88">
        <w:rPr>
          <w:lang w:val="hu-HU"/>
        </w:rPr>
        <w:t xml:space="preserve"> halál (bármilyen ok</w:t>
      </w:r>
      <w:r>
        <w:rPr>
          <w:lang w:val="hu-HU"/>
        </w:rPr>
        <w:t>ból</w:t>
      </w:r>
      <w:r w:rsidRPr="00D91D88">
        <w:rPr>
          <w:lang w:val="hu-HU"/>
        </w:rPr>
        <w:t xml:space="preserve">), tüdőtranszplantációs </w:t>
      </w:r>
      <w:r>
        <w:rPr>
          <w:lang w:val="hu-HU"/>
        </w:rPr>
        <w:t xml:space="preserve">várólistára </w:t>
      </w:r>
      <w:r w:rsidRPr="00D91D88">
        <w:rPr>
          <w:lang w:val="hu-HU"/>
        </w:rPr>
        <w:t>vagy pitvari septo</w:t>
      </w:r>
      <w:r>
        <w:rPr>
          <w:lang w:val="hu-HU"/>
        </w:rPr>
        <w:t>s</w:t>
      </w:r>
      <w:r w:rsidRPr="00D91D88">
        <w:rPr>
          <w:lang w:val="hu-HU"/>
        </w:rPr>
        <w:t>t</w:t>
      </w:r>
      <w:r>
        <w:rPr>
          <w:lang w:val="hu-HU"/>
        </w:rPr>
        <w:t>o</w:t>
      </w:r>
      <w:r w:rsidRPr="00D91D88">
        <w:rPr>
          <w:lang w:val="hu-HU"/>
        </w:rPr>
        <w:t>mi</w:t>
      </w:r>
      <w:r>
        <w:rPr>
          <w:lang w:val="hu-HU"/>
        </w:rPr>
        <w:t>a</w:t>
      </w:r>
      <w:r w:rsidRPr="00D91D88">
        <w:rPr>
          <w:lang w:val="hu-HU"/>
        </w:rPr>
        <w:t xml:space="preserve"> listára </w:t>
      </w:r>
      <w:r>
        <w:rPr>
          <w:lang w:val="hu-HU"/>
        </w:rPr>
        <w:t>kerülés</w:t>
      </w:r>
      <w:r w:rsidRPr="00D91D88">
        <w:rPr>
          <w:lang w:val="hu-HU"/>
        </w:rPr>
        <w:t xml:space="preserve">, </w:t>
      </w:r>
      <w:r>
        <w:rPr>
          <w:lang w:val="hu-HU"/>
        </w:rPr>
        <w:t xml:space="preserve">hospitalizáció </w:t>
      </w:r>
      <w:r w:rsidRPr="00D91D88">
        <w:rPr>
          <w:lang w:val="hu-HU"/>
        </w:rPr>
        <w:t xml:space="preserve">a PAH </w:t>
      </w:r>
      <w:r>
        <w:rPr>
          <w:lang w:val="hu-HU"/>
        </w:rPr>
        <w:t>súlyosbodása miatt</w:t>
      </w:r>
      <w:r w:rsidRPr="00D91D88">
        <w:rPr>
          <w:lang w:val="hu-HU"/>
        </w:rPr>
        <w:t xml:space="preserve">, az ambriszentán </w:t>
      </w:r>
      <w:r>
        <w:rPr>
          <w:lang w:val="hu-HU"/>
        </w:rPr>
        <w:t>dózisának megváltoztatása</w:t>
      </w:r>
      <w:r w:rsidRPr="00D91D88">
        <w:rPr>
          <w:lang w:val="hu-HU"/>
        </w:rPr>
        <w:t xml:space="preserve">, a </w:t>
      </w:r>
      <w:r>
        <w:rPr>
          <w:lang w:val="hu-HU"/>
        </w:rPr>
        <w:t>meglévő</w:t>
      </w:r>
      <w:r w:rsidRPr="00D91D88">
        <w:rPr>
          <w:lang w:val="hu-HU"/>
        </w:rPr>
        <w:t xml:space="preserve"> célzott PAH</w:t>
      </w:r>
      <w:r>
        <w:rPr>
          <w:lang w:val="hu-HU"/>
        </w:rPr>
        <w:t>-terápia</w:t>
      </w:r>
      <w:r w:rsidRPr="00D91D88">
        <w:rPr>
          <w:lang w:val="hu-HU"/>
        </w:rPr>
        <w:t xml:space="preserve"> </w:t>
      </w:r>
      <w:r>
        <w:rPr>
          <w:lang w:val="hu-HU"/>
        </w:rPr>
        <w:t>dózis</w:t>
      </w:r>
      <w:r w:rsidRPr="00D91D88">
        <w:rPr>
          <w:lang w:val="hu-HU"/>
        </w:rPr>
        <w:t xml:space="preserve">ának </w:t>
      </w:r>
      <w:r>
        <w:rPr>
          <w:lang w:val="hu-HU"/>
        </w:rPr>
        <w:t>változtat</w:t>
      </w:r>
      <w:r w:rsidRPr="00D91D88">
        <w:rPr>
          <w:lang w:val="hu-HU"/>
        </w:rPr>
        <w:t>ása</w:t>
      </w:r>
      <w:r>
        <w:rPr>
          <w:lang w:val="hu-HU"/>
        </w:rPr>
        <w:t xml:space="preserve"> vagy további ilyen gyógyszer </w:t>
      </w:r>
      <w:r w:rsidR="001709D1">
        <w:rPr>
          <w:lang w:val="hu-HU"/>
        </w:rPr>
        <w:t>adagolásának elkezdése</w:t>
      </w:r>
      <w:r w:rsidRPr="00D91D88">
        <w:rPr>
          <w:lang w:val="hu-HU"/>
        </w:rPr>
        <w:t xml:space="preserve">, </w:t>
      </w:r>
      <w:r>
        <w:rPr>
          <w:lang w:val="hu-HU"/>
        </w:rPr>
        <w:t xml:space="preserve">a </w:t>
      </w:r>
      <w:r w:rsidRPr="00D91D88">
        <w:rPr>
          <w:lang w:val="hu-HU"/>
        </w:rPr>
        <w:t>WHO</w:t>
      </w:r>
      <w:r>
        <w:rPr>
          <w:lang w:val="hu-HU"/>
        </w:rPr>
        <w:t xml:space="preserve">-besorolás szerinti </w:t>
      </w:r>
      <w:r w:rsidRPr="00D91D88">
        <w:rPr>
          <w:lang w:val="hu-HU"/>
        </w:rPr>
        <w:t>funkcionális osztály</w:t>
      </w:r>
      <w:r>
        <w:rPr>
          <w:lang w:val="hu-HU"/>
        </w:rPr>
        <w:t xml:space="preserve"> emelkedése</w:t>
      </w:r>
      <w:r w:rsidRPr="00D91D88">
        <w:rPr>
          <w:lang w:val="hu-HU"/>
        </w:rPr>
        <w:t>, a 6</w:t>
      </w:r>
      <w:r w:rsidR="00431519">
        <w:rPr>
          <w:lang w:val="hu-HU"/>
        </w:rPr>
        <w:t xml:space="preserve"> perces járótávolság</w:t>
      </w:r>
      <w:r w:rsidRPr="00D91D88">
        <w:rPr>
          <w:lang w:val="hu-HU"/>
        </w:rPr>
        <w:t xml:space="preserve"> csökkenése vagy jobbszívfél-elégtelenség jelei/tünetei.</w:t>
      </w:r>
    </w:p>
    <w:p w14:paraId="7D5324F7" w14:textId="79BE1382" w:rsidR="000B0C05" w:rsidRPr="00C60440" w:rsidRDefault="000B0C05" w:rsidP="00082A8E">
      <w:pPr>
        <w:spacing w:line="240" w:lineRule="auto"/>
        <w:rPr>
          <w:szCs w:val="22"/>
          <w:u w:val="single"/>
          <w:lang w:val="hu-HU"/>
        </w:rPr>
      </w:pPr>
    </w:p>
    <w:p w14:paraId="185B3143" w14:textId="77777777" w:rsidR="00F45C51" w:rsidRPr="00C60440" w:rsidRDefault="00E61DC0" w:rsidP="00082A8E">
      <w:pPr>
        <w:spacing w:line="240" w:lineRule="auto"/>
        <w:ind w:left="567" w:hanging="567"/>
        <w:outlineLvl w:val="0"/>
        <w:rPr>
          <w:b/>
          <w:szCs w:val="22"/>
          <w:lang w:val="hu-HU"/>
        </w:rPr>
      </w:pPr>
      <w:r w:rsidRPr="00C60440">
        <w:rPr>
          <w:b/>
          <w:szCs w:val="22"/>
          <w:lang w:val="hu-HU"/>
        </w:rPr>
        <w:t>5.2</w:t>
      </w:r>
      <w:r w:rsidRPr="00C60440">
        <w:rPr>
          <w:b/>
          <w:szCs w:val="22"/>
          <w:lang w:val="hu-HU"/>
        </w:rPr>
        <w:tab/>
        <w:t>Farmakokinetikai tulajdonságok</w:t>
      </w:r>
    </w:p>
    <w:p w14:paraId="7D7D97C6" w14:textId="77777777" w:rsidR="00F45C51" w:rsidRPr="00C60440" w:rsidRDefault="00F45C51" w:rsidP="00082A8E">
      <w:pPr>
        <w:spacing w:line="240" w:lineRule="auto"/>
        <w:ind w:left="567" w:hanging="567"/>
        <w:outlineLvl w:val="0"/>
        <w:rPr>
          <w:b/>
          <w:szCs w:val="22"/>
          <w:lang w:val="hu-HU"/>
        </w:rPr>
      </w:pPr>
    </w:p>
    <w:p w14:paraId="56348F39" w14:textId="4A72DD21" w:rsidR="00F45C51" w:rsidRPr="00C60440" w:rsidRDefault="00E61DC0" w:rsidP="00082A8E">
      <w:pPr>
        <w:numPr>
          <w:ilvl w:val="12"/>
          <w:numId w:val="0"/>
        </w:numPr>
        <w:spacing w:line="240" w:lineRule="auto"/>
        <w:ind w:right="-2"/>
        <w:rPr>
          <w:noProof/>
          <w:szCs w:val="22"/>
          <w:u w:val="single"/>
          <w:lang w:val="hu-HU"/>
        </w:rPr>
      </w:pPr>
      <w:r w:rsidRPr="00C60440">
        <w:rPr>
          <w:noProof/>
          <w:szCs w:val="22"/>
          <w:u w:val="single"/>
          <w:lang w:val="hu-HU"/>
        </w:rPr>
        <w:t>Felszívódás</w:t>
      </w:r>
    </w:p>
    <w:p w14:paraId="339A10A2" w14:textId="387CE1EE" w:rsidR="00864B2B" w:rsidRPr="00C60440" w:rsidRDefault="00864B2B" w:rsidP="00082A8E">
      <w:pPr>
        <w:numPr>
          <w:ilvl w:val="12"/>
          <w:numId w:val="0"/>
        </w:numPr>
        <w:spacing w:line="240" w:lineRule="auto"/>
        <w:ind w:right="-2"/>
        <w:rPr>
          <w:noProof/>
          <w:szCs w:val="22"/>
          <w:u w:val="single"/>
          <w:lang w:val="hu-HU"/>
        </w:rPr>
      </w:pPr>
    </w:p>
    <w:p w14:paraId="3986574E" w14:textId="135306BE" w:rsidR="00864B2B" w:rsidRPr="00C60440" w:rsidRDefault="00864B2B" w:rsidP="00864B2B">
      <w:pPr>
        <w:numPr>
          <w:ilvl w:val="12"/>
          <w:numId w:val="0"/>
        </w:numPr>
        <w:spacing w:line="240" w:lineRule="auto"/>
        <w:ind w:right="-2"/>
        <w:rPr>
          <w:szCs w:val="22"/>
          <w:lang w:val="hu-HU"/>
        </w:rPr>
      </w:pPr>
      <w:r w:rsidRPr="00C60440">
        <w:rPr>
          <w:szCs w:val="22"/>
          <w:lang w:val="hu-HU"/>
        </w:rPr>
        <w:t>Emberben az ambriszentán gyorsan felszívódik. Orális adagolás esetén az ambriszentán maximális plazmakoncentrációját (C</w:t>
      </w:r>
      <w:r w:rsidRPr="00C60440">
        <w:rPr>
          <w:szCs w:val="22"/>
          <w:vertAlign w:val="subscript"/>
          <w:lang w:val="hu-HU"/>
        </w:rPr>
        <w:t>max</w:t>
      </w:r>
      <w:r w:rsidRPr="00C60440">
        <w:rPr>
          <w:szCs w:val="22"/>
          <w:lang w:val="hu-HU"/>
        </w:rPr>
        <w:t>) jellemzően a bevétel utáni kb. 1,5</w:t>
      </w:r>
      <w:r w:rsidR="00987ABB">
        <w:rPr>
          <w:szCs w:val="22"/>
          <w:lang w:val="hu-HU"/>
        </w:rPr>
        <w:t> </w:t>
      </w:r>
      <w:r w:rsidRPr="00C60440">
        <w:rPr>
          <w:szCs w:val="22"/>
          <w:lang w:val="hu-HU"/>
        </w:rPr>
        <w:t>órával éri el, mind éhgyomorra, mind táplálékbevitelt követően. A C</w:t>
      </w:r>
      <w:r w:rsidRPr="00C60440">
        <w:rPr>
          <w:szCs w:val="22"/>
          <w:vertAlign w:val="subscript"/>
          <w:lang w:val="hu-HU"/>
        </w:rPr>
        <w:t>max</w:t>
      </w:r>
      <w:r w:rsidRPr="00C60440">
        <w:rPr>
          <w:szCs w:val="22"/>
          <w:lang w:val="hu-HU"/>
        </w:rPr>
        <w:t xml:space="preserve"> és a plazmakoncentráció-idő görbe alatti terület (AUC) dózisarányosan növekszik a terápiás dózistartományban. A</w:t>
      </w:r>
      <w:r w:rsidR="00D048C2">
        <w:rPr>
          <w:szCs w:val="22"/>
          <w:lang w:val="hu-HU"/>
        </w:rPr>
        <w:t xml:space="preserve"> dinamikus</w:t>
      </w:r>
      <w:r w:rsidRPr="00C60440">
        <w:rPr>
          <w:szCs w:val="22"/>
          <w:lang w:val="hu-HU"/>
        </w:rPr>
        <w:t xml:space="preserve"> egyensúlyi állapot (steady state) általában 4</w:t>
      </w:r>
      <w:r w:rsidR="00987ABB">
        <w:rPr>
          <w:szCs w:val="22"/>
          <w:lang w:val="hu-HU"/>
        </w:rPr>
        <w:t> </w:t>
      </w:r>
      <w:r w:rsidRPr="00C60440">
        <w:rPr>
          <w:szCs w:val="22"/>
          <w:lang w:val="hu-HU"/>
        </w:rPr>
        <w:t>napos ismételt adagolást követően alakul ki.</w:t>
      </w:r>
    </w:p>
    <w:p w14:paraId="630FA8C9" w14:textId="77777777" w:rsidR="00864B2B" w:rsidRPr="00C60440" w:rsidRDefault="00864B2B" w:rsidP="00864B2B">
      <w:pPr>
        <w:numPr>
          <w:ilvl w:val="12"/>
          <w:numId w:val="0"/>
        </w:numPr>
        <w:spacing w:line="240" w:lineRule="auto"/>
        <w:ind w:right="-2"/>
        <w:rPr>
          <w:szCs w:val="22"/>
          <w:lang w:val="hu-HU"/>
        </w:rPr>
      </w:pPr>
    </w:p>
    <w:p w14:paraId="30D17F1D" w14:textId="71B2FE57" w:rsidR="00864B2B" w:rsidRPr="00C60440" w:rsidRDefault="00864B2B" w:rsidP="00864B2B">
      <w:pPr>
        <w:numPr>
          <w:ilvl w:val="12"/>
          <w:numId w:val="0"/>
        </w:numPr>
        <w:spacing w:line="240" w:lineRule="auto"/>
        <w:ind w:right="-2"/>
        <w:rPr>
          <w:noProof/>
          <w:szCs w:val="22"/>
          <w:u w:val="single"/>
          <w:lang w:val="hu-HU"/>
        </w:rPr>
      </w:pPr>
      <w:r w:rsidRPr="00C60440">
        <w:rPr>
          <w:szCs w:val="22"/>
          <w:lang w:val="hu-HU"/>
        </w:rPr>
        <w:t>Egy vizsgálatban, amelyben a táplálék hatását elemezték, egészséges önkénteseknek éhezést, illetve magas zsírtartalmú étkezést követően ambriszentánt adagolva azt tapasztalták, hogy a C</w:t>
      </w:r>
      <w:r w:rsidRPr="00C60440">
        <w:rPr>
          <w:szCs w:val="22"/>
          <w:vertAlign w:val="subscript"/>
          <w:lang w:val="hu-HU"/>
        </w:rPr>
        <w:t>max</w:t>
      </w:r>
      <w:r w:rsidRPr="00C60440">
        <w:rPr>
          <w:szCs w:val="22"/>
          <w:lang w:val="hu-HU"/>
        </w:rPr>
        <w:t xml:space="preserve"> 12%-kal csökkent, míg az AUC változatlan maradt. A csúcskoncentráció csökkenése klinikailag nem jelentős, ezért az ambriszentán ét</w:t>
      </w:r>
      <w:r w:rsidR="00DF4F8B">
        <w:rPr>
          <w:szCs w:val="22"/>
          <w:lang w:val="hu-HU"/>
        </w:rPr>
        <w:t>kezés közben</w:t>
      </w:r>
      <w:r w:rsidRPr="00C60440">
        <w:rPr>
          <w:szCs w:val="22"/>
          <w:lang w:val="hu-HU"/>
        </w:rPr>
        <w:t xml:space="preserve"> vagy </w:t>
      </w:r>
      <w:r w:rsidR="005F51C2">
        <w:rPr>
          <w:szCs w:val="22"/>
          <w:lang w:val="hu-HU"/>
        </w:rPr>
        <w:t>attól függetlenül</w:t>
      </w:r>
      <w:r w:rsidR="005F51C2" w:rsidRPr="00C60440">
        <w:rPr>
          <w:szCs w:val="22"/>
          <w:lang w:val="hu-HU"/>
        </w:rPr>
        <w:t xml:space="preserve"> </w:t>
      </w:r>
      <w:r w:rsidRPr="00C60440">
        <w:rPr>
          <w:szCs w:val="22"/>
          <w:lang w:val="hu-HU"/>
        </w:rPr>
        <w:t>egyaránt bevehető.</w:t>
      </w:r>
    </w:p>
    <w:p w14:paraId="68E2D80D" w14:textId="77777777" w:rsidR="00864B2B" w:rsidRPr="00C60440" w:rsidRDefault="00864B2B" w:rsidP="00082A8E">
      <w:pPr>
        <w:numPr>
          <w:ilvl w:val="12"/>
          <w:numId w:val="0"/>
        </w:numPr>
        <w:spacing w:line="240" w:lineRule="auto"/>
        <w:ind w:right="-2"/>
        <w:rPr>
          <w:noProof/>
          <w:szCs w:val="22"/>
          <w:u w:val="single"/>
          <w:lang w:val="hu-HU"/>
        </w:rPr>
      </w:pPr>
    </w:p>
    <w:p w14:paraId="39676722" w14:textId="55A436ED" w:rsidR="00F45C51" w:rsidRPr="00C60440" w:rsidRDefault="00E61DC0" w:rsidP="00082A8E">
      <w:pPr>
        <w:numPr>
          <w:ilvl w:val="12"/>
          <w:numId w:val="0"/>
        </w:numPr>
        <w:spacing w:line="240" w:lineRule="auto"/>
        <w:ind w:right="-2"/>
        <w:rPr>
          <w:noProof/>
          <w:szCs w:val="22"/>
          <w:u w:val="single"/>
          <w:lang w:val="hu-HU"/>
        </w:rPr>
      </w:pPr>
      <w:r w:rsidRPr="00C60440">
        <w:rPr>
          <w:noProof/>
          <w:szCs w:val="22"/>
          <w:u w:val="single"/>
          <w:lang w:val="hu-HU"/>
        </w:rPr>
        <w:t>Eloszlás</w:t>
      </w:r>
    </w:p>
    <w:p w14:paraId="17DC0767" w14:textId="6F14C412" w:rsidR="00864B2B" w:rsidRPr="00C60440" w:rsidRDefault="00864B2B" w:rsidP="00082A8E">
      <w:pPr>
        <w:numPr>
          <w:ilvl w:val="12"/>
          <w:numId w:val="0"/>
        </w:numPr>
        <w:spacing w:line="240" w:lineRule="auto"/>
        <w:ind w:right="-2"/>
        <w:rPr>
          <w:noProof/>
          <w:szCs w:val="22"/>
          <w:u w:val="single"/>
          <w:lang w:val="hu-HU"/>
        </w:rPr>
      </w:pPr>
    </w:p>
    <w:p w14:paraId="2713AA8E" w14:textId="596CCA71" w:rsidR="00864B2B" w:rsidRPr="00C60440" w:rsidRDefault="00864B2B" w:rsidP="00864B2B">
      <w:pPr>
        <w:pStyle w:val="Default"/>
        <w:rPr>
          <w:sz w:val="22"/>
          <w:szCs w:val="22"/>
          <w:lang w:val="hu-HU"/>
        </w:rPr>
      </w:pPr>
      <w:r w:rsidRPr="00C60440">
        <w:rPr>
          <w:sz w:val="22"/>
          <w:szCs w:val="22"/>
          <w:lang w:val="hu-HU"/>
        </w:rPr>
        <w:t xml:space="preserve">Az ambriszentán nagymértékben kötődik a plazmafehérjékhez. Az ambriszentán </w:t>
      </w:r>
      <w:r w:rsidRPr="00C60440">
        <w:rPr>
          <w:i/>
          <w:iCs/>
          <w:sz w:val="22"/>
          <w:szCs w:val="22"/>
          <w:lang w:val="hu-HU"/>
        </w:rPr>
        <w:t xml:space="preserve">in vitro </w:t>
      </w:r>
      <w:r w:rsidRPr="00C60440">
        <w:rPr>
          <w:sz w:val="22"/>
          <w:szCs w:val="22"/>
          <w:lang w:val="hu-HU"/>
        </w:rPr>
        <w:t>plazmafehérje kötődése átlagosan 98,8%-os volt, és 0,2–20 mikrogramm/ml tartományban független volt a koncentrációtól. Az ambriszentán elsősorban (96,5%-ban) az albuminhoz kötődik és csak kisebb mértékben az alfa</w:t>
      </w:r>
      <w:r w:rsidRPr="00C60440">
        <w:rPr>
          <w:sz w:val="22"/>
          <w:szCs w:val="22"/>
          <w:vertAlign w:val="subscript"/>
          <w:lang w:val="hu-HU"/>
        </w:rPr>
        <w:t>1</w:t>
      </w:r>
      <w:r w:rsidR="00987ABB">
        <w:rPr>
          <w:sz w:val="22"/>
          <w:szCs w:val="22"/>
          <w:lang w:val="hu-HU"/>
        </w:rPr>
        <w:t xml:space="preserve"> savas </w:t>
      </w:r>
      <w:r w:rsidRPr="00C60440">
        <w:rPr>
          <w:sz w:val="22"/>
          <w:szCs w:val="22"/>
          <w:lang w:val="hu-HU"/>
        </w:rPr>
        <w:t>glikoproteinh</w:t>
      </w:r>
      <w:r w:rsidR="00987ABB">
        <w:rPr>
          <w:sz w:val="22"/>
          <w:szCs w:val="22"/>
          <w:lang w:val="hu-HU"/>
        </w:rPr>
        <w:t>e</w:t>
      </w:r>
      <w:r w:rsidRPr="00C60440">
        <w:rPr>
          <w:sz w:val="22"/>
          <w:szCs w:val="22"/>
          <w:lang w:val="hu-HU"/>
        </w:rPr>
        <w:t>z.</w:t>
      </w:r>
    </w:p>
    <w:p w14:paraId="54272F66" w14:textId="77777777" w:rsidR="00864B2B" w:rsidRPr="00C60440" w:rsidRDefault="00864B2B" w:rsidP="00864B2B">
      <w:pPr>
        <w:pStyle w:val="Default"/>
        <w:rPr>
          <w:sz w:val="22"/>
          <w:szCs w:val="22"/>
          <w:lang w:val="hu-HU"/>
        </w:rPr>
      </w:pPr>
    </w:p>
    <w:p w14:paraId="0AB2D596" w14:textId="3882C096" w:rsidR="00864B2B" w:rsidRPr="00C60440" w:rsidRDefault="00864B2B" w:rsidP="00864B2B">
      <w:pPr>
        <w:numPr>
          <w:ilvl w:val="12"/>
          <w:numId w:val="0"/>
        </w:numPr>
        <w:spacing w:line="240" w:lineRule="auto"/>
        <w:ind w:right="-2"/>
        <w:rPr>
          <w:noProof/>
          <w:szCs w:val="22"/>
          <w:u w:val="single"/>
          <w:lang w:val="hu-HU"/>
        </w:rPr>
      </w:pPr>
      <w:r w:rsidRPr="00C60440">
        <w:rPr>
          <w:szCs w:val="22"/>
          <w:lang w:val="hu-HU"/>
        </w:rPr>
        <w:t>Az ambriszentán kismértékben jut be a vörösvértestekbe: az átlagos vér/plazma hányados férfiakban 0,57, míg nőkben 0,61.</w:t>
      </w:r>
    </w:p>
    <w:p w14:paraId="097104D6" w14:textId="4FD342A9" w:rsidR="00864B2B" w:rsidRPr="00C60440" w:rsidRDefault="00864B2B" w:rsidP="00082A8E">
      <w:pPr>
        <w:numPr>
          <w:ilvl w:val="12"/>
          <w:numId w:val="0"/>
        </w:numPr>
        <w:spacing w:line="240" w:lineRule="auto"/>
        <w:ind w:right="-2"/>
        <w:rPr>
          <w:noProof/>
          <w:szCs w:val="22"/>
          <w:u w:val="single"/>
          <w:lang w:val="hu-HU"/>
        </w:rPr>
      </w:pPr>
    </w:p>
    <w:p w14:paraId="4EEC4CA1" w14:textId="1F6AE8D8" w:rsidR="00F45C51" w:rsidRPr="00C60440" w:rsidRDefault="00E61DC0" w:rsidP="00082A8E">
      <w:pPr>
        <w:numPr>
          <w:ilvl w:val="12"/>
          <w:numId w:val="0"/>
        </w:numPr>
        <w:spacing w:line="240" w:lineRule="auto"/>
        <w:ind w:right="-2"/>
        <w:rPr>
          <w:noProof/>
          <w:szCs w:val="22"/>
          <w:u w:val="single"/>
          <w:lang w:val="hu-HU"/>
        </w:rPr>
      </w:pPr>
      <w:r w:rsidRPr="00C60440">
        <w:rPr>
          <w:noProof/>
          <w:szCs w:val="22"/>
          <w:u w:val="single"/>
          <w:lang w:val="hu-HU"/>
        </w:rPr>
        <w:t>Biotranszformáció</w:t>
      </w:r>
    </w:p>
    <w:p w14:paraId="63736AF4" w14:textId="5DDAED3A" w:rsidR="00864B2B" w:rsidRPr="00C60440" w:rsidRDefault="00864B2B" w:rsidP="00082A8E">
      <w:pPr>
        <w:numPr>
          <w:ilvl w:val="12"/>
          <w:numId w:val="0"/>
        </w:numPr>
        <w:spacing w:line="240" w:lineRule="auto"/>
        <w:ind w:right="-2"/>
        <w:rPr>
          <w:noProof/>
          <w:szCs w:val="22"/>
          <w:u w:val="single"/>
          <w:lang w:val="hu-HU"/>
        </w:rPr>
      </w:pPr>
    </w:p>
    <w:p w14:paraId="4F470579" w14:textId="3D9F33CF" w:rsidR="00CC4541" w:rsidRPr="00C60440" w:rsidRDefault="00CC4541" w:rsidP="00CC4541">
      <w:pPr>
        <w:pStyle w:val="Default"/>
        <w:rPr>
          <w:sz w:val="22"/>
          <w:szCs w:val="22"/>
          <w:lang w:val="hu-HU"/>
        </w:rPr>
      </w:pPr>
      <w:r w:rsidRPr="00C60440">
        <w:rPr>
          <w:sz w:val="22"/>
          <w:szCs w:val="22"/>
          <w:lang w:val="hu-HU"/>
        </w:rPr>
        <w:t>Az ambriszentán nem</w:t>
      </w:r>
      <w:r w:rsidR="001C58B8">
        <w:rPr>
          <w:sz w:val="22"/>
          <w:szCs w:val="22"/>
          <w:lang w:val="hu-HU"/>
        </w:rPr>
        <w:t xml:space="preserve"> </w:t>
      </w:r>
      <w:r w:rsidRPr="00C60440">
        <w:rPr>
          <w:sz w:val="22"/>
          <w:szCs w:val="22"/>
          <w:lang w:val="hu-HU"/>
        </w:rPr>
        <w:t>szulfonamid (propánsav) típusú ERA.</w:t>
      </w:r>
    </w:p>
    <w:p w14:paraId="789FCEA3" w14:textId="77777777" w:rsidR="00CC4541" w:rsidRPr="00C60440" w:rsidRDefault="00CC4541" w:rsidP="00CC4541">
      <w:pPr>
        <w:pStyle w:val="Default"/>
        <w:rPr>
          <w:sz w:val="22"/>
          <w:szCs w:val="22"/>
          <w:lang w:val="hu-HU"/>
        </w:rPr>
      </w:pPr>
    </w:p>
    <w:p w14:paraId="32CBBB10" w14:textId="25C7399A" w:rsidR="00864B2B" w:rsidRPr="00C60440" w:rsidRDefault="00CC4541" w:rsidP="00CC4541">
      <w:pPr>
        <w:numPr>
          <w:ilvl w:val="12"/>
          <w:numId w:val="0"/>
        </w:numPr>
        <w:spacing w:line="240" w:lineRule="auto"/>
        <w:ind w:right="-2"/>
        <w:rPr>
          <w:noProof/>
          <w:szCs w:val="22"/>
          <w:u w:val="single"/>
          <w:lang w:val="hu-HU"/>
        </w:rPr>
      </w:pPr>
      <w:r w:rsidRPr="00C60440">
        <w:rPr>
          <w:szCs w:val="22"/>
          <w:lang w:val="hu-HU"/>
        </w:rPr>
        <w:lastRenderedPageBreak/>
        <w:t>Az ambriszentán glükuronidáció útján számos UGT izoenzim (UGT1A9S, UGT2B7S és UGT1A3S) révén ambriszentán-glükuroniddá alakul (13%). Az ambriszentán oxidatív metabolizáción is átesik, főként a CYP3A4, kisebb mértékben a CYP3A5 és CYP2C19 enzimek közreműködésével, aminek során 4-hidroximetil-ambriszentán képződik (21%), amely további glükuronidáció révén 4-hidroximetil-ambriszentán-glükuroniddá alakul (5%). A 4-hidroximetil-ambriszentán kötődési affinitása a humán endotelin receptorhoz 65-ször kisebb, mint az ambriszentáné. Ezért a plazmában kimutatott koncentrációkban (kb. 4% az ambriszentán anyavegyülethez viszonyítva) nem várható, hogy a 4-hidroximetil-ambriszentán hozzájáruljon az ambriszentán farmakológiai aktivitásához.</w:t>
      </w:r>
    </w:p>
    <w:p w14:paraId="02901409" w14:textId="6C5D45CE" w:rsidR="00864B2B" w:rsidRPr="00C60440" w:rsidRDefault="00864B2B" w:rsidP="00082A8E">
      <w:pPr>
        <w:numPr>
          <w:ilvl w:val="12"/>
          <w:numId w:val="0"/>
        </w:numPr>
        <w:spacing w:line="240" w:lineRule="auto"/>
        <w:ind w:right="-2"/>
        <w:rPr>
          <w:noProof/>
          <w:szCs w:val="22"/>
          <w:u w:val="single"/>
          <w:lang w:val="hu-HU"/>
        </w:rPr>
      </w:pPr>
    </w:p>
    <w:p w14:paraId="24E11A21" w14:textId="714EC6E0" w:rsidR="00CC4541" w:rsidRPr="00C60440" w:rsidRDefault="00CC4541" w:rsidP="00CC4541">
      <w:pPr>
        <w:pStyle w:val="Default"/>
        <w:rPr>
          <w:sz w:val="22"/>
          <w:szCs w:val="22"/>
          <w:lang w:val="hu-HU"/>
        </w:rPr>
      </w:pPr>
      <w:r w:rsidRPr="00C60440">
        <w:rPr>
          <w:i/>
          <w:iCs/>
          <w:sz w:val="22"/>
          <w:szCs w:val="22"/>
          <w:lang w:val="hu-HU"/>
        </w:rPr>
        <w:t xml:space="preserve">In vitro </w:t>
      </w:r>
      <w:r w:rsidRPr="00C60440">
        <w:rPr>
          <w:sz w:val="22"/>
          <w:szCs w:val="22"/>
          <w:lang w:val="hu-HU"/>
        </w:rPr>
        <w:t xml:space="preserve">adatok azt jelzik, hogy az ambriszentán 300 μM-nál 50% alatti arányban gátolta az UGT1A1-t, az UGT1A6-t, az UGT1A9-t és az UGT2B7-t (legfeljebb 30%-ig), valamint a citokróm P450 1A2, 2A6, 2B6, 2C8, 2C9, 2C19, 2D6, 2E1 és 3A4 enzimeket (legfeljebb 25%-ig). </w:t>
      </w:r>
      <w:r w:rsidRPr="00C60440">
        <w:rPr>
          <w:i/>
          <w:iCs/>
          <w:sz w:val="22"/>
          <w:szCs w:val="22"/>
          <w:lang w:val="hu-HU"/>
        </w:rPr>
        <w:t>In vitro</w:t>
      </w:r>
      <w:r w:rsidRPr="00C60440">
        <w:rPr>
          <w:sz w:val="22"/>
          <w:szCs w:val="22"/>
          <w:lang w:val="hu-HU"/>
        </w:rPr>
        <w:t>, klinikailag releváns koncentrációban az ambriszentánnak nincs gátló hatása a humán transzporterekre, beleértve a Pgp-t, BCRP-t, MRP2-t, BSEP-et, OATP1B1-et, OATP1B3-at és NTCP-t. Ezen felül az ambriszentán nem indukál</w:t>
      </w:r>
      <w:r w:rsidR="004A417B">
        <w:rPr>
          <w:sz w:val="22"/>
          <w:szCs w:val="22"/>
          <w:lang w:val="hu-HU"/>
        </w:rPr>
        <w:t>t</w:t>
      </w:r>
      <w:r w:rsidRPr="00C60440">
        <w:rPr>
          <w:sz w:val="22"/>
          <w:szCs w:val="22"/>
          <w:lang w:val="hu-HU"/>
        </w:rPr>
        <w:t xml:space="preserve">a patkány hepatocitákban az MRP2, a Pgp, illetve a BSEP proteinexpressziót. Mindent egybevéve az </w:t>
      </w:r>
      <w:r w:rsidRPr="00C60440">
        <w:rPr>
          <w:i/>
          <w:iCs/>
          <w:sz w:val="22"/>
          <w:szCs w:val="22"/>
          <w:lang w:val="hu-HU"/>
        </w:rPr>
        <w:t xml:space="preserve">in vitro </w:t>
      </w:r>
      <w:r w:rsidRPr="00C60440">
        <w:rPr>
          <w:sz w:val="22"/>
          <w:szCs w:val="22"/>
          <w:lang w:val="hu-HU"/>
        </w:rPr>
        <w:t>adatok azt mutatják, hogy az ambriszentán klinikailag releváns koncentrációkban (plazma C</w:t>
      </w:r>
      <w:r w:rsidRPr="00C60440">
        <w:rPr>
          <w:sz w:val="22"/>
          <w:szCs w:val="22"/>
          <w:vertAlign w:val="subscript"/>
          <w:lang w:val="hu-HU"/>
        </w:rPr>
        <w:t>max</w:t>
      </w:r>
      <w:r w:rsidRPr="00C60440">
        <w:rPr>
          <w:sz w:val="22"/>
          <w:szCs w:val="22"/>
          <w:lang w:val="hu-HU"/>
        </w:rPr>
        <w:t xml:space="preserve"> legfeljebb 3,2</w:t>
      </w:r>
      <w:r w:rsidR="00C44A1E" w:rsidRPr="00C60440">
        <w:rPr>
          <w:sz w:val="22"/>
          <w:szCs w:val="22"/>
          <w:lang w:val="hu-HU"/>
        </w:rPr>
        <w:t> </w:t>
      </w:r>
      <w:r w:rsidRPr="00C60440">
        <w:rPr>
          <w:sz w:val="22"/>
          <w:szCs w:val="22"/>
          <w:lang w:val="hu-HU"/>
        </w:rPr>
        <w:t xml:space="preserve">μM) várhatóan nem gyakorol hatást az UGT1A1-re, UGT1A6-ra, UGT1A9-re, az UGT2B7-re, valamint a citokróm P450 1A2, 2A6, 2B6, 2C8, 2C9, 2C19, 2D6, 2E1 és 3A4 enzimekre, illetve a BSEP, BCRP, Pgp, MRP2, OATP1B1/3 </w:t>
      </w:r>
      <w:r w:rsidR="00C44A1E" w:rsidRPr="00C60440">
        <w:rPr>
          <w:sz w:val="22"/>
          <w:szCs w:val="22"/>
          <w:lang w:val="hu-HU"/>
        </w:rPr>
        <w:t>vagy</w:t>
      </w:r>
      <w:r w:rsidRPr="00C60440">
        <w:rPr>
          <w:sz w:val="22"/>
          <w:szCs w:val="22"/>
          <w:lang w:val="hu-HU"/>
        </w:rPr>
        <w:t xml:space="preserve"> NTCP által közvetített transzportra.</w:t>
      </w:r>
    </w:p>
    <w:p w14:paraId="3262EBE2" w14:textId="77777777" w:rsidR="00C44A1E" w:rsidRPr="00C60440" w:rsidRDefault="00C44A1E" w:rsidP="00CC4541">
      <w:pPr>
        <w:pStyle w:val="Default"/>
        <w:rPr>
          <w:sz w:val="22"/>
          <w:szCs w:val="22"/>
          <w:lang w:val="hu-HU"/>
        </w:rPr>
      </w:pPr>
    </w:p>
    <w:p w14:paraId="514BD3F1" w14:textId="52172A33" w:rsidR="00864B2B" w:rsidRPr="00C60440" w:rsidRDefault="00CC4541" w:rsidP="00CC4541">
      <w:pPr>
        <w:numPr>
          <w:ilvl w:val="12"/>
          <w:numId w:val="0"/>
        </w:numPr>
        <w:spacing w:line="240" w:lineRule="auto"/>
        <w:ind w:right="-2"/>
        <w:rPr>
          <w:noProof/>
          <w:szCs w:val="22"/>
          <w:u w:val="single"/>
          <w:lang w:val="hu-HU"/>
        </w:rPr>
      </w:pPr>
      <w:r w:rsidRPr="00C60440">
        <w:rPr>
          <w:szCs w:val="22"/>
          <w:lang w:val="hu-HU"/>
        </w:rPr>
        <w:t xml:space="preserve">Az ambriszentán hatását </w:t>
      </w:r>
      <w:r w:rsidR="0012313E">
        <w:rPr>
          <w:szCs w:val="22"/>
          <w:lang w:val="hu-HU"/>
        </w:rPr>
        <w:t>–</w:t>
      </w:r>
      <w:r w:rsidRPr="00C60440">
        <w:rPr>
          <w:szCs w:val="22"/>
          <w:lang w:val="hu-HU"/>
        </w:rPr>
        <w:t xml:space="preserve"> dinamikus egyensúlyi állapotban (naponta egyszer 10</w:t>
      </w:r>
      <w:r w:rsidR="00C44A1E" w:rsidRPr="00C60440">
        <w:rPr>
          <w:szCs w:val="22"/>
          <w:lang w:val="hu-HU"/>
        </w:rPr>
        <w:t> </w:t>
      </w:r>
      <w:r w:rsidRPr="00C60440">
        <w:rPr>
          <w:szCs w:val="22"/>
          <w:lang w:val="hu-HU"/>
        </w:rPr>
        <w:t xml:space="preserve">mg dózisban) </w:t>
      </w:r>
      <w:r w:rsidR="009A722C">
        <w:rPr>
          <w:szCs w:val="22"/>
          <w:lang w:val="hu-HU"/>
        </w:rPr>
        <w:t>–</w:t>
      </w:r>
      <w:r w:rsidRPr="00C60440">
        <w:rPr>
          <w:szCs w:val="22"/>
          <w:lang w:val="hu-HU"/>
        </w:rPr>
        <w:t xml:space="preserve"> </w:t>
      </w:r>
      <w:r w:rsidR="009A722C">
        <w:rPr>
          <w:szCs w:val="22"/>
          <w:lang w:val="hu-HU"/>
        </w:rPr>
        <w:t xml:space="preserve">20 egészséges önkéntesen vizsgálták </w:t>
      </w:r>
      <w:r w:rsidRPr="00C60440">
        <w:rPr>
          <w:szCs w:val="22"/>
          <w:lang w:val="hu-HU"/>
        </w:rPr>
        <w:t>az egyszeri dózisú (25</w:t>
      </w:r>
      <w:r w:rsidR="00C44A1E" w:rsidRPr="00C60440">
        <w:rPr>
          <w:szCs w:val="22"/>
          <w:lang w:val="hu-HU"/>
        </w:rPr>
        <w:t> </w:t>
      </w:r>
      <w:r w:rsidRPr="00C60440">
        <w:rPr>
          <w:szCs w:val="22"/>
          <w:lang w:val="hu-HU"/>
        </w:rPr>
        <w:t xml:space="preserve">mg) warfarin protrombin idővel (PT), illetve a nemzetközi normalizált hányadossal (INR) jellemzett </w:t>
      </w:r>
      <w:r w:rsidR="009A722C">
        <w:rPr>
          <w:szCs w:val="22"/>
          <w:lang w:val="hu-HU"/>
        </w:rPr>
        <w:t xml:space="preserve">farmakokinetikájára és </w:t>
      </w:r>
      <w:r w:rsidRPr="00C60440">
        <w:rPr>
          <w:szCs w:val="22"/>
          <w:lang w:val="hu-HU"/>
        </w:rPr>
        <w:t>farmakodinámiájára</w:t>
      </w:r>
      <w:r w:rsidR="003F3018">
        <w:rPr>
          <w:szCs w:val="22"/>
          <w:lang w:val="hu-HU"/>
        </w:rPr>
        <w:t>.</w:t>
      </w:r>
      <w:r w:rsidRPr="00C60440">
        <w:rPr>
          <w:szCs w:val="22"/>
          <w:lang w:val="hu-HU"/>
        </w:rPr>
        <w:t xml:space="preserve"> Az ambriszentánnak nem volt klinikailag releváns hatása a warfarin farmakokinetikájára, sem farmakodinámiájára. Hasonlóképpen, a warfarinnal való együttadás nem befolyásolta az ambriszentán farmakokinetikáját (lásd 4.5</w:t>
      </w:r>
      <w:r w:rsidR="00C44A1E" w:rsidRPr="00C60440">
        <w:rPr>
          <w:szCs w:val="22"/>
          <w:lang w:val="hu-HU"/>
        </w:rPr>
        <w:t> </w:t>
      </w:r>
      <w:r w:rsidRPr="00C60440">
        <w:rPr>
          <w:szCs w:val="22"/>
          <w:lang w:val="hu-HU"/>
        </w:rPr>
        <w:t>pont).</w:t>
      </w:r>
    </w:p>
    <w:p w14:paraId="7E71A1E4" w14:textId="685CA615" w:rsidR="00864B2B" w:rsidRPr="00C60440" w:rsidRDefault="00864B2B" w:rsidP="00082A8E">
      <w:pPr>
        <w:numPr>
          <w:ilvl w:val="12"/>
          <w:numId w:val="0"/>
        </w:numPr>
        <w:spacing w:line="240" w:lineRule="auto"/>
        <w:ind w:right="-2"/>
        <w:rPr>
          <w:noProof/>
          <w:szCs w:val="22"/>
          <w:u w:val="single"/>
          <w:lang w:val="hu-HU"/>
        </w:rPr>
      </w:pPr>
    </w:p>
    <w:p w14:paraId="455C5004" w14:textId="2C50163F" w:rsidR="00864B2B" w:rsidRPr="00C60440" w:rsidRDefault="00C44A1E" w:rsidP="00082A8E">
      <w:pPr>
        <w:numPr>
          <w:ilvl w:val="12"/>
          <w:numId w:val="0"/>
        </w:numPr>
        <w:spacing w:line="240" w:lineRule="auto"/>
        <w:ind w:right="-2"/>
        <w:rPr>
          <w:noProof/>
          <w:szCs w:val="22"/>
          <w:u w:val="single"/>
          <w:lang w:val="hu-HU"/>
        </w:rPr>
      </w:pPr>
      <w:r w:rsidRPr="00C60440">
        <w:rPr>
          <w:szCs w:val="22"/>
          <w:lang w:val="hu-HU"/>
        </w:rPr>
        <w:t>19</w:t>
      </w:r>
      <w:r w:rsidR="009A722C">
        <w:rPr>
          <w:szCs w:val="22"/>
          <w:lang w:val="hu-HU"/>
        </w:rPr>
        <w:t> </w:t>
      </w:r>
      <w:r w:rsidRPr="00C60440">
        <w:rPr>
          <w:szCs w:val="22"/>
          <w:lang w:val="hu-HU"/>
        </w:rPr>
        <w:t>egészséges önkéntesen vizsgálták a 7</w:t>
      </w:r>
      <w:r w:rsidR="009A722C">
        <w:rPr>
          <w:szCs w:val="22"/>
          <w:lang w:val="hu-HU"/>
        </w:rPr>
        <w:t> </w:t>
      </w:r>
      <w:r w:rsidRPr="00C60440">
        <w:rPr>
          <w:szCs w:val="22"/>
          <w:lang w:val="hu-HU"/>
        </w:rPr>
        <w:t xml:space="preserve">napos szildenafil adagolás (naponta háromszor 20 mg) hatását egyetlen ambriszentán </w:t>
      </w:r>
      <w:r w:rsidR="009A722C">
        <w:rPr>
          <w:szCs w:val="22"/>
          <w:lang w:val="hu-HU"/>
        </w:rPr>
        <w:t>dózis</w:t>
      </w:r>
      <w:r w:rsidRPr="00C60440">
        <w:rPr>
          <w:szCs w:val="22"/>
          <w:lang w:val="hu-HU"/>
        </w:rPr>
        <w:t xml:space="preserve"> farmakokinetikájára, valamint a 7</w:t>
      </w:r>
      <w:r w:rsidR="009A722C">
        <w:rPr>
          <w:szCs w:val="22"/>
          <w:lang w:val="hu-HU"/>
        </w:rPr>
        <w:t> </w:t>
      </w:r>
      <w:r w:rsidRPr="00C60440">
        <w:rPr>
          <w:szCs w:val="22"/>
          <w:lang w:val="hu-HU"/>
        </w:rPr>
        <w:t xml:space="preserve">napos ambriszentán adagolás (naponta egyszer 10 mg) hatását egyetlen szildenafil </w:t>
      </w:r>
      <w:r w:rsidR="009A722C">
        <w:rPr>
          <w:szCs w:val="22"/>
          <w:lang w:val="hu-HU"/>
        </w:rPr>
        <w:t>dózis</w:t>
      </w:r>
      <w:r w:rsidRPr="00C60440">
        <w:rPr>
          <w:szCs w:val="22"/>
          <w:lang w:val="hu-HU"/>
        </w:rPr>
        <w:t xml:space="preserve"> farmakokinetikájára. Az ambriszentánnal való együttadást követően a szildenafil C</w:t>
      </w:r>
      <w:r w:rsidRPr="00C60440">
        <w:rPr>
          <w:szCs w:val="22"/>
          <w:vertAlign w:val="subscript"/>
          <w:lang w:val="hu-HU"/>
        </w:rPr>
        <w:t>max</w:t>
      </w:r>
      <w:r w:rsidRPr="00C60440">
        <w:rPr>
          <w:szCs w:val="22"/>
          <w:lang w:val="hu-HU"/>
        </w:rPr>
        <w:t xml:space="preserve"> 13%-os emelkedésétől eltekintve a szildenafil, az N-dezmetil-szildenafil és az ambriszentán farmakokinetikai paramétereiben nem volt egyéb változás. A szildenafil C</w:t>
      </w:r>
      <w:r w:rsidRPr="00C60440">
        <w:rPr>
          <w:szCs w:val="22"/>
          <w:vertAlign w:val="subscript"/>
          <w:lang w:val="hu-HU"/>
        </w:rPr>
        <w:t>max</w:t>
      </w:r>
      <w:r w:rsidRPr="00C60440">
        <w:rPr>
          <w:szCs w:val="22"/>
          <w:lang w:val="hu-HU"/>
        </w:rPr>
        <w:t xml:space="preserve"> enyhe emelkedése nem tekinthető klinikailag relevánsnak (lásd 4.5 pont).</w:t>
      </w:r>
    </w:p>
    <w:p w14:paraId="3A610860" w14:textId="378B25D7" w:rsidR="00864B2B" w:rsidRPr="00C60440" w:rsidRDefault="00864B2B" w:rsidP="00082A8E">
      <w:pPr>
        <w:numPr>
          <w:ilvl w:val="12"/>
          <w:numId w:val="0"/>
        </w:numPr>
        <w:spacing w:line="240" w:lineRule="auto"/>
        <w:ind w:right="-2"/>
        <w:rPr>
          <w:noProof/>
          <w:szCs w:val="22"/>
          <w:u w:val="single"/>
          <w:lang w:val="hu-HU"/>
        </w:rPr>
      </w:pPr>
    </w:p>
    <w:p w14:paraId="58CD84E7" w14:textId="177244D5" w:rsidR="00C44A1E" w:rsidRPr="00C60440" w:rsidRDefault="00C44A1E" w:rsidP="00C44A1E">
      <w:pPr>
        <w:pStyle w:val="Default"/>
        <w:rPr>
          <w:sz w:val="22"/>
          <w:szCs w:val="22"/>
          <w:lang w:val="hu-HU"/>
        </w:rPr>
      </w:pPr>
      <w:r w:rsidRPr="00C60440">
        <w:rPr>
          <w:sz w:val="22"/>
          <w:szCs w:val="22"/>
          <w:lang w:val="hu-HU"/>
        </w:rPr>
        <w:t>Huszonhárom egészséges önkéntesen vizsgálták az ambriszentán dinamikus egyensúlyi állapotban történő adagolásának</w:t>
      </w:r>
      <w:r w:rsidR="001853AE">
        <w:rPr>
          <w:sz w:val="22"/>
          <w:szCs w:val="22"/>
          <w:lang w:val="hu-HU"/>
        </w:rPr>
        <w:t xml:space="preserve"> </w:t>
      </w:r>
      <w:r w:rsidRPr="00C60440">
        <w:rPr>
          <w:sz w:val="22"/>
          <w:szCs w:val="22"/>
          <w:lang w:val="hu-HU"/>
        </w:rPr>
        <w:t xml:space="preserve">(naponta egyszer 10 mg) hatását az egyszeri </w:t>
      </w:r>
      <w:r w:rsidR="009A722C">
        <w:rPr>
          <w:sz w:val="22"/>
          <w:szCs w:val="22"/>
          <w:lang w:val="hu-HU"/>
        </w:rPr>
        <w:t>dózis</w:t>
      </w:r>
      <w:r w:rsidRPr="00C60440">
        <w:rPr>
          <w:sz w:val="22"/>
          <w:szCs w:val="22"/>
          <w:lang w:val="hu-HU"/>
        </w:rPr>
        <w:t>ban alkalmazott tadalafil farmakokinetikájára, valamint a tadalafil dinamikus egyensúlyi állapotban történő adagolásának (naponta egyszer 40 mg) hatását az egyszeri dózisban alkalmazott ambriszentán farmakokinetikájára. Az ambriszentánnak semmiféle klinikailag releváns hatása nem volt a tadalafil farmakokinetikájára. Hasonlóképpen, a tadalafillal való együttadás nem befolyásolta az ambriszentán farmakokinetikáját (lásd 4.5 pont).</w:t>
      </w:r>
    </w:p>
    <w:p w14:paraId="4F9A80DF" w14:textId="77777777" w:rsidR="00C44A1E" w:rsidRPr="00C60440" w:rsidRDefault="00C44A1E" w:rsidP="00C44A1E">
      <w:pPr>
        <w:pStyle w:val="Default"/>
        <w:rPr>
          <w:sz w:val="22"/>
          <w:szCs w:val="22"/>
          <w:lang w:val="hu-HU"/>
        </w:rPr>
      </w:pPr>
    </w:p>
    <w:p w14:paraId="5F70707A" w14:textId="1CB9769A" w:rsidR="00C44A1E" w:rsidRPr="00C60440" w:rsidRDefault="00C44A1E" w:rsidP="00C44A1E">
      <w:pPr>
        <w:pStyle w:val="Default"/>
        <w:rPr>
          <w:sz w:val="22"/>
          <w:szCs w:val="22"/>
          <w:lang w:val="hu-HU"/>
        </w:rPr>
      </w:pPr>
      <w:r w:rsidRPr="00C60440">
        <w:rPr>
          <w:sz w:val="22"/>
          <w:szCs w:val="22"/>
          <w:lang w:val="hu-HU"/>
        </w:rPr>
        <w:t>Ketokonazol (naponta egyszer 400</w:t>
      </w:r>
      <w:r w:rsidR="005A0BB2" w:rsidRPr="00C60440">
        <w:rPr>
          <w:sz w:val="22"/>
          <w:szCs w:val="22"/>
          <w:lang w:val="hu-HU"/>
        </w:rPr>
        <w:t> </w:t>
      </w:r>
      <w:r w:rsidRPr="00C60440">
        <w:rPr>
          <w:sz w:val="22"/>
          <w:szCs w:val="22"/>
          <w:lang w:val="hu-HU"/>
        </w:rPr>
        <w:t>mg) ismételt adagolásának a hatását vizsgálták egyetlen 10</w:t>
      </w:r>
      <w:r w:rsidR="005A0BB2" w:rsidRPr="00C60440">
        <w:rPr>
          <w:sz w:val="22"/>
          <w:szCs w:val="22"/>
          <w:lang w:val="hu-HU"/>
        </w:rPr>
        <w:t> </w:t>
      </w:r>
      <w:r w:rsidRPr="00C60440">
        <w:rPr>
          <w:sz w:val="22"/>
          <w:szCs w:val="22"/>
          <w:lang w:val="hu-HU"/>
        </w:rPr>
        <w:t xml:space="preserve">mg-os ambriszentán </w:t>
      </w:r>
      <w:r w:rsidR="009A722C">
        <w:rPr>
          <w:sz w:val="22"/>
          <w:szCs w:val="22"/>
          <w:lang w:val="hu-HU"/>
        </w:rPr>
        <w:t>dózis</w:t>
      </w:r>
      <w:r w:rsidRPr="00C60440">
        <w:rPr>
          <w:sz w:val="22"/>
          <w:szCs w:val="22"/>
          <w:lang w:val="hu-HU"/>
        </w:rPr>
        <w:t xml:space="preserve"> farmakokinetikájára 16</w:t>
      </w:r>
      <w:r w:rsidR="009A722C">
        <w:rPr>
          <w:sz w:val="22"/>
          <w:szCs w:val="22"/>
          <w:lang w:val="hu-HU"/>
        </w:rPr>
        <w:t> </w:t>
      </w:r>
      <w:r w:rsidRPr="00C60440">
        <w:rPr>
          <w:sz w:val="22"/>
          <w:szCs w:val="22"/>
          <w:lang w:val="hu-HU"/>
        </w:rPr>
        <w:t>egészséges önkéntesnél. Az ambriszentán expozíciója az AUC</w:t>
      </w:r>
      <w:r w:rsidRPr="00C60440">
        <w:rPr>
          <w:sz w:val="22"/>
          <w:szCs w:val="22"/>
          <w:vertAlign w:val="subscript"/>
          <w:lang w:val="hu-HU"/>
        </w:rPr>
        <w:t>(0-inf)</w:t>
      </w:r>
      <w:r w:rsidRPr="00C60440">
        <w:rPr>
          <w:sz w:val="22"/>
          <w:szCs w:val="22"/>
          <w:lang w:val="hu-HU"/>
        </w:rPr>
        <w:t>-, ill. C</w:t>
      </w:r>
      <w:r w:rsidRPr="00C60440">
        <w:rPr>
          <w:sz w:val="22"/>
          <w:szCs w:val="22"/>
          <w:vertAlign w:val="subscript"/>
          <w:lang w:val="hu-HU"/>
        </w:rPr>
        <w:t>max</w:t>
      </w:r>
      <w:r w:rsidRPr="00C60440">
        <w:rPr>
          <w:sz w:val="22"/>
          <w:szCs w:val="22"/>
          <w:lang w:val="hu-HU"/>
        </w:rPr>
        <w:t>-értékkel mérve 35%-kal, ill. 20%-kal emelkedett. Az expozícióban bekövetkezett változásoknak azonban valószínűleg nincs klinikai jelentősége, ezért az ambriszentán adható együtt ketokonazollal.</w:t>
      </w:r>
    </w:p>
    <w:p w14:paraId="7688D756" w14:textId="77777777" w:rsidR="005A0BB2" w:rsidRPr="00C60440" w:rsidRDefault="005A0BB2" w:rsidP="00C44A1E">
      <w:pPr>
        <w:pStyle w:val="Default"/>
        <w:rPr>
          <w:sz w:val="22"/>
          <w:szCs w:val="22"/>
          <w:lang w:val="hu-HU"/>
        </w:rPr>
      </w:pPr>
    </w:p>
    <w:p w14:paraId="70377BAD" w14:textId="517E3A61" w:rsidR="00864B2B" w:rsidRPr="00C60440" w:rsidRDefault="00C44A1E" w:rsidP="00C44A1E">
      <w:pPr>
        <w:numPr>
          <w:ilvl w:val="12"/>
          <w:numId w:val="0"/>
        </w:numPr>
        <w:spacing w:line="240" w:lineRule="auto"/>
        <w:ind w:right="-2"/>
        <w:rPr>
          <w:noProof/>
          <w:szCs w:val="22"/>
          <w:u w:val="single"/>
          <w:lang w:val="hu-HU"/>
        </w:rPr>
      </w:pPr>
      <w:r w:rsidRPr="00C60440">
        <w:rPr>
          <w:szCs w:val="22"/>
          <w:lang w:val="hu-HU"/>
        </w:rPr>
        <w:t>Egészséges önkénteseken vizsgálták a ciklosporin A ismételt adagolásának (100</w:t>
      </w:r>
      <w:r w:rsidR="005A0BB2" w:rsidRPr="00C60440">
        <w:rPr>
          <w:szCs w:val="22"/>
          <w:lang w:val="hu-HU"/>
        </w:rPr>
        <w:noBreakHyphen/>
      </w:r>
      <w:r w:rsidRPr="00C60440">
        <w:rPr>
          <w:szCs w:val="22"/>
          <w:lang w:val="hu-HU"/>
        </w:rPr>
        <w:t>150</w:t>
      </w:r>
      <w:r w:rsidR="005A0BB2" w:rsidRPr="00C60440">
        <w:rPr>
          <w:szCs w:val="22"/>
          <w:lang w:val="hu-HU"/>
        </w:rPr>
        <w:t> </w:t>
      </w:r>
      <w:r w:rsidRPr="00C60440">
        <w:rPr>
          <w:szCs w:val="22"/>
          <w:lang w:val="hu-HU"/>
        </w:rPr>
        <w:t>mg naponta kétszer) hatását az ambriszentán (5</w:t>
      </w:r>
      <w:r w:rsidR="005A0BB2" w:rsidRPr="00C60440">
        <w:rPr>
          <w:szCs w:val="22"/>
          <w:lang w:val="hu-HU"/>
        </w:rPr>
        <w:t> </w:t>
      </w:r>
      <w:r w:rsidRPr="00C60440">
        <w:rPr>
          <w:szCs w:val="22"/>
          <w:lang w:val="hu-HU"/>
        </w:rPr>
        <w:t>mg naponta egyszer) farmakokinetikájára dinamikus egyensúlyi állapotban, valamint az ambriszentán ismételt adagolásának (5</w:t>
      </w:r>
      <w:r w:rsidR="005A0BB2" w:rsidRPr="00C60440">
        <w:rPr>
          <w:szCs w:val="22"/>
          <w:lang w:val="hu-HU"/>
        </w:rPr>
        <w:t> </w:t>
      </w:r>
      <w:r w:rsidRPr="00C60440">
        <w:rPr>
          <w:szCs w:val="22"/>
          <w:lang w:val="hu-HU"/>
        </w:rPr>
        <w:t>mg naponta egyszer) hatását a ciklosporin A (100</w:t>
      </w:r>
      <w:r w:rsidR="005A0BB2" w:rsidRPr="00C60440">
        <w:rPr>
          <w:szCs w:val="22"/>
          <w:lang w:val="hu-HU"/>
        </w:rPr>
        <w:noBreakHyphen/>
      </w:r>
      <w:r w:rsidRPr="00C60440">
        <w:rPr>
          <w:szCs w:val="22"/>
          <w:lang w:val="hu-HU"/>
        </w:rPr>
        <w:t>150</w:t>
      </w:r>
      <w:r w:rsidR="005A0BB2" w:rsidRPr="00C60440">
        <w:rPr>
          <w:szCs w:val="22"/>
          <w:lang w:val="hu-HU"/>
        </w:rPr>
        <w:t> </w:t>
      </w:r>
      <w:r w:rsidRPr="00C60440">
        <w:rPr>
          <w:szCs w:val="22"/>
          <w:lang w:val="hu-HU"/>
        </w:rPr>
        <w:t>mg naponta kétszer) farmakokinetikájára dinamikus egyensúlyi állapotban. Többszöri ciklosporin</w:t>
      </w:r>
      <w:r w:rsidR="009A722C">
        <w:rPr>
          <w:szCs w:val="22"/>
          <w:lang w:val="hu-HU"/>
        </w:rPr>
        <w:t xml:space="preserve"> dózis</w:t>
      </w:r>
      <w:r w:rsidRPr="00C60440">
        <w:rPr>
          <w:szCs w:val="22"/>
          <w:lang w:val="hu-HU"/>
        </w:rPr>
        <w:t>ok alkalmazása esetén az ambriszentán C</w:t>
      </w:r>
      <w:r w:rsidRPr="00C60440">
        <w:rPr>
          <w:szCs w:val="22"/>
          <w:vertAlign w:val="subscript"/>
          <w:lang w:val="hu-HU"/>
        </w:rPr>
        <w:t>max</w:t>
      </w:r>
      <w:r w:rsidRPr="00C60440">
        <w:rPr>
          <w:szCs w:val="22"/>
          <w:lang w:val="hu-HU"/>
        </w:rPr>
        <w:t>- és AUC</w:t>
      </w:r>
      <w:r w:rsidR="005A0BB2" w:rsidRPr="00C60440">
        <w:rPr>
          <w:szCs w:val="22"/>
          <w:vertAlign w:val="subscript"/>
          <w:lang w:val="hu-HU"/>
        </w:rPr>
        <w:t>(0–τ)</w:t>
      </w:r>
      <w:r w:rsidRPr="00C60440">
        <w:rPr>
          <w:szCs w:val="22"/>
          <w:lang w:val="hu-HU"/>
        </w:rPr>
        <w:t>-értéke megemelkedett (48%-kal</w:t>
      </w:r>
      <w:r w:rsidR="005A0BB2" w:rsidRPr="00C60440">
        <w:rPr>
          <w:szCs w:val="22"/>
          <w:lang w:val="hu-HU"/>
        </w:rPr>
        <w:t>,</w:t>
      </w:r>
      <w:r w:rsidRPr="00C60440">
        <w:rPr>
          <w:szCs w:val="22"/>
          <w:lang w:val="hu-HU"/>
        </w:rPr>
        <w:t xml:space="preserve"> illetve 121%-kal). Ezen változások alapján az ambriszentán </w:t>
      </w:r>
      <w:r w:rsidR="004D0453">
        <w:rPr>
          <w:szCs w:val="22"/>
          <w:lang w:val="hu-HU"/>
        </w:rPr>
        <w:t>dózis</w:t>
      </w:r>
      <w:r w:rsidRPr="00C60440">
        <w:rPr>
          <w:szCs w:val="22"/>
          <w:lang w:val="hu-HU"/>
        </w:rPr>
        <w:t>át ciklosporin A-val történő együttadás esetén napi egyszeri 5</w:t>
      </w:r>
      <w:r w:rsidR="005A0BB2" w:rsidRPr="00C60440">
        <w:rPr>
          <w:szCs w:val="22"/>
          <w:lang w:val="hu-HU"/>
        </w:rPr>
        <w:t> </w:t>
      </w:r>
      <w:r w:rsidRPr="00C60440">
        <w:rPr>
          <w:szCs w:val="22"/>
          <w:lang w:val="hu-HU"/>
        </w:rPr>
        <w:t>mg</w:t>
      </w:r>
      <w:r w:rsidR="00DC0B70">
        <w:rPr>
          <w:szCs w:val="22"/>
          <w:lang w:val="hu-HU"/>
        </w:rPr>
        <w:noBreakHyphen/>
      </w:r>
      <w:r w:rsidRPr="00C60440">
        <w:rPr>
          <w:szCs w:val="22"/>
          <w:lang w:val="hu-HU"/>
        </w:rPr>
        <w:t>ra kell korlátozni (lásd 4.2</w:t>
      </w:r>
      <w:r w:rsidR="005A0BB2" w:rsidRPr="00C60440">
        <w:rPr>
          <w:szCs w:val="22"/>
          <w:lang w:val="hu-HU"/>
        </w:rPr>
        <w:t> </w:t>
      </w:r>
      <w:r w:rsidRPr="00C60440">
        <w:rPr>
          <w:szCs w:val="22"/>
          <w:lang w:val="hu-HU"/>
        </w:rPr>
        <w:t xml:space="preserve">pont). </w:t>
      </w:r>
      <w:r w:rsidRPr="00C60440">
        <w:rPr>
          <w:szCs w:val="22"/>
          <w:lang w:val="hu-HU"/>
        </w:rPr>
        <w:lastRenderedPageBreak/>
        <w:t xml:space="preserve">Azonban a többszöri ambriszentán </w:t>
      </w:r>
      <w:r w:rsidR="009A722C">
        <w:rPr>
          <w:szCs w:val="22"/>
          <w:lang w:val="hu-HU"/>
        </w:rPr>
        <w:t>dózis</w:t>
      </w:r>
      <w:r w:rsidRPr="00C60440">
        <w:rPr>
          <w:szCs w:val="22"/>
          <w:lang w:val="hu-HU"/>
        </w:rPr>
        <w:t xml:space="preserve">oknak nem volt klinikailag releváns hatása a ciklosporin A expozíciójára, és nem indokolt a ciklosporin A </w:t>
      </w:r>
      <w:r w:rsidR="004D0453">
        <w:rPr>
          <w:szCs w:val="22"/>
          <w:lang w:val="hu-HU"/>
        </w:rPr>
        <w:t>dózis</w:t>
      </w:r>
      <w:r w:rsidRPr="00C60440">
        <w:rPr>
          <w:szCs w:val="22"/>
          <w:lang w:val="hu-HU"/>
        </w:rPr>
        <w:t>ának a módosítása</w:t>
      </w:r>
      <w:r w:rsidR="005A0BB2" w:rsidRPr="00C60440">
        <w:rPr>
          <w:szCs w:val="22"/>
          <w:lang w:val="hu-HU"/>
        </w:rPr>
        <w:t>.</w:t>
      </w:r>
    </w:p>
    <w:p w14:paraId="10F6E791" w14:textId="6B1E5687" w:rsidR="00864B2B" w:rsidRPr="00C60440" w:rsidRDefault="00864B2B" w:rsidP="00082A8E">
      <w:pPr>
        <w:numPr>
          <w:ilvl w:val="12"/>
          <w:numId w:val="0"/>
        </w:numPr>
        <w:spacing w:line="240" w:lineRule="auto"/>
        <w:ind w:right="-2"/>
        <w:rPr>
          <w:noProof/>
          <w:szCs w:val="22"/>
          <w:u w:val="single"/>
          <w:lang w:val="hu-HU"/>
        </w:rPr>
      </w:pPr>
    </w:p>
    <w:p w14:paraId="20DED973" w14:textId="373928AB" w:rsidR="005A0BB2" w:rsidRPr="00C60440" w:rsidRDefault="005A0BB2" w:rsidP="005A0BB2">
      <w:pPr>
        <w:pStyle w:val="Default"/>
        <w:rPr>
          <w:sz w:val="22"/>
          <w:szCs w:val="22"/>
          <w:lang w:val="hu-HU"/>
        </w:rPr>
      </w:pPr>
      <w:r w:rsidRPr="00C60440">
        <w:rPr>
          <w:sz w:val="22"/>
          <w:szCs w:val="22"/>
          <w:lang w:val="hu-HU"/>
        </w:rPr>
        <w:t xml:space="preserve">A rifampicin (naponta egyszer 600 mg) akut és ismételt adagolásának az ambriszentán (naponta egyszer 10 mg) steady state farmakokinetikájára kifejtett hatását egészséges önkénteseken vizsgálták. A rifampicin kezdő </w:t>
      </w:r>
      <w:r w:rsidR="00381343">
        <w:rPr>
          <w:sz w:val="22"/>
          <w:szCs w:val="22"/>
          <w:lang w:val="hu-HU"/>
        </w:rPr>
        <w:t>dózis</w:t>
      </w:r>
      <w:r w:rsidRPr="00C60440">
        <w:rPr>
          <w:sz w:val="22"/>
          <w:szCs w:val="22"/>
          <w:lang w:val="hu-HU"/>
        </w:rPr>
        <w:t>ait követően az ambriszentán AUC</w:t>
      </w:r>
      <w:r w:rsidRPr="00C60440">
        <w:rPr>
          <w:sz w:val="22"/>
          <w:szCs w:val="22"/>
          <w:vertAlign w:val="subscript"/>
          <w:lang w:val="hu-HU"/>
        </w:rPr>
        <w:t>(0–τ)</w:t>
      </w:r>
      <w:r w:rsidRPr="00C60440">
        <w:rPr>
          <w:sz w:val="22"/>
          <w:szCs w:val="22"/>
          <w:lang w:val="hu-HU"/>
        </w:rPr>
        <w:t xml:space="preserve">-értékének átmeneti emelkedését figyelték meg (az első rifampicin </w:t>
      </w:r>
      <w:r w:rsidR="004D0453">
        <w:rPr>
          <w:sz w:val="22"/>
          <w:szCs w:val="22"/>
          <w:lang w:val="hu-HU"/>
        </w:rPr>
        <w:t>dózis</w:t>
      </w:r>
      <w:r w:rsidRPr="00C60440">
        <w:rPr>
          <w:sz w:val="22"/>
          <w:szCs w:val="22"/>
          <w:lang w:val="hu-HU"/>
        </w:rPr>
        <w:t xml:space="preserve"> után 121%, a második után 116%), aminek vélhetően a rifampicin által közvetített OATP-gátlás volt az oka. Mindazonáltal, a 8. napra a rifampicin többszöri adagolásának már nem volt klinikailag releváns hatása az ambriszentán</w:t>
      </w:r>
      <w:r w:rsidR="003F3018">
        <w:rPr>
          <w:sz w:val="22"/>
          <w:szCs w:val="22"/>
          <w:lang w:val="hu-HU"/>
        </w:rPr>
        <w:t>-</w:t>
      </w:r>
      <w:r w:rsidRPr="00C60440">
        <w:rPr>
          <w:sz w:val="22"/>
          <w:szCs w:val="22"/>
          <w:lang w:val="hu-HU"/>
        </w:rPr>
        <w:t>expozícióra. Az ambriszentán</w:t>
      </w:r>
      <w:r w:rsidRPr="00C60440">
        <w:rPr>
          <w:sz w:val="22"/>
          <w:szCs w:val="22"/>
          <w:lang w:val="hu-HU"/>
        </w:rPr>
        <w:noBreakHyphen/>
        <w:t>kezelés alatt álló betegeket a rifampicin</w:t>
      </w:r>
      <w:r w:rsidRPr="00C60440">
        <w:rPr>
          <w:sz w:val="22"/>
          <w:szCs w:val="22"/>
          <w:lang w:val="hu-HU"/>
        </w:rPr>
        <w:noBreakHyphen/>
        <w:t>kezelés elindításakor szoros megfigyelés alatt kell tartani (lásd 4.4 és 4.5 pont).</w:t>
      </w:r>
    </w:p>
    <w:p w14:paraId="17E80911" w14:textId="77777777" w:rsidR="005A0BB2" w:rsidRPr="00C60440" w:rsidRDefault="005A0BB2" w:rsidP="005A0BB2">
      <w:pPr>
        <w:pStyle w:val="Default"/>
        <w:rPr>
          <w:sz w:val="22"/>
          <w:szCs w:val="22"/>
          <w:lang w:val="hu-HU"/>
        </w:rPr>
      </w:pPr>
    </w:p>
    <w:p w14:paraId="2048DA95" w14:textId="0699E5FE" w:rsidR="005A0BB2" w:rsidRPr="00C60440" w:rsidRDefault="005A0BB2" w:rsidP="005A0BB2">
      <w:pPr>
        <w:pStyle w:val="Default"/>
        <w:rPr>
          <w:sz w:val="22"/>
          <w:szCs w:val="22"/>
          <w:lang w:val="hu-HU"/>
        </w:rPr>
      </w:pPr>
      <w:r w:rsidRPr="00C60440">
        <w:rPr>
          <w:sz w:val="22"/>
          <w:szCs w:val="22"/>
          <w:lang w:val="hu-HU"/>
        </w:rPr>
        <w:t xml:space="preserve">Ismételt ambriszentán </w:t>
      </w:r>
      <w:r w:rsidR="00381343">
        <w:rPr>
          <w:sz w:val="22"/>
          <w:szCs w:val="22"/>
          <w:lang w:val="hu-HU"/>
        </w:rPr>
        <w:t>dózis</w:t>
      </w:r>
      <w:r w:rsidRPr="00C60440">
        <w:rPr>
          <w:sz w:val="22"/>
          <w:szCs w:val="22"/>
          <w:lang w:val="hu-HU"/>
        </w:rPr>
        <w:t>ok (10</w:t>
      </w:r>
      <w:r w:rsidR="00E42C09" w:rsidRPr="00C60440">
        <w:rPr>
          <w:sz w:val="22"/>
          <w:szCs w:val="22"/>
          <w:lang w:val="hu-HU"/>
        </w:rPr>
        <w:t> </w:t>
      </w:r>
      <w:r w:rsidRPr="00C60440">
        <w:rPr>
          <w:sz w:val="22"/>
          <w:szCs w:val="22"/>
          <w:lang w:val="hu-HU"/>
        </w:rPr>
        <w:t xml:space="preserve">mg) hatását egyetlen digoxin </w:t>
      </w:r>
      <w:r w:rsidR="00381343">
        <w:rPr>
          <w:sz w:val="22"/>
          <w:szCs w:val="22"/>
          <w:lang w:val="hu-HU"/>
        </w:rPr>
        <w:t>dózis</w:t>
      </w:r>
      <w:r w:rsidRPr="00C60440">
        <w:rPr>
          <w:sz w:val="22"/>
          <w:szCs w:val="22"/>
          <w:lang w:val="hu-HU"/>
        </w:rPr>
        <w:t xml:space="preserve"> farmakokinetikájára 15</w:t>
      </w:r>
      <w:r w:rsidR="00381343">
        <w:rPr>
          <w:sz w:val="22"/>
          <w:szCs w:val="22"/>
          <w:lang w:val="hu-HU"/>
        </w:rPr>
        <w:t> </w:t>
      </w:r>
      <w:r w:rsidRPr="00C60440">
        <w:rPr>
          <w:sz w:val="22"/>
          <w:szCs w:val="22"/>
          <w:lang w:val="hu-HU"/>
        </w:rPr>
        <w:t xml:space="preserve">egészséges önkéntesnél vizsgálták. Többszöri ambriszentán </w:t>
      </w:r>
      <w:r w:rsidR="00381343">
        <w:rPr>
          <w:sz w:val="22"/>
          <w:szCs w:val="22"/>
          <w:lang w:val="hu-HU"/>
        </w:rPr>
        <w:t>dózis</w:t>
      </w:r>
      <w:r w:rsidRPr="00C60440">
        <w:rPr>
          <w:sz w:val="22"/>
          <w:szCs w:val="22"/>
          <w:lang w:val="hu-HU"/>
        </w:rPr>
        <w:t>ok alkalmazása esetén a digoxin AUC</w:t>
      </w:r>
      <w:r w:rsidRPr="00C60440">
        <w:rPr>
          <w:sz w:val="22"/>
          <w:szCs w:val="22"/>
          <w:vertAlign w:val="subscript"/>
          <w:lang w:val="hu-HU"/>
        </w:rPr>
        <w:t>0-last</w:t>
      </w:r>
      <w:r w:rsidRPr="00C60440">
        <w:rPr>
          <w:sz w:val="22"/>
          <w:szCs w:val="22"/>
          <w:lang w:val="hu-HU"/>
        </w:rPr>
        <w:t>-értéke, valamint a mélyponti koncentráció enyhén emelkedett, és a digoxin C</w:t>
      </w:r>
      <w:r w:rsidRPr="00C60440">
        <w:rPr>
          <w:sz w:val="22"/>
          <w:szCs w:val="22"/>
          <w:vertAlign w:val="subscript"/>
          <w:lang w:val="hu-HU"/>
        </w:rPr>
        <w:t>max</w:t>
      </w:r>
      <w:r w:rsidRPr="00C60440">
        <w:rPr>
          <w:sz w:val="22"/>
          <w:szCs w:val="22"/>
          <w:lang w:val="hu-HU"/>
        </w:rPr>
        <w:t>-értéke 29%-kal nőtt. A digoxin</w:t>
      </w:r>
      <w:r w:rsidR="003F3018">
        <w:rPr>
          <w:sz w:val="22"/>
          <w:szCs w:val="22"/>
          <w:lang w:val="hu-HU"/>
        </w:rPr>
        <w:t>-</w:t>
      </w:r>
      <w:r w:rsidRPr="00C60440">
        <w:rPr>
          <w:sz w:val="22"/>
          <w:szCs w:val="22"/>
          <w:lang w:val="hu-HU"/>
        </w:rPr>
        <w:t xml:space="preserve">expozíció többszöri ambriszentán </w:t>
      </w:r>
      <w:r w:rsidR="004D0453">
        <w:rPr>
          <w:sz w:val="22"/>
          <w:szCs w:val="22"/>
          <w:lang w:val="hu-HU"/>
        </w:rPr>
        <w:t>dózis</w:t>
      </w:r>
      <w:r w:rsidRPr="00C60440">
        <w:rPr>
          <w:sz w:val="22"/>
          <w:szCs w:val="22"/>
          <w:lang w:val="hu-HU"/>
        </w:rPr>
        <w:t xml:space="preserve">ok alkalmazása esetén megfigyelt emelkedése nem tekinthető klinikailag relevánsnak, és nem indokolja a digoxin </w:t>
      </w:r>
      <w:r w:rsidR="004D0453">
        <w:rPr>
          <w:sz w:val="22"/>
          <w:szCs w:val="22"/>
          <w:lang w:val="hu-HU"/>
        </w:rPr>
        <w:t>dózis</w:t>
      </w:r>
      <w:r w:rsidRPr="00C60440">
        <w:rPr>
          <w:sz w:val="22"/>
          <w:szCs w:val="22"/>
          <w:lang w:val="hu-HU"/>
        </w:rPr>
        <w:t>ának módosítását (lásd 4.5</w:t>
      </w:r>
      <w:r w:rsidR="00E42C09" w:rsidRPr="00C60440">
        <w:rPr>
          <w:sz w:val="22"/>
          <w:szCs w:val="22"/>
          <w:lang w:val="hu-HU"/>
        </w:rPr>
        <w:t> </w:t>
      </w:r>
      <w:r w:rsidRPr="00C60440">
        <w:rPr>
          <w:sz w:val="22"/>
          <w:szCs w:val="22"/>
          <w:lang w:val="hu-HU"/>
        </w:rPr>
        <w:t>pont).</w:t>
      </w:r>
    </w:p>
    <w:p w14:paraId="00B76DA0" w14:textId="77777777" w:rsidR="00E42C09" w:rsidRPr="00C60440" w:rsidRDefault="00E42C09" w:rsidP="005A0BB2">
      <w:pPr>
        <w:pStyle w:val="Default"/>
        <w:rPr>
          <w:sz w:val="22"/>
          <w:szCs w:val="22"/>
          <w:lang w:val="hu-HU"/>
        </w:rPr>
      </w:pPr>
    </w:p>
    <w:p w14:paraId="05EA635F" w14:textId="6AC02BF4" w:rsidR="00864B2B" w:rsidRPr="00C60440" w:rsidRDefault="005A0BB2" w:rsidP="005A0BB2">
      <w:pPr>
        <w:numPr>
          <w:ilvl w:val="12"/>
          <w:numId w:val="0"/>
        </w:numPr>
        <w:spacing w:line="240" w:lineRule="auto"/>
        <w:ind w:right="-2"/>
        <w:rPr>
          <w:noProof/>
          <w:szCs w:val="22"/>
          <w:u w:val="single"/>
          <w:lang w:val="hu-HU"/>
        </w:rPr>
      </w:pPr>
      <w:r w:rsidRPr="00C60440">
        <w:rPr>
          <w:szCs w:val="22"/>
          <w:lang w:val="hu-HU"/>
        </w:rPr>
        <w:t>Egészséges önkéntes nőkön vizsgálták a 12</w:t>
      </w:r>
      <w:r w:rsidR="00381343">
        <w:rPr>
          <w:szCs w:val="22"/>
          <w:lang w:val="hu-HU"/>
        </w:rPr>
        <w:t> </w:t>
      </w:r>
      <w:r w:rsidRPr="00C60440">
        <w:rPr>
          <w:szCs w:val="22"/>
          <w:lang w:val="hu-HU"/>
        </w:rPr>
        <w:t>napig adagolt ambriszentán (naponta egyszer 10</w:t>
      </w:r>
      <w:r w:rsidR="00E42C09" w:rsidRPr="00C60440">
        <w:rPr>
          <w:szCs w:val="22"/>
          <w:lang w:val="hu-HU"/>
        </w:rPr>
        <w:t> </w:t>
      </w:r>
      <w:r w:rsidRPr="00C60440">
        <w:rPr>
          <w:szCs w:val="22"/>
          <w:lang w:val="hu-HU"/>
        </w:rPr>
        <w:t>mg) hatását egy etinilösztradiolt (35</w:t>
      </w:r>
      <w:r w:rsidR="00E42C09" w:rsidRPr="00C60440">
        <w:rPr>
          <w:szCs w:val="22"/>
          <w:lang w:val="hu-HU"/>
        </w:rPr>
        <w:t> </w:t>
      </w:r>
      <w:r w:rsidRPr="00C60440">
        <w:rPr>
          <w:szCs w:val="22"/>
          <w:lang w:val="hu-HU"/>
        </w:rPr>
        <w:t>μg) és noretiszteront (1</w:t>
      </w:r>
      <w:r w:rsidR="00E42C09" w:rsidRPr="00C60440">
        <w:rPr>
          <w:szCs w:val="22"/>
          <w:lang w:val="hu-HU"/>
        </w:rPr>
        <w:t> </w:t>
      </w:r>
      <w:r w:rsidRPr="00C60440">
        <w:rPr>
          <w:szCs w:val="22"/>
          <w:lang w:val="hu-HU"/>
        </w:rPr>
        <w:t xml:space="preserve">mg) tartalmazó orális fogamzásgátló egyszeri </w:t>
      </w:r>
      <w:r w:rsidR="00381343">
        <w:rPr>
          <w:szCs w:val="22"/>
          <w:lang w:val="hu-HU"/>
        </w:rPr>
        <w:t>dózis</w:t>
      </w:r>
      <w:r w:rsidRPr="00C60440">
        <w:rPr>
          <w:szCs w:val="22"/>
          <w:lang w:val="hu-HU"/>
        </w:rPr>
        <w:t>ának farmakokinetikájára. A C</w:t>
      </w:r>
      <w:r w:rsidRPr="00C60440">
        <w:rPr>
          <w:szCs w:val="22"/>
          <w:vertAlign w:val="subscript"/>
          <w:lang w:val="hu-HU"/>
        </w:rPr>
        <w:t>max</w:t>
      </w:r>
      <w:r w:rsidRPr="00C60440">
        <w:rPr>
          <w:szCs w:val="22"/>
          <w:lang w:val="hu-HU"/>
        </w:rPr>
        <w:t>- és az AUC</w:t>
      </w:r>
      <w:r w:rsidRPr="00C60440">
        <w:rPr>
          <w:szCs w:val="22"/>
          <w:vertAlign w:val="subscript"/>
          <w:lang w:val="hu-HU"/>
        </w:rPr>
        <w:t>(0–∞)</w:t>
      </w:r>
      <w:r w:rsidRPr="00C60440">
        <w:rPr>
          <w:szCs w:val="22"/>
          <w:lang w:val="hu-HU"/>
        </w:rPr>
        <w:t>-érték kissé csökkent az etinilösztradiol esetében (8%-kal ill. 4%-kal), és kissé emelkedett a noretiszteron esetében (13%-kal ill. 14%-kal). Ezek az etinilösztradiol</w:t>
      </w:r>
      <w:r w:rsidR="003F3018">
        <w:rPr>
          <w:szCs w:val="22"/>
          <w:lang w:val="hu-HU"/>
        </w:rPr>
        <w:t>-</w:t>
      </w:r>
      <w:r w:rsidRPr="00C60440">
        <w:rPr>
          <w:szCs w:val="22"/>
          <w:lang w:val="hu-HU"/>
        </w:rPr>
        <w:t xml:space="preserve"> vagy a noretiszteron</w:t>
      </w:r>
      <w:r w:rsidR="003F3018">
        <w:rPr>
          <w:szCs w:val="22"/>
          <w:lang w:val="hu-HU"/>
        </w:rPr>
        <w:t>-</w:t>
      </w:r>
      <w:r w:rsidRPr="00C60440">
        <w:rPr>
          <w:szCs w:val="22"/>
          <w:lang w:val="hu-HU"/>
        </w:rPr>
        <w:t>expozícióban észlelt változások csekélyek voltak, és valószínűleg nincs klinikai jelentőségük (lásd 4.5</w:t>
      </w:r>
      <w:r w:rsidR="00E42C09" w:rsidRPr="00C60440">
        <w:rPr>
          <w:szCs w:val="22"/>
          <w:lang w:val="hu-HU"/>
        </w:rPr>
        <w:t> </w:t>
      </w:r>
      <w:r w:rsidRPr="00C60440">
        <w:rPr>
          <w:szCs w:val="22"/>
          <w:lang w:val="hu-HU"/>
        </w:rPr>
        <w:t>pont).</w:t>
      </w:r>
    </w:p>
    <w:p w14:paraId="7F245A22" w14:textId="30A2C084" w:rsidR="00864B2B" w:rsidRPr="00C60440" w:rsidRDefault="00864B2B" w:rsidP="00082A8E">
      <w:pPr>
        <w:numPr>
          <w:ilvl w:val="12"/>
          <w:numId w:val="0"/>
        </w:numPr>
        <w:spacing w:line="240" w:lineRule="auto"/>
        <w:ind w:right="-2"/>
        <w:rPr>
          <w:noProof/>
          <w:szCs w:val="22"/>
          <w:u w:val="single"/>
          <w:lang w:val="hu-HU"/>
        </w:rPr>
      </w:pPr>
    </w:p>
    <w:p w14:paraId="5A44AF0D" w14:textId="57C1AA98" w:rsidR="00F45C51" w:rsidRPr="00C60440" w:rsidRDefault="00E61DC0" w:rsidP="00082A8E">
      <w:pPr>
        <w:numPr>
          <w:ilvl w:val="12"/>
          <w:numId w:val="0"/>
        </w:numPr>
        <w:spacing w:line="240" w:lineRule="auto"/>
        <w:ind w:right="-2"/>
        <w:rPr>
          <w:noProof/>
          <w:szCs w:val="22"/>
          <w:u w:val="single"/>
          <w:lang w:val="hu-HU"/>
        </w:rPr>
      </w:pPr>
      <w:r w:rsidRPr="00C60440">
        <w:rPr>
          <w:noProof/>
          <w:szCs w:val="22"/>
          <w:u w:val="single"/>
          <w:lang w:val="hu-HU"/>
        </w:rPr>
        <w:t>Elimináció</w:t>
      </w:r>
    </w:p>
    <w:p w14:paraId="3BBA7E68" w14:textId="7C9038EA" w:rsidR="00E42C09" w:rsidRPr="00C60440" w:rsidRDefault="00E42C09" w:rsidP="00082A8E">
      <w:pPr>
        <w:numPr>
          <w:ilvl w:val="12"/>
          <w:numId w:val="0"/>
        </w:numPr>
        <w:spacing w:line="240" w:lineRule="auto"/>
        <w:ind w:right="-2"/>
        <w:rPr>
          <w:noProof/>
          <w:szCs w:val="22"/>
          <w:u w:val="single"/>
          <w:lang w:val="hu-HU"/>
        </w:rPr>
      </w:pPr>
    </w:p>
    <w:p w14:paraId="43E460BE" w14:textId="114E033F" w:rsidR="00E42C09" w:rsidRPr="00C60440" w:rsidRDefault="00E42C09" w:rsidP="00082A8E">
      <w:pPr>
        <w:numPr>
          <w:ilvl w:val="12"/>
          <w:numId w:val="0"/>
        </w:numPr>
        <w:spacing w:line="240" w:lineRule="auto"/>
        <w:ind w:right="-2"/>
        <w:rPr>
          <w:noProof/>
          <w:szCs w:val="22"/>
          <w:u w:val="single"/>
          <w:lang w:val="hu-HU"/>
        </w:rPr>
      </w:pPr>
      <w:r w:rsidRPr="00C60440">
        <w:rPr>
          <w:szCs w:val="22"/>
          <w:lang w:val="hu-HU"/>
        </w:rPr>
        <w:t>Az ambriszentán és metabolitjai elsősorban az epével választódnak ki, hepatikus és/vagy extrahepatikus metabolizációt követően. Orális adagolást követően a bevitt dózisnak kb. 22%-a jelenik meg a vizeletben, 3,3%-ban változatlan ambriszentán formájában. Emberben a plazma felezési idő 13,6</w:t>
      </w:r>
      <w:r w:rsidRPr="00C60440">
        <w:rPr>
          <w:szCs w:val="22"/>
          <w:lang w:val="hu-HU"/>
        </w:rPr>
        <w:noBreakHyphen/>
        <w:t>16,5 óra.</w:t>
      </w:r>
    </w:p>
    <w:p w14:paraId="2613085F" w14:textId="78DF3750" w:rsidR="00E42C09" w:rsidRPr="00C60440" w:rsidRDefault="00E42C09" w:rsidP="00082A8E">
      <w:pPr>
        <w:numPr>
          <w:ilvl w:val="12"/>
          <w:numId w:val="0"/>
        </w:numPr>
        <w:spacing w:line="240" w:lineRule="auto"/>
        <w:ind w:right="-2"/>
        <w:rPr>
          <w:noProof/>
          <w:szCs w:val="22"/>
          <w:u w:val="single"/>
          <w:lang w:val="hu-HU"/>
        </w:rPr>
      </w:pPr>
    </w:p>
    <w:p w14:paraId="0AB64448" w14:textId="69632CB2" w:rsidR="00E42C09" w:rsidRPr="00C60440" w:rsidRDefault="00381343" w:rsidP="00E42C09">
      <w:pPr>
        <w:pStyle w:val="Default"/>
        <w:rPr>
          <w:sz w:val="22"/>
          <w:szCs w:val="22"/>
          <w:u w:val="single"/>
          <w:lang w:val="hu-HU"/>
        </w:rPr>
      </w:pPr>
      <w:r>
        <w:rPr>
          <w:sz w:val="22"/>
          <w:szCs w:val="22"/>
          <w:u w:val="single"/>
          <w:lang w:val="hu-HU"/>
        </w:rPr>
        <w:t>Különleges</w:t>
      </w:r>
      <w:r w:rsidR="00E42C09" w:rsidRPr="00C60440">
        <w:rPr>
          <w:sz w:val="22"/>
          <w:szCs w:val="22"/>
          <w:u w:val="single"/>
          <w:lang w:val="hu-HU"/>
        </w:rPr>
        <w:t xml:space="preserve"> betegcsoportok</w:t>
      </w:r>
    </w:p>
    <w:p w14:paraId="6C6ED440" w14:textId="77777777" w:rsidR="00E42C09" w:rsidRPr="00C60440" w:rsidRDefault="00E42C09" w:rsidP="00E42C09">
      <w:pPr>
        <w:pStyle w:val="Default"/>
        <w:rPr>
          <w:sz w:val="22"/>
          <w:szCs w:val="22"/>
          <w:lang w:val="hu-HU"/>
        </w:rPr>
      </w:pPr>
    </w:p>
    <w:p w14:paraId="5850695F" w14:textId="03EBFD56" w:rsidR="00CE18A7" w:rsidRPr="00C60440" w:rsidRDefault="00CE18A7" w:rsidP="00CE18A7">
      <w:pPr>
        <w:pStyle w:val="Default"/>
        <w:rPr>
          <w:sz w:val="22"/>
          <w:szCs w:val="22"/>
          <w:lang w:val="hu-HU"/>
        </w:rPr>
      </w:pPr>
      <w:r w:rsidRPr="00CC559B">
        <w:rPr>
          <w:i/>
          <w:iCs/>
          <w:sz w:val="22"/>
          <w:szCs w:val="22"/>
          <w:lang w:val="hu-HU"/>
        </w:rPr>
        <w:t>Felnőtt</w:t>
      </w:r>
      <w:r>
        <w:rPr>
          <w:i/>
          <w:iCs/>
          <w:sz w:val="22"/>
          <w:szCs w:val="22"/>
          <w:lang w:val="hu-HU"/>
        </w:rPr>
        <w:t xml:space="preserve"> betegek</w:t>
      </w:r>
      <w:r w:rsidRPr="00CC559B">
        <w:rPr>
          <w:i/>
          <w:iCs/>
          <w:sz w:val="22"/>
          <w:szCs w:val="22"/>
          <w:lang w:val="hu-HU"/>
        </w:rPr>
        <w:t xml:space="preserve"> (nem, életkor)</w:t>
      </w:r>
    </w:p>
    <w:p w14:paraId="0D662D24" w14:textId="58B4EF7A" w:rsidR="00E42C09" w:rsidRDefault="00E42C09" w:rsidP="00E42C09">
      <w:pPr>
        <w:pStyle w:val="Default"/>
        <w:rPr>
          <w:sz w:val="22"/>
          <w:szCs w:val="22"/>
          <w:lang w:val="hu-HU"/>
        </w:rPr>
      </w:pPr>
      <w:r w:rsidRPr="00C60440">
        <w:rPr>
          <w:sz w:val="22"/>
          <w:szCs w:val="22"/>
          <w:lang w:val="hu-HU"/>
        </w:rPr>
        <w:t>Egészséges önkénteseken és PAH-ban szenvedő betegeken végzett populációs farmakokinetikai elemzések eredményei alapján a nemnek vagy az életkornak nincs klinikailag szignifikáns hatása az ambriszentán farmakokinetikájára (lásd 4.2 pont).</w:t>
      </w:r>
    </w:p>
    <w:p w14:paraId="58CA4365" w14:textId="77777777" w:rsidR="00CE18A7" w:rsidRDefault="00CE18A7" w:rsidP="00CE18A7">
      <w:pPr>
        <w:pStyle w:val="Default"/>
        <w:rPr>
          <w:i/>
          <w:iCs/>
          <w:sz w:val="22"/>
          <w:szCs w:val="22"/>
          <w:lang w:val="hu-HU"/>
        </w:rPr>
      </w:pPr>
    </w:p>
    <w:p w14:paraId="3D8E3C0F" w14:textId="24C5F164" w:rsidR="00CE18A7" w:rsidRPr="00D91D88" w:rsidRDefault="00CE18A7" w:rsidP="00CE18A7">
      <w:pPr>
        <w:pStyle w:val="Default"/>
        <w:rPr>
          <w:i/>
          <w:iCs/>
          <w:sz w:val="22"/>
          <w:szCs w:val="22"/>
          <w:lang w:val="hu-HU"/>
        </w:rPr>
      </w:pPr>
      <w:r w:rsidRPr="00D91D88">
        <w:rPr>
          <w:i/>
          <w:iCs/>
          <w:sz w:val="22"/>
          <w:szCs w:val="22"/>
          <w:lang w:val="hu-HU"/>
        </w:rPr>
        <w:t>Gyermekek és serdülők</w:t>
      </w:r>
    </w:p>
    <w:p w14:paraId="14A2E36B" w14:textId="04D4EF60" w:rsidR="00CE18A7" w:rsidRDefault="00CE18A7" w:rsidP="00CE18A7">
      <w:pPr>
        <w:pStyle w:val="Default"/>
        <w:rPr>
          <w:sz w:val="22"/>
          <w:szCs w:val="22"/>
          <w:lang w:val="hu-HU"/>
        </w:rPr>
      </w:pPr>
      <w:r>
        <w:rPr>
          <w:sz w:val="22"/>
          <w:szCs w:val="22"/>
          <w:lang w:val="hu-HU"/>
        </w:rPr>
        <w:t xml:space="preserve">Gyermekekre és serülőkre vonatkozóan korlátozott számú farmakokinetikai adat áll rendelkezésre. </w:t>
      </w:r>
      <w:bookmarkStart w:id="3" w:name="_Hlk138094194"/>
      <w:r>
        <w:rPr>
          <w:sz w:val="22"/>
          <w:szCs w:val="22"/>
          <w:lang w:val="hu-HU"/>
        </w:rPr>
        <w:t>A farmakokinetikát egy</w:t>
      </w:r>
      <w:r w:rsidR="001709D1">
        <w:rPr>
          <w:sz w:val="22"/>
          <w:szCs w:val="22"/>
          <w:lang w:val="hu-HU"/>
        </w:rPr>
        <w:t>,</w:t>
      </w:r>
      <w:r>
        <w:rPr>
          <w:sz w:val="22"/>
          <w:szCs w:val="22"/>
          <w:lang w:val="hu-HU"/>
        </w:rPr>
        <w:t xml:space="preserve"> 8 és 18 éves kor közötti gyermek</w:t>
      </w:r>
      <w:r w:rsidR="001709D1">
        <w:rPr>
          <w:sz w:val="22"/>
          <w:szCs w:val="22"/>
          <w:lang w:val="hu-HU"/>
        </w:rPr>
        <w:t>-</w:t>
      </w:r>
      <w:r>
        <w:rPr>
          <w:sz w:val="22"/>
          <w:szCs w:val="22"/>
          <w:lang w:val="hu-HU"/>
        </w:rPr>
        <w:t xml:space="preserve"> és serdülő</w:t>
      </w:r>
      <w:r w:rsidR="001709D1">
        <w:rPr>
          <w:sz w:val="22"/>
          <w:szCs w:val="22"/>
          <w:lang w:val="hu-HU"/>
        </w:rPr>
        <w:t>korú</w:t>
      </w:r>
      <w:r>
        <w:rPr>
          <w:sz w:val="22"/>
          <w:szCs w:val="22"/>
          <w:lang w:val="hu-HU"/>
        </w:rPr>
        <w:t xml:space="preserve"> betegek bevonásával végzett</w:t>
      </w:r>
      <w:bookmarkEnd w:id="3"/>
      <w:r>
        <w:rPr>
          <w:sz w:val="22"/>
          <w:szCs w:val="22"/>
          <w:lang w:val="hu-HU"/>
        </w:rPr>
        <w:t xml:space="preserve"> klinikai vizsgálatban tanulmányozták.</w:t>
      </w:r>
    </w:p>
    <w:p w14:paraId="5DA314E7" w14:textId="0A306956" w:rsidR="00CE18A7" w:rsidRPr="00C60440" w:rsidRDefault="00CE18A7" w:rsidP="00E42C09">
      <w:pPr>
        <w:pStyle w:val="Default"/>
        <w:rPr>
          <w:sz w:val="22"/>
          <w:szCs w:val="22"/>
          <w:lang w:val="hu-HU"/>
        </w:rPr>
      </w:pPr>
      <w:r>
        <w:rPr>
          <w:sz w:val="22"/>
          <w:szCs w:val="22"/>
          <w:lang w:val="hu-HU"/>
        </w:rPr>
        <w:t xml:space="preserve">Szájon át történő bevételt követően a 8 és 18 éves kor közötti, PAH-ban szenvedő betegeknél a testtömegnek történő megfeleltetés után az ambriszentán farmakokinetikája nagy mértékben megegyezett a felnőttekével. </w:t>
      </w:r>
      <w:r w:rsidRPr="009C776D">
        <w:rPr>
          <w:sz w:val="22"/>
          <w:szCs w:val="22"/>
          <w:lang w:val="hu-HU"/>
        </w:rPr>
        <w:t xml:space="preserve">A </w:t>
      </w:r>
      <w:r w:rsidR="00AB589B">
        <w:rPr>
          <w:sz w:val="22"/>
          <w:szCs w:val="22"/>
          <w:lang w:val="hu-HU"/>
        </w:rPr>
        <w:t xml:space="preserve">modellezéssel meghatározott, </w:t>
      </w:r>
      <w:r w:rsidR="00AB589B" w:rsidRPr="009C776D">
        <w:rPr>
          <w:sz w:val="22"/>
          <w:szCs w:val="22"/>
          <w:lang w:val="hu-HU"/>
        </w:rPr>
        <w:t xml:space="preserve">gyermekkori </w:t>
      </w:r>
      <w:r w:rsidR="00AB589B">
        <w:rPr>
          <w:sz w:val="22"/>
          <w:szCs w:val="22"/>
          <w:lang w:val="hu-HU"/>
        </w:rPr>
        <w:t xml:space="preserve">dinamikus egyensúlyi </w:t>
      </w:r>
      <w:r w:rsidRPr="009C776D">
        <w:rPr>
          <w:sz w:val="22"/>
          <w:szCs w:val="22"/>
          <w:lang w:val="hu-HU"/>
        </w:rPr>
        <w:t xml:space="preserve">expozíció (AUCss) mind a </w:t>
      </w:r>
      <w:r w:rsidR="00AB589B">
        <w:rPr>
          <w:sz w:val="22"/>
          <w:szCs w:val="22"/>
          <w:lang w:val="hu-HU"/>
        </w:rPr>
        <w:t>kis</w:t>
      </w:r>
      <w:r w:rsidRPr="009C776D">
        <w:rPr>
          <w:sz w:val="22"/>
          <w:szCs w:val="22"/>
          <w:lang w:val="hu-HU"/>
        </w:rPr>
        <w:t xml:space="preserve">, mind a </w:t>
      </w:r>
      <w:r w:rsidR="00AB589B">
        <w:rPr>
          <w:sz w:val="22"/>
          <w:szCs w:val="22"/>
          <w:lang w:val="hu-HU"/>
        </w:rPr>
        <w:t>nagy</w:t>
      </w:r>
      <w:r w:rsidRPr="009C776D">
        <w:rPr>
          <w:sz w:val="22"/>
          <w:szCs w:val="22"/>
          <w:lang w:val="hu-HU"/>
        </w:rPr>
        <w:t xml:space="preserve"> dózisú </w:t>
      </w:r>
      <w:r w:rsidR="00AB589B">
        <w:rPr>
          <w:sz w:val="22"/>
          <w:szCs w:val="22"/>
          <w:lang w:val="hu-HU"/>
        </w:rPr>
        <w:t xml:space="preserve">kezeléskor </w:t>
      </w:r>
      <w:r w:rsidRPr="009C776D">
        <w:rPr>
          <w:sz w:val="22"/>
          <w:szCs w:val="22"/>
          <w:lang w:val="hu-HU"/>
        </w:rPr>
        <w:t xml:space="preserve">és mind a 18 testtömegcsoportra nézve a </w:t>
      </w:r>
      <w:r w:rsidR="00AB589B">
        <w:rPr>
          <w:sz w:val="22"/>
          <w:szCs w:val="22"/>
          <w:lang w:val="hu-HU"/>
        </w:rPr>
        <w:t>kis</w:t>
      </w:r>
      <w:r w:rsidRPr="009C776D">
        <w:rPr>
          <w:sz w:val="22"/>
          <w:szCs w:val="22"/>
          <w:lang w:val="hu-HU"/>
        </w:rPr>
        <w:t xml:space="preserve"> dózisú (5 mg) illetve </w:t>
      </w:r>
      <w:r w:rsidR="00AB589B">
        <w:rPr>
          <w:sz w:val="22"/>
          <w:szCs w:val="22"/>
          <w:lang w:val="hu-HU"/>
        </w:rPr>
        <w:t>nagy</w:t>
      </w:r>
      <w:r w:rsidRPr="009C776D">
        <w:rPr>
          <w:sz w:val="22"/>
          <w:szCs w:val="22"/>
          <w:lang w:val="hu-HU"/>
        </w:rPr>
        <w:t xml:space="preserve"> dózisú (10 mg) felnőtt</w:t>
      </w:r>
      <w:r w:rsidR="00AB589B">
        <w:rPr>
          <w:sz w:val="22"/>
          <w:szCs w:val="22"/>
          <w:lang w:val="hu-HU"/>
        </w:rPr>
        <w:t>nél kialakuló</w:t>
      </w:r>
      <w:r w:rsidRPr="009C776D">
        <w:rPr>
          <w:sz w:val="22"/>
          <w:szCs w:val="22"/>
          <w:lang w:val="hu-HU"/>
        </w:rPr>
        <w:t xml:space="preserve"> expozíció 5. és 95. percentilise közé esett.</w:t>
      </w:r>
    </w:p>
    <w:p w14:paraId="3053EF8A" w14:textId="77777777" w:rsidR="00E42C09" w:rsidRPr="00C60440" w:rsidRDefault="00E42C09" w:rsidP="00E42C09">
      <w:pPr>
        <w:pStyle w:val="Default"/>
        <w:rPr>
          <w:sz w:val="22"/>
          <w:szCs w:val="22"/>
          <w:lang w:val="hu-HU"/>
        </w:rPr>
      </w:pPr>
    </w:p>
    <w:p w14:paraId="23DE6D49" w14:textId="64C88E31" w:rsidR="00E42C09" w:rsidRPr="00C60440" w:rsidRDefault="00E42C09" w:rsidP="00E42C09">
      <w:pPr>
        <w:pStyle w:val="Default"/>
        <w:rPr>
          <w:sz w:val="22"/>
          <w:szCs w:val="22"/>
          <w:lang w:val="hu-HU"/>
        </w:rPr>
      </w:pPr>
      <w:r w:rsidRPr="00C60440">
        <w:rPr>
          <w:i/>
          <w:iCs/>
          <w:sz w:val="22"/>
          <w:szCs w:val="22"/>
          <w:lang w:val="hu-HU"/>
        </w:rPr>
        <w:t>Vesekárosodás</w:t>
      </w:r>
    </w:p>
    <w:p w14:paraId="27134DA2" w14:textId="1CB68893" w:rsidR="00E42C09" w:rsidRPr="00C60440" w:rsidRDefault="00E42C09" w:rsidP="00E42C09">
      <w:pPr>
        <w:pStyle w:val="Default"/>
        <w:rPr>
          <w:sz w:val="22"/>
          <w:szCs w:val="22"/>
          <w:lang w:val="hu-HU"/>
        </w:rPr>
      </w:pPr>
      <w:r w:rsidRPr="00C60440">
        <w:rPr>
          <w:sz w:val="22"/>
          <w:szCs w:val="22"/>
          <w:lang w:val="hu-HU"/>
        </w:rPr>
        <w:t xml:space="preserve">Az ambriszentánnak sem renális metabolizmusa, sem renális clearance-e (kiválasztása) nem számottevő. Egy populációs farmakokinetikai analízis alapján a kreatininclearance-érték statisztikailag szignifikáns kovariánsnak bizonyult, ami befolyásolja az ambriszentán orális clearance-ét. Azonban az orális clearance csökkenésének mértéke közepesen súlyos vesekárosodásban szenvedőknél csekély </w:t>
      </w:r>
      <w:r w:rsidRPr="00C60440">
        <w:rPr>
          <w:sz w:val="22"/>
          <w:szCs w:val="22"/>
          <w:lang w:val="hu-HU"/>
        </w:rPr>
        <w:lastRenderedPageBreak/>
        <w:t>(20</w:t>
      </w:r>
      <w:r w:rsidRPr="00C60440">
        <w:rPr>
          <w:sz w:val="22"/>
          <w:szCs w:val="22"/>
          <w:lang w:val="hu-HU"/>
        </w:rPr>
        <w:noBreakHyphen/>
        <w:t xml:space="preserve">40%), ezért valószínűleg nincs klinikai jelentősége. Súlyos vesekárosodásban szenvedőknél azonban </w:t>
      </w:r>
      <w:r w:rsidR="003F3018">
        <w:rPr>
          <w:sz w:val="22"/>
          <w:szCs w:val="22"/>
          <w:lang w:val="hu-HU"/>
        </w:rPr>
        <w:t>elővigyázatos</w:t>
      </w:r>
      <w:r w:rsidRPr="00C60440">
        <w:rPr>
          <w:sz w:val="22"/>
          <w:szCs w:val="22"/>
          <w:lang w:val="hu-HU"/>
        </w:rPr>
        <w:t>ság szükséges (lásd 4.2 pont).</w:t>
      </w:r>
    </w:p>
    <w:p w14:paraId="35205325" w14:textId="77777777" w:rsidR="00E42C09" w:rsidRPr="00C60440" w:rsidRDefault="00E42C09" w:rsidP="00E42C09">
      <w:pPr>
        <w:pStyle w:val="Default"/>
        <w:rPr>
          <w:sz w:val="22"/>
          <w:szCs w:val="22"/>
          <w:lang w:val="hu-HU"/>
        </w:rPr>
      </w:pPr>
    </w:p>
    <w:p w14:paraId="2A95F79A" w14:textId="342286A9" w:rsidR="00E42C09" w:rsidRPr="00C60440" w:rsidRDefault="00E42C09" w:rsidP="00E42C09">
      <w:pPr>
        <w:pStyle w:val="Default"/>
        <w:rPr>
          <w:sz w:val="22"/>
          <w:szCs w:val="22"/>
          <w:lang w:val="hu-HU"/>
        </w:rPr>
      </w:pPr>
      <w:r w:rsidRPr="00C60440">
        <w:rPr>
          <w:i/>
          <w:iCs/>
          <w:sz w:val="22"/>
          <w:szCs w:val="22"/>
          <w:lang w:val="hu-HU"/>
        </w:rPr>
        <w:t>Májkárosodás</w:t>
      </w:r>
    </w:p>
    <w:p w14:paraId="2659F771" w14:textId="6700C24D" w:rsidR="00E42C09" w:rsidRPr="00C60440" w:rsidRDefault="00E42C09" w:rsidP="00E42C09">
      <w:pPr>
        <w:numPr>
          <w:ilvl w:val="12"/>
          <w:numId w:val="0"/>
        </w:numPr>
        <w:spacing w:line="240" w:lineRule="auto"/>
        <w:ind w:right="-2"/>
        <w:rPr>
          <w:noProof/>
          <w:szCs w:val="22"/>
          <w:u w:val="single"/>
          <w:lang w:val="hu-HU"/>
        </w:rPr>
      </w:pPr>
      <w:r w:rsidRPr="00C60440">
        <w:rPr>
          <w:szCs w:val="22"/>
          <w:lang w:val="hu-HU"/>
        </w:rPr>
        <w:t>Mivel az ambriszentán főként gl</w:t>
      </w:r>
      <w:r w:rsidR="003F3018">
        <w:rPr>
          <w:szCs w:val="22"/>
          <w:lang w:val="hu-HU"/>
        </w:rPr>
        <w:t>ü</w:t>
      </w:r>
      <w:r w:rsidRPr="00C60440">
        <w:rPr>
          <w:szCs w:val="22"/>
          <w:lang w:val="hu-HU"/>
        </w:rPr>
        <w:t>kuronidáció és oxidáció révén metabolizálódik, amit az epével való kiválasztódás követ, ezért a májkárosodás várhatóan növelheti az ambriszentán expozícióját (a C</w:t>
      </w:r>
      <w:r w:rsidRPr="00C60440">
        <w:rPr>
          <w:szCs w:val="22"/>
          <w:vertAlign w:val="subscript"/>
          <w:lang w:val="hu-HU"/>
        </w:rPr>
        <w:t>max</w:t>
      </w:r>
      <w:r w:rsidRPr="00C60440">
        <w:rPr>
          <w:szCs w:val="22"/>
          <w:lang w:val="hu-HU"/>
        </w:rPr>
        <w:t>- és AUC-értékeket). Egy populációs farmakokinetikai analízis alapján az orális clearance csökkent értéket mutatott, a bilirubinszintek emelkedése következtében. A bilirubin hatás jelentősége azonban nem számottevő (összehasonlítva egy tipikus beteggel, akinek bilirubinszintje 0,6 mg/dl, egy emelkedett (4,5 mg/dl) bilirubinszintű beteg esetében az orális ambriszentán clearance-e kb. 30%-kal alacsonyabb). Az ambriszentán farmakokinetikáját nem vizsgálták cirrhosissal járó vagy anélküli, májkárosodásban szenvedő betegeknél. Ezért az ambriszentán</w:t>
      </w:r>
      <w:r w:rsidRPr="00C60440">
        <w:rPr>
          <w:szCs w:val="22"/>
          <w:lang w:val="hu-HU"/>
        </w:rPr>
        <w:noBreakHyphen/>
        <w:t>kezelés nem kezdhető el olyan betegeknél</w:t>
      </w:r>
      <w:r w:rsidR="00C60440">
        <w:rPr>
          <w:szCs w:val="22"/>
          <w:lang w:val="hu-HU"/>
        </w:rPr>
        <w:t>,</w:t>
      </w:r>
      <w:r w:rsidRPr="00C60440">
        <w:rPr>
          <w:szCs w:val="22"/>
          <w:lang w:val="hu-HU"/>
        </w:rPr>
        <w:t xml:space="preserve"> akik súlyos májkárosodásban szenvednek, vagy akiknél klinikailag jelentős mértékben emelkedtek a hepatikus </w:t>
      </w:r>
      <w:r w:rsidR="003F3018">
        <w:rPr>
          <w:szCs w:val="22"/>
          <w:lang w:val="hu-HU"/>
        </w:rPr>
        <w:t>transzamináz</w:t>
      </w:r>
      <w:r w:rsidRPr="00C60440">
        <w:rPr>
          <w:szCs w:val="22"/>
          <w:lang w:val="hu-HU"/>
        </w:rPr>
        <w:t>értékek (&gt; 3×ULN) (lásd 4.3 és 4.4 pont).</w:t>
      </w:r>
    </w:p>
    <w:p w14:paraId="56CBDBFC" w14:textId="77777777" w:rsidR="00E42C09" w:rsidRPr="00C60440" w:rsidRDefault="00E42C09" w:rsidP="00E42C09">
      <w:pPr>
        <w:numPr>
          <w:ilvl w:val="12"/>
          <w:numId w:val="0"/>
        </w:numPr>
        <w:spacing w:line="240" w:lineRule="auto"/>
        <w:ind w:right="-2"/>
        <w:rPr>
          <w:noProof/>
          <w:szCs w:val="22"/>
          <w:u w:val="single"/>
          <w:lang w:val="hu-HU"/>
        </w:rPr>
      </w:pPr>
    </w:p>
    <w:p w14:paraId="4AA4750B" w14:textId="77777777" w:rsidR="00F45C51" w:rsidRPr="00C60440" w:rsidRDefault="00E61DC0" w:rsidP="00082A8E">
      <w:pPr>
        <w:spacing w:line="240" w:lineRule="auto"/>
        <w:ind w:left="567" w:hanging="567"/>
        <w:outlineLvl w:val="0"/>
        <w:rPr>
          <w:rFonts w:eastAsia="Times New Roman"/>
          <w:b/>
          <w:noProof/>
          <w:snapToGrid/>
          <w:szCs w:val="22"/>
          <w:lang w:val="hu-HU" w:eastAsia="en-US"/>
        </w:rPr>
      </w:pPr>
      <w:r w:rsidRPr="00C60440">
        <w:rPr>
          <w:rFonts w:eastAsia="Times New Roman"/>
          <w:b/>
          <w:noProof/>
          <w:snapToGrid/>
          <w:szCs w:val="22"/>
          <w:lang w:val="hu-HU" w:eastAsia="en-US"/>
        </w:rPr>
        <w:t>5.3</w:t>
      </w:r>
      <w:r w:rsidRPr="00C60440">
        <w:rPr>
          <w:rFonts w:eastAsia="Times New Roman"/>
          <w:b/>
          <w:noProof/>
          <w:snapToGrid/>
          <w:szCs w:val="22"/>
          <w:lang w:val="hu-HU" w:eastAsia="en-US"/>
        </w:rPr>
        <w:tab/>
        <w:t>A preklinikai biztonságossági vizsgálatok eredményei</w:t>
      </w:r>
    </w:p>
    <w:p w14:paraId="222B0FE6" w14:textId="034A8240" w:rsidR="00F45C51" w:rsidRPr="00C60440" w:rsidRDefault="00F45C51" w:rsidP="00082A8E">
      <w:pPr>
        <w:spacing w:line="240" w:lineRule="auto"/>
        <w:ind w:left="567" w:hanging="567"/>
        <w:outlineLvl w:val="0"/>
        <w:rPr>
          <w:bCs/>
          <w:szCs w:val="22"/>
          <w:lang w:val="hu-HU"/>
        </w:rPr>
      </w:pPr>
    </w:p>
    <w:p w14:paraId="691D2ECD" w14:textId="415AE5E7" w:rsidR="00526C96" w:rsidRPr="00C60440" w:rsidRDefault="00526C96" w:rsidP="00526C96">
      <w:pPr>
        <w:pStyle w:val="Default"/>
        <w:rPr>
          <w:sz w:val="22"/>
          <w:szCs w:val="22"/>
          <w:lang w:val="hu-HU"/>
        </w:rPr>
      </w:pPr>
      <w:r w:rsidRPr="00C60440">
        <w:rPr>
          <w:sz w:val="22"/>
          <w:szCs w:val="22"/>
          <w:lang w:val="hu-HU"/>
        </w:rPr>
        <w:t xml:space="preserve">A csoportra jellemző primer farmakológiai hatása következtében az ambriszentán egyetlen nagy </w:t>
      </w:r>
      <w:r w:rsidR="00E1036D">
        <w:rPr>
          <w:sz w:val="22"/>
          <w:szCs w:val="22"/>
          <w:lang w:val="hu-HU"/>
        </w:rPr>
        <w:t>dózis</w:t>
      </w:r>
      <w:r w:rsidRPr="00C60440">
        <w:rPr>
          <w:sz w:val="22"/>
          <w:szCs w:val="22"/>
          <w:lang w:val="hu-HU"/>
        </w:rPr>
        <w:t xml:space="preserve">a (azaz túl nagy </w:t>
      </w:r>
      <w:r w:rsidR="00E1036D">
        <w:rPr>
          <w:sz w:val="22"/>
          <w:szCs w:val="22"/>
          <w:lang w:val="hu-HU"/>
        </w:rPr>
        <w:t>dózis</w:t>
      </w:r>
      <w:r w:rsidRPr="00C60440">
        <w:rPr>
          <w:sz w:val="22"/>
          <w:szCs w:val="22"/>
          <w:lang w:val="hu-HU"/>
        </w:rPr>
        <w:t>a) az artériás vérnyomást csökkentheti, és potenciálisan hypotensiót és vasodilatatióval kapcsolatos tüneteket okozhat.</w:t>
      </w:r>
    </w:p>
    <w:p w14:paraId="008D33B4" w14:textId="77777777" w:rsidR="00526C96" w:rsidRPr="00C60440" w:rsidRDefault="00526C96" w:rsidP="00526C96">
      <w:pPr>
        <w:pStyle w:val="Default"/>
        <w:rPr>
          <w:sz w:val="22"/>
          <w:szCs w:val="22"/>
          <w:lang w:val="hu-HU"/>
        </w:rPr>
      </w:pPr>
    </w:p>
    <w:p w14:paraId="1F99702D" w14:textId="5732ADDA" w:rsidR="00526C96" w:rsidRPr="00C60440" w:rsidRDefault="00526C96" w:rsidP="00526C96">
      <w:pPr>
        <w:pStyle w:val="Default"/>
        <w:rPr>
          <w:sz w:val="22"/>
          <w:szCs w:val="22"/>
          <w:lang w:val="hu-HU"/>
        </w:rPr>
      </w:pPr>
      <w:r w:rsidRPr="00C60440">
        <w:rPr>
          <w:sz w:val="22"/>
          <w:szCs w:val="22"/>
          <w:lang w:val="hu-HU"/>
        </w:rPr>
        <w:t>Azt találták, hogy az ambriszentán nem gátolja az epesavtranszportot, és nem okoz kifejezett hepatotoxicitást.</w:t>
      </w:r>
    </w:p>
    <w:p w14:paraId="783EED25" w14:textId="77777777" w:rsidR="00526C96" w:rsidRPr="00C60440" w:rsidRDefault="00526C96" w:rsidP="00526C96">
      <w:pPr>
        <w:pStyle w:val="Default"/>
        <w:rPr>
          <w:sz w:val="22"/>
          <w:szCs w:val="22"/>
          <w:lang w:val="hu-HU"/>
        </w:rPr>
      </w:pPr>
    </w:p>
    <w:p w14:paraId="5C7131EE" w14:textId="4E44635B" w:rsidR="00526C96" w:rsidRPr="00C60440" w:rsidRDefault="00526C96" w:rsidP="00526C96">
      <w:pPr>
        <w:pStyle w:val="Default"/>
        <w:rPr>
          <w:sz w:val="22"/>
          <w:szCs w:val="22"/>
          <w:lang w:val="hu-HU"/>
        </w:rPr>
      </w:pPr>
      <w:r w:rsidRPr="00C60440">
        <w:rPr>
          <w:sz w:val="22"/>
          <w:szCs w:val="22"/>
          <w:lang w:val="hu-HU"/>
        </w:rPr>
        <w:t>Krónikus adagolás után rágcsálóknál az orrüreg epithelium gyulladását és elváltozását figyelték meg, a hum</w:t>
      </w:r>
      <w:r w:rsidR="000B0603">
        <w:rPr>
          <w:sz w:val="22"/>
          <w:szCs w:val="22"/>
          <w:lang w:val="hu-HU"/>
        </w:rPr>
        <w:t>á</w:t>
      </w:r>
      <w:r w:rsidRPr="00C60440">
        <w:rPr>
          <w:sz w:val="22"/>
          <w:szCs w:val="22"/>
          <w:lang w:val="hu-HU"/>
        </w:rPr>
        <w:t>n klinikai vizsgálatokban alkalmazottnál alacsonyabb expozíciók esetén. Kutyákon enyhe gyulladásos reakciókat észleltek olyan nagy ambriszentán dózisok krónikus adagolását követően, amelyekkel a betegeknél megfigyelt expozíciók több mint 20-szorosát érték el.</w:t>
      </w:r>
    </w:p>
    <w:p w14:paraId="7C5CDADF" w14:textId="77777777" w:rsidR="00526C96" w:rsidRPr="00C60440" w:rsidRDefault="00526C96" w:rsidP="00526C96">
      <w:pPr>
        <w:pStyle w:val="Default"/>
        <w:rPr>
          <w:sz w:val="22"/>
          <w:szCs w:val="22"/>
          <w:lang w:val="hu-HU"/>
        </w:rPr>
      </w:pPr>
    </w:p>
    <w:p w14:paraId="7D957184" w14:textId="35B0241C" w:rsidR="00526C96" w:rsidRPr="00C60440" w:rsidRDefault="00526C96" w:rsidP="00526C96">
      <w:pPr>
        <w:pStyle w:val="Default"/>
        <w:rPr>
          <w:sz w:val="22"/>
          <w:szCs w:val="22"/>
          <w:lang w:val="hu-HU"/>
        </w:rPr>
      </w:pPr>
      <w:r w:rsidRPr="00C60440">
        <w:rPr>
          <w:sz w:val="22"/>
          <w:szCs w:val="22"/>
          <w:lang w:val="hu-HU"/>
        </w:rPr>
        <w:t>Az orrkagylócsont rosták hyperplasiáját figyelték meg ambriszentánnal kezelt patkányok orrüregében, a klinikai AUC háromszorosának megfelelő expoziciós szintek esetén. Nem észleltek ambriszentánnal kapcsolatban orrkagyló hyperplasiát egerekben és kutyákban. Patkányoknál az orrkagyló hyperplasia ismert reakció a nasalis gyulladásra, más vegyületekkel szerzett tapasztalatok alapján.</w:t>
      </w:r>
    </w:p>
    <w:p w14:paraId="4166118D" w14:textId="77777777" w:rsidR="00526C96" w:rsidRPr="00C60440" w:rsidRDefault="00526C96" w:rsidP="00526C96">
      <w:pPr>
        <w:pStyle w:val="Default"/>
        <w:rPr>
          <w:sz w:val="22"/>
          <w:szCs w:val="22"/>
          <w:lang w:val="hu-HU"/>
        </w:rPr>
      </w:pPr>
    </w:p>
    <w:p w14:paraId="6930D108" w14:textId="62CD1154" w:rsidR="00526C96" w:rsidRPr="00C60440" w:rsidRDefault="00526C96" w:rsidP="00526C96">
      <w:pPr>
        <w:pStyle w:val="Default"/>
        <w:rPr>
          <w:sz w:val="22"/>
          <w:szCs w:val="22"/>
          <w:lang w:val="hu-HU"/>
        </w:rPr>
      </w:pPr>
      <w:r w:rsidRPr="00C60440">
        <w:rPr>
          <w:sz w:val="22"/>
          <w:szCs w:val="22"/>
          <w:lang w:val="hu-HU"/>
        </w:rPr>
        <w:t xml:space="preserve">Az ambriszentán clastogen hatást mutatott </w:t>
      </w:r>
      <w:r w:rsidRPr="00C60440">
        <w:rPr>
          <w:i/>
          <w:iCs/>
          <w:sz w:val="22"/>
          <w:szCs w:val="22"/>
          <w:lang w:val="hu-HU"/>
        </w:rPr>
        <w:t>in vitro</w:t>
      </w:r>
      <w:r w:rsidRPr="00C60440">
        <w:rPr>
          <w:sz w:val="22"/>
          <w:szCs w:val="22"/>
          <w:lang w:val="hu-HU"/>
        </w:rPr>
        <w:t xml:space="preserve">, emlős sejteken magas koncentrációkban vizsgálva. Nem találtak bizonyítékot az ambriszentán mutagén hatására baktériumokon, és nem bizonyult genotoxikusnak két </w:t>
      </w:r>
      <w:r w:rsidRPr="00C60440">
        <w:rPr>
          <w:i/>
          <w:iCs/>
          <w:sz w:val="22"/>
          <w:szCs w:val="22"/>
          <w:lang w:val="hu-HU"/>
        </w:rPr>
        <w:t>in vivo</w:t>
      </w:r>
      <w:r w:rsidRPr="00C60440">
        <w:rPr>
          <w:sz w:val="22"/>
          <w:szCs w:val="22"/>
          <w:lang w:val="hu-HU"/>
        </w:rPr>
        <w:t>, rágcsálókon végzett vizsgálatban.</w:t>
      </w:r>
    </w:p>
    <w:p w14:paraId="701EBC86" w14:textId="77777777" w:rsidR="00526C96" w:rsidRPr="00C60440" w:rsidRDefault="00526C96" w:rsidP="00526C96">
      <w:pPr>
        <w:pStyle w:val="Default"/>
        <w:rPr>
          <w:sz w:val="22"/>
          <w:szCs w:val="22"/>
          <w:lang w:val="hu-HU"/>
        </w:rPr>
      </w:pPr>
    </w:p>
    <w:p w14:paraId="5C738F37" w14:textId="1E8F582D" w:rsidR="00526C96" w:rsidRPr="00C60440" w:rsidRDefault="00526C96" w:rsidP="00526C96">
      <w:pPr>
        <w:pStyle w:val="Default"/>
        <w:rPr>
          <w:sz w:val="22"/>
          <w:szCs w:val="22"/>
          <w:lang w:val="hu-HU"/>
        </w:rPr>
      </w:pPr>
      <w:r w:rsidRPr="00C60440">
        <w:rPr>
          <w:sz w:val="22"/>
          <w:szCs w:val="22"/>
          <w:lang w:val="hu-HU"/>
        </w:rPr>
        <w:t>Nem volt karcinogén potenciálra utaló bizonyíték a patkányokon és egereken orális adagolással végzett 2</w:t>
      </w:r>
      <w:r w:rsidR="00E1036D">
        <w:rPr>
          <w:sz w:val="22"/>
          <w:szCs w:val="22"/>
          <w:lang w:val="hu-HU"/>
        </w:rPr>
        <w:t> </w:t>
      </w:r>
      <w:r w:rsidRPr="00C60440">
        <w:rPr>
          <w:sz w:val="22"/>
          <w:szCs w:val="22"/>
          <w:lang w:val="hu-HU"/>
        </w:rPr>
        <w:t xml:space="preserve">éves vizsgálatokban. A legmagasabb </w:t>
      </w:r>
      <w:r w:rsidR="00E1036D">
        <w:rPr>
          <w:sz w:val="22"/>
          <w:szCs w:val="22"/>
          <w:lang w:val="hu-HU"/>
        </w:rPr>
        <w:t>dózis</w:t>
      </w:r>
      <w:r w:rsidRPr="00C60440">
        <w:rPr>
          <w:sz w:val="22"/>
          <w:szCs w:val="22"/>
          <w:lang w:val="hu-HU"/>
        </w:rPr>
        <w:t>nál hím patkányoknál kissé emelkedett egy jóindulatú daganatnak, a mamma-fibroadenomáknak az előfordulása. Ennél a</w:t>
      </w:r>
      <w:r w:rsidR="00E1036D">
        <w:rPr>
          <w:sz w:val="22"/>
          <w:szCs w:val="22"/>
          <w:lang w:val="hu-HU"/>
        </w:rPr>
        <w:t xml:space="preserve"> dózis</w:t>
      </w:r>
      <w:r w:rsidRPr="00C60440">
        <w:rPr>
          <w:sz w:val="22"/>
          <w:szCs w:val="22"/>
          <w:lang w:val="hu-HU"/>
        </w:rPr>
        <w:t>nál (a dinamikus egyensúlyi állapotú AUC-érték alapján) az ambriszentán szisztémás expozíciója hím patkányokban a 10 mg/ttkg-os klinikai dózissal elért érték 6-szorosa volt.</w:t>
      </w:r>
    </w:p>
    <w:p w14:paraId="2CCD149C" w14:textId="529C77EB" w:rsidR="00526C96" w:rsidRPr="00C60440" w:rsidRDefault="00526C96" w:rsidP="00082A8E">
      <w:pPr>
        <w:spacing w:line="240" w:lineRule="auto"/>
        <w:ind w:left="567" w:hanging="567"/>
        <w:outlineLvl w:val="0"/>
        <w:rPr>
          <w:bCs/>
          <w:szCs w:val="22"/>
          <w:lang w:val="hu-HU"/>
        </w:rPr>
      </w:pPr>
    </w:p>
    <w:p w14:paraId="1CC66914" w14:textId="7C366E3E" w:rsidR="00526C96" w:rsidRPr="00C60440" w:rsidRDefault="00526C96" w:rsidP="00526C96">
      <w:pPr>
        <w:pStyle w:val="Default"/>
        <w:rPr>
          <w:sz w:val="22"/>
          <w:szCs w:val="22"/>
          <w:lang w:val="hu-HU"/>
        </w:rPr>
      </w:pPr>
      <w:r w:rsidRPr="00C60440">
        <w:rPr>
          <w:sz w:val="22"/>
          <w:szCs w:val="22"/>
          <w:lang w:val="hu-HU"/>
        </w:rPr>
        <w:t>Hím patkányokon és egereken ismételt orális adagolással végzett, biztonságossági tűréshatár nélküli toxicitási és fertilitási vizsgálatok során testicularis tubularis atrophiát észleltek, amelyhez esetenként aspermia társult. Az adagolás utáni időszakban végzett értékelés szerint a hereelváltozások nem voltak teljes mértékben reverzibilisek. Nem észleltek azonban testicularis elváltozásokat kutyákon a legfeljebb 39</w:t>
      </w:r>
      <w:r w:rsidR="00E1036D">
        <w:rPr>
          <w:sz w:val="22"/>
          <w:szCs w:val="22"/>
          <w:lang w:val="hu-HU"/>
        </w:rPr>
        <w:t> </w:t>
      </w:r>
      <w:r w:rsidRPr="00C60440">
        <w:rPr>
          <w:sz w:val="22"/>
          <w:szCs w:val="22"/>
          <w:lang w:val="hu-HU"/>
        </w:rPr>
        <w:t>hétig tartó, az AUC alapján az emberben mértnek 35-szörösét kitevő expozíció mellett végzett vizsgálatokban. Hím patkányokban az ambriszentán egyik vizsgált dózisa (legfeljebb 300 mg/</w:t>
      </w:r>
      <w:r w:rsidR="00B90D23">
        <w:rPr>
          <w:sz w:val="22"/>
          <w:szCs w:val="22"/>
          <w:lang w:val="hu-HU"/>
        </w:rPr>
        <w:t>tt</w:t>
      </w:r>
      <w:r w:rsidRPr="00C60440">
        <w:rPr>
          <w:sz w:val="22"/>
          <w:szCs w:val="22"/>
          <w:lang w:val="hu-HU"/>
        </w:rPr>
        <w:t>kg/nap) sem gyakorolt hatást a spermiumok motilitására. A morfológiailag normális spermiumok százalékos arányának enyhe (&lt; 10%) csökkenését figyelték meg 300 mg/</w:t>
      </w:r>
      <w:r w:rsidR="00E1036D">
        <w:rPr>
          <w:sz w:val="22"/>
          <w:szCs w:val="22"/>
          <w:lang w:val="hu-HU"/>
        </w:rPr>
        <w:t>tt</w:t>
      </w:r>
      <w:r w:rsidRPr="00C60440">
        <w:rPr>
          <w:sz w:val="22"/>
          <w:szCs w:val="22"/>
          <w:lang w:val="hu-HU"/>
        </w:rPr>
        <w:t>kg/nap dózis mellett, míg 100 mg/</w:t>
      </w:r>
      <w:r w:rsidR="00E1036D">
        <w:rPr>
          <w:sz w:val="22"/>
          <w:szCs w:val="22"/>
          <w:lang w:val="hu-HU"/>
        </w:rPr>
        <w:t>tt</w:t>
      </w:r>
      <w:r w:rsidRPr="00C60440">
        <w:rPr>
          <w:sz w:val="22"/>
          <w:szCs w:val="22"/>
          <w:lang w:val="hu-HU"/>
        </w:rPr>
        <w:t>kg/nap dózisnál (a napi 10 mg-os klinikai expozíció több mint 9-szerese) ezt nem észlelték. Az ambriszentán férfiak fertilitására gyakorolt hatása nem ismert.</w:t>
      </w:r>
    </w:p>
    <w:p w14:paraId="6F9CB7CA" w14:textId="77777777" w:rsidR="00526C96" w:rsidRPr="00C60440" w:rsidRDefault="00526C96" w:rsidP="00526C96">
      <w:pPr>
        <w:pStyle w:val="Default"/>
        <w:rPr>
          <w:sz w:val="22"/>
          <w:szCs w:val="22"/>
          <w:lang w:val="hu-HU"/>
        </w:rPr>
      </w:pPr>
    </w:p>
    <w:p w14:paraId="02B9F198" w14:textId="0655D22B" w:rsidR="00526C96" w:rsidRPr="00C60440" w:rsidRDefault="00526C96" w:rsidP="00526C96">
      <w:pPr>
        <w:pStyle w:val="Default"/>
        <w:rPr>
          <w:sz w:val="22"/>
          <w:szCs w:val="22"/>
          <w:lang w:val="hu-HU"/>
        </w:rPr>
      </w:pPr>
      <w:r w:rsidRPr="00C60440">
        <w:rPr>
          <w:sz w:val="22"/>
          <w:szCs w:val="22"/>
          <w:lang w:val="hu-HU"/>
        </w:rPr>
        <w:t xml:space="preserve">Az ambriszentán teratogénnek bizonyult patkányokban és nyulakban. Az alsó állkapocs, a nyelv és/vagy a szájpad rendellenességeit észlelték valamennyi alkalmazott </w:t>
      </w:r>
      <w:r w:rsidR="00E1036D">
        <w:rPr>
          <w:sz w:val="22"/>
          <w:szCs w:val="22"/>
          <w:lang w:val="hu-HU"/>
        </w:rPr>
        <w:t>dózisnál</w:t>
      </w:r>
      <w:r w:rsidRPr="00C60440">
        <w:rPr>
          <w:sz w:val="22"/>
          <w:szCs w:val="22"/>
          <w:lang w:val="hu-HU"/>
        </w:rPr>
        <w:t xml:space="preserve">. Ezenfelül a </w:t>
      </w:r>
      <w:r w:rsidRPr="00C60440">
        <w:rPr>
          <w:sz w:val="22"/>
          <w:szCs w:val="22"/>
          <w:lang w:val="hu-HU"/>
        </w:rPr>
        <w:lastRenderedPageBreak/>
        <w:t>patkányokkal végzett vizsgálat az interventricularis septum defektusok, a nagyér defektusok, a pajzsmirigy és thymus abnormalitások és a basisphenoidalis csont ossificati</w:t>
      </w:r>
      <w:r w:rsidR="001F5346">
        <w:rPr>
          <w:sz w:val="22"/>
          <w:szCs w:val="22"/>
          <w:lang w:val="hu-HU"/>
        </w:rPr>
        <w:t>o</w:t>
      </w:r>
      <w:r w:rsidRPr="00C60440">
        <w:rPr>
          <w:sz w:val="22"/>
          <w:szCs w:val="22"/>
          <w:lang w:val="hu-HU"/>
        </w:rPr>
        <w:t xml:space="preserve"> nagyobb incidenciáját, valamint a jobb oldal helyett a húgyhólyag bal oldalán lévő umbilicalis artéria előfordulását mutatta. A teratogenitás feltételezhetően az ERA-k osztályára jellemző hatás.</w:t>
      </w:r>
    </w:p>
    <w:p w14:paraId="729DBDB1" w14:textId="77777777" w:rsidR="00526C96" w:rsidRPr="00C60440" w:rsidRDefault="00526C96" w:rsidP="00526C96">
      <w:pPr>
        <w:pStyle w:val="Default"/>
        <w:rPr>
          <w:sz w:val="22"/>
          <w:szCs w:val="22"/>
          <w:lang w:val="hu-HU"/>
        </w:rPr>
      </w:pPr>
    </w:p>
    <w:p w14:paraId="32761914" w14:textId="256C808F" w:rsidR="00526C96" w:rsidRPr="00C60440" w:rsidRDefault="00526C96" w:rsidP="00526C96">
      <w:pPr>
        <w:pStyle w:val="Default"/>
        <w:rPr>
          <w:sz w:val="22"/>
          <w:szCs w:val="22"/>
          <w:lang w:val="hu-HU"/>
        </w:rPr>
      </w:pPr>
      <w:r w:rsidRPr="00C60440">
        <w:rPr>
          <w:sz w:val="22"/>
          <w:szCs w:val="22"/>
          <w:lang w:val="hu-HU"/>
        </w:rPr>
        <w:t>A nőstény patkányoknak a vemhesség késői szakaszától kezdve a laktáció végéig adagolt ambriszentán nemkívánatos hatással volt az anya viselkedésére, csökkentette a</w:t>
      </w:r>
      <w:r w:rsidR="005F51C2">
        <w:rPr>
          <w:sz w:val="22"/>
          <w:szCs w:val="22"/>
          <w:lang w:val="hu-HU"/>
        </w:rPr>
        <w:t>z utódok</w:t>
      </w:r>
      <w:r w:rsidRPr="00C60440">
        <w:rPr>
          <w:sz w:val="22"/>
          <w:szCs w:val="22"/>
          <w:lang w:val="hu-HU"/>
        </w:rPr>
        <w:t xml:space="preserve"> túlélését, továbbá rontotta az utódok reprodukciós képességét (a necropsia során kis heréket találtak), a legnagyobb ajánlott humán dózisnak megfelelő AUC 3-szorosát kitevő expozíció mellett.</w:t>
      </w:r>
    </w:p>
    <w:p w14:paraId="00511AFD" w14:textId="77777777" w:rsidR="00505F96" w:rsidRPr="00C60440" w:rsidRDefault="00505F96" w:rsidP="00526C96">
      <w:pPr>
        <w:pStyle w:val="Default"/>
        <w:rPr>
          <w:sz w:val="22"/>
          <w:szCs w:val="22"/>
          <w:lang w:val="hu-HU"/>
        </w:rPr>
      </w:pPr>
    </w:p>
    <w:p w14:paraId="57B144A4" w14:textId="0626EE56" w:rsidR="00526C96" w:rsidRPr="00C60440" w:rsidRDefault="00526C96" w:rsidP="00526C96">
      <w:pPr>
        <w:pStyle w:val="Default"/>
        <w:rPr>
          <w:sz w:val="22"/>
          <w:szCs w:val="22"/>
          <w:lang w:val="hu-HU"/>
        </w:rPr>
      </w:pPr>
      <w:r w:rsidRPr="00C60440">
        <w:rPr>
          <w:sz w:val="22"/>
          <w:szCs w:val="22"/>
          <w:lang w:val="hu-HU"/>
        </w:rPr>
        <w:t>Fiatal patkányoknál az ambriszentán napi egyszeri, szájon át, a szülés utáni 7. naptól 26., 36. vagy 62. napig történő alkalmazása esetén légzési hangokat, apnoe és h</w:t>
      </w:r>
      <w:r w:rsidR="001F5346">
        <w:rPr>
          <w:sz w:val="22"/>
          <w:szCs w:val="22"/>
          <w:lang w:val="hu-HU"/>
        </w:rPr>
        <w:t>y</w:t>
      </w:r>
      <w:r w:rsidRPr="00C60440">
        <w:rPr>
          <w:sz w:val="22"/>
          <w:szCs w:val="22"/>
          <w:lang w:val="hu-HU"/>
        </w:rPr>
        <w:t>p</w:t>
      </w:r>
      <w:r w:rsidR="00505F96" w:rsidRPr="00C60440">
        <w:rPr>
          <w:sz w:val="22"/>
          <w:szCs w:val="22"/>
          <w:lang w:val="hu-HU"/>
        </w:rPr>
        <w:t>o</w:t>
      </w:r>
      <w:r w:rsidRPr="00C60440">
        <w:rPr>
          <w:sz w:val="22"/>
          <w:szCs w:val="22"/>
          <w:lang w:val="hu-HU"/>
        </w:rPr>
        <w:t>xia észlelését követően az agytömeg csökkenése (</w:t>
      </w:r>
      <w:r w:rsidR="00505F96" w:rsidRPr="00C60440">
        <w:rPr>
          <w:sz w:val="22"/>
          <w:szCs w:val="22"/>
          <w:lang w:val="hu-HU"/>
        </w:rPr>
        <w:noBreakHyphen/>
      </w:r>
      <w:r w:rsidRPr="00C60440">
        <w:rPr>
          <w:sz w:val="22"/>
          <w:szCs w:val="22"/>
          <w:lang w:val="hu-HU"/>
        </w:rPr>
        <w:t xml:space="preserve">3%-tól </w:t>
      </w:r>
      <w:r w:rsidR="00505F96" w:rsidRPr="00C60440">
        <w:rPr>
          <w:sz w:val="22"/>
          <w:szCs w:val="22"/>
          <w:lang w:val="hu-HU"/>
        </w:rPr>
        <w:noBreakHyphen/>
      </w:r>
      <w:r w:rsidRPr="00C60440">
        <w:rPr>
          <w:sz w:val="22"/>
          <w:szCs w:val="22"/>
          <w:lang w:val="hu-HU"/>
        </w:rPr>
        <w:t>8%-ig) lépett fel, morfológiai vagy idegrendszeri változások nélkül. Ezeket a hatásokat az AUC alapján a 10</w:t>
      </w:r>
      <w:r w:rsidR="00505F96" w:rsidRPr="00C60440">
        <w:rPr>
          <w:sz w:val="22"/>
          <w:szCs w:val="22"/>
          <w:lang w:val="hu-HU"/>
        </w:rPr>
        <w:t> </w:t>
      </w:r>
      <w:r w:rsidRPr="00C60440">
        <w:rPr>
          <w:sz w:val="22"/>
          <w:szCs w:val="22"/>
          <w:lang w:val="hu-HU"/>
        </w:rPr>
        <w:t>mg-os (9 és 15</w:t>
      </w:r>
      <w:r w:rsidR="00F636EC">
        <w:rPr>
          <w:sz w:val="22"/>
          <w:szCs w:val="22"/>
          <w:lang w:val="hu-HU"/>
        </w:rPr>
        <w:t> </w:t>
      </w:r>
      <w:r w:rsidRPr="00C60440">
        <w:rPr>
          <w:sz w:val="22"/>
          <w:szCs w:val="22"/>
          <w:lang w:val="hu-HU"/>
        </w:rPr>
        <w:t xml:space="preserve">éves kor között) humán gyermekkori </w:t>
      </w:r>
      <w:r w:rsidR="00D048C2">
        <w:rPr>
          <w:sz w:val="22"/>
          <w:szCs w:val="22"/>
          <w:lang w:val="hu-HU"/>
        </w:rPr>
        <w:t xml:space="preserve">dózisnak megfelelő </w:t>
      </w:r>
      <w:r w:rsidRPr="00C60440">
        <w:rPr>
          <w:sz w:val="22"/>
          <w:szCs w:val="22"/>
          <w:lang w:val="hu-HU"/>
        </w:rPr>
        <w:t>expozíció körülbelül 1,8</w:t>
      </w:r>
      <w:r w:rsidR="00505F96" w:rsidRPr="00C60440">
        <w:rPr>
          <w:sz w:val="22"/>
          <w:szCs w:val="22"/>
          <w:lang w:val="hu-HU"/>
        </w:rPr>
        <w:noBreakHyphen/>
      </w:r>
      <w:r w:rsidRPr="00C60440">
        <w:rPr>
          <w:sz w:val="22"/>
          <w:szCs w:val="22"/>
          <w:lang w:val="hu-HU"/>
        </w:rPr>
        <w:t>7-szeres alkalmazásánál figyelték meg. Ezen megállapítások gyermek</w:t>
      </w:r>
      <w:r w:rsidR="00F636EC">
        <w:rPr>
          <w:sz w:val="22"/>
          <w:szCs w:val="22"/>
          <w:lang w:val="hu-HU"/>
        </w:rPr>
        <w:t>ekre</w:t>
      </w:r>
      <w:r w:rsidRPr="00C60440">
        <w:rPr>
          <w:sz w:val="22"/>
          <w:szCs w:val="22"/>
          <w:lang w:val="hu-HU"/>
        </w:rPr>
        <w:t xml:space="preserve"> gyakorolt klinikai jelentősége nem igazolt.</w:t>
      </w:r>
    </w:p>
    <w:p w14:paraId="0CD26EDD" w14:textId="7FF3D1B9" w:rsidR="00526C96" w:rsidRPr="00C60440" w:rsidRDefault="00526C96" w:rsidP="00526C96">
      <w:pPr>
        <w:pStyle w:val="Default"/>
        <w:rPr>
          <w:sz w:val="22"/>
          <w:szCs w:val="22"/>
          <w:lang w:val="hu-HU"/>
        </w:rPr>
      </w:pPr>
    </w:p>
    <w:p w14:paraId="47C1A450" w14:textId="6AC95F83" w:rsidR="00526C96" w:rsidRPr="00C60440" w:rsidRDefault="00526C96" w:rsidP="00082A8E">
      <w:pPr>
        <w:spacing w:line="240" w:lineRule="auto"/>
        <w:ind w:left="567" w:hanging="567"/>
        <w:outlineLvl w:val="0"/>
        <w:rPr>
          <w:szCs w:val="22"/>
          <w:lang w:val="hu-HU"/>
        </w:rPr>
      </w:pPr>
    </w:p>
    <w:p w14:paraId="7272A6D7" w14:textId="77777777" w:rsidR="00F45C51" w:rsidRPr="00C60440" w:rsidRDefault="00E61DC0" w:rsidP="00082A8E">
      <w:pPr>
        <w:spacing w:line="240" w:lineRule="auto"/>
        <w:ind w:left="567" w:hanging="567"/>
        <w:outlineLvl w:val="0"/>
        <w:rPr>
          <w:rFonts w:eastAsia="Times New Roman"/>
          <w:b/>
          <w:noProof/>
          <w:snapToGrid/>
          <w:szCs w:val="22"/>
          <w:lang w:val="hu-HU" w:eastAsia="en-US"/>
        </w:rPr>
      </w:pPr>
      <w:r w:rsidRPr="00C60440">
        <w:rPr>
          <w:rFonts w:eastAsia="Times New Roman"/>
          <w:b/>
          <w:noProof/>
          <w:snapToGrid/>
          <w:szCs w:val="22"/>
          <w:lang w:val="hu-HU" w:eastAsia="en-US"/>
        </w:rPr>
        <w:t>6.</w:t>
      </w:r>
      <w:r w:rsidRPr="00C60440">
        <w:rPr>
          <w:rFonts w:eastAsia="Times New Roman"/>
          <w:b/>
          <w:noProof/>
          <w:snapToGrid/>
          <w:szCs w:val="22"/>
          <w:lang w:val="hu-HU" w:eastAsia="en-US"/>
        </w:rPr>
        <w:tab/>
        <w:t>GYÓGYSZERÉSZETI JELLEMZŐK</w:t>
      </w:r>
    </w:p>
    <w:p w14:paraId="33778D0D" w14:textId="77777777" w:rsidR="00F45C51" w:rsidRPr="00C60440" w:rsidRDefault="00F45C51" w:rsidP="00082A8E">
      <w:pPr>
        <w:spacing w:line="240" w:lineRule="auto"/>
        <w:ind w:left="567" w:hanging="567"/>
        <w:outlineLvl w:val="0"/>
        <w:rPr>
          <w:b/>
          <w:szCs w:val="22"/>
          <w:lang w:val="hu-HU"/>
        </w:rPr>
      </w:pPr>
    </w:p>
    <w:p w14:paraId="0C6B0ACF" w14:textId="77777777" w:rsidR="00F45C51" w:rsidRPr="00C60440" w:rsidRDefault="00E61DC0" w:rsidP="00082A8E">
      <w:pPr>
        <w:spacing w:line="240" w:lineRule="auto"/>
        <w:ind w:left="567" w:hanging="567"/>
        <w:outlineLvl w:val="0"/>
        <w:rPr>
          <w:rFonts w:eastAsia="Times New Roman"/>
          <w:b/>
          <w:noProof/>
          <w:snapToGrid/>
          <w:szCs w:val="22"/>
          <w:lang w:val="hu-HU" w:eastAsia="en-US"/>
        </w:rPr>
      </w:pPr>
      <w:r w:rsidRPr="00C60440">
        <w:rPr>
          <w:rFonts w:eastAsia="Times New Roman"/>
          <w:b/>
          <w:noProof/>
          <w:snapToGrid/>
          <w:szCs w:val="22"/>
          <w:lang w:val="hu-HU" w:eastAsia="en-US"/>
        </w:rPr>
        <w:t>6.1</w:t>
      </w:r>
      <w:r w:rsidRPr="00C60440">
        <w:rPr>
          <w:rFonts w:eastAsia="Times New Roman"/>
          <w:b/>
          <w:noProof/>
          <w:snapToGrid/>
          <w:szCs w:val="22"/>
          <w:lang w:val="hu-HU" w:eastAsia="en-US"/>
        </w:rPr>
        <w:tab/>
        <w:t>Segédanyagok felsorolása</w:t>
      </w:r>
    </w:p>
    <w:p w14:paraId="018A6DF0" w14:textId="77777777" w:rsidR="00F45C51" w:rsidRPr="00C60440" w:rsidRDefault="00F45C51" w:rsidP="00082A8E">
      <w:pPr>
        <w:spacing w:line="240" w:lineRule="auto"/>
        <w:rPr>
          <w:rFonts w:eastAsia="Times New Roman"/>
          <w:noProof/>
          <w:snapToGrid/>
          <w:szCs w:val="22"/>
          <w:lang w:val="hu-HU" w:eastAsia="en-US"/>
        </w:rPr>
      </w:pPr>
    </w:p>
    <w:p w14:paraId="06B903C8" w14:textId="1E921616" w:rsidR="00F6030C" w:rsidRPr="00C60440" w:rsidRDefault="00F6030C" w:rsidP="00F6030C">
      <w:pPr>
        <w:pStyle w:val="Default"/>
        <w:rPr>
          <w:sz w:val="22"/>
          <w:szCs w:val="22"/>
          <w:u w:val="single"/>
          <w:lang w:val="hu-HU"/>
        </w:rPr>
      </w:pPr>
      <w:r w:rsidRPr="00C60440">
        <w:rPr>
          <w:sz w:val="22"/>
          <w:szCs w:val="22"/>
          <w:u w:val="single"/>
          <w:lang w:val="hu-HU"/>
        </w:rPr>
        <w:t>Tablettamag</w:t>
      </w:r>
    </w:p>
    <w:p w14:paraId="156E2BC1" w14:textId="65661059" w:rsidR="00F6030C" w:rsidRPr="00C60440" w:rsidRDefault="00424555" w:rsidP="00F6030C">
      <w:pPr>
        <w:pStyle w:val="Default"/>
        <w:rPr>
          <w:sz w:val="22"/>
          <w:szCs w:val="22"/>
          <w:lang w:val="hu-HU"/>
        </w:rPr>
      </w:pPr>
      <w:r>
        <w:rPr>
          <w:sz w:val="22"/>
          <w:szCs w:val="22"/>
          <w:lang w:val="hu-HU"/>
        </w:rPr>
        <w:t>l</w:t>
      </w:r>
      <w:r w:rsidR="00F6030C" w:rsidRPr="00C60440">
        <w:rPr>
          <w:sz w:val="22"/>
          <w:szCs w:val="22"/>
          <w:lang w:val="hu-HU"/>
        </w:rPr>
        <w:t>aktóz-monohidrát</w:t>
      </w:r>
      <w:r w:rsidR="00D048C2">
        <w:rPr>
          <w:sz w:val="22"/>
          <w:szCs w:val="22"/>
          <w:lang w:val="hu-HU"/>
        </w:rPr>
        <w:t>;</w:t>
      </w:r>
    </w:p>
    <w:p w14:paraId="7F21D3F5" w14:textId="40E2648A" w:rsidR="00F6030C" w:rsidRPr="00C60440" w:rsidRDefault="00424555" w:rsidP="00F6030C">
      <w:pPr>
        <w:pStyle w:val="Default"/>
        <w:rPr>
          <w:sz w:val="22"/>
          <w:szCs w:val="22"/>
          <w:lang w:val="hu-HU"/>
        </w:rPr>
      </w:pPr>
      <w:r>
        <w:rPr>
          <w:sz w:val="22"/>
          <w:szCs w:val="22"/>
          <w:lang w:val="hu-HU"/>
        </w:rPr>
        <w:t>m</w:t>
      </w:r>
      <w:r w:rsidR="00F6030C" w:rsidRPr="00C60440">
        <w:rPr>
          <w:sz w:val="22"/>
          <w:szCs w:val="22"/>
          <w:lang w:val="hu-HU"/>
        </w:rPr>
        <w:t>ikrokristályos cellulóz</w:t>
      </w:r>
      <w:r w:rsidR="00D048C2">
        <w:rPr>
          <w:sz w:val="22"/>
          <w:szCs w:val="22"/>
          <w:lang w:val="hu-HU"/>
        </w:rPr>
        <w:t>;</w:t>
      </w:r>
    </w:p>
    <w:p w14:paraId="2937E191" w14:textId="27259986" w:rsidR="00F6030C" w:rsidRPr="00C60440" w:rsidRDefault="00424555" w:rsidP="00F6030C">
      <w:pPr>
        <w:pStyle w:val="Default"/>
        <w:rPr>
          <w:sz w:val="22"/>
          <w:szCs w:val="22"/>
          <w:lang w:val="hu-HU"/>
        </w:rPr>
      </w:pPr>
      <w:r>
        <w:rPr>
          <w:sz w:val="22"/>
          <w:szCs w:val="22"/>
          <w:lang w:val="hu-HU"/>
        </w:rPr>
        <w:t>k</w:t>
      </w:r>
      <w:r w:rsidR="00F6030C" w:rsidRPr="00C60440">
        <w:rPr>
          <w:sz w:val="22"/>
          <w:szCs w:val="22"/>
          <w:lang w:val="hu-HU"/>
        </w:rPr>
        <w:t>roszkarmellóz-nátrium</w:t>
      </w:r>
      <w:r w:rsidR="00D048C2">
        <w:rPr>
          <w:sz w:val="22"/>
          <w:szCs w:val="22"/>
          <w:lang w:val="hu-HU"/>
        </w:rPr>
        <w:t>;</w:t>
      </w:r>
    </w:p>
    <w:p w14:paraId="59C11494" w14:textId="6336A1F2" w:rsidR="00F6030C" w:rsidRPr="00C60440" w:rsidRDefault="00424555" w:rsidP="00F6030C">
      <w:pPr>
        <w:pStyle w:val="Default"/>
        <w:rPr>
          <w:sz w:val="22"/>
          <w:szCs w:val="22"/>
          <w:lang w:val="hu-HU"/>
        </w:rPr>
      </w:pPr>
      <w:r>
        <w:rPr>
          <w:sz w:val="22"/>
          <w:szCs w:val="22"/>
          <w:lang w:val="hu-HU"/>
        </w:rPr>
        <w:t>m</w:t>
      </w:r>
      <w:r w:rsidR="00F6030C" w:rsidRPr="00C60440">
        <w:rPr>
          <w:sz w:val="22"/>
          <w:szCs w:val="22"/>
          <w:lang w:val="hu-HU"/>
        </w:rPr>
        <w:t>agnézium-sztearát</w:t>
      </w:r>
      <w:r w:rsidR="00D048C2">
        <w:rPr>
          <w:sz w:val="22"/>
          <w:szCs w:val="22"/>
          <w:lang w:val="hu-HU"/>
        </w:rPr>
        <w:t>.</w:t>
      </w:r>
    </w:p>
    <w:p w14:paraId="2A33BCD7" w14:textId="77777777" w:rsidR="00F6030C" w:rsidRPr="00C60440" w:rsidRDefault="00F6030C" w:rsidP="00F6030C">
      <w:pPr>
        <w:pStyle w:val="Default"/>
        <w:rPr>
          <w:sz w:val="22"/>
          <w:szCs w:val="22"/>
          <w:lang w:val="hu-HU"/>
        </w:rPr>
      </w:pPr>
    </w:p>
    <w:p w14:paraId="323464F2" w14:textId="77777777" w:rsidR="00F6030C" w:rsidRPr="00C60440" w:rsidRDefault="00F6030C" w:rsidP="00F6030C">
      <w:pPr>
        <w:spacing w:line="240" w:lineRule="auto"/>
        <w:rPr>
          <w:szCs w:val="22"/>
          <w:u w:val="single"/>
          <w:lang w:val="hu-HU"/>
        </w:rPr>
      </w:pPr>
      <w:r w:rsidRPr="00C60440">
        <w:rPr>
          <w:szCs w:val="22"/>
          <w:u w:val="single"/>
          <w:lang w:val="hu-HU"/>
        </w:rPr>
        <w:t>Filmbevonat</w:t>
      </w:r>
    </w:p>
    <w:p w14:paraId="77F5D0EF" w14:textId="41EFA026" w:rsidR="00F6030C" w:rsidRPr="00C60440" w:rsidRDefault="00424555" w:rsidP="00F6030C">
      <w:pPr>
        <w:spacing w:line="240" w:lineRule="auto"/>
        <w:rPr>
          <w:szCs w:val="22"/>
          <w:lang w:val="hu-HU"/>
        </w:rPr>
      </w:pPr>
      <w:r>
        <w:rPr>
          <w:szCs w:val="22"/>
          <w:lang w:val="hu-HU"/>
        </w:rPr>
        <w:t>p</w:t>
      </w:r>
      <w:r w:rsidR="00F6030C" w:rsidRPr="00C60440">
        <w:rPr>
          <w:szCs w:val="22"/>
          <w:lang w:val="hu-HU"/>
        </w:rPr>
        <w:t>oli</w:t>
      </w:r>
      <w:r>
        <w:rPr>
          <w:szCs w:val="22"/>
          <w:lang w:val="hu-HU"/>
        </w:rPr>
        <w:t>(</w:t>
      </w:r>
      <w:r w:rsidR="00F6030C" w:rsidRPr="00C60440">
        <w:rPr>
          <w:szCs w:val="22"/>
          <w:lang w:val="hu-HU"/>
        </w:rPr>
        <w:t>vinil-alkohol</w:t>
      </w:r>
      <w:r>
        <w:rPr>
          <w:szCs w:val="22"/>
          <w:lang w:val="hu-HU"/>
        </w:rPr>
        <w:t>)</w:t>
      </w:r>
      <w:r w:rsidR="00F6030C" w:rsidRPr="00C60440">
        <w:rPr>
          <w:szCs w:val="22"/>
          <w:lang w:val="hu-HU"/>
        </w:rPr>
        <w:t xml:space="preserve"> (részlegesen hidrolizált)</w:t>
      </w:r>
      <w:r w:rsidR="00D048C2">
        <w:rPr>
          <w:szCs w:val="22"/>
          <w:lang w:val="hu-HU"/>
        </w:rPr>
        <w:t>;</w:t>
      </w:r>
    </w:p>
    <w:p w14:paraId="0FA46628" w14:textId="574B97F8" w:rsidR="00F6030C" w:rsidRPr="00C60440" w:rsidRDefault="00424555" w:rsidP="00F6030C">
      <w:pPr>
        <w:spacing w:line="240" w:lineRule="auto"/>
        <w:rPr>
          <w:szCs w:val="22"/>
          <w:lang w:val="hu-HU"/>
        </w:rPr>
      </w:pPr>
      <w:r>
        <w:rPr>
          <w:szCs w:val="22"/>
          <w:lang w:val="hu-HU"/>
        </w:rPr>
        <w:t>t</w:t>
      </w:r>
      <w:r w:rsidR="00F6030C" w:rsidRPr="00C60440">
        <w:rPr>
          <w:szCs w:val="22"/>
          <w:lang w:val="hu-HU"/>
        </w:rPr>
        <w:t>alkum</w:t>
      </w:r>
      <w:r w:rsidR="00D048C2">
        <w:rPr>
          <w:szCs w:val="22"/>
          <w:lang w:val="hu-HU"/>
        </w:rPr>
        <w:t>;</w:t>
      </w:r>
    </w:p>
    <w:p w14:paraId="202A7BAA" w14:textId="0A11DFD6" w:rsidR="00F6030C" w:rsidRPr="00C60440" w:rsidRDefault="00424555" w:rsidP="00F6030C">
      <w:pPr>
        <w:spacing w:line="240" w:lineRule="auto"/>
        <w:rPr>
          <w:szCs w:val="22"/>
          <w:lang w:val="hu-HU"/>
        </w:rPr>
      </w:pPr>
      <w:r>
        <w:rPr>
          <w:szCs w:val="22"/>
          <w:lang w:val="hu-HU"/>
        </w:rPr>
        <w:t>t</w:t>
      </w:r>
      <w:r w:rsidR="00F6030C" w:rsidRPr="00C60440">
        <w:rPr>
          <w:szCs w:val="22"/>
          <w:lang w:val="hu-HU"/>
        </w:rPr>
        <w:t>itán-dioxid (E171)</w:t>
      </w:r>
      <w:r w:rsidR="00D048C2">
        <w:rPr>
          <w:szCs w:val="22"/>
          <w:lang w:val="hu-HU"/>
        </w:rPr>
        <w:t>;</w:t>
      </w:r>
    </w:p>
    <w:p w14:paraId="5605E85E" w14:textId="6AC4C6F1" w:rsidR="00F6030C" w:rsidRPr="00C60440" w:rsidRDefault="00424555" w:rsidP="00F6030C">
      <w:pPr>
        <w:spacing w:line="240" w:lineRule="auto"/>
        <w:rPr>
          <w:szCs w:val="22"/>
          <w:lang w:val="hu-HU"/>
        </w:rPr>
      </w:pPr>
      <w:r>
        <w:rPr>
          <w:szCs w:val="22"/>
          <w:lang w:val="hu-HU"/>
        </w:rPr>
        <w:t>m</w:t>
      </w:r>
      <w:r w:rsidR="00F6030C" w:rsidRPr="00C60440">
        <w:rPr>
          <w:szCs w:val="22"/>
          <w:lang w:val="hu-HU"/>
        </w:rPr>
        <w:t>akrogol</w:t>
      </w:r>
      <w:r w:rsidR="00D048C2">
        <w:rPr>
          <w:szCs w:val="22"/>
          <w:lang w:val="hu-HU"/>
        </w:rPr>
        <w:t>;</w:t>
      </w:r>
    </w:p>
    <w:p w14:paraId="745A9FD1" w14:textId="168A711F" w:rsidR="00F6030C" w:rsidRPr="00C60440" w:rsidRDefault="00F6030C" w:rsidP="00F6030C">
      <w:pPr>
        <w:spacing w:line="240" w:lineRule="auto"/>
        <w:rPr>
          <w:szCs w:val="22"/>
          <w:lang w:val="hu-HU"/>
        </w:rPr>
      </w:pPr>
      <w:r w:rsidRPr="00C60440">
        <w:rPr>
          <w:szCs w:val="22"/>
          <w:lang w:val="hu-HU"/>
        </w:rPr>
        <w:t>szója</w:t>
      </w:r>
      <w:r w:rsidR="00424555">
        <w:rPr>
          <w:szCs w:val="22"/>
          <w:lang w:val="hu-HU"/>
        </w:rPr>
        <w:t>lecitin</w:t>
      </w:r>
      <w:r w:rsidRPr="00C60440">
        <w:rPr>
          <w:szCs w:val="22"/>
          <w:lang w:val="hu-HU"/>
        </w:rPr>
        <w:t xml:space="preserve"> (E322)</w:t>
      </w:r>
      <w:r w:rsidR="00D048C2">
        <w:rPr>
          <w:szCs w:val="22"/>
          <w:lang w:val="hu-HU"/>
        </w:rPr>
        <w:t>;</w:t>
      </w:r>
    </w:p>
    <w:p w14:paraId="1CEBB88E" w14:textId="58226908" w:rsidR="00F45C51" w:rsidRPr="00C60440" w:rsidRDefault="0094662E" w:rsidP="00F6030C">
      <w:pPr>
        <w:spacing w:line="240" w:lineRule="auto"/>
        <w:rPr>
          <w:szCs w:val="22"/>
          <w:lang w:val="hu-HU"/>
        </w:rPr>
      </w:pPr>
      <w:r>
        <w:rPr>
          <w:szCs w:val="22"/>
          <w:lang w:val="hu-HU"/>
        </w:rPr>
        <w:t>a</w:t>
      </w:r>
      <w:r w:rsidR="00F6030C" w:rsidRPr="00C60440">
        <w:rPr>
          <w:szCs w:val="22"/>
          <w:lang w:val="hu-HU"/>
        </w:rPr>
        <w:t>lluravörös AC (E129) alumínium lakk</w:t>
      </w:r>
      <w:r w:rsidR="00D048C2">
        <w:rPr>
          <w:szCs w:val="22"/>
          <w:lang w:val="hu-HU"/>
        </w:rPr>
        <w:t>.</w:t>
      </w:r>
    </w:p>
    <w:p w14:paraId="066FC011" w14:textId="77777777" w:rsidR="00F6030C" w:rsidRPr="00C60440" w:rsidRDefault="00F6030C" w:rsidP="00F6030C">
      <w:pPr>
        <w:spacing w:line="240" w:lineRule="auto"/>
        <w:rPr>
          <w:rFonts w:eastAsia="Times New Roman"/>
          <w:noProof/>
          <w:snapToGrid/>
          <w:szCs w:val="22"/>
          <w:lang w:val="hu-HU" w:eastAsia="en-US"/>
        </w:rPr>
      </w:pPr>
    </w:p>
    <w:p w14:paraId="1A13F322" w14:textId="77777777" w:rsidR="00F45C51" w:rsidRPr="00C60440" w:rsidRDefault="00E61DC0" w:rsidP="00082A8E">
      <w:pPr>
        <w:spacing w:line="240" w:lineRule="auto"/>
        <w:ind w:left="567" w:hanging="567"/>
        <w:outlineLvl w:val="0"/>
        <w:rPr>
          <w:rFonts w:eastAsia="Times New Roman"/>
          <w:b/>
          <w:noProof/>
          <w:snapToGrid/>
          <w:szCs w:val="22"/>
          <w:lang w:val="hu-HU" w:eastAsia="en-US"/>
        </w:rPr>
      </w:pPr>
      <w:r w:rsidRPr="00C60440">
        <w:rPr>
          <w:rFonts w:eastAsia="Times New Roman"/>
          <w:b/>
          <w:noProof/>
          <w:snapToGrid/>
          <w:szCs w:val="22"/>
          <w:lang w:val="hu-HU" w:eastAsia="en-US"/>
        </w:rPr>
        <w:t>6.2</w:t>
      </w:r>
      <w:r w:rsidRPr="00C60440">
        <w:rPr>
          <w:rFonts w:eastAsia="Times New Roman"/>
          <w:b/>
          <w:noProof/>
          <w:snapToGrid/>
          <w:szCs w:val="22"/>
          <w:lang w:val="hu-HU" w:eastAsia="en-US"/>
        </w:rPr>
        <w:tab/>
        <w:t>Inkompatibilitások</w:t>
      </w:r>
    </w:p>
    <w:p w14:paraId="0A632723" w14:textId="77777777" w:rsidR="00F45C51" w:rsidRPr="00C60440" w:rsidRDefault="00F45C51" w:rsidP="00082A8E">
      <w:pPr>
        <w:spacing w:line="240" w:lineRule="auto"/>
        <w:rPr>
          <w:rFonts w:eastAsia="Times New Roman"/>
          <w:noProof/>
          <w:snapToGrid/>
          <w:szCs w:val="22"/>
          <w:lang w:val="hu-HU" w:eastAsia="en-US"/>
        </w:rPr>
      </w:pPr>
    </w:p>
    <w:p w14:paraId="18E11DA5" w14:textId="4954B1DD" w:rsidR="00F45C51" w:rsidRPr="00C60440" w:rsidRDefault="00E61DC0" w:rsidP="00082A8E">
      <w:pPr>
        <w:spacing w:line="240" w:lineRule="auto"/>
        <w:rPr>
          <w:rFonts w:eastAsia="Times New Roman"/>
          <w:noProof/>
          <w:snapToGrid/>
          <w:szCs w:val="22"/>
          <w:lang w:val="hu-HU" w:eastAsia="en-US"/>
        </w:rPr>
      </w:pPr>
      <w:r w:rsidRPr="00C60440">
        <w:rPr>
          <w:rFonts w:eastAsia="Times New Roman"/>
          <w:noProof/>
          <w:snapToGrid/>
          <w:szCs w:val="22"/>
          <w:lang w:val="hu-HU" w:eastAsia="en-US"/>
        </w:rPr>
        <w:t>Nem értelmezhető.</w:t>
      </w:r>
    </w:p>
    <w:p w14:paraId="31E788CF" w14:textId="77777777" w:rsidR="00F45C51" w:rsidRPr="00C60440" w:rsidRDefault="00F45C51" w:rsidP="00497F75">
      <w:pPr>
        <w:tabs>
          <w:tab w:val="clear" w:pos="567"/>
          <w:tab w:val="left" w:pos="2280"/>
        </w:tabs>
        <w:spacing w:line="240" w:lineRule="auto"/>
        <w:rPr>
          <w:szCs w:val="22"/>
          <w:lang w:val="hu-HU"/>
        </w:rPr>
      </w:pPr>
    </w:p>
    <w:p w14:paraId="1A7832F6" w14:textId="77777777" w:rsidR="00F45C51" w:rsidRPr="00C60440" w:rsidRDefault="00E61DC0" w:rsidP="00082A8E">
      <w:pPr>
        <w:spacing w:line="240" w:lineRule="auto"/>
        <w:ind w:left="567" w:hanging="567"/>
        <w:outlineLvl w:val="0"/>
        <w:rPr>
          <w:rFonts w:eastAsia="Times New Roman"/>
          <w:b/>
          <w:noProof/>
          <w:snapToGrid/>
          <w:szCs w:val="22"/>
          <w:lang w:val="hu-HU" w:eastAsia="en-US"/>
        </w:rPr>
      </w:pPr>
      <w:r w:rsidRPr="00C60440">
        <w:rPr>
          <w:rFonts w:eastAsia="Times New Roman"/>
          <w:b/>
          <w:noProof/>
          <w:snapToGrid/>
          <w:szCs w:val="22"/>
          <w:lang w:val="hu-HU" w:eastAsia="en-US"/>
        </w:rPr>
        <w:t>6.3</w:t>
      </w:r>
      <w:r w:rsidRPr="00C60440">
        <w:rPr>
          <w:rFonts w:eastAsia="Times New Roman"/>
          <w:b/>
          <w:noProof/>
          <w:snapToGrid/>
          <w:szCs w:val="22"/>
          <w:lang w:val="hu-HU" w:eastAsia="en-US"/>
        </w:rPr>
        <w:tab/>
        <w:t>Felhasználhatósági időtartam</w:t>
      </w:r>
    </w:p>
    <w:p w14:paraId="1047CA78" w14:textId="77777777" w:rsidR="00F45C51" w:rsidRPr="00C60440" w:rsidRDefault="00F45C51" w:rsidP="00082A8E">
      <w:pPr>
        <w:spacing w:line="240" w:lineRule="auto"/>
        <w:rPr>
          <w:rFonts w:eastAsia="Times New Roman"/>
          <w:noProof/>
          <w:snapToGrid/>
          <w:szCs w:val="22"/>
          <w:lang w:val="hu-HU" w:eastAsia="en-US"/>
        </w:rPr>
      </w:pPr>
    </w:p>
    <w:p w14:paraId="2D2F172D" w14:textId="5D3D6B1D" w:rsidR="00F45C51" w:rsidRPr="00C60440" w:rsidRDefault="002B3AB7" w:rsidP="00082A8E">
      <w:pPr>
        <w:spacing w:line="240" w:lineRule="auto"/>
        <w:rPr>
          <w:rFonts w:eastAsia="Times New Roman"/>
          <w:noProof/>
          <w:snapToGrid/>
          <w:szCs w:val="22"/>
          <w:lang w:val="hu-HU" w:eastAsia="en-US"/>
        </w:rPr>
      </w:pPr>
      <w:r>
        <w:rPr>
          <w:rFonts w:eastAsia="Times New Roman"/>
          <w:noProof/>
          <w:snapToGrid/>
          <w:szCs w:val="22"/>
          <w:lang w:val="hu-HU" w:eastAsia="en-US"/>
        </w:rPr>
        <w:t>5 </w:t>
      </w:r>
      <w:r w:rsidR="00424555">
        <w:rPr>
          <w:rFonts w:eastAsia="Times New Roman"/>
          <w:noProof/>
          <w:snapToGrid/>
          <w:szCs w:val="22"/>
          <w:lang w:val="hu-HU" w:eastAsia="en-US"/>
        </w:rPr>
        <w:t>év</w:t>
      </w:r>
    </w:p>
    <w:p w14:paraId="0298F6AD" w14:textId="77777777" w:rsidR="00F45C51" w:rsidRPr="00C60440" w:rsidRDefault="00F45C51" w:rsidP="00082A8E">
      <w:pPr>
        <w:spacing w:line="240" w:lineRule="auto"/>
        <w:rPr>
          <w:rFonts w:eastAsia="Times New Roman"/>
          <w:noProof/>
          <w:snapToGrid/>
          <w:szCs w:val="22"/>
          <w:lang w:val="hu-HU" w:eastAsia="en-US"/>
        </w:rPr>
      </w:pPr>
    </w:p>
    <w:p w14:paraId="6B1423EE" w14:textId="77777777" w:rsidR="00F45C51" w:rsidRPr="00C60440" w:rsidRDefault="00E61DC0" w:rsidP="00082A8E">
      <w:pPr>
        <w:spacing w:line="240" w:lineRule="auto"/>
        <w:ind w:left="567" w:hanging="567"/>
        <w:outlineLvl w:val="0"/>
        <w:rPr>
          <w:rFonts w:eastAsia="Times New Roman"/>
          <w:b/>
          <w:noProof/>
          <w:snapToGrid/>
          <w:szCs w:val="22"/>
          <w:lang w:val="hu-HU" w:eastAsia="en-US"/>
        </w:rPr>
      </w:pPr>
      <w:r w:rsidRPr="00C60440">
        <w:rPr>
          <w:rFonts w:eastAsia="Times New Roman"/>
          <w:b/>
          <w:noProof/>
          <w:snapToGrid/>
          <w:szCs w:val="22"/>
          <w:lang w:val="hu-HU" w:eastAsia="en-US"/>
        </w:rPr>
        <w:t>6.4</w:t>
      </w:r>
      <w:r w:rsidRPr="00C60440">
        <w:rPr>
          <w:rFonts w:eastAsia="Times New Roman"/>
          <w:b/>
          <w:noProof/>
          <w:snapToGrid/>
          <w:szCs w:val="22"/>
          <w:lang w:val="hu-HU" w:eastAsia="en-US"/>
        </w:rPr>
        <w:tab/>
        <w:t>Különleges tárolási előírások</w:t>
      </w:r>
    </w:p>
    <w:p w14:paraId="7EB34FE7" w14:textId="77777777" w:rsidR="00F45C51" w:rsidRPr="00C60440" w:rsidRDefault="00F45C51" w:rsidP="00082A8E">
      <w:pPr>
        <w:spacing w:line="240" w:lineRule="auto"/>
        <w:ind w:left="567" w:hanging="567"/>
        <w:outlineLvl w:val="0"/>
        <w:rPr>
          <w:b/>
          <w:szCs w:val="22"/>
          <w:lang w:val="hu-HU"/>
        </w:rPr>
      </w:pPr>
    </w:p>
    <w:p w14:paraId="35D6D33C" w14:textId="666EBE8B" w:rsidR="00A757DF" w:rsidRDefault="00EF2F19" w:rsidP="00A757DF">
      <w:pPr>
        <w:spacing w:line="240" w:lineRule="auto"/>
        <w:ind w:right="-2"/>
        <w:rPr>
          <w:szCs w:val="22"/>
          <w:lang w:val="hu-HU"/>
        </w:rPr>
      </w:pPr>
      <w:r>
        <w:rPr>
          <w:szCs w:val="22"/>
          <w:lang w:val="hu-HU"/>
        </w:rPr>
        <w:t>F</w:t>
      </w:r>
      <w:r w:rsidRPr="00EF2F19">
        <w:rPr>
          <w:szCs w:val="22"/>
          <w:lang w:val="hu-HU"/>
        </w:rPr>
        <w:t xml:space="preserve">ehér </w:t>
      </w:r>
      <w:r w:rsidR="00A757DF" w:rsidRPr="00FE0197">
        <w:rPr>
          <w:szCs w:val="22"/>
          <w:lang w:val="hu-HU"/>
        </w:rPr>
        <w:t>PVC/PVDC</w:t>
      </w:r>
      <w:r w:rsidR="00424555">
        <w:rPr>
          <w:szCs w:val="22"/>
          <w:lang w:val="hu-HU"/>
        </w:rPr>
        <w:t>/</w:t>
      </w:r>
      <w:r w:rsidR="00A757DF" w:rsidRPr="00FE0197">
        <w:rPr>
          <w:szCs w:val="22"/>
          <w:lang w:val="hu-HU"/>
        </w:rPr>
        <w:t>/alum</w:t>
      </w:r>
      <w:r w:rsidR="00424555">
        <w:rPr>
          <w:szCs w:val="22"/>
          <w:lang w:val="hu-HU"/>
        </w:rPr>
        <w:t>í</w:t>
      </w:r>
      <w:r w:rsidR="00A757DF" w:rsidRPr="00FE0197">
        <w:rPr>
          <w:szCs w:val="22"/>
          <w:lang w:val="hu-HU"/>
        </w:rPr>
        <w:t>nium buborékcsomagolás: Ez a gyógyszer különleges tárolási hőmérsékletet nem igényel. A fénytől való védelem érdekében az eredeti csomagolásban tárolandó.</w:t>
      </w:r>
    </w:p>
    <w:p w14:paraId="2BCB9EE1" w14:textId="6EAA0C2D" w:rsidR="003B505F" w:rsidRDefault="003B505F" w:rsidP="00A757DF">
      <w:pPr>
        <w:spacing w:line="240" w:lineRule="auto"/>
        <w:ind w:right="-2"/>
        <w:rPr>
          <w:szCs w:val="22"/>
          <w:lang w:val="hu-HU"/>
        </w:rPr>
      </w:pPr>
    </w:p>
    <w:p w14:paraId="0CA21FCC" w14:textId="371F09CA" w:rsidR="003B505F" w:rsidRPr="00980B1D" w:rsidRDefault="003B505F" w:rsidP="00A757DF">
      <w:pPr>
        <w:spacing w:line="240" w:lineRule="auto"/>
        <w:ind w:right="-2"/>
        <w:rPr>
          <w:szCs w:val="22"/>
          <w:lang w:val="hu-HU"/>
        </w:rPr>
      </w:pPr>
      <w:r>
        <w:rPr>
          <w:szCs w:val="22"/>
          <w:lang w:val="hu-HU"/>
        </w:rPr>
        <w:t>Átlátszó PVC/PE/PVDC//alumínium buborékcsomagolás: Ez a gyógyszer különleges tárolási hőmérsékletet nem igényel. A fénytől való védelem érdekében az eredeti csomagolásban tárolandó.</w:t>
      </w:r>
    </w:p>
    <w:p w14:paraId="0D727DAA" w14:textId="77777777" w:rsidR="00A757DF" w:rsidRPr="00A757DF" w:rsidRDefault="00A757DF" w:rsidP="00A757DF">
      <w:pPr>
        <w:pStyle w:val="Default"/>
        <w:rPr>
          <w:sz w:val="22"/>
          <w:szCs w:val="22"/>
          <w:lang w:val="hu-HU"/>
        </w:rPr>
      </w:pPr>
    </w:p>
    <w:p w14:paraId="7A944580" w14:textId="77777777" w:rsidR="00F45C51" w:rsidRPr="00C60440" w:rsidRDefault="00E61DC0" w:rsidP="00082A8E">
      <w:pPr>
        <w:spacing w:line="240" w:lineRule="auto"/>
        <w:ind w:left="567" w:hanging="567"/>
        <w:outlineLvl w:val="0"/>
        <w:rPr>
          <w:rFonts w:eastAsia="Times New Roman"/>
          <w:b/>
          <w:noProof/>
          <w:snapToGrid/>
          <w:szCs w:val="22"/>
          <w:lang w:val="hu-HU" w:eastAsia="en-US"/>
        </w:rPr>
      </w:pPr>
      <w:r w:rsidRPr="00C60440">
        <w:rPr>
          <w:rFonts w:eastAsia="Times New Roman"/>
          <w:b/>
          <w:noProof/>
          <w:snapToGrid/>
          <w:szCs w:val="22"/>
          <w:lang w:val="hu-HU" w:eastAsia="en-US"/>
        </w:rPr>
        <w:t>6.5</w:t>
      </w:r>
      <w:r w:rsidRPr="00C60440">
        <w:rPr>
          <w:rFonts w:eastAsia="Times New Roman"/>
          <w:b/>
          <w:noProof/>
          <w:snapToGrid/>
          <w:szCs w:val="22"/>
          <w:lang w:val="hu-HU" w:eastAsia="en-US"/>
        </w:rPr>
        <w:tab/>
        <w:t xml:space="preserve">Csomagolás típusa és kiszerelése </w:t>
      </w:r>
    </w:p>
    <w:p w14:paraId="253B2A6D" w14:textId="77777777" w:rsidR="00F45C51" w:rsidRPr="00C60440" w:rsidRDefault="00F45C51" w:rsidP="00082A8E">
      <w:pPr>
        <w:spacing w:line="240" w:lineRule="auto"/>
        <w:rPr>
          <w:rFonts w:eastAsia="Times New Roman"/>
          <w:noProof/>
          <w:snapToGrid/>
          <w:szCs w:val="22"/>
          <w:lang w:val="hu-HU" w:eastAsia="en-US"/>
        </w:rPr>
      </w:pPr>
    </w:p>
    <w:p w14:paraId="33DAEF1A" w14:textId="4EE58523" w:rsidR="00424555" w:rsidRPr="00C61ECB" w:rsidRDefault="00424555" w:rsidP="00463230">
      <w:pPr>
        <w:suppressAutoHyphens/>
        <w:rPr>
          <w:szCs w:val="24"/>
          <w:lang w:val="hu-HU"/>
        </w:rPr>
      </w:pPr>
      <w:r w:rsidRPr="00C61ECB">
        <w:rPr>
          <w:szCs w:val="24"/>
          <w:lang w:val="hu-HU"/>
        </w:rPr>
        <w:t>Filmtabletták fehér PVC/PVDC//Al vagy átlátszó PVC/PE/PVDC//Al buborékcsomagolásban és dobozban.</w:t>
      </w:r>
    </w:p>
    <w:p w14:paraId="7918FE3C" w14:textId="4264B3CF" w:rsidR="00F6030C" w:rsidRPr="00C60440" w:rsidRDefault="00F6030C" w:rsidP="00F6030C">
      <w:pPr>
        <w:pStyle w:val="Default"/>
        <w:rPr>
          <w:sz w:val="22"/>
          <w:szCs w:val="22"/>
          <w:lang w:val="hu-HU"/>
        </w:rPr>
      </w:pPr>
      <w:r w:rsidRPr="00C60440">
        <w:rPr>
          <w:sz w:val="22"/>
          <w:szCs w:val="22"/>
          <w:lang w:val="hu-HU"/>
        </w:rPr>
        <w:t>A csomagolás 30×1 filmtablettát tartalmaz egységadagos buborékcsomagolásban.</w:t>
      </w:r>
    </w:p>
    <w:p w14:paraId="0492DC21" w14:textId="77777777" w:rsidR="00F45C51" w:rsidRPr="00C60440" w:rsidRDefault="00F45C51" w:rsidP="00082A8E">
      <w:pPr>
        <w:spacing w:line="240" w:lineRule="auto"/>
        <w:rPr>
          <w:rFonts w:eastAsia="Times New Roman"/>
          <w:noProof/>
          <w:snapToGrid/>
          <w:szCs w:val="22"/>
          <w:lang w:val="hu-HU" w:eastAsia="en-US"/>
        </w:rPr>
      </w:pPr>
    </w:p>
    <w:p w14:paraId="384397DD" w14:textId="505DA3AB" w:rsidR="00F45C51" w:rsidRPr="00C60440" w:rsidRDefault="00E61DC0" w:rsidP="00082A8E">
      <w:pPr>
        <w:spacing w:line="240" w:lineRule="auto"/>
        <w:ind w:left="567" w:hanging="567"/>
        <w:outlineLvl w:val="0"/>
        <w:rPr>
          <w:rFonts w:eastAsia="Times New Roman"/>
          <w:b/>
          <w:noProof/>
          <w:snapToGrid/>
          <w:szCs w:val="22"/>
          <w:lang w:val="hu-HU" w:eastAsia="en-US"/>
        </w:rPr>
      </w:pPr>
      <w:r w:rsidRPr="00C60440">
        <w:rPr>
          <w:rFonts w:eastAsia="Times New Roman"/>
          <w:b/>
          <w:noProof/>
          <w:snapToGrid/>
          <w:szCs w:val="22"/>
          <w:lang w:val="hu-HU" w:eastAsia="en-US"/>
        </w:rPr>
        <w:t>6.6</w:t>
      </w:r>
      <w:r w:rsidRPr="00C60440">
        <w:rPr>
          <w:rFonts w:eastAsia="Times New Roman"/>
          <w:b/>
          <w:noProof/>
          <w:snapToGrid/>
          <w:szCs w:val="22"/>
          <w:lang w:val="hu-HU" w:eastAsia="en-US"/>
        </w:rPr>
        <w:tab/>
        <w:t>A megsemmisítésre vonatkozó különleges óvintézkedések</w:t>
      </w:r>
      <w:r w:rsidR="00424555">
        <w:rPr>
          <w:rFonts w:eastAsia="Times New Roman"/>
          <w:b/>
          <w:noProof/>
          <w:snapToGrid/>
          <w:szCs w:val="22"/>
          <w:lang w:val="hu-HU" w:eastAsia="en-US"/>
        </w:rPr>
        <w:t xml:space="preserve"> és egyéb, a készítmény kezelésével kapcsolatos információk</w:t>
      </w:r>
    </w:p>
    <w:p w14:paraId="15872221" w14:textId="77777777" w:rsidR="003D6DBA" w:rsidRPr="00C60440" w:rsidRDefault="003D6DBA" w:rsidP="00082A8E">
      <w:pPr>
        <w:spacing w:line="240" w:lineRule="auto"/>
        <w:ind w:left="567" w:hanging="567"/>
        <w:outlineLvl w:val="0"/>
        <w:rPr>
          <w:rFonts w:eastAsia="Times New Roman"/>
          <w:b/>
          <w:noProof/>
          <w:snapToGrid/>
          <w:szCs w:val="22"/>
          <w:lang w:val="hu-HU" w:eastAsia="en-US"/>
        </w:rPr>
      </w:pPr>
    </w:p>
    <w:p w14:paraId="3758476B" w14:textId="265D6939" w:rsidR="00F45C51" w:rsidRDefault="00E61DC0" w:rsidP="00082A8E">
      <w:pPr>
        <w:spacing w:line="240" w:lineRule="auto"/>
        <w:rPr>
          <w:rFonts w:eastAsia="Times New Roman"/>
          <w:noProof/>
          <w:snapToGrid/>
          <w:szCs w:val="22"/>
          <w:lang w:val="hu-HU" w:eastAsia="en-US"/>
        </w:rPr>
      </w:pPr>
      <w:r w:rsidRPr="00C60440">
        <w:rPr>
          <w:rFonts w:eastAsia="Times New Roman"/>
          <w:noProof/>
          <w:snapToGrid/>
          <w:szCs w:val="22"/>
          <w:lang w:val="hu-HU" w:eastAsia="en-US"/>
        </w:rPr>
        <w:t xml:space="preserve">Bármilyen fel nem használt gyógyszer, illetve hulladékanyag megsemmisítését a </w:t>
      </w:r>
      <w:r w:rsidR="00127C1D" w:rsidRPr="00C60440">
        <w:rPr>
          <w:rFonts w:eastAsia="Times New Roman"/>
          <w:noProof/>
          <w:snapToGrid/>
          <w:szCs w:val="22"/>
          <w:lang w:val="hu-HU" w:eastAsia="en-US"/>
        </w:rPr>
        <w:t>gyógyszerekre vonatkozó</w:t>
      </w:r>
      <w:r w:rsidRPr="00C60440">
        <w:rPr>
          <w:rFonts w:eastAsia="Times New Roman"/>
          <w:noProof/>
          <w:snapToGrid/>
          <w:szCs w:val="22"/>
          <w:lang w:val="hu-HU" w:eastAsia="en-US"/>
        </w:rPr>
        <w:t xml:space="preserve"> előírások szerint kell végrehajtani.</w:t>
      </w:r>
    </w:p>
    <w:p w14:paraId="689A7670" w14:textId="4091DE90" w:rsidR="00424555" w:rsidRPr="00F641D7" w:rsidRDefault="00424555" w:rsidP="00082A8E">
      <w:pPr>
        <w:spacing w:line="240" w:lineRule="auto"/>
        <w:rPr>
          <w:rFonts w:eastAsia="Times New Roman"/>
          <w:noProof/>
          <w:snapToGrid/>
          <w:szCs w:val="22"/>
          <w:lang w:val="hu-HU" w:eastAsia="en-US"/>
        </w:rPr>
      </w:pPr>
    </w:p>
    <w:p w14:paraId="240478A3" w14:textId="77777777" w:rsidR="00424555" w:rsidRPr="00463230" w:rsidRDefault="00424555" w:rsidP="00424555">
      <w:pPr>
        <w:rPr>
          <w:b/>
          <w:szCs w:val="22"/>
          <w:lang w:val="hu-HU"/>
        </w:rPr>
      </w:pPr>
      <w:r w:rsidRPr="00463230">
        <w:rPr>
          <w:b/>
          <w:szCs w:val="22"/>
          <w:lang w:val="hu-HU"/>
        </w:rPr>
        <w:t>Megjegyzés</w:t>
      </w:r>
      <w:r w:rsidRPr="002B3AB7">
        <w:rPr>
          <w:b/>
          <w:szCs w:val="22"/>
          <w:lang w:val="hu-HU"/>
        </w:rPr>
        <w:t xml:space="preserve"> </w:t>
      </w:r>
      <w:r w:rsidRPr="001652FA">
        <w:rPr>
          <w:b/>
          <w:szCs w:val="22"/>
        </w:rPr>
        <w:sym w:font="Wingdings" w:char="F058"/>
      </w:r>
      <w:r w:rsidRPr="002B3AB7">
        <w:rPr>
          <w:b/>
          <w:szCs w:val="22"/>
          <w:lang w:val="hu-HU"/>
        </w:rPr>
        <w:t xml:space="preserve"> </w:t>
      </w:r>
      <w:r w:rsidRPr="00463230">
        <w:rPr>
          <w:b/>
          <w:szCs w:val="22"/>
          <w:lang w:val="hu-HU"/>
        </w:rPr>
        <w:t>(egy keresztes</w:t>
      </w:r>
      <w:r w:rsidRPr="002B3AB7">
        <w:rPr>
          <w:b/>
          <w:szCs w:val="22"/>
          <w:lang w:val="hu-HU"/>
        </w:rPr>
        <w:t>)</w:t>
      </w:r>
    </w:p>
    <w:p w14:paraId="5A94D0F7" w14:textId="4A5C5F51" w:rsidR="00424555" w:rsidRPr="00463230" w:rsidRDefault="00424555" w:rsidP="00424555">
      <w:pPr>
        <w:rPr>
          <w:b/>
          <w:szCs w:val="22"/>
          <w:lang w:val="hu-HU"/>
        </w:rPr>
      </w:pPr>
      <w:r w:rsidRPr="00463230">
        <w:rPr>
          <w:b/>
          <w:szCs w:val="22"/>
          <w:lang w:val="hu-HU"/>
        </w:rPr>
        <w:t>Osztályozás</w:t>
      </w:r>
      <w:r w:rsidRPr="00C61ECB">
        <w:rPr>
          <w:b/>
          <w:szCs w:val="22"/>
          <w:lang w:val="hu-HU"/>
        </w:rPr>
        <w:t>: II.</w:t>
      </w:r>
      <w:r w:rsidR="00994A84" w:rsidRPr="00C61ECB">
        <w:rPr>
          <w:b/>
          <w:szCs w:val="22"/>
          <w:lang w:val="hu-HU"/>
        </w:rPr>
        <w:t>/2</w:t>
      </w:r>
      <w:r w:rsidRPr="00463230">
        <w:rPr>
          <w:b/>
          <w:szCs w:val="22"/>
          <w:lang w:val="hu-HU"/>
        </w:rPr>
        <w:t xml:space="preserve"> csoport</w:t>
      </w:r>
    </w:p>
    <w:p w14:paraId="3713FECC" w14:textId="6AFB30F7" w:rsidR="00424555" w:rsidRPr="00F641D7" w:rsidRDefault="00994A84" w:rsidP="00F641D7">
      <w:pPr>
        <w:spacing w:line="240" w:lineRule="auto"/>
        <w:rPr>
          <w:rFonts w:eastAsia="Times New Roman"/>
          <w:noProof/>
          <w:snapToGrid/>
          <w:szCs w:val="22"/>
          <w:lang w:val="hu-HU" w:eastAsia="en-US"/>
        </w:rPr>
      </w:pPr>
      <w:r w:rsidRPr="00463230">
        <w:rPr>
          <w:szCs w:val="22"/>
          <w:lang w:val="hu-HU"/>
        </w:rPr>
        <w:t>Korlátozott érvényű</w:t>
      </w:r>
      <w:r w:rsidR="00424555" w:rsidRPr="00463230">
        <w:rPr>
          <w:szCs w:val="22"/>
          <w:lang w:val="hu-HU"/>
        </w:rPr>
        <w:t xml:space="preserve"> orvosi rendelvényhez kötött</w:t>
      </w:r>
      <w:r w:rsidRPr="00C61ECB">
        <w:rPr>
          <w:szCs w:val="22"/>
          <w:lang w:val="hu-HU"/>
        </w:rPr>
        <w:t>,</w:t>
      </w:r>
      <w:r w:rsidRPr="00463230">
        <w:rPr>
          <w:szCs w:val="22"/>
          <w:lang w:val="hu-HU"/>
        </w:rPr>
        <w:t xml:space="preserve"> szakorvosi/kórházi diagnózist követően folyamatos szakorvosi ellenőrzés mellett alkalmazható gyógyszer</w:t>
      </w:r>
      <w:r w:rsidRPr="00C61ECB">
        <w:rPr>
          <w:szCs w:val="22"/>
          <w:lang w:val="hu-HU"/>
        </w:rPr>
        <w:t xml:space="preserve"> </w:t>
      </w:r>
      <w:r w:rsidRPr="00463230">
        <w:rPr>
          <w:szCs w:val="22"/>
          <w:lang w:val="hu-HU"/>
        </w:rPr>
        <w:t>(Sz</w:t>
      </w:r>
      <w:r w:rsidR="00424555" w:rsidRPr="00C61ECB">
        <w:rPr>
          <w:szCs w:val="22"/>
          <w:lang w:val="hu-HU"/>
        </w:rPr>
        <w:t>).</w:t>
      </w:r>
    </w:p>
    <w:p w14:paraId="50B8AED5" w14:textId="77777777" w:rsidR="00F45C51" w:rsidRPr="00C60440" w:rsidRDefault="00F45C51" w:rsidP="00082A8E">
      <w:pPr>
        <w:spacing w:line="240" w:lineRule="auto"/>
        <w:ind w:left="567" w:hanging="567"/>
        <w:outlineLvl w:val="0"/>
        <w:rPr>
          <w:b/>
          <w:szCs w:val="22"/>
          <w:lang w:val="hu-HU"/>
        </w:rPr>
      </w:pPr>
    </w:p>
    <w:p w14:paraId="58180ED9" w14:textId="77777777" w:rsidR="00F45C51" w:rsidRPr="00C60440" w:rsidRDefault="00F45C51" w:rsidP="00082A8E">
      <w:pPr>
        <w:spacing w:line="240" w:lineRule="auto"/>
        <w:ind w:left="567" w:hanging="567"/>
        <w:outlineLvl w:val="0"/>
        <w:rPr>
          <w:b/>
          <w:szCs w:val="22"/>
          <w:lang w:val="hu-HU"/>
        </w:rPr>
      </w:pPr>
    </w:p>
    <w:p w14:paraId="2DFE8322" w14:textId="77777777" w:rsidR="00F45C51" w:rsidRPr="00C60440" w:rsidRDefault="00E61DC0" w:rsidP="00082A8E">
      <w:pPr>
        <w:spacing w:line="240" w:lineRule="auto"/>
        <w:ind w:left="567" w:hanging="567"/>
        <w:outlineLvl w:val="0"/>
        <w:rPr>
          <w:rFonts w:eastAsia="Times New Roman"/>
          <w:b/>
          <w:noProof/>
          <w:snapToGrid/>
          <w:szCs w:val="22"/>
          <w:lang w:val="hu-HU" w:eastAsia="en-US"/>
        </w:rPr>
      </w:pPr>
      <w:r w:rsidRPr="00C60440">
        <w:rPr>
          <w:rFonts w:eastAsia="Times New Roman"/>
          <w:b/>
          <w:noProof/>
          <w:snapToGrid/>
          <w:szCs w:val="22"/>
          <w:lang w:val="hu-HU" w:eastAsia="en-US"/>
        </w:rPr>
        <w:t>7.</w:t>
      </w:r>
      <w:r w:rsidRPr="00C60440">
        <w:rPr>
          <w:rFonts w:eastAsia="Times New Roman"/>
          <w:b/>
          <w:noProof/>
          <w:snapToGrid/>
          <w:szCs w:val="22"/>
          <w:lang w:val="hu-HU" w:eastAsia="en-US"/>
        </w:rPr>
        <w:tab/>
        <w:t>A FORGALOMBA HOZATALI ENGEDÉLY JOGOSULTJA</w:t>
      </w:r>
    </w:p>
    <w:p w14:paraId="17F98333" w14:textId="77777777" w:rsidR="00F45C51" w:rsidRPr="00C60440" w:rsidRDefault="00F45C51" w:rsidP="00082A8E">
      <w:pPr>
        <w:spacing w:line="240" w:lineRule="auto"/>
        <w:ind w:left="567" w:hanging="567"/>
        <w:outlineLvl w:val="0"/>
        <w:rPr>
          <w:b/>
          <w:szCs w:val="22"/>
          <w:lang w:val="hu-HU"/>
        </w:rPr>
      </w:pPr>
    </w:p>
    <w:p w14:paraId="3BE6B721" w14:textId="77777777" w:rsidR="00C61ECB" w:rsidRPr="00980B1D" w:rsidRDefault="00C61ECB" w:rsidP="00C61ECB">
      <w:pPr>
        <w:spacing w:line="240" w:lineRule="auto"/>
        <w:rPr>
          <w:rFonts w:eastAsia="Times New Roman"/>
          <w:noProof/>
          <w:snapToGrid/>
          <w:szCs w:val="22"/>
          <w:lang w:val="hu-HU" w:eastAsia="en-US"/>
        </w:rPr>
      </w:pPr>
      <w:r w:rsidRPr="00980B1D">
        <w:rPr>
          <w:rFonts w:eastAsia="Times New Roman"/>
          <w:noProof/>
          <w:snapToGrid/>
          <w:szCs w:val="22"/>
          <w:lang w:val="hu-HU" w:eastAsia="en-US"/>
        </w:rPr>
        <w:t>AOP Orphan Pharmaceuticals</w:t>
      </w:r>
      <w:r>
        <w:rPr>
          <w:rFonts w:eastAsia="Times New Roman"/>
          <w:noProof/>
          <w:snapToGrid/>
          <w:szCs w:val="22"/>
          <w:lang w:val="hu-HU" w:eastAsia="en-US"/>
        </w:rPr>
        <w:t xml:space="preserve"> GmbH</w:t>
      </w:r>
    </w:p>
    <w:p w14:paraId="1D0C39DE" w14:textId="6E378C72" w:rsidR="00C61ECB" w:rsidRPr="00980B1D" w:rsidRDefault="00C61ECB" w:rsidP="00C61ECB">
      <w:pPr>
        <w:spacing w:line="240" w:lineRule="auto"/>
        <w:rPr>
          <w:rFonts w:eastAsia="Times New Roman"/>
          <w:noProof/>
          <w:snapToGrid/>
          <w:szCs w:val="22"/>
          <w:lang w:val="hu-HU" w:eastAsia="en-US"/>
        </w:rPr>
      </w:pPr>
      <w:r w:rsidRPr="00B20CBA">
        <w:rPr>
          <w:rFonts w:eastAsia="Times New Roman"/>
          <w:noProof/>
          <w:snapToGrid/>
          <w:szCs w:val="22"/>
          <w:lang w:val="hu-HU" w:eastAsia="en-US"/>
        </w:rPr>
        <w:t>Leopold-Ungar-Platz 2</w:t>
      </w:r>
    </w:p>
    <w:p w14:paraId="7914BB0F" w14:textId="6413D9F0" w:rsidR="00C61ECB" w:rsidRPr="00980B1D" w:rsidRDefault="00C61ECB" w:rsidP="00C61ECB">
      <w:pPr>
        <w:spacing w:line="240" w:lineRule="auto"/>
        <w:rPr>
          <w:rFonts w:eastAsia="Times New Roman"/>
          <w:noProof/>
          <w:snapToGrid/>
          <w:szCs w:val="22"/>
          <w:lang w:val="hu-HU" w:eastAsia="en-US"/>
        </w:rPr>
      </w:pPr>
      <w:r w:rsidRPr="00980B1D">
        <w:rPr>
          <w:rFonts w:eastAsia="Times New Roman"/>
          <w:noProof/>
          <w:snapToGrid/>
          <w:szCs w:val="22"/>
          <w:lang w:val="hu-HU" w:eastAsia="en-US"/>
        </w:rPr>
        <w:t>11</w:t>
      </w:r>
      <w:r>
        <w:rPr>
          <w:rFonts w:eastAsia="Times New Roman"/>
          <w:noProof/>
          <w:snapToGrid/>
          <w:szCs w:val="22"/>
          <w:lang w:val="hu-HU" w:eastAsia="en-US"/>
        </w:rPr>
        <w:t>9</w:t>
      </w:r>
      <w:r w:rsidRPr="00980B1D">
        <w:rPr>
          <w:rFonts w:eastAsia="Times New Roman"/>
          <w:noProof/>
          <w:snapToGrid/>
          <w:szCs w:val="22"/>
          <w:lang w:val="hu-HU" w:eastAsia="en-US"/>
        </w:rPr>
        <w:t>0 Bécs</w:t>
      </w:r>
    </w:p>
    <w:p w14:paraId="2B591E3E" w14:textId="77777777" w:rsidR="00C61ECB" w:rsidRPr="00980B1D" w:rsidRDefault="00C61ECB" w:rsidP="00C61ECB">
      <w:pPr>
        <w:spacing w:line="240" w:lineRule="auto"/>
        <w:rPr>
          <w:rFonts w:eastAsia="Times New Roman"/>
          <w:noProof/>
          <w:snapToGrid/>
          <w:szCs w:val="22"/>
          <w:lang w:val="hu-HU" w:eastAsia="en-US"/>
        </w:rPr>
      </w:pPr>
      <w:r w:rsidRPr="00980B1D">
        <w:rPr>
          <w:rFonts w:eastAsia="Times New Roman"/>
          <w:noProof/>
          <w:snapToGrid/>
          <w:szCs w:val="22"/>
          <w:lang w:val="hu-HU" w:eastAsia="en-US"/>
        </w:rPr>
        <w:t>Ausztria</w:t>
      </w:r>
    </w:p>
    <w:p w14:paraId="4B424271" w14:textId="4948FDDD" w:rsidR="00F45C51" w:rsidRDefault="00F45C51" w:rsidP="003D6DBA">
      <w:pPr>
        <w:spacing w:line="240" w:lineRule="auto"/>
        <w:rPr>
          <w:rFonts w:eastAsia="Times New Roman"/>
          <w:noProof/>
          <w:snapToGrid/>
          <w:szCs w:val="22"/>
          <w:lang w:val="hu-HU" w:eastAsia="en-US"/>
        </w:rPr>
      </w:pPr>
    </w:p>
    <w:p w14:paraId="103FDE21" w14:textId="77777777" w:rsidR="00CF12B1" w:rsidRPr="00C60440" w:rsidRDefault="00CF12B1" w:rsidP="003D6DBA">
      <w:pPr>
        <w:spacing w:line="240" w:lineRule="auto"/>
        <w:rPr>
          <w:rFonts w:eastAsia="Times New Roman"/>
          <w:noProof/>
          <w:snapToGrid/>
          <w:szCs w:val="22"/>
          <w:lang w:val="hu-HU" w:eastAsia="en-US"/>
        </w:rPr>
      </w:pPr>
    </w:p>
    <w:p w14:paraId="47FBD10D" w14:textId="77777777" w:rsidR="00F45C51" w:rsidRPr="00C60440" w:rsidRDefault="00E61DC0" w:rsidP="00082A8E">
      <w:pPr>
        <w:spacing w:line="240" w:lineRule="auto"/>
        <w:ind w:left="567" w:hanging="567"/>
        <w:outlineLvl w:val="0"/>
        <w:rPr>
          <w:rFonts w:eastAsia="Times New Roman"/>
          <w:b/>
          <w:noProof/>
          <w:snapToGrid/>
          <w:szCs w:val="22"/>
          <w:lang w:val="hu-HU" w:eastAsia="en-US"/>
        </w:rPr>
      </w:pPr>
      <w:r w:rsidRPr="00C60440">
        <w:rPr>
          <w:rFonts w:eastAsia="Times New Roman"/>
          <w:b/>
          <w:noProof/>
          <w:snapToGrid/>
          <w:szCs w:val="22"/>
          <w:lang w:val="hu-HU" w:eastAsia="en-US"/>
        </w:rPr>
        <w:t>8.</w:t>
      </w:r>
      <w:r w:rsidRPr="00C60440">
        <w:rPr>
          <w:rFonts w:eastAsia="Times New Roman"/>
          <w:b/>
          <w:noProof/>
          <w:snapToGrid/>
          <w:szCs w:val="22"/>
          <w:lang w:val="hu-HU" w:eastAsia="en-US"/>
        </w:rPr>
        <w:tab/>
        <w:t>A FORGALOMBA HOZATALI ENGEDÉLY SZÁMA(I)</w:t>
      </w:r>
    </w:p>
    <w:p w14:paraId="228FBE0F" w14:textId="77777777" w:rsidR="00F45C51" w:rsidRPr="00C60440" w:rsidRDefault="00F45C51" w:rsidP="00082A8E">
      <w:pPr>
        <w:spacing w:line="240" w:lineRule="auto"/>
        <w:ind w:left="567" w:hanging="567"/>
        <w:outlineLvl w:val="0"/>
        <w:rPr>
          <w:b/>
          <w:szCs w:val="22"/>
          <w:lang w:val="hu-HU"/>
        </w:rPr>
      </w:pPr>
    </w:p>
    <w:p w14:paraId="42DC2205" w14:textId="77777777" w:rsidR="00463230" w:rsidRPr="00463230" w:rsidRDefault="00463230" w:rsidP="00463230">
      <w:pPr>
        <w:tabs>
          <w:tab w:val="clear" w:pos="567"/>
        </w:tabs>
        <w:autoSpaceDE w:val="0"/>
        <w:autoSpaceDN w:val="0"/>
        <w:adjustRightInd w:val="0"/>
        <w:spacing w:line="240" w:lineRule="auto"/>
        <w:rPr>
          <w:rFonts w:ascii="Times-Roman" w:hAnsi="Times-Roman" w:cs="Times-Roman"/>
          <w:snapToGrid/>
          <w:szCs w:val="22"/>
          <w:u w:val="single"/>
          <w:lang w:val="hu-HU" w:eastAsia="en-GB"/>
        </w:rPr>
      </w:pPr>
      <w:r w:rsidRPr="00463230">
        <w:rPr>
          <w:rFonts w:ascii="Times-Roman" w:hAnsi="Times-Roman" w:cs="Times-Roman"/>
          <w:snapToGrid/>
          <w:szCs w:val="22"/>
          <w:u w:val="single"/>
          <w:lang w:val="hu-HU" w:eastAsia="en-GB"/>
        </w:rPr>
        <w:t>Ambrisentan AOP 5 mg filmtabletta:</w:t>
      </w:r>
    </w:p>
    <w:p w14:paraId="121203C5" w14:textId="7E45CE5F" w:rsidR="00463230" w:rsidRPr="00463230" w:rsidRDefault="00463230" w:rsidP="00463230">
      <w:pPr>
        <w:spacing w:line="240" w:lineRule="auto"/>
        <w:rPr>
          <w:szCs w:val="22"/>
          <w:lang w:val="hu-HU"/>
        </w:rPr>
      </w:pPr>
      <w:r w:rsidRPr="00463230">
        <w:rPr>
          <w:szCs w:val="22"/>
          <w:lang w:val="hu-HU"/>
        </w:rPr>
        <w:t>OGYI-T-23832/01</w:t>
      </w:r>
      <w:r w:rsidRPr="00463230">
        <w:rPr>
          <w:szCs w:val="22"/>
          <w:lang w:val="hu-HU"/>
        </w:rPr>
        <w:tab/>
        <w:t>30×1</w:t>
      </w:r>
      <w:r w:rsidRPr="00463230">
        <w:rPr>
          <w:szCs w:val="22"/>
          <w:lang w:val="hu-HU"/>
        </w:rPr>
        <w:tab/>
        <w:t>fehér PVC/PVDC//A</w:t>
      </w:r>
      <w:r w:rsidR="00CC197F">
        <w:rPr>
          <w:szCs w:val="22"/>
          <w:lang w:val="hu-HU"/>
        </w:rPr>
        <w:t>l</w:t>
      </w:r>
      <w:r w:rsidRPr="00463230">
        <w:rPr>
          <w:szCs w:val="22"/>
          <w:lang w:val="hu-HU"/>
        </w:rPr>
        <w:t xml:space="preserve"> buborékcsomagolás</w:t>
      </w:r>
    </w:p>
    <w:p w14:paraId="582749E6" w14:textId="570B1350" w:rsidR="00463230" w:rsidRPr="00463230" w:rsidRDefault="00463230" w:rsidP="00463230">
      <w:pPr>
        <w:spacing w:line="240" w:lineRule="auto"/>
        <w:rPr>
          <w:szCs w:val="22"/>
          <w:lang w:val="hu-HU"/>
        </w:rPr>
      </w:pPr>
      <w:r w:rsidRPr="00463230">
        <w:rPr>
          <w:szCs w:val="22"/>
          <w:lang w:val="hu-HU"/>
        </w:rPr>
        <w:t>OGYI-T-23832/02</w:t>
      </w:r>
      <w:r w:rsidRPr="00463230">
        <w:rPr>
          <w:szCs w:val="22"/>
          <w:lang w:val="hu-HU"/>
        </w:rPr>
        <w:tab/>
        <w:t>30×1</w:t>
      </w:r>
      <w:r w:rsidRPr="00463230">
        <w:rPr>
          <w:szCs w:val="22"/>
          <w:lang w:val="hu-HU"/>
        </w:rPr>
        <w:tab/>
        <w:t>átlátszó PVC/PE/PVDC//A</w:t>
      </w:r>
      <w:r w:rsidR="00CC197F">
        <w:rPr>
          <w:szCs w:val="22"/>
          <w:lang w:val="hu-HU"/>
        </w:rPr>
        <w:t>l</w:t>
      </w:r>
      <w:r w:rsidRPr="00463230">
        <w:rPr>
          <w:szCs w:val="22"/>
          <w:lang w:val="hu-HU"/>
        </w:rPr>
        <w:t xml:space="preserve"> buborékcsomagolás</w:t>
      </w:r>
    </w:p>
    <w:p w14:paraId="604620CC" w14:textId="77777777" w:rsidR="00463230" w:rsidRPr="00463230" w:rsidRDefault="00463230" w:rsidP="00463230">
      <w:pPr>
        <w:tabs>
          <w:tab w:val="clear" w:pos="567"/>
        </w:tabs>
        <w:autoSpaceDE w:val="0"/>
        <w:autoSpaceDN w:val="0"/>
        <w:adjustRightInd w:val="0"/>
        <w:spacing w:line="240" w:lineRule="auto"/>
        <w:rPr>
          <w:rFonts w:ascii="Times-Roman" w:hAnsi="Times-Roman" w:cs="Times-Roman"/>
          <w:snapToGrid/>
          <w:szCs w:val="22"/>
          <w:lang w:val="hu-HU" w:eastAsia="en-GB"/>
        </w:rPr>
      </w:pPr>
    </w:p>
    <w:p w14:paraId="764AD245" w14:textId="77777777" w:rsidR="00463230" w:rsidRPr="00463230" w:rsidRDefault="00463230" w:rsidP="00463230">
      <w:pPr>
        <w:tabs>
          <w:tab w:val="clear" w:pos="567"/>
        </w:tabs>
        <w:autoSpaceDE w:val="0"/>
        <w:autoSpaceDN w:val="0"/>
        <w:adjustRightInd w:val="0"/>
        <w:spacing w:line="240" w:lineRule="auto"/>
        <w:rPr>
          <w:rFonts w:ascii="Times-Roman" w:hAnsi="Times-Roman" w:cs="Times-Roman"/>
          <w:snapToGrid/>
          <w:szCs w:val="22"/>
          <w:u w:val="single"/>
          <w:lang w:val="hu-HU" w:eastAsia="en-GB"/>
        </w:rPr>
      </w:pPr>
      <w:r w:rsidRPr="00463230">
        <w:rPr>
          <w:rFonts w:ascii="Times-Roman" w:hAnsi="Times-Roman" w:cs="Times-Roman"/>
          <w:snapToGrid/>
          <w:szCs w:val="22"/>
          <w:u w:val="single"/>
          <w:lang w:val="hu-HU" w:eastAsia="en-GB"/>
        </w:rPr>
        <w:t>Ambrisentan AOP 10 mg filmtabletta:</w:t>
      </w:r>
    </w:p>
    <w:p w14:paraId="2F71997A" w14:textId="5EF0C731" w:rsidR="00463230" w:rsidRPr="00463230" w:rsidRDefault="00463230" w:rsidP="00463230">
      <w:pPr>
        <w:tabs>
          <w:tab w:val="clear" w:pos="567"/>
        </w:tabs>
        <w:autoSpaceDE w:val="0"/>
        <w:autoSpaceDN w:val="0"/>
        <w:adjustRightInd w:val="0"/>
        <w:spacing w:line="240" w:lineRule="auto"/>
        <w:rPr>
          <w:rFonts w:ascii="Times-Roman" w:hAnsi="Times-Roman" w:cs="Times-Roman"/>
          <w:snapToGrid/>
          <w:szCs w:val="22"/>
          <w:lang w:val="hu-HU" w:eastAsia="en-GB"/>
        </w:rPr>
      </w:pPr>
      <w:r w:rsidRPr="00463230">
        <w:rPr>
          <w:rFonts w:ascii="Times-Roman" w:hAnsi="Times-Roman" w:cs="Times-Roman"/>
          <w:snapToGrid/>
          <w:szCs w:val="22"/>
          <w:lang w:val="hu-HU" w:eastAsia="en-GB"/>
        </w:rPr>
        <w:t>OGYI-T-23832/03</w:t>
      </w:r>
      <w:r w:rsidRPr="00463230">
        <w:rPr>
          <w:rFonts w:ascii="Times-Roman" w:hAnsi="Times-Roman" w:cs="Times-Roman"/>
          <w:snapToGrid/>
          <w:szCs w:val="22"/>
          <w:lang w:val="hu-HU" w:eastAsia="en-GB"/>
        </w:rPr>
        <w:tab/>
        <w:t>30×1</w:t>
      </w:r>
      <w:r w:rsidRPr="00463230">
        <w:rPr>
          <w:rFonts w:ascii="Times-Roman" w:hAnsi="Times-Roman" w:cs="Times-Roman"/>
          <w:snapToGrid/>
          <w:szCs w:val="22"/>
          <w:lang w:val="hu-HU" w:eastAsia="en-GB"/>
        </w:rPr>
        <w:tab/>
        <w:t>fehér PVC/PVDC//A</w:t>
      </w:r>
      <w:r w:rsidR="00CC197F">
        <w:rPr>
          <w:rFonts w:ascii="Times-Roman" w:hAnsi="Times-Roman" w:cs="Times-Roman"/>
          <w:snapToGrid/>
          <w:szCs w:val="22"/>
          <w:lang w:val="hu-HU" w:eastAsia="en-GB"/>
        </w:rPr>
        <w:t>l</w:t>
      </w:r>
      <w:r w:rsidRPr="00463230">
        <w:rPr>
          <w:rFonts w:ascii="Times-Roman" w:hAnsi="Times-Roman" w:cs="Times-Roman"/>
          <w:snapToGrid/>
          <w:szCs w:val="22"/>
          <w:lang w:val="hu-HU" w:eastAsia="en-GB"/>
        </w:rPr>
        <w:t xml:space="preserve"> buborékcsomagolás</w:t>
      </w:r>
    </w:p>
    <w:p w14:paraId="7AF896FB" w14:textId="5616888D" w:rsidR="00463230" w:rsidRPr="00463230" w:rsidRDefault="00463230" w:rsidP="00463230">
      <w:pPr>
        <w:spacing w:line="240" w:lineRule="auto"/>
        <w:rPr>
          <w:rFonts w:ascii="Times-Roman" w:hAnsi="Times-Roman" w:cs="Times-Roman"/>
          <w:snapToGrid/>
          <w:szCs w:val="22"/>
          <w:lang w:val="hu-HU" w:eastAsia="en-GB"/>
        </w:rPr>
      </w:pPr>
      <w:r w:rsidRPr="00463230">
        <w:rPr>
          <w:rFonts w:ascii="Times-Roman" w:hAnsi="Times-Roman" w:cs="Times-Roman"/>
          <w:snapToGrid/>
          <w:szCs w:val="22"/>
          <w:lang w:val="hu-HU" w:eastAsia="en-GB"/>
        </w:rPr>
        <w:t>OGYI-T-23832/04</w:t>
      </w:r>
      <w:r w:rsidRPr="00463230">
        <w:rPr>
          <w:rFonts w:ascii="Times-Roman" w:hAnsi="Times-Roman" w:cs="Times-Roman"/>
          <w:snapToGrid/>
          <w:szCs w:val="22"/>
          <w:lang w:val="hu-HU" w:eastAsia="en-GB"/>
        </w:rPr>
        <w:tab/>
        <w:t>30×1</w:t>
      </w:r>
      <w:r w:rsidRPr="00463230">
        <w:rPr>
          <w:rFonts w:ascii="Times-Roman" w:hAnsi="Times-Roman" w:cs="Times-Roman"/>
          <w:snapToGrid/>
          <w:szCs w:val="22"/>
          <w:lang w:val="hu-HU" w:eastAsia="en-GB"/>
        </w:rPr>
        <w:tab/>
        <w:t>átlátszó PVC/PE/PVDC//A</w:t>
      </w:r>
      <w:r w:rsidR="00CC197F">
        <w:rPr>
          <w:rFonts w:ascii="Times-Roman" w:hAnsi="Times-Roman" w:cs="Times-Roman"/>
          <w:snapToGrid/>
          <w:szCs w:val="22"/>
          <w:lang w:val="hu-HU" w:eastAsia="en-GB"/>
        </w:rPr>
        <w:t>l</w:t>
      </w:r>
      <w:r w:rsidRPr="00463230">
        <w:rPr>
          <w:rFonts w:ascii="Times-Roman" w:hAnsi="Times-Roman" w:cs="Times-Roman"/>
          <w:snapToGrid/>
          <w:szCs w:val="22"/>
          <w:lang w:val="hu-HU" w:eastAsia="en-GB"/>
        </w:rPr>
        <w:t xml:space="preserve"> buborékcsomagolás</w:t>
      </w:r>
    </w:p>
    <w:p w14:paraId="7B3D335D" w14:textId="77777777" w:rsidR="00463230" w:rsidRPr="00C61ECB" w:rsidRDefault="00463230" w:rsidP="00463230">
      <w:pPr>
        <w:spacing w:line="240" w:lineRule="auto"/>
        <w:rPr>
          <w:rFonts w:ascii="Times-Roman" w:hAnsi="Times-Roman" w:cs="Times-Roman"/>
          <w:snapToGrid/>
          <w:szCs w:val="22"/>
          <w:lang w:val="hu-HU" w:eastAsia="en-GB"/>
        </w:rPr>
      </w:pPr>
    </w:p>
    <w:p w14:paraId="438727A7" w14:textId="77777777" w:rsidR="00CA6136" w:rsidRPr="00C60440" w:rsidRDefault="00CA6136" w:rsidP="00082A8E">
      <w:pPr>
        <w:spacing w:line="240" w:lineRule="auto"/>
        <w:ind w:left="567" w:hanging="567"/>
        <w:outlineLvl w:val="0"/>
        <w:rPr>
          <w:b/>
          <w:szCs w:val="22"/>
          <w:lang w:val="hu-HU"/>
        </w:rPr>
      </w:pPr>
    </w:p>
    <w:p w14:paraId="33091746" w14:textId="77777777" w:rsidR="00F45C51" w:rsidRPr="00C60440" w:rsidRDefault="00E61DC0" w:rsidP="00082A8E">
      <w:pPr>
        <w:spacing w:line="240" w:lineRule="auto"/>
        <w:ind w:left="567" w:hanging="567"/>
        <w:outlineLvl w:val="0"/>
        <w:rPr>
          <w:b/>
          <w:szCs w:val="22"/>
          <w:lang w:val="hu-HU"/>
        </w:rPr>
      </w:pPr>
      <w:r w:rsidRPr="00C60440">
        <w:rPr>
          <w:rFonts w:eastAsia="Times New Roman"/>
          <w:b/>
          <w:noProof/>
          <w:snapToGrid/>
          <w:szCs w:val="22"/>
          <w:lang w:val="hu-HU" w:eastAsia="en-US"/>
        </w:rPr>
        <w:t>9.</w:t>
      </w:r>
      <w:r w:rsidRPr="00C60440">
        <w:rPr>
          <w:rFonts w:eastAsia="Times New Roman"/>
          <w:b/>
          <w:noProof/>
          <w:snapToGrid/>
          <w:szCs w:val="22"/>
          <w:lang w:val="hu-HU" w:eastAsia="en-US"/>
        </w:rPr>
        <w:tab/>
        <w:t>A FORGALOMBA HOZATALI ENGEDÉLY ELSŐ KIADÁSÁNAK/ MEGÚJÍTÁSÁNAK</w:t>
      </w:r>
      <w:r w:rsidRPr="00C60440">
        <w:rPr>
          <w:b/>
          <w:szCs w:val="22"/>
          <w:lang w:val="hu-HU"/>
        </w:rPr>
        <w:t xml:space="preserve"> DÁTUMA</w:t>
      </w:r>
    </w:p>
    <w:p w14:paraId="7ECE9797" w14:textId="77777777" w:rsidR="00F45C51" w:rsidRPr="00C60440" w:rsidRDefault="00F45C51" w:rsidP="00082A8E">
      <w:pPr>
        <w:spacing w:line="240" w:lineRule="auto"/>
        <w:rPr>
          <w:rFonts w:eastAsia="Times New Roman"/>
          <w:noProof/>
          <w:snapToGrid/>
          <w:szCs w:val="22"/>
          <w:lang w:val="hu-HU" w:eastAsia="en-US"/>
        </w:rPr>
      </w:pPr>
    </w:p>
    <w:p w14:paraId="569A80C7" w14:textId="30E9D5EA" w:rsidR="0029347B" w:rsidRPr="00C60440" w:rsidRDefault="00E61DC0" w:rsidP="00082A8E">
      <w:pPr>
        <w:spacing w:line="240" w:lineRule="auto"/>
        <w:rPr>
          <w:rFonts w:eastAsia="Times New Roman"/>
          <w:noProof/>
          <w:snapToGrid/>
          <w:szCs w:val="22"/>
          <w:lang w:val="hu-HU" w:eastAsia="en-US"/>
        </w:rPr>
      </w:pPr>
      <w:r w:rsidRPr="00C60440">
        <w:rPr>
          <w:rFonts w:eastAsia="Times New Roman"/>
          <w:noProof/>
          <w:snapToGrid/>
          <w:szCs w:val="22"/>
          <w:lang w:val="hu-HU" w:eastAsia="en-US"/>
        </w:rPr>
        <w:t>A forgalomba hozatali engedély első kiadásának dátuma</w:t>
      </w:r>
      <w:r w:rsidR="003D6DBA" w:rsidRPr="00C60440">
        <w:rPr>
          <w:rFonts w:eastAsia="Times New Roman"/>
          <w:noProof/>
          <w:snapToGrid/>
          <w:szCs w:val="22"/>
          <w:lang w:val="hu-HU" w:eastAsia="en-US"/>
        </w:rPr>
        <w:t>:</w:t>
      </w:r>
      <w:r w:rsidR="00F641D7">
        <w:rPr>
          <w:rFonts w:eastAsia="Times New Roman"/>
          <w:noProof/>
          <w:snapToGrid/>
          <w:szCs w:val="22"/>
          <w:lang w:val="hu-HU" w:eastAsia="en-US"/>
        </w:rPr>
        <w:t xml:space="preserve"> 2021.</w:t>
      </w:r>
      <w:r w:rsidR="00463230">
        <w:rPr>
          <w:rFonts w:eastAsia="Times New Roman"/>
          <w:noProof/>
          <w:snapToGrid/>
          <w:szCs w:val="22"/>
          <w:lang w:val="hu-HU" w:eastAsia="en-US"/>
        </w:rPr>
        <w:t xml:space="preserve"> március 2.</w:t>
      </w:r>
    </w:p>
    <w:p w14:paraId="004B3521" w14:textId="77777777" w:rsidR="00F45C51" w:rsidRPr="00C60440" w:rsidRDefault="00F45C51" w:rsidP="00082A8E">
      <w:pPr>
        <w:spacing w:line="240" w:lineRule="auto"/>
        <w:rPr>
          <w:rFonts w:eastAsia="Times New Roman"/>
          <w:noProof/>
          <w:snapToGrid/>
          <w:szCs w:val="22"/>
          <w:lang w:val="hu-HU" w:eastAsia="en-US"/>
        </w:rPr>
      </w:pPr>
    </w:p>
    <w:p w14:paraId="1D379044" w14:textId="77777777" w:rsidR="00CA6136" w:rsidRPr="00C60440" w:rsidRDefault="00CA6136" w:rsidP="00082A8E">
      <w:pPr>
        <w:spacing w:line="240" w:lineRule="auto"/>
        <w:rPr>
          <w:rFonts w:eastAsia="Times New Roman"/>
          <w:noProof/>
          <w:snapToGrid/>
          <w:szCs w:val="22"/>
          <w:lang w:val="hu-HU" w:eastAsia="en-US"/>
        </w:rPr>
      </w:pPr>
    </w:p>
    <w:p w14:paraId="77A6312E" w14:textId="77777777" w:rsidR="00F45C51" w:rsidRPr="00C60440" w:rsidRDefault="00E61DC0" w:rsidP="00082A8E">
      <w:pPr>
        <w:spacing w:line="240" w:lineRule="auto"/>
        <w:ind w:left="567" w:hanging="567"/>
        <w:outlineLvl w:val="0"/>
        <w:rPr>
          <w:b/>
          <w:szCs w:val="22"/>
          <w:lang w:val="hu-HU"/>
        </w:rPr>
      </w:pPr>
      <w:r w:rsidRPr="00C60440">
        <w:rPr>
          <w:rFonts w:eastAsia="Times New Roman"/>
          <w:b/>
          <w:noProof/>
          <w:snapToGrid/>
          <w:szCs w:val="22"/>
          <w:lang w:val="hu-HU" w:eastAsia="en-US"/>
        </w:rPr>
        <w:t>10.</w:t>
      </w:r>
      <w:r w:rsidRPr="00C60440">
        <w:rPr>
          <w:rFonts w:eastAsia="Times New Roman"/>
          <w:b/>
          <w:noProof/>
          <w:snapToGrid/>
          <w:szCs w:val="22"/>
          <w:lang w:val="hu-HU" w:eastAsia="en-US"/>
        </w:rPr>
        <w:tab/>
        <w:t>A SZÖVEG ELLENŐRZÉSÉNEK DÁTUMA</w:t>
      </w:r>
    </w:p>
    <w:p w14:paraId="3DB99F8E" w14:textId="6DDA8A33" w:rsidR="00F45C51" w:rsidRDefault="00F45C51" w:rsidP="00082A8E">
      <w:pPr>
        <w:spacing w:line="240" w:lineRule="auto"/>
        <w:ind w:left="567" w:hanging="567"/>
        <w:outlineLvl w:val="0"/>
        <w:rPr>
          <w:b/>
          <w:szCs w:val="22"/>
          <w:lang w:val="hu-HU"/>
        </w:rPr>
      </w:pPr>
    </w:p>
    <w:p w14:paraId="73F4CAA0" w14:textId="3C61CCD2" w:rsidR="00F641D7" w:rsidRPr="00463230" w:rsidRDefault="00AB589B" w:rsidP="00925008">
      <w:pPr>
        <w:spacing w:line="240" w:lineRule="auto"/>
        <w:outlineLvl w:val="0"/>
        <w:rPr>
          <w:szCs w:val="22"/>
          <w:lang w:val="hu-HU"/>
        </w:rPr>
      </w:pPr>
      <w:r>
        <w:rPr>
          <w:szCs w:val="22"/>
          <w:lang w:val="hu-HU"/>
        </w:rPr>
        <w:t>2023. november 29.</w:t>
      </w:r>
    </w:p>
    <w:sectPr w:rsidR="00F641D7" w:rsidRPr="00463230" w:rsidSect="002D1F2D">
      <w:headerReference w:type="default" r:id="rId13"/>
      <w:footerReference w:type="default" r:id="rId14"/>
      <w:footerReference w:type="first" r:id="rId15"/>
      <w:endnotePr>
        <w:numFmt w:val="decimal"/>
      </w:endnotePr>
      <w:pgSz w:w="11907" w:h="16840" w:code="9"/>
      <w:pgMar w:top="1134" w:right="1418" w:bottom="1134" w:left="1418" w:header="737" w:footer="737" w:gutter="0"/>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2F39A59" w16cex:dateUtc="2023-12-06T12: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0E1D12" w16cid:durableId="42F39A5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896153" w14:textId="77777777" w:rsidR="00D101ED" w:rsidRDefault="00D101ED">
      <w:pPr>
        <w:spacing w:line="240" w:lineRule="auto"/>
      </w:pPr>
      <w:r>
        <w:separator/>
      </w:r>
    </w:p>
  </w:endnote>
  <w:endnote w:type="continuationSeparator" w:id="0">
    <w:p w14:paraId="280C2E78" w14:textId="77777777" w:rsidR="00D101ED" w:rsidRDefault="00D101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71A12" w14:textId="7FC7A9AB" w:rsidR="00777DEA" w:rsidRDefault="00777DEA">
    <w:pPr>
      <w:pStyle w:val="llb"/>
      <w:tabs>
        <w:tab w:val="right" w:pos="8931"/>
      </w:tabs>
      <w:ind w:right="96"/>
      <w:jc w:val="center"/>
    </w:pPr>
    <w:r>
      <w:rPr>
        <w:szCs w:val="24"/>
      </w:rPr>
      <w:fldChar w:fldCharType="begin"/>
    </w:r>
    <w:r>
      <w:rPr>
        <w:szCs w:val="24"/>
      </w:rPr>
      <w:instrText xml:space="preserve"> EQ </w:instrTex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F5AC8" w14:textId="77777777" w:rsidR="00777DEA" w:rsidRDefault="00777DEA" w:rsidP="00463230">
    <w:pPr>
      <w:pStyle w:val="llb"/>
      <w:tabs>
        <w:tab w:val="right" w:pos="8931"/>
      </w:tabs>
      <w:ind w:right="96"/>
      <w:rPr>
        <w:rFonts w:ascii="Times New Roman" w:hAnsi="Times New Roman"/>
        <w:sz w:val="18"/>
        <w:szCs w:val="18"/>
      </w:rPr>
    </w:pPr>
    <w:r>
      <w:rPr>
        <w:rFonts w:ascii="Times New Roman" w:hAnsi="Times New Roman"/>
        <w:sz w:val="18"/>
        <w:szCs w:val="18"/>
      </w:rPr>
      <w:t>OGYÉI/61498/2023</w:t>
    </w:r>
  </w:p>
  <w:p w14:paraId="007906ED" w14:textId="0DEDC658" w:rsidR="00777DEA" w:rsidRPr="00B01B31" w:rsidRDefault="00777DEA" w:rsidP="00463230">
    <w:pPr>
      <w:pStyle w:val="llb"/>
      <w:tabs>
        <w:tab w:val="right" w:pos="8931"/>
      </w:tabs>
      <w:ind w:right="96"/>
      <w:rPr>
        <w:rFonts w:ascii="Times New Roman" w:hAnsi="Times New Roman"/>
        <w:sz w:val="18"/>
        <w:szCs w:val="18"/>
      </w:rPr>
    </w:pPr>
    <w:r>
      <w:rPr>
        <w:rFonts w:ascii="Times New Roman" w:hAnsi="Times New Roman"/>
        <w:sz w:val="18"/>
        <w:szCs w:val="18"/>
      </w:rPr>
      <w:t>OGYÉI/61500/2023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574A54" w14:textId="77777777" w:rsidR="00D101ED" w:rsidRDefault="00D101ED">
      <w:pPr>
        <w:spacing w:line="240" w:lineRule="auto"/>
      </w:pPr>
      <w:r>
        <w:separator/>
      </w:r>
    </w:p>
  </w:footnote>
  <w:footnote w:type="continuationSeparator" w:id="0">
    <w:p w14:paraId="4515A469" w14:textId="77777777" w:rsidR="00D101ED" w:rsidRDefault="00D101E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9312095"/>
      <w:docPartObj>
        <w:docPartGallery w:val="Page Numbers (Top of Page)"/>
        <w:docPartUnique/>
      </w:docPartObj>
    </w:sdtPr>
    <w:sdtEndPr>
      <w:rPr>
        <w:sz w:val="18"/>
        <w:szCs w:val="18"/>
      </w:rPr>
    </w:sdtEndPr>
    <w:sdtContent>
      <w:p w14:paraId="02D8FACE" w14:textId="54966064" w:rsidR="00777DEA" w:rsidRPr="00463230" w:rsidRDefault="00777DEA" w:rsidP="00463230">
        <w:pPr>
          <w:pStyle w:val="lfej"/>
          <w:jc w:val="center"/>
          <w:rPr>
            <w:sz w:val="18"/>
            <w:szCs w:val="18"/>
          </w:rPr>
        </w:pPr>
        <w:r w:rsidRPr="00463230">
          <w:rPr>
            <w:sz w:val="18"/>
            <w:szCs w:val="18"/>
          </w:rPr>
          <w:fldChar w:fldCharType="begin"/>
        </w:r>
        <w:r w:rsidRPr="00463230">
          <w:rPr>
            <w:sz w:val="18"/>
            <w:szCs w:val="18"/>
          </w:rPr>
          <w:instrText>PAGE   \* MERGEFORMAT</w:instrText>
        </w:r>
        <w:r w:rsidRPr="00463230">
          <w:rPr>
            <w:sz w:val="18"/>
            <w:szCs w:val="18"/>
          </w:rPr>
          <w:fldChar w:fldCharType="separate"/>
        </w:r>
        <w:r w:rsidR="00925008" w:rsidRPr="00925008">
          <w:rPr>
            <w:noProof/>
            <w:sz w:val="18"/>
            <w:szCs w:val="18"/>
            <w:lang w:val="hu-HU"/>
          </w:rPr>
          <w:t>18</w:t>
        </w:r>
        <w:r w:rsidRPr="00463230">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00900ED"/>
    <w:multiLevelType w:val="hybridMultilevel"/>
    <w:tmpl w:val="3D08C984"/>
    <w:lvl w:ilvl="0" w:tplc="A204F0DA">
      <w:start w:val="1"/>
      <w:numFmt w:val="bullet"/>
      <w:pStyle w:val="Cmsor1"/>
      <w:lvlText w:val=""/>
      <w:lvlJc w:val="left"/>
      <w:pPr>
        <w:tabs>
          <w:tab w:val="num" w:pos="360"/>
        </w:tabs>
        <w:ind w:left="360" w:hanging="360"/>
      </w:pPr>
      <w:rPr>
        <w:rFonts w:ascii="Symbol" w:hAnsi="Symbol" w:hint="default"/>
      </w:rPr>
    </w:lvl>
    <w:lvl w:ilvl="1" w:tplc="5CD6D8AE" w:tentative="1">
      <w:start w:val="1"/>
      <w:numFmt w:val="bullet"/>
      <w:pStyle w:val="Cmsor2"/>
      <w:lvlText w:val="o"/>
      <w:lvlJc w:val="left"/>
      <w:pPr>
        <w:tabs>
          <w:tab w:val="num" w:pos="1080"/>
        </w:tabs>
        <w:ind w:left="1080" w:hanging="360"/>
      </w:pPr>
      <w:rPr>
        <w:rFonts w:ascii="Courier New" w:hAnsi="Courier New" w:hint="default"/>
      </w:rPr>
    </w:lvl>
    <w:lvl w:ilvl="2" w:tplc="4868410C" w:tentative="1">
      <w:start w:val="1"/>
      <w:numFmt w:val="bullet"/>
      <w:pStyle w:val="Cmsor3"/>
      <w:lvlText w:val=""/>
      <w:lvlJc w:val="left"/>
      <w:pPr>
        <w:tabs>
          <w:tab w:val="num" w:pos="1800"/>
        </w:tabs>
        <w:ind w:left="1800" w:hanging="360"/>
      </w:pPr>
      <w:rPr>
        <w:rFonts w:ascii="Wingdings" w:hAnsi="Wingdings" w:hint="default"/>
      </w:rPr>
    </w:lvl>
    <w:lvl w:ilvl="3" w:tplc="F3324D9C" w:tentative="1">
      <w:start w:val="1"/>
      <w:numFmt w:val="bullet"/>
      <w:pStyle w:val="Cmsor4"/>
      <w:lvlText w:val=""/>
      <w:lvlJc w:val="left"/>
      <w:pPr>
        <w:tabs>
          <w:tab w:val="num" w:pos="2520"/>
        </w:tabs>
        <w:ind w:left="2520" w:hanging="360"/>
      </w:pPr>
      <w:rPr>
        <w:rFonts w:ascii="Symbol" w:hAnsi="Symbol" w:hint="default"/>
      </w:rPr>
    </w:lvl>
    <w:lvl w:ilvl="4" w:tplc="E9587336" w:tentative="1">
      <w:start w:val="1"/>
      <w:numFmt w:val="bullet"/>
      <w:pStyle w:val="Cmsor5"/>
      <w:lvlText w:val="o"/>
      <w:lvlJc w:val="left"/>
      <w:pPr>
        <w:tabs>
          <w:tab w:val="num" w:pos="3240"/>
        </w:tabs>
        <w:ind w:left="3240" w:hanging="360"/>
      </w:pPr>
      <w:rPr>
        <w:rFonts w:ascii="Courier New" w:hAnsi="Courier New" w:hint="default"/>
      </w:rPr>
    </w:lvl>
    <w:lvl w:ilvl="5" w:tplc="6030A928" w:tentative="1">
      <w:start w:val="1"/>
      <w:numFmt w:val="bullet"/>
      <w:pStyle w:val="Cmsor6"/>
      <w:lvlText w:val=""/>
      <w:lvlJc w:val="left"/>
      <w:pPr>
        <w:tabs>
          <w:tab w:val="num" w:pos="3960"/>
        </w:tabs>
        <w:ind w:left="3960" w:hanging="360"/>
      </w:pPr>
      <w:rPr>
        <w:rFonts w:ascii="Wingdings" w:hAnsi="Wingdings" w:hint="default"/>
      </w:rPr>
    </w:lvl>
    <w:lvl w:ilvl="6" w:tplc="FD8467E4" w:tentative="1">
      <w:start w:val="1"/>
      <w:numFmt w:val="bullet"/>
      <w:pStyle w:val="Cmsor7"/>
      <w:lvlText w:val=""/>
      <w:lvlJc w:val="left"/>
      <w:pPr>
        <w:tabs>
          <w:tab w:val="num" w:pos="4680"/>
        </w:tabs>
        <w:ind w:left="4680" w:hanging="360"/>
      </w:pPr>
      <w:rPr>
        <w:rFonts w:ascii="Symbol" w:hAnsi="Symbol" w:hint="default"/>
      </w:rPr>
    </w:lvl>
    <w:lvl w:ilvl="7" w:tplc="FB1040F6" w:tentative="1">
      <w:start w:val="1"/>
      <w:numFmt w:val="bullet"/>
      <w:pStyle w:val="Cmsor8"/>
      <w:lvlText w:val="o"/>
      <w:lvlJc w:val="left"/>
      <w:pPr>
        <w:tabs>
          <w:tab w:val="num" w:pos="5400"/>
        </w:tabs>
        <w:ind w:left="5400" w:hanging="360"/>
      </w:pPr>
      <w:rPr>
        <w:rFonts w:ascii="Courier New" w:hAnsi="Courier New" w:hint="default"/>
      </w:rPr>
    </w:lvl>
    <w:lvl w:ilvl="8" w:tplc="7BF02BFA" w:tentative="1">
      <w:start w:val="1"/>
      <w:numFmt w:val="bullet"/>
      <w:pStyle w:val="Cmsor9"/>
      <w:lvlText w:val=""/>
      <w:lvlJc w:val="left"/>
      <w:pPr>
        <w:tabs>
          <w:tab w:val="num" w:pos="6120"/>
        </w:tabs>
        <w:ind w:left="6120" w:hanging="360"/>
      </w:pPr>
      <w:rPr>
        <w:rFonts w:ascii="Wingdings" w:hAnsi="Wingdings" w:hint="default"/>
      </w:rPr>
    </w:lvl>
  </w:abstractNum>
  <w:abstractNum w:abstractNumId="12"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1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5874684"/>
    <w:multiLevelType w:val="hybridMultilevel"/>
    <w:tmpl w:val="789C5BEC"/>
    <w:lvl w:ilvl="0" w:tplc="1DC6AEBA">
      <w:start w:val="1"/>
      <w:numFmt w:val="bullet"/>
      <w:lvlText w:val=""/>
      <w:lvlJc w:val="left"/>
      <w:pPr>
        <w:tabs>
          <w:tab w:val="num" w:pos="567"/>
        </w:tabs>
        <w:ind w:left="567" w:hanging="567"/>
      </w:pPr>
      <w:rPr>
        <w:rFonts w:ascii="Symbol" w:hAnsi="Symbol" w:hint="default"/>
      </w:rPr>
    </w:lvl>
    <w:lvl w:ilvl="1" w:tplc="BBB6EF02" w:tentative="1">
      <w:start w:val="1"/>
      <w:numFmt w:val="bullet"/>
      <w:lvlText w:val="o"/>
      <w:lvlJc w:val="left"/>
      <w:pPr>
        <w:tabs>
          <w:tab w:val="num" w:pos="1440"/>
        </w:tabs>
        <w:ind w:left="1440" w:hanging="360"/>
      </w:pPr>
      <w:rPr>
        <w:rFonts w:ascii="Courier New" w:hAnsi="Courier New" w:hint="default"/>
      </w:rPr>
    </w:lvl>
    <w:lvl w:ilvl="2" w:tplc="D45A0964" w:tentative="1">
      <w:start w:val="1"/>
      <w:numFmt w:val="bullet"/>
      <w:lvlText w:val=""/>
      <w:lvlJc w:val="left"/>
      <w:pPr>
        <w:tabs>
          <w:tab w:val="num" w:pos="2160"/>
        </w:tabs>
        <w:ind w:left="2160" w:hanging="360"/>
      </w:pPr>
      <w:rPr>
        <w:rFonts w:ascii="Wingdings" w:hAnsi="Wingdings" w:hint="default"/>
      </w:rPr>
    </w:lvl>
    <w:lvl w:ilvl="3" w:tplc="9EA0F6C6" w:tentative="1">
      <w:start w:val="1"/>
      <w:numFmt w:val="bullet"/>
      <w:lvlText w:val=""/>
      <w:lvlJc w:val="left"/>
      <w:pPr>
        <w:tabs>
          <w:tab w:val="num" w:pos="2880"/>
        </w:tabs>
        <w:ind w:left="2880" w:hanging="360"/>
      </w:pPr>
      <w:rPr>
        <w:rFonts w:ascii="Symbol" w:hAnsi="Symbol" w:hint="default"/>
      </w:rPr>
    </w:lvl>
    <w:lvl w:ilvl="4" w:tplc="B2E6D86E" w:tentative="1">
      <w:start w:val="1"/>
      <w:numFmt w:val="bullet"/>
      <w:lvlText w:val="o"/>
      <w:lvlJc w:val="left"/>
      <w:pPr>
        <w:tabs>
          <w:tab w:val="num" w:pos="3600"/>
        </w:tabs>
        <w:ind w:left="3600" w:hanging="360"/>
      </w:pPr>
      <w:rPr>
        <w:rFonts w:ascii="Courier New" w:hAnsi="Courier New" w:hint="default"/>
      </w:rPr>
    </w:lvl>
    <w:lvl w:ilvl="5" w:tplc="9F9E10F2" w:tentative="1">
      <w:start w:val="1"/>
      <w:numFmt w:val="bullet"/>
      <w:lvlText w:val=""/>
      <w:lvlJc w:val="left"/>
      <w:pPr>
        <w:tabs>
          <w:tab w:val="num" w:pos="4320"/>
        </w:tabs>
        <w:ind w:left="4320" w:hanging="360"/>
      </w:pPr>
      <w:rPr>
        <w:rFonts w:ascii="Wingdings" w:hAnsi="Wingdings" w:hint="default"/>
      </w:rPr>
    </w:lvl>
    <w:lvl w:ilvl="6" w:tplc="86CCC778" w:tentative="1">
      <w:start w:val="1"/>
      <w:numFmt w:val="bullet"/>
      <w:lvlText w:val=""/>
      <w:lvlJc w:val="left"/>
      <w:pPr>
        <w:tabs>
          <w:tab w:val="num" w:pos="5040"/>
        </w:tabs>
        <w:ind w:left="5040" w:hanging="360"/>
      </w:pPr>
      <w:rPr>
        <w:rFonts w:ascii="Symbol" w:hAnsi="Symbol" w:hint="default"/>
      </w:rPr>
    </w:lvl>
    <w:lvl w:ilvl="7" w:tplc="FC841C98" w:tentative="1">
      <w:start w:val="1"/>
      <w:numFmt w:val="bullet"/>
      <w:lvlText w:val="o"/>
      <w:lvlJc w:val="left"/>
      <w:pPr>
        <w:tabs>
          <w:tab w:val="num" w:pos="5760"/>
        </w:tabs>
        <w:ind w:left="5760" w:hanging="360"/>
      </w:pPr>
      <w:rPr>
        <w:rFonts w:ascii="Courier New" w:hAnsi="Courier New" w:hint="default"/>
      </w:rPr>
    </w:lvl>
    <w:lvl w:ilvl="8" w:tplc="3748390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9C44CC1"/>
    <w:multiLevelType w:val="hybridMultilevel"/>
    <w:tmpl w:val="7FF2C56E"/>
    <w:lvl w:ilvl="0" w:tplc="7F3A73F0">
      <w:start w:val="1"/>
      <w:numFmt w:val="bullet"/>
      <w:lvlText w:val=""/>
      <w:lvlJc w:val="left"/>
      <w:pPr>
        <w:tabs>
          <w:tab w:val="num" w:pos="720"/>
        </w:tabs>
        <w:ind w:left="720" w:hanging="360"/>
      </w:pPr>
      <w:rPr>
        <w:rFonts w:ascii="Symbol" w:hAnsi="Symbol" w:hint="default"/>
      </w:rPr>
    </w:lvl>
    <w:lvl w:ilvl="1" w:tplc="223CC208" w:tentative="1">
      <w:start w:val="1"/>
      <w:numFmt w:val="bullet"/>
      <w:lvlText w:val="o"/>
      <w:lvlJc w:val="left"/>
      <w:pPr>
        <w:tabs>
          <w:tab w:val="num" w:pos="1440"/>
        </w:tabs>
        <w:ind w:left="1440" w:hanging="360"/>
      </w:pPr>
      <w:rPr>
        <w:rFonts w:ascii="Courier New" w:hAnsi="Courier New" w:hint="default"/>
      </w:rPr>
    </w:lvl>
    <w:lvl w:ilvl="2" w:tplc="5EA420C6" w:tentative="1">
      <w:start w:val="1"/>
      <w:numFmt w:val="bullet"/>
      <w:lvlText w:val=""/>
      <w:lvlJc w:val="left"/>
      <w:pPr>
        <w:tabs>
          <w:tab w:val="num" w:pos="2160"/>
        </w:tabs>
        <w:ind w:left="2160" w:hanging="360"/>
      </w:pPr>
      <w:rPr>
        <w:rFonts w:ascii="Wingdings" w:hAnsi="Wingdings" w:hint="default"/>
      </w:rPr>
    </w:lvl>
    <w:lvl w:ilvl="3" w:tplc="8C32F82E" w:tentative="1">
      <w:start w:val="1"/>
      <w:numFmt w:val="bullet"/>
      <w:lvlText w:val=""/>
      <w:lvlJc w:val="left"/>
      <w:pPr>
        <w:tabs>
          <w:tab w:val="num" w:pos="2880"/>
        </w:tabs>
        <w:ind w:left="2880" w:hanging="360"/>
      </w:pPr>
      <w:rPr>
        <w:rFonts w:ascii="Symbol" w:hAnsi="Symbol" w:hint="default"/>
      </w:rPr>
    </w:lvl>
    <w:lvl w:ilvl="4" w:tplc="7FEE6678" w:tentative="1">
      <w:start w:val="1"/>
      <w:numFmt w:val="bullet"/>
      <w:lvlText w:val="o"/>
      <w:lvlJc w:val="left"/>
      <w:pPr>
        <w:tabs>
          <w:tab w:val="num" w:pos="3600"/>
        </w:tabs>
        <w:ind w:left="3600" w:hanging="360"/>
      </w:pPr>
      <w:rPr>
        <w:rFonts w:ascii="Courier New" w:hAnsi="Courier New" w:hint="default"/>
      </w:rPr>
    </w:lvl>
    <w:lvl w:ilvl="5" w:tplc="93302586" w:tentative="1">
      <w:start w:val="1"/>
      <w:numFmt w:val="bullet"/>
      <w:lvlText w:val=""/>
      <w:lvlJc w:val="left"/>
      <w:pPr>
        <w:tabs>
          <w:tab w:val="num" w:pos="4320"/>
        </w:tabs>
        <w:ind w:left="4320" w:hanging="360"/>
      </w:pPr>
      <w:rPr>
        <w:rFonts w:ascii="Wingdings" w:hAnsi="Wingdings" w:hint="default"/>
      </w:rPr>
    </w:lvl>
    <w:lvl w:ilvl="6" w:tplc="0DCCBD80" w:tentative="1">
      <w:start w:val="1"/>
      <w:numFmt w:val="bullet"/>
      <w:lvlText w:val=""/>
      <w:lvlJc w:val="left"/>
      <w:pPr>
        <w:tabs>
          <w:tab w:val="num" w:pos="5040"/>
        </w:tabs>
        <w:ind w:left="5040" w:hanging="360"/>
      </w:pPr>
      <w:rPr>
        <w:rFonts w:ascii="Symbol" w:hAnsi="Symbol" w:hint="default"/>
      </w:rPr>
    </w:lvl>
    <w:lvl w:ilvl="7" w:tplc="8ADA6636" w:tentative="1">
      <w:start w:val="1"/>
      <w:numFmt w:val="bullet"/>
      <w:lvlText w:val="o"/>
      <w:lvlJc w:val="left"/>
      <w:pPr>
        <w:tabs>
          <w:tab w:val="num" w:pos="5760"/>
        </w:tabs>
        <w:ind w:left="5760" w:hanging="360"/>
      </w:pPr>
      <w:rPr>
        <w:rFonts w:ascii="Courier New" w:hAnsi="Courier New" w:hint="default"/>
      </w:rPr>
    </w:lvl>
    <w:lvl w:ilvl="8" w:tplc="9D5EA68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4E76AF"/>
    <w:multiLevelType w:val="multilevel"/>
    <w:tmpl w:val="ED74054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7" w15:restartNumberingAfterBreak="0">
    <w:nsid w:val="2E541609"/>
    <w:multiLevelType w:val="hybridMultilevel"/>
    <w:tmpl w:val="1E5AABE8"/>
    <w:lvl w:ilvl="0" w:tplc="30E42AB4">
      <w:start w:val="1"/>
      <w:numFmt w:val="decimal"/>
      <w:lvlText w:val="%1."/>
      <w:lvlJc w:val="left"/>
      <w:pPr>
        <w:tabs>
          <w:tab w:val="num" w:pos="570"/>
        </w:tabs>
        <w:ind w:left="570" w:hanging="570"/>
      </w:pPr>
      <w:rPr>
        <w:rFonts w:cs="Times New Roman" w:hint="default"/>
      </w:rPr>
    </w:lvl>
    <w:lvl w:ilvl="1" w:tplc="84EE48A8" w:tentative="1">
      <w:start w:val="1"/>
      <w:numFmt w:val="lowerLetter"/>
      <w:lvlText w:val="%2."/>
      <w:lvlJc w:val="left"/>
      <w:pPr>
        <w:tabs>
          <w:tab w:val="num" w:pos="1080"/>
        </w:tabs>
        <w:ind w:left="1080" w:hanging="360"/>
      </w:pPr>
      <w:rPr>
        <w:rFonts w:cs="Times New Roman"/>
      </w:rPr>
    </w:lvl>
    <w:lvl w:ilvl="2" w:tplc="DF82FB3C" w:tentative="1">
      <w:start w:val="1"/>
      <w:numFmt w:val="lowerRoman"/>
      <w:lvlText w:val="%3."/>
      <w:lvlJc w:val="right"/>
      <w:pPr>
        <w:tabs>
          <w:tab w:val="num" w:pos="1800"/>
        </w:tabs>
        <w:ind w:left="1800" w:hanging="180"/>
      </w:pPr>
      <w:rPr>
        <w:rFonts w:cs="Times New Roman"/>
      </w:rPr>
    </w:lvl>
    <w:lvl w:ilvl="3" w:tplc="CDC80D6C" w:tentative="1">
      <w:start w:val="1"/>
      <w:numFmt w:val="decimal"/>
      <w:lvlText w:val="%4."/>
      <w:lvlJc w:val="left"/>
      <w:pPr>
        <w:tabs>
          <w:tab w:val="num" w:pos="2520"/>
        </w:tabs>
        <w:ind w:left="2520" w:hanging="360"/>
      </w:pPr>
      <w:rPr>
        <w:rFonts w:cs="Times New Roman"/>
      </w:rPr>
    </w:lvl>
    <w:lvl w:ilvl="4" w:tplc="56A8FEA0" w:tentative="1">
      <w:start w:val="1"/>
      <w:numFmt w:val="lowerLetter"/>
      <w:lvlText w:val="%5."/>
      <w:lvlJc w:val="left"/>
      <w:pPr>
        <w:tabs>
          <w:tab w:val="num" w:pos="3240"/>
        </w:tabs>
        <w:ind w:left="3240" w:hanging="360"/>
      </w:pPr>
      <w:rPr>
        <w:rFonts w:cs="Times New Roman"/>
      </w:rPr>
    </w:lvl>
    <w:lvl w:ilvl="5" w:tplc="F7703DC0" w:tentative="1">
      <w:start w:val="1"/>
      <w:numFmt w:val="lowerRoman"/>
      <w:lvlText w:val="%6."/>
      <w:lvlJc w:val="right"/>
      <w:pPr>
        <w:tabs>
          <w:tab w:val="num" w:pos="3960"/>
        </w:tabs>
        <w:ind w:left="3960" w:hanging="180"/>
      </w:pPr>
      <w:rPr>
        <w:rFonts w:cs="Times New Roman"/>
      </w:rPr>
    </w:lvl>
    <w:lvl w:ilvl="6" w:tplc="74204F60" w:tentative="1">
      <w:start w:val="1"/>
      <w:numFmt w:val="decimal"/>
      <w:lvlText w:val="%7."/>
      <w:lvlJc w:val="left"/>
      <w:pPr>
        <w:tabs>
          <w:tab w:val="num" w:pos="4680"/>
        </w:tabs>
        <w:ind w:left="4680" w:hanging="360"/>
      </w:pPr>
      <w:rPr>
        <w:rFonts w:cs="Times New Roman"/>
      </w:rPr>
    </w:lvl>
    <w:lvl w:ilvl="7" w:tplc="98CC5E78" w:tentative="1">
      <w:start w:val="1"/>
      <w:numFmt w:val="lowerLetter"/>
      <w:lvlText w:val="%8."/>
      <w:lvlJc w:val="left"/>
      <w:pPr>
        <w:tabs>
          <w:tab w:val="num" w:pos="5400"/>
        </w:tabs>
        <w:ind w:left="5400" w:hanging="360"/>
      </w:pPr>
      <w:rPr>
        <w:rFonts w:cs="Times New Roman"/>
      </w:rPr>
    </w:lvl>
    <w:lvl w:ilvl="8" w:tplc="8064FA72" w:tentative="1">
      <w:start w:val="1"/>
      <w:numFmt w:val="lowerRoman"/>
      <w:lvlText w:val="%9."/>
      <w:lvlJc w:val="right"/>
      <w:pPr>
        <w:tabs>
          <w:tab w:val="num" w:pos="6120"/>
        </w:tabs>
        <w:ind w:left="6120" w:hanging="180"/>
      </w:pPr>
      <w:rPr>
        <w:rFonts w:cs="Times New Roman"/>
      </w:r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9" w15:restartNumberingAfterBreak="0">
    <w:nsid w:val="3E7422D0"/>
    <w:multiLevelType w:val="singleLevel"/>
    <w:tmpl w:val="FFFFFFFF"/>
    <w:lvl w:ilvl="0">
      <w:start w:val="1"/>
      <w:numFmt w:val="bullet"/>
      <w:lvlText w:val=""/>
      <w:lvlJc w:val="left"/>
      <w:pPr>
        <w:ind w:left="283" w:hanging="283"/>
      </w:pPr>
      <w:rPr>
        <w:rFonts w:ascii="Symbol" w:hAnsi="Symbol" w:hint="default"/>
      </w:rPr>
    </w:lvl>
  </w:abstractNum>
  <w:abstractNum w:abstractNumId="20" w15:restartNumberingAfterBreak="0">
    <w:nsid w:val="4A810019"/>
    <w:multiLevelType w:val="singleLevel"/>
    <w:tmpl w:val="FFFFFFFF"/>
    <w:lvl w:ilvl="0">
      <w:start w:val="1"/>
      <w:numFmt w:val="bullet"/>
      <w:lvlText w:val="-"/>
      <w:lvlJc w:val="left"/>
      <w:pPr>
        <w:ind w:left="1800" w:hanging="360"/>
      </w:pPr>
    </w:lvl>
  </w:abstractNum>
  <w:abstractNum w:abstractNumId="21" w15:restartNumberingAfterBreak="0">
    <w:nsid w:val="500F0A91"/>
    <w:multiLevelType w:val="hybridMultilevel"/>
    <w:tmpl w:val="2B94116C"/>
    <w:lvl w:ilvl="0" w:tplc="A03A69B4">
      <w:start w:val="1"/>
      <w:numFmt w:val="decimal"/>
      <w:lvlText w:val="%1."/>
      <w:lvlJc w:val="left"/>
      <w:pPr>
        <w:tabs>
          <w:tab w:val="num" w:pos="720"/>
        </w:tabs>
        <w:ind w:left="720" w:hanging="360"/>
      </w:pPr>
    </w:lvl>
    <w:lvl w:ilvl="1" w:tplc="A39AD3EA" w:tentative="1">
      <w:start w:val="1"/>
      <w:numFmt w:val="lowerLetter"/>
      <w:lvlText w:val="%2."/>
      <w:lvlJc w:val="left"/>
      <w:pPr>
        <w:tabs>
          <w:tab w:val="num" w:pos="1440"/>
        </w:tabs>
        <w:ind w:left="1440" w:hanging="360"/>
      </w:pPr>
    </w:lvl>
    <w:lvl w:ilvl="2" w:tplc="5CF804B6" w:tentative="1">
      <w:start w:val="1"/>
      <w:numFmt w:val="lowerRoman"/>
      <w:lvlText w:val="%3."/>
      <w:lvlJc w:val="right"/>
      <w:pPr>
        <w:tabs>
          <w:tab w:val="num" w:pos="2160"/>
        </w:tabs>
        <w:ind w:left="2160" w:hanging="180"/>
      </w:pPr>
    </w:lvl>
    <w:lvl w:ilvl="3" w:tplc="0A88469C" w:tentative="1">
      <w:start w:val="1"/>
      <w:numFmt w:val="decimal"/>
      <w:lvlText w:val="%4."/>
      <w:lvlJc w:val="left"/>
      <w:pPr>
        <w:tabs>
          <w:tab w:val="num" w:pos="2880"/>
        </w:tabs>
        <w:ind w:left="2880" w:hanging="360"/>
      </w:pPr>
    </w:lvl>
    <w:lvl w:ilvl="4" w:tplc="41721610" w:tentative="1">
      <w:start w:val="1"/>
      <w:numFmt w:val="lowerLetter"/>
      <w:lvlText w:val="%5."/>
      <w:lvlJc w:val="left"/>
      <w:pPr>
        <w:tabs>
          <w:tab w:val="num" w:pos="3600"/>
        </w:tabs>
        <w:ind w:left="3600" w:hanging="360"/>
      </w:pPr>
    </w:lvl>
    <w:lvl w:ilvl="5" w:tplc="A55C5940" w:tentative="1">
      <w:start w:val="1"/>
      <w:numFmt w:val="lowerRoman"/>
      <w:lvlText w:val="%6."/>
      <w:lvlJc w:val="right"/>
      <w:pPr>
        <w:tabs>
          <w:tab w:val="num" w:pos="4320"/>
        </w:tabs>
        <w:ind w:left="4320" w:hanging="180"/>
      </w:pPr>
    </w:lvl>
    <w:lvl w:ilvl="6" w:tplc="5140594A" w:tentative="1">
      <w:start w:val="1"/>
      <w:numFmt w:val="decimal"/>
      <w:lvlText w:val="%7."/>
      <w:lvlJc w:val="left"/>
      <w:pPr>
        <w:tabs>
          <w:tab w:val="num" w:pos="5040"/>
        </w:tabs>
        <w:ind w:left="5040" w:hanging="360"/>
      </w:pPr>
    </w:lvl>
    <w:lvl w:ilvl="7" w:tplc="C00C4856" w:tentative="1">
      <w:start w:val="1"/>
      <w:numFmt w:val="lowerLetter"/>
      <w:lvlText w:val="%8."/>
      <w:lvlJc w:val="left"/>
      <w:pPr>
        <w:tabs>
          <w:tab w:val="num" w:pos="5760"/>
        </w:tabs>
        <w:ind w:left="5760" w:hanging="360"/>
      </w:pPr>
    </w:lvl>
    <w:lvl w:ilvl="8" w:tplc="5BE84B52" w:tentative="1">
      <w:start w:val="1"/>
      <w:numFmt w:val="lowerRoman"/>
      <w:lvlText w:val="%9."/>
      <w:lvlJc w:val="right"/>
      <w:pPr>
        <w:tabs>
          <w:tab w:val="num" w:pos="6480"/>
        </w:tabs>
        <w:ind w:left="6480" w:hanging="180"/>
      </w:pPr>
    </w:lvl>
  </w:abstractNum>
  <w:abstractNum w:abstractNumId="22" w15:restartNumberingAfterBreak="0">
    <w:nsid w:val="560C4365"/>
    <w:multiLevelType w:val="singleLevel"/>
    <w:tmpl w:val="FFFFFFFF"/>
    <w:lvl w:ilvl="0">
      <w:start w:val="1"/>
      <w:numFmt w:val="bullet"/>
      <w:lvlText w:val="-"/>
      <w:lvlJc w:val="left"/>
      <w:pPr>
        <w:ind w:left="1800" w:hanging="360"/>
      </w:pPr>
    </w:lvl>
  </w:abstractNum>
  <w:abstractNum w:abstractNumId="23" w15:restartNumberingAfterBreak="0">
    <w:nsid w:val="58B56C73"/>
    <w:multiLevelType w:val="hybridMultilevel"/>
    <w:tmpl w:val="5BA42128"/>
    <w:lvl w:ilvl="0" w:tplc="8D6E4FE0">
      <w:start w:val="2"/>
      <w:numFmt w:val="decimal"/>
      <w:lvlText w:val="%1."/>
      <w:lvlJc w:val="left"/>
      <w:pPr>
        <w:tabs>
          <w:tab w:val="num" w:pos="570"/>
        </w:tabs>
        <w:ind w:left="570" w:hanging="570"/>
      </w:pPr>
      <w:rPr>
        <w:rFonts w:cs="Times New Roman" w:hint="default"/>
      </w:rPr>
    </w:lvl>
    <w:lvl w:ilvl="1" w:tplc="B2B2E180" w:tentative="1">
      <w:start w:val="1"/>
      <w:numFmt w:val="lowerLetter"/>
      <w:lvlText w:val="%2."/>
      <w:lvlJc w:val="left"/>
      <w:pPr>
        <w:tabs>
          <w:tab w:val="num" w:pos="1080"/>
        </w:tabs>
        <w:ind w:left="1080" w:hanging="360"/>
      </w:pPr>
      <w:rPr>
        <w:rFonts w:cs="Times New Roman"/>
      </w:rPr>
    </w:lvl>
    <w:lvl w:ilvl="2" w:tplc="73A2AD38" w:tentative="1">
      <w:start w:val="1"/>
      <w:numFmt w:val="lowerRoman"/>
      <w:lvlText w:val="%3."/>
      <w:lvlJc w:val="right"/>
      <w:pPr>
        <w:tabs>
          <w:tab w:val="num" w:pos="1800"/>
        </w:tabs>
        <w:ind w:left="1800" w:hanging="180"/>
      </w:pPr>
      <w:rPr>
        <w:rFonts w:cs="Times New Roman"/>
      </w:rPr>
    </w:lvl>
    <w:lvl w:ilvl="3" w:tplc="F37A1F50" w:tentative="1">
      <w:start w:val="1"/>
      <w:numFmt w:val="decimal"/>
      <w:lvlText w:val="%4."/>
      <w:lvlJc w:val="left"/>
      <w:pPr>
        <w:tabs>
          <w:tab w:val="num" w:pos="2520"/>
        </w:tabs>
        <w:ind w:left="2520" w:hanging="360"/>
      </w:pPr>
      <w:rPr>
        <w:rFonts w:cs="Times New Roman"/>
      </w:rPr>
    </w:lvl>
    <w:lvl w:ilvl="4" w:tplc="CAE2F52C" w:tentative="1">
      <w:start w:val="1"/>
      <w:numFmt w:val="lowerLetter"/>
      <w:lvlText w:val="%5."/>
      <w:lvlJc w:val="left"/>
      <w:pPr>
        <w:tabs>
          <w:tab w:val="num" w:pos="3240"/>
        </w:tabs>
        <w:ind w:left="3240" w:hanging="360"/>
      </w:pPr>
      <w:rPr>
        <w:rFonts w:cs="Times New Roman"/>
      </w:rPr>
    </w:lvl>
    <w:lvl w:ilvl="5" w:tplc="5A32B1A4" w:tentative="1">
      <w:start w:val="1"/>
      <w:numFmt w:val="lowerRoman"/>
      <w:lvlText w:val="%6."/>
      <w:lvlJc w:val="right"/>
      <w:pPr>
        <w:tabs>
          <w:tab w:val="num" w:pos="3960"/>
        </w:tabs>
        <w:ind w:left="3960" w:hanging="180"/>
      </w:pPr>
      <w:rPr>
        <w:rFonts w:cs="Times New Roman"/>
      </w:rPr>
    </w:lvl>
    <w:lvl w:ilvl="6" w:tplc="7DDA8E80" w:tentative="1">
      <w:start w:val="1"/>
      <w:numFmt w:val="decimal"/>
      <w:lvlText w:val="%7."/>
      <w:lvlJc w:val="left"/>
      <w:pPr>
        <w:tabs>
          <w:tab w:val="num" w:pos="4680"/>
        </w:tabs>
        <w:ind w:left="4680" w:hanging="360"/>
      </w:pPr>
      <w:rPr>
        <w:rFonts w:cs="Times New Roman"/>
      </w:rPr>
    </w:lvl>
    <w:lvl w:ilvl="7" w:tplc="57609A84" w:tentative="1">
      <w:start w:val="1"/>
      <w:numFmt w:val="lowerLetter"/>
      <w:lvlText w:val="%8."/>
      <w:lvlJc w:val="left"/>
      <w:pPr>
        <w:tabs>
          <w:tab w:val="num" w:pos="5400"/>
        </w:tabs>
        <w:ind w:left="5400" w:hanging="360"/>
      </w:pPr>
      <w:rPr>
        <w:rFonts w:cs="Times New Roman"/>
      </w:rPr>
    </w:lvl>
    <w:lvl w:ilvl="8" w:tplc="621C4424" w:tentative="1">
      <w:start w:val="1"/>
      <w:numFmt w:val="lowerRoman"/>
      <w:lvlText w:val="%9."/>
      <w:lvlJc w:val="right"/>
      <w:pPr>
        <w:tabs>
          <w:tab w:val="num" w:pos="6120"/>
        </w:tabs>
        <w:ind w:left="6120" w:hanging="180"/>
      </w:pPr>
      <w:rPr>
        <w:rFonts w:cs="Times New Roman"/>
      </w:rPr>
    </w:lvl>
  </w:abstractNum>
  <w:abstractNum w:abstractNumId="24" w15:restartNumberingAfterBreak="0">
    <w:nsid w:val="5CB13BD7"/>
    <w:multiLevelType w:val="hybridMultilevel"/>
    <w:tmpl w:val="E8CED8CC"/>
    <w:lvl w:ilvl="0" w:tplc="7AA6AEEE">
      <w:start w:val="1"/>
      <w:numFmt w:val="upperLetter"/>
      <w:lvlText w:val="%1."/>
      <w:lvlJc w:val="left"/>
      <w:pPr>
        <w:tabs>
          <w:tab w:val="num" w:pos="720"/>
        </w:tabs>
        <w:ind w:left="720" w:hanging="360"/>
      </w:pPr>
      <w:rPr>
        <w:rFonts w:hint="default"/>
      </w:rPr>
    </w:lvl>
    <w:lvl w:ilvl="1" w:tplc="74BA6E34" w:tentative="1">
      <w:start w:val="1"/>
      <w:numFmt w:val="lowerLetter"/>
      <w:lvlText w:val="%2."/>
      <w:lvlJc w:val="left"/>
      <w:pPr>
        <w:tabs>
          <w:tab w:val="num" w:pos="1440"/>
        </w:tabs>
        <w:ind w:left="1440" w:hanging="360"/>
      </w:pPr>
    </w:lvl>
    <w:lvl w:ilvl="2" w:tplc="613494C2" w:tentative="1">
      <w:start w:val="1"/>
      <w:numFmt w:val="lowerRoman"/>
      <w:lvlText w:val="%3."/>
      <w:lvlJc w:val="right"/>
      <w:pPr>
        <w:tabs>
          <w:tab w:val="num" w:pos="2160"/>
        </w:tabs>
        <w:ind w:left="2160" w:hanging="180"/>
      </w:pPr>
    </w:lvl>
    <w:lvl w:ilvl="3" w:tplc="5010CDB8" w:tentative="1">
      <w:start w:val="1"/>
      <w:numFmt w:val="decimal"/>
      <w:lvlText w:val="%4."/>
      <w:lvlJc w:val="left"/>
      <w:pPr>
        <w:tabs>
          <w:tab w:val="num" w:pos="2880"/>
        </w:tabs>
        <w:ind w:left="2880" w:hanging="360"/>
      </w:pPr>
    </w:lvl>
    <w:lvl w:ilvl="4" w:tplc="BB22B0E6" w:tentative="1">
      <w:start w:val="1"/>
      <w:numFmt w:val="lowerLetter"/>
      <w:lvlText w:val="%5."/>
      <w:lvlJc w:val="left"/>
      <w:pPr>
        <w:tabs>
          <w:tab w:val="num" w:pos="3600"/>
        </w:tabs>
        <w:ind w:left="3600" w:hanging="360"/>
      </w:pPr>
    </w:lvl>
    <w:lvl w:ilvl="5" w:tplc="EA7AFB4E" w:tentative="1">
      <w:start w:val="1"/>
      <w:numFmt w:val="lowerRoman"/>
      <w:lvlText w:val="%6."/>
      <w:lvlJc w:val="right"/>
      <w:pPr>
        <w:tabs>
          <w:tab w:val="num" w:pos="4320"/>
        </w:tabs>
        <w:ind w:left="4320" w:hanging="180"/>
      </w:pPr>
    </w:lvl>
    <w:lvl w:ilvl="6" w:tplc="89645D06" w:tentative="1">
      <w:start w:val="1"/>
      <w:numFmt w:val="decimal"/>
      <w:lvlText w:val="%7."/>
      <w:lvlJc w:val="left"/>
      <w:pPr>
        <w:tabs>
          <w:tab w:val="num" w:pos="5040"/>
        </w:tabs>
        <w:ind w:left="5040" w:hanging="360"/>
      </w:pPr>
    </w:lvl>
    <w:lvl w:ilvl="7" w:tplc="3A121670" w:tentative="1">
      <w:start w:val="1"/>
      <w:numFmt w:val="lowerLetter"/>
      <w:lvlText w:val="%8."/>
      <w:lvlJc w:val="left"/>
      <w:pPr>
        <w:tabs>
          <w:tab w:val="num" w:pos="5760"/>
        </w:tabs>
        <w:ind w:left="5760" w:hanging="360"/>
      </w:pPr>
    </w:lvl>
    <w:lvl w:ilvl="8" w:tplc="40B4CEE6" w:tentative="1">
      <w:start w:val="1"/>
      <w:numFmt w:val="lowerRoman"/>
      <w:lvlText w:val="%9."/>
      <w:lvlJc w:val="right"/>
      <w:pPr>
        <w:tabs>
          <w:tab w:val="num" w:pos="6480"/>
        </w:tabs>
        <w:ind w:left="6480" w:hanging="180"/>
      </w:pPr>
    </w:lvl>
  </w:abstractNum>
  <w:abstractNum w:abstractNumId="25"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26"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27"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8"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29" w15:restartNumberingAfterBreak="0">
    <w:nsid w:val="72AB50F1"/>
    <w:multiLevelType w:val="hybridMultilevel"/>
    <w:tmpl w:val="64CEA6CC"/>
    <w:lvl w:ilvl="0" w:tplc="E9BA2602">
      <w:start w:val="1"/>
      <w:numFmt w:val="decimal"/>
      <w:lvlText w:val="%1)"/>
      <w:lvlJc w:val="left"/>
      <w:pPr>
        <w:ind w:left="720" w:hanging="360"/>
      </w:pPr>
      <w:rPr>
        <w:rFonts w:cs="Times New Roman" w:hint="default"/>
      </w:rPr>
    </w:lvl>
    <w:lvl w:ilvl="1" w:tplc="A4885DC6" w:tentative="1">
      <w:start w:val="1"/>
      <w:numFmt w:val="lowerLetter"/>
      <w:lvlText w:val="%2."/>
      <w:lvlJc w:val="left"/>
      <w:pPr>
        <w:ind w:left="1440" w:hanging="360"/>
      </w:pPr>
      <w:rPr>
        <w:rFonts w:cs="Times New Roman"/>
      </w:rPr>
    </w:lvl>
    <w:lvl w:ilvl="2" w:tplc="DE4A686C" w:tentative="1">
      <w:start w:val="1"/>
      <w:numFmt w:val="lowerRoman"/>
      <w:lvlText w:val="%3."/>
      <w:lvlJc w:val="right"/>
      <w:pPr>
        <w:ind w:left="2160" w:hanging="180"/>
      </w:pPr>
      <w:rPr>
        <w:rFonts w:cs="Times New Roman"/>
      </w:rPr>
    </w:lvl>
    <w:lvl w:ilvl="3" w:tplc="776CD2F0" w:tentative="1">
      <w:start w:val="1"/>
      <w:numFmt w:val="decimal"/>
      <w:lvlText w:val="%4."/>
      <w:lvlJc w:val="left"/>
      <w:pPr>
        <w:ind w:left="2880" w:hanging="360"/>
      </w:pPr>
      <w:rPr>
        <w:rFonts w:cs="Times New Roman"/>
      </w:rPr>
    </w:lvl>
    <w:lvl w:ilvl="4" w:tplc="B9547332" w:tentative="1">
      <w:start w:val="1"/>
      <w:numFmt w:val="lowerLetter"/>
      <w:lvlText w:val="%5."/>
      <w:lvlJc w:val="left"/>
      <w:pPr>
        <w:ind w:left="3600" w:hanging="360"/>
      </w:pPr>
      <w:rPr>
        <w:rFonts w:cs="Times New Roman"/>
      </w:rPr>
    </w:lvl>
    <w:lvl w:ilvl="5" w:tplc="C5A24AF0" w:tentative="1">
      <w:start w:val="1"/>
      <w:numFmt w:val="lowerRoman"/>
      <w:lvlText w:val="%6."/>
      <w:lvlJc w:val="right"/>
      <w:pPr>
        <w:ind w:left="4320" w:hanging="180"/>
      </w:pPr>
      <w:rPr>
        <w:rFonts w:cs="Times New Roman"/>
      </w:rPr>
    </w:lvl>
    <w:lvl w:ilvl="6" w:tplc="5B5A0766" w:tentative="1">
      <w:start w:val="1"/>
      <w:numFmt w:val="decimal"/>
      <w:lvlText w:val="%7."/>
      <w:lvlJc w:val="left"/>
      <w:pPr>
        <w:ind w:left="5040" w:hanging="360"/>
      </w:pPr>
      <w:rPr>
        <w:rFonts w:cs="Times New Roman"/>
      </w:rPr>
    </w:lvl>
    <w:lvl w:ilvl="7" w:tplc="5762C28A" w:tentative="1">
      <w:start w:val="1"/>
      <w:numFmt w:val="lowerLetter"/>
      <w:lvlText w:val="%8."/>
      <w:lvlJc w:val="left"/>
      <w:pPr>
        <w:ind w:left="5760" w:hanging="360"/>
      </w:pPr>
      <w:rPr>
        <w:rFonts w:cs="Times New Roman"/>
      </w:rPr>
    </w:lvl>
    <w:lvl w:ilvl="8" w:tplc="DE32C56A" w:tentative="1">
      <w:start w:val="1"/>
      <w:numFmt w:val="lowerRoman"/>
      <w:lvlText w:val="%9."/>
      <w:lvlJc w:val="right"/>
      <w:pPr>
        <w:ind w:left="6480" w:hanging="180"/>
      </w:pPr>
      <w:rPr>
        <w:rFonts w:cs="Times New Roman"/>
      </w:rPr>
    </w:lvl>
  </w:abstractNum>
  <w:abstractNum w:abstractNumId="30" w15:restartNumberingAfterBreak="0">
    <w:nsid w:val="7A100D28"/>
    <w:multiLevelType w:val="hybridMultilevel"/>
    <w:tmpl w:val="979479BE"/>
    <w:lvl w:ilvl="0" w:tplc="ED427FC6">
      <w:start w:val="1"/>
      <w:numFmt w:val="upperLetter"/>
      <w:lvlText w:val="%1."/>
      <w:lvlJc w:val="left"/>
      <w:pPr>
        <w:ind w:left="5670" w:hanging="5670"/>
      </w:pPr>
      <w:rPr>
        <w:b/>
      </w:rPr>
    </w:lvl>
    <w:lvl w:ilvl="1" w:tplc="5D144DE0">
      <w:start w:val="17"/>
      <w:numFmt w:val="decimal"/>
      <w:lvlText w:val="%2."/>
      <w:lvlJc w:val="left"/>
      <w:pPr>
        <w:ind w:left="1650" w:hanging="570"/>
      </w:pPr>
      <w:rPr>
        <w:b/>
        <w:i w:val="0"/>
      </w:rPr>
    </w:lvl>
    <w:lvl w:ilvl="2" w:tplc="023AB886">
      <w:start w:val="1"/>
      <w:numFmt w:val="lowerRoman"/>
      <w:lvlText w:val="%3."/>
      <w:lvlJc w:val="right"/>
      <w:pPr>
        <w:ind w:left="2160" w:hanging="180"/>
      </w:pPr>
    </w:lvl>
    <w:lvl w:ilvl="3" w:tplc="64D475A2">
      <w:start w:val="1"/>
      <w:numFmt w:val="decimal"/>
      <w:lvlText w:val="%4."/>
      <w:lvlJc w:val="left"/>
      <w:pPr>
        <w:ind w:left="2880" w:hanging="360"/>
      </w:pPr>
    </w:lvl>
    <w:lvl w:ilvl="4" w:tplc="35B4CCAE">
      <w:start w:val="1"/>
      <w:numFmt w:val="lowerLetter"/>
      <w:lvlText w:val="%5."/>
      <w:lvlJc w:val="left"/>
      <w:pPr>
        <w:ind w:left="3600" w:hanging="360"/>
      </w:pPr>
    </w:lvl>
    <w:lvl w:ilvl="5" w:tplc="D56C1A6C">
      <w:start w:val="1"/>
      <w:numFmt w:val="lowerRoman"/>
      <w:lvlText w:val="%6."/>
      <w:lvlJc w:val="right"/>
      <w:pPr>
        <w:ind w:left="4320" w:hanging="180"/>
      </w:pPr>
    </w:lvl>
    <w:lvl w:ilvl="6" w:tplc="28EC39C0">
      <w:start w:val="1"/>
      <w:numFmt w:val="decimal"/>
      <w:lvlText w:val="%7."/>
      <w:lvlJc w:val="left"/>
      <w:pPr>
        <w:ind w:left="5040" w:hanging="360"/>
      </w:pPr>
    </w:lvl>
    <w:lvl w:ilvl="7" w:tplc="D6E22C0E">
      <w:start w:val="1"/>
      <w:numFmt w:val="lowerLetter"/>
      <w:lvlText w:val="%8."/>
      <w:lvlJc w:val="left"/>
      <w:pPr>
        <w:ind w:left="5760" w:hanging="360"/>
      </w:pPr>
    </w:lvl>
    <w:lvl w:ilvl="8" w:tplc="63D6A934">
      <w:start w:val="1"/>
      <w:numFmt w:val="lowerRoman"/>
      <w:lvlText w:val="%9."/>
      <w:lvlJc w:val="right"/>
      <w:pPr>
        <w:ind w:left="6480" w:hanging="180"/>
      </w:pPr>
    </w:lvl>
  </w:abstractNum>
  <w:num w:numId="1">
    <w:abstractNumId w:val="12"/>
  </w:num>
  <w:num w:numId="2">
    <w:abstractNumId w:val="25"/>
  </w:num>
  <w:num w:numId="3">
    <w:abstractNumId w:val="0"/>
    <w:lvlOverride w:ilvl="0">
      <w:lvl w:ilvl="0">
        <w:start w:val="1"/>
        <w:numFmt w:val="bullet"/>
        <w:lvlText w:val="-"/>
        <w:lvlJc w:val="left"/>
        <w:pPr>
          <w:ind w:left="360" w:hanging="360"/>
        </w:pPr>
      </w:lvl>
    </w:lvlOverride>
  </w:num>
  <w:num w:numId="4">
    <w:abstractNumId w:val="0"/>
    <w:lvlOverride w:ilvl="0">
      <w:lvl w:ilvl="0">
        <w:start w:val="1"/>
        <w:numFmt w:val="bullet"/>
        <w:lvlText w:val=""/>
        <w:lvlJc w:val="left"/>
        <w:pPr>
          <w:ind w:left="360" w:hanging="360"/>
        </w:pPr>
        <w:rPr>
          <w:rFonts w:ascii="Symbol" w:hAnsi="Symbol" w:hint="default"/>
        </w:rPr>
      </w:lvl>
    </w:lvlOverride>
  </w:num>
  <w:num w:numId="5">
    <w:abstractNumId w:val="26"/>
  </w:num>
  <w:num w:numId="6">
    <w:abstractNumId w:val="23"/>
  </w:num>
  <w:num w:numId="7">
    <w:abstractNumId w:val="17"/>
  </w:num>
  <w:num w:numId="8">
    <w:abstractNumId w:val="19"/>
  </w:num>
  <w:num w:numId="9">
    <w:abstractNumId w:val="29"/>
  </w:num>
  <w:num w:numId="10">
    <w:abstractNumId w:val="11"/>
  </w:num>
  <w:num w:numId="11">
    <w:abstractNumId w:val="27"/>
  </w:num>
  <w:num w:numId="12">
    <w:abstractNumId w:val="18"/>
  </w:num>
  <w:num w:numId="13">
    <w:abstractNumId w:val="16"/>
  </w:num>
  <w:num w:numId="14">
    <w:abstractNumId w:val="15"/>
  </w:num>
  <w:num w:numId="15">
    <w:abstractNumId w:val="0"/>
    <w:lvlOverride w:ilvl="0">
      <w:lvl w:ilvl="0">
        <w:start w:val="1"/>
        <w:numFmt w:val="bullet"/>
        <w:lvlText w:val="-"/>
        <w:lvlJc w:val="left"/>
        <w:pPr>
          <w:ind w:left="360" w:hanging="360"/>
        </w:pPr>
      </w:lvl>
    </w:lvlOverride>
  </w:num>
  <w:num w:numId="16">
    <w:abstractNumId w:val="28"/>
  </w:num>
  <w:num w:numId="17">
    <w:abstractNumId w:val="20"/>
  </w:num>
  <w:num w:numId="18">
    <w:abstractNumId w:val="22"/>
  </w:num>
  <w:num w:numId="19">
    <w:abstractNumId w:val="14"/>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9"/>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2"/>
  </w:num>
  <w:num w:numId="31">
    <w:abstractNumId w:val="3"/>
  </w:num>
  <w:num w:numId="32">
    <w:abstractNumId w:val="4"/>
  </w:num>
  <w:num w:numId="33">
    <w:abstractNumId w:val="5"/>
  </w:num>
  <w:num w:numId="34">
    <w:abstractNumId w:val="6"/>
  </w:num>
  <w:num w:numId="35">
    <w:abstractNumId w:val="7"/>
  </w:num>
  <w:num w:numId="36">
    <w:abstractNumId w:val="8"/>
  </w:num>
  <w:num w:numId="37">
    <w:abstractNumId w:val="9"/>
  </w:num>
  <w:num w:numId="38">
    <w:abstractNumId w:val="10"/>
  </w:num>
  <w:num w:numId="39">
    <w:abstractNumId w:val="21"/>
  </w:num>
  <w:num w:numId="40">
    <w:abstractNumId w:val="13"/>
  </w:num>
  <w:num w:numId="4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2">
    <w:abstractNumId w:val="24"/>
  </w:num>
  <w:num w:numId="43">
    <w:abstractNumId w:val="30"/>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1B46"/>
    <w:rsid w:val="0000362A"/>
    <w:rsid w:val="00004C69"/>
    <w:rsid w:val="00005701"/>
    <w:rsid w:val="00006494"/>
    <w:rsid w:val="00007528"/>
    <w:rsid w:val="0001164F"/>
    <w:rsid w:val="000118C7"/>
    <w:rsid w:val="000121D6"/>
    <w:rsid w:val="000150D3"/>
    <w:rsid w:val="000166C1"/>
    <w:rsid w:val="000177FF"/>
    <w:rsid w:val="00020AE8"/>
    <w:rsid w:val="00023F29"/>
    <w:rsid w:val="00025EBE"/>
    <w:rsid w:val="00030445"/>
    <w:rsid w:val="00030D55"/>
    <w:rsid w:val="000318C7"/>
    <w:rsid w:val="00033FDB"/>
    <w:rsid w:val="00034204"/>
    <w:rsid w:val="000344F6"/>
    <w:rsid w:val="00036493"/>
    <w:rsid w:val="000405F9"/>
    <w:rsid w:val="00042263"/>
    <w:rsid w:val="000422C9"/>
    <w:rsid w:val="00043F0F"/>
    <w:rsid w:val="00044042"/>
    <w:rsid w:val="00044F37"/>
    <w:rsid w:val="0004649D"/>
    <w:rsid w:val="00046DCE"/>
    <w:rsid w:val="000474D2"/>
    <w:rsid w:val="00047617"/>
    <w:rsid w:val="000479C5"/>
    <w:rsid w:val="00050DFD"/>
    <w:rsid w:val="000535D1"/>
    <w:rsid w:val="0005368F"/>
    <w:rsid w:val="00053809"/>
    <w:rsid w:val="000538C2"/>
    <w:rsid w:val="00053914"/>
    <w:rsid w:val="00053EFA"/>
    <w:rsid w:val="00054756"/>
    <w:rsid w:val="000560C5"/>
    <w:rsid w:val="00056833"/>
    <w:rsid w:val="00056C49"/>
    <w:rsid w:val="00056FE0"/>
    <w:rsid w:val="000603C8"/>
    <w:rsid w:val="00060656"/>
    <w:rsid w:val="000608A4"/>
    <w:rsid w:val="00060AA1"/>
    <w:rsid w:val="0006247C"/>
    <w:rsid w:val="000631FD"/>
    <w:rsid w:val="00067D12"/>
    <w:rsid w:val="00070B1E"/>
    <w:rsid w:val="00071071"/>
    <w:rsid w:val="00071F8A"/>
    <w:rsid w:val="00072260"/>
    <w:rsid w:val="00073E04"/>
    <w:rsid w:val="0007628D"/>
    <w:rsid w:val="000769C2"/>
    <w:rsid w:val="0007713C"/>
    <w:rsid w:val="00077267"/>
    <w:rsid w:val="0007752B"/>
    <w:rsid w:val="00080AB8"/>
    <w:rsid w:val="00081DAB"/>
    <w:rsid w:val="0008235E"/>
    <w:rsid w:val="00082A8E"/>
    <w:rsid w:val="000855CA"/>
    <w:rsid w:val="0009351E"/>
    <w:rsid w:val="0009479A"/>
    <w:rsid w:val="00095E44"/>
    <w:rsid w:val="0009755A"/>
    <w:rsid w:val="000A1232"/>
    <w:rsid w:val="000A13ED"/>
    <w:rsid w:val="000A1FD6"/>
    <w:rsid w:val="000A47C3"/>
    <w:rsid w:val="000B0097"/>
    <w:rsid w:val="000B0603"/>
    <w:rsid w:val="000B0C05"/>
    <w:rsid w:val="000B0D6C"/>
    <w:rsid w:val="000B101F"/>
    <w:rsid w:val="000B1F4B"/>
    <w:rsid w:val="000B2F27"/>
    <w:rsid w:val="000B2F58"/>
    <w:rsid w:val="000B3762"/>
    <w:rsid w:val="000B37A8"/>
    <w:rsid w:val="000B3F48"/>
    <w:rsid w:val="000B51D9"/>
    <w:rsid w:val="000B5BC9"/>
    <w:rsid w:val="000B6240"/>
    <w:rsid w:val="000C1738"/>
    <w:rsid w:val="000C308F"/>
    <w:rsid w:val="000C5A4E"/>
    <w:rsid w:val="000C635D"/>
    <w:rsid w:val="000C700C"/>
    <w:rsid w:val="000C7A7F"/>
    <w:rsid w:val="000C7F49"/>
    <w:rsid w:val="000D1AEE"/>
    <w:rsid w:val="000D1F4F"/>
    <w:rsid w:val="000D4D07"/>
    <w:rsid w:val="000D7535"/>
    <w:rsid w:val="000E0192"/>
    <w:rsid w:val="000E163C"/>
    <w:rsid w:val="000E165D"/>
    <w:rsid w:val="000E1BAF"/>
    <w:rsid w:val="000E223E"/>
    <w:rsid w:val="000E2491"/>
    <w:rsid w:val="000E26F1"/>
    <w:rsid w:val="000E2EA9"/>
    <w:rsid w:val="000E46A3"/>
    <w:rsid w:val="000E5726"/>
    <w:rsid w:val="000E69F3"/>
    <w:rsid w:val="000E6C94"/>
    <w:rsid w:val="000E7995"/>
    <w:rsid w:val="000F1BB2"/>
    <w:rsid w:val="000F3F94"/>
    <w:rsid w:val="000F6213"/>
    <w:rsid w:val="00101CAD"/>
    <w:rsid w:val="00103501"/>
    <w:rsid w:val="00103B2D"/>
    <w:rsid w:val="00103CD2"/>
    <w:rsid w:val="00104061"/>
    <w:rsid w:val="00107236"/>
    <w:rsid w:val="0010793C"/>
    <w:rsid w:val="001101A2"/>
    <w:rsid w:val="001106F7"/>
    <w:rsid w:val="00111AC4"/>
    <w:rsid w:val="00111F79"/>
    <w:rsid w:val="00112EDA"/>
    <w:rsid w:val="00114174"/>
    <w:rsid w:val="00117C1D"/>
    <w:rsid w:val="00120104"/>
    <w:rsid w:val="00122AD8"/>
    <w:rsid w:val="00122D9F"/>
    <w:rsid w:val="0012313E"/>
    <w:rsid w:val="00123688"/>
    <w:rsid w:val="00124CAB"/>
    <w:rsid w:val="0012745A"/>
    <w:rsid w:val="00127562"/>
    <w:rsid w:val="00127C1D"/>
    <w:rsid w:val="00130037"/>
    <w:rsid w:val="001301C2"/>
    <w:rsid w:val="001304EC"/>
    <w:rsid w:val="00131748"/>
    <w:rsid w:val="0013221E"/>
    <w:rsid w:val="00133366"/>
    <w:rsid w:val="00133572"/>
    <w:rsid w:val="00133B68"/>
    <w:rsid w:val="001354A7"/>
    <w:rsid w:val="00135814"/>
    <w:rsid w:val="0013601F"/>
    <w:rsid w:val="00136D7A"/>
    <w:rsid w:val="00141279"/>
    <w:rsid w:val="00141470"/>
    <w:rsid w:val="00141540"/>
    <w:rsid w:val="00143AD5"/>
    <w:rsid w:val="001445BE"/>
    <w:rsid w:val="001449DF"/>
    <w:rsid w:val="0014569B"/>
    <w:rsid w:val="0015003B"/>
    <w:rsid w:val="00151BA4"/>
    <w:rsid w:val="00151E9D"/>
    <w:rsid w:val="00152F3B"/>
    <w:rsid w:val="00154E7A"/>
    <w:rsid w:val="0015704C"/>
    <w:rsid w:val="00161E87"/>
    <w:rsid w:val="00162EDD"/>
    <w:rsid w:val="00163D6C"/>
    <w:rsid w:val="0016566C"/>
    <w:rsid w:val="001709D1"/>
    <w:rsid w:val="0017265B"/>
    <w:rsid w:val="001727F0"/>
    <w:rsid w:val="00172B06"/>
    <w:rsid w:val="001752D8"/>
    <w:rsid w:val="00175931"/>
    <w:rsid w:val="00176B25"/>
    <w:rsid w:val="0018224D"/>
    <w:rsid w:val="0018238B"/>
    <w:rsid w:val="00183419"/>
    <w:rsid w:val="0018394A"/>
    <w:rsid w:val="00183E48"/>
    <w:rsid w:val="001853AE"/>
    <w:rsid w:val="00186A9D"/>
    <w:rsid w:val="001874A6"/>
    <w:rsid w:val="0018765B"/>
    <w:rsid w:val="00190913"/>
    <w:rsid w:val="00195F65"/>
    <w:rsid w:val="001A07E2"/>
    <w:rsid w:val="001A1EEE"/>
    <w:rsid w:val="001A2018"/>
    <w:rsid w:val="001A69FA"/>
    <w:rsid w:val="001A757B"/>
    <w:rsid w:val="001B01C8"/>
    <w:rsid w:val="001B0DDB"/>
    <w:rsid w:val="001B13F6"/>
    <w:rsid w:val="001B1747"/>
    <w:rsid w:val="001B1B4E"/>
    <w:rsid w:val="001B2D44"/>
    <w:rsid w:val="001B3957"/>
    <w:rsid w:val="001B752A"/>
    <w:rsid w:val="001C12E0"/>
    <w:rsid w:val="001C35E9"/>
    <w:rsid w:val="001C36BD"/>
    <w:rsid w:val="001C3733"/>
    <w:rsid w:val="001C4025"/>
    <w:rsid w:val="001C4C82"/>
    <w:rsid w:val="001C58B8"/>
    <w:rsid w:val="001C5B30"/>
    <w:rsid w:val="001C6038"/>
    <w:rsid w:val="001C6109"/>
    <w:rsid w:val="001C6502"/>
    <w:rsid w:val="001C6E07"/>
    <w:rsid w:val="001D3C05"/>
    <w:rsid w:val="001D47C1"/>
    <w:rsid w:val="001D52E3"/>
    <w:rsid w:val="001D6242"/>
    <w:rsid w:val="001D6A28"/>
    <w:rsid w:val="001D6AF4"/>
    <w:rsid w:val="001E0CC1"/>
    <w:rsid w:val="001E1CD5"/>
    <w:rsid w:val="001E3CC0"/>
    <w:rsid w:val="001E4326"/>
    <w:rsid w:val="001E64BD"/>
    <w:rsid w:val="001E64D1"/>
    <w:rsid w:val="001E77C3"/>
    <w:rsid w:val="001E77F1"/>
    <w:rsid w:val="001F090B"/>
    <w:rsid w:val="001F180A"/>
    <w:rsid w:val="001F1A28"/>
    <w:rsid w:val="001F35E8"/>
    <w:rsid w:val="001F38F9"/>
    <w:rsid w:val="001F4014"/>
    <w:rsid w:val="001F445E"/>
    <w:rsid w:val="001F5346"/>
    <w:rsid w:val="001F5FB3"/>
    <w:rsid w:val="0020024D"/>
    <w:rsid w:val="00201213"/>
    <w:rsid w:val="00201323"/>
    <w:rsid w:val="0020165E"/>
    <w:rsid w:val="00201DA1"/>
    <w:rsid w:val="00202E50"/>
    <w:rsid w:val="00205180"/>
    <w:rsid w:val="00207F81"/>
    <w:rsid w:val="002109F4"/>
    <w:rsid w:val="00211B2E"/>
    <w:rsid w:val="00211FDA"/>
    <w:rsid w:val="002160C2"/>
    <w:rsid w:val="002174FF"/>
    <w:rsid w:val="00217D6E"/>
    <w:rsid w:val="0022288C"/>
    <w:rsid w:val="00222BB9"/>
    <w:rsid w:val="002258D6"/>
    <w:rsid w:val="00226DFC"/>
    <w:rsid w:val="002274FB"/>
    <w:rsid w:val="002309D2"/>
    <w:rsid w:val="0023315B"/>
    <w:rsid w:val="002347FE"/>
    <w:rsid w:val="00235DA3"/>
    <w:rsid w:val="002364E6"/>
    <w:rsid w:val="0024178D"/>
    <w:rsid w:val="002421D4"/>
    <w:rsid w:val="00245DCF"/>
    <w:rsid w:val="00246C65"/>
    <w:rsid w:val="0025261B"/>
    <w:rsid w:val="00252FFB"/>
    <w:rsid w:val="002542A8"/>
    <w:rsid w:val="00260A11"/>
    <w:rsid w:val="00260EC2"/>
    <w:rsid w:val="0026169A"/>
    <w:rsid w:val="00262763"/>
    <w:rsid w:val="00264BEA"/>
    <w:rsid w:val="00271032"/>
    <w:rsid w:val="00273C1C"/>
    <w:rsid w:val="00273E3E"/>
    <w:rsid w:val="00274147"/>
    <w:rsid w:val="00275189"/>
    <w:rsid w:val="002756DC"/>
    <w:rsid w:val="00276437"/>
    <w:rsid w:val="0028063F"/>
    <w:rsid w:val="00280740"/>
    <w:rsid w:val="0028282C"/>
    <w:rsid w:val="00283B02"/>
    <w:rsid w:val="00283C5D"/>
    <w:rsid w:val="00283D5A"/>
    <w:rsid w:val="002844B0"/>
    <w:rsid w:val="00285586"/>
    <w:rsid w:val="00286322"/>
    <w:rsid w:val="00286BAB"/>
    <w:rsid w:val="00290C3B"/>
    <w:rsid w:val="00291607"/>
    <w:rsid w:val="00291765"/>
    <w:rsid w:val="0029347B"/>
    <w:rsid w:val="00296ADB"/>
    <w:rsid w:val="00296BE1"/>
    <w:rsid w:val="00296C1F"/>
    <w:rsid w:val="002A0C34"/>
    <w:rsid w:val="002A1B59"/>
    <w:rsid w:val="002A41E6"/>
    <w:rsid w:val="002A5250"/>
    <w:rsid w:val="002A7C47"/>
    <w:rsid w:val="002B0455"/>
    <w:rsid w:val="002B09DD"/>
    <w:rsid w:val="002B1EEA"/>
    <w:rsid w:val="002B2BEE"/>
    <w:rsid w:val="002B2F76"/>
    <w:rsid w:val="002B35C5"/>
    <w:rsid w:val="002B3935"/>
    <w:rsid w:val="002B3AB7"/>
    <w:rsid w:val="002B406A"/>
    <w:rsid w:val="002B41D4"/>
    <w:rsid w:val="002B543F"/>
    <w:rsid w:val="002B7D73"/>
    <w:rsid w:val="002C06E3"/>
    <w:rsid w:val="002C0801"/>
    <w:rsid w:val="002C33B3"/>
    <w:rsid w:val="002C367E"/>
    <w:rsid w:val="002C44B0"/>
    <w:rsid w:val="002C4E07"/>
    <w:rsid w:val="002C56E4"/>
    <w:rsid w:val="002C676D"/>
    <w:rsid w:val="002C69DA"/>
    <w:rsid w:val="002C7331"/>
    <w:rsid w:val="002D0586"/>
    <w:rsid w:val="002D1023"/>
    <w:rsid w:val="002D1459"/>
    <w:rsid w:val="002D1470"/>
    <w:rsid w:val="002D1F2D"/>
    <w:rsid w:val="002D21CF"/>
    <w:rsid w:val="002D3EDF"/>
    <w:rsid w:val="002D4705"/>
    <w:rsid w:val="002D5B65"/>
    <w:rsid w:val="002D6396"/>
    <w:rsid w:val="002D76E6"/>
    <w:rsid w:val="002D778C"/>
    <w:rsid w:val="002D7E5E"/>
    <w:rsid w:val="002E07AC"/>
    <w:rsid w:val="002E07EF"/>
    <w:rsid w:val="002E0D06"/>
    <w:rsid w:val="002E2B44"/>
    <w:rsid w:val="002E4E94"/>
    <w:rsid w:val="002E5C98"/>
    <w:rsid w:val="002E64DA"/>
    <w:rsid w:val="002F1F28"/>
    <w:rsid w:val="002F43CA"/>
    <w:rsid w:val="002F57AA"/>
    <w:rsid w:val="002F714C"/>
    <w:rsid w:val="002F77BF"/>
    <w:rsid w:val="003004A2"/>
    <w:rsid w:val="00302993"/>
    <w:rsid w:val="00303DD5"/>
    <w:rsid w:val="003046D6"/>
    <w:rsid w:val="003062F8"/>
    <w:rsid w:val="00310764"/>
    <w:rsid w:val="00310D54"/>
    <w:rsid w:val="00315E18"/>
    <w:rsid w:val="00320203"/>
    <w:rsid w:val="00320DBF"/>
    <w:rsid w:val="0032120D"/>
    <w:rsid w:val="00322002"/>
    <w:rsid w:val="00323890"/>
    <w:rsid w:val="00324129"/>
    <w:rsid w:val="003247B0"/>
    <w:rsid w:val="00325E81"/>
    <w:rsid w:val="00331488"/>
    <w:rsid w:val="00331F3F"/>
    <w:rsid w:val="00332E57"/>
    <w:rsid w:val="0033486D"/>
    <w:rsid w:val="003367C4"/>
    <w:rsid w:val="00336D8E"/>
    <w:rsid w:val="0033730E"/>
    <w:rsid w:val="003376B3"/>
    <w:rsid w:val="003413AD"/>
    <w:rsid w:val="00341F90"/>
    <w:rsid w:val="00342AD6"/>
    <w:rsid w:val="00345EDE"/>
    <w:rsid w:val="00347776"/>
    <w:rsid w:val="003501C4"/>
    <w:rsid w:val="00351453"/>
    <w:rsid w:val="00351A91"/>
    <w:rsid w:val="003520C4"/>
    <w:rsid w:val="003533AE"/>
    <w:rsid w:val="00355E14"/>
    <w:rsid w:val="003563B1"/>
    <w:rsid w:val="00361280"/>
    <w:rsid w:val="003615F1"/>
    <w:rsid w:val="00361A6E"/>
    <w:rsid w:val="00362983"/>
    <w:rsid w:val="00363D7F"/>
    <w:rsid w:val="00364519"/>
    <w:rsid w:val="00367C66"/>
    <w:rsid w:val="0037233D"/>
    <w:rsid w:val="003728DD"/>
    <w:rsid w:val="003736EF"/>
    <w:rsid w:val="003737E3"/>
    <w:rsid w:val="00374F4A"/>
    <w:rsid w:val="00380D80"/>
    <w:rsid w:val="00381343"/>
    <w:rsid w:val="00381E38"/>
    <w:rsid w:val="00381FF2"/>
    <w:rsid w:val="003823D5"/>
    <w:rsid w:val="00385A7E"/>
    <w:rsid w:val="00386C66"/>
    <w:rsid w:val="003906F8"/>
    <w:rsid w:val="003935EE"/>
    <w:rsid w:val="0039408A"/>
    <w:rsid w:val="0039673D"/>
    <w:rsid w:val="00397893"/>
    <w:rsid w:val="00397CC8"/>
    <w:rsid w:val="003A0651"/>
    <w:rsid w:val="003A2CF0"/>
    <w:rsid w:val="003A31F0"/>
    <w:rsid w:val="003A3359"/>
    <w:rsid w:val="003A33C4"/>
    <w:rsid w:val="003A33D3"/>
    <w:rsid w:val="003A3880"/>
    <w:rsid w:val="003A5BC5"/>
    <w:rsid w:val="003A5D55"/>
    <w:rsid w:val="003A75E6"/>
    <w:rsid w:val="003B255B"/>
    <w:rsid w:val="003B28DD"/>
    <w:rsid w:val="003B3317"/>
    <w:rsid w:val="003B505F"/>
    <w:rsid w:val="003B52D4"/>
    <w:rsid w:val="003B5947"/>
    <w:rsid w:val="003B5AD5"/>
    <w:rsid w:val="003B774A"/>
    <w:rsid w:val="003C1CA5"/>
    <w:rsid w:val="003C1EC7"/>
    <w:rsid w:val="003C3BDE"/>
    <w:rsid w:val="003C64A0"/>
    <w:rsid w:val="003C7BA3"/>
    <w:rsid w:val="003D21C8"/>
    <w:rsid w:val="003D2303"/>
    <w:rsid w:val="003D362B"/>
    <w:rsid w:val="003D3FD8"/>
    <w:rsid w:val="003D4015"/>
    <w:rsid w:val="003D4E9C"/>
    <w:rsid w:val="003D6DBA"/>
    <w:rsid w:val="003E038E"/>
    <w:rsid w:val="003E0D78"/>
    <w:rsid w:val="003E3277"/>
    <w:rsid w:val="003E3A1D"/>
    <w:rsid w:val="003E5EB7"/>
    <w:rsid w:val="003E6CA0"/>
    <w:rsid w:val="003F0C24"/>
    <w:rsid w:val="003F2FDE"/>
    <w:rsid w:val="003F3018"/>
    <w:rsid w:val="003F330B"/>
    <w:rsid w:val="003F5756"/>
    <w:rsid w:val="003F6FDF"/>
    <w:rsid w:val="004016F5"/>
    <w:rsid w:val="00402AF0"/>
    <w:rsid w:val="004045AA"/>
    <w:rsid w:val="00404A0D"/>
    <w:rsid w:val="00404B1A"/>
    <w:rsid w:val="00405229"/>
    <w:rsid w:val="00405CC9"/>
    <w:rsid w:val="00410E7D"/>
    <w:rsid w:val="004138DE"/>
    <w:rsid w:val="00414B2F"/>
    <w:rsid w:val="00415081"/>
    <w:rsid w:val="004150A9"/>
    <w:rsid w:val="00415E58"/>
    <w:rsid w:val="00416231"/>
    <w:rsid w:val="004177FD"/>
    <w:rsid w:val="004179C1"/>
    <w:rsid w:val="004208AB"/>
    <w:rsid w:val="004219EF"/>
    <w:rsid w:val="00424555"/>
    <w:rsid w:val="00424A74"/>
    <w:rsid w:val="00426CD9"/>
    <w:rsid w:val="00430FEB"/>
    <w:rsid w:val="004310EE"/>
    <w:rsid w:val="00431519"/>
    <w:rsid w:val="00433677"/>
    <w:rsid w:val="00433DCE"/>
    <w:rsid w:val="004340D5"/>
    <w:rsid w:val="00434880"/>
    <w:rsid w:val="004359A0"/>
    <w:rsid w:val="00436F2A"/>
    <w:rsid w:val="00437EAC"/>
    <w:rsid w:val="004406C1"/>
    <w:rsid w:val="00442C1B"/>
    <w:rsid w:val="004459B2"/>
    <w:rsid w:val="004460E9"/>
    <w:rsid w:val="00447B6F"/>
    <w:rsid w:val="004517D0"/>
    <w:rsid w:val="00453C11"/>
    <w:rsid w:val="004557B0"/>
    <w:rsid w:val="00457946"/>
    <w:rsid w:val="00457BB9"/>
    <w:rsid w:val="00457D8B"/>
    <w:rsid w:val="00460A17"/>
    <w:rsid w:val="00463230"/>
    <w:rsid w:val="00464B3D"/>
    <w:rsid w:val="00470CB5"/>
    <w:rsid w:val="00471EAB"/>
    <w:rsid w:val="004723EE"/>
    <w:rsid w:val="0047451B"/>
    <w:rsid w:val="00475A92"/>
    <w:rsid w:val="00477BB9"/>
    <w:rsid w:val="00477FC7"/>
    <w:rsid w:val="00484793"/>
    <w:rsid w:val="0048580B"/>
    <w:rsid w:val="00487366"/>
    <w:rsid w:val="004873E4"/>
    <w:rsid w:val="00487EAE"/>
    <w:rsid w:val="0049072C"/>
    <w:rsid w:val="00490FD1"/>
    <w:rsid w:val="0049122E"/>
    <w:rsid w:val="00491AD2"/>
    <w:rsid w:val="00491F59"/>
    <w:rsid w:val="004935C0"/>
    <w:rsid w:val="00493B43"/>
    <w:rsid w:val="00494EB1"/>
    <w:rsid w:val="00494F35"/>
    <w:rsid w:val="00495A01"/>
    <w:rsid w:val="00496414"/>
    <w:rsid w:val="00497A38"/>
    <w:rsid w:val="00497F75"/>
    <w:rsid w:val="004A2056"/>
    <w:rsid w:val="004A3815"/>
    <w:rsid w:val="004A417B"/>
    <w:rsid w:val="004A45BD"/>
    <w:rsid w:val="004A4656"/>
    <w:rsid w:val="004A5814"/>
    <w:rsid w:val="004A77B0"/>
    <w:rsid w:val="004B1299"/>
    <w:rsid w:val="004B15DE"/>
    <w:rsid w:val="004B1CED"/>
    <w:rsid w:val="004B34A7"/>
    <w:rsid w:val="004B3B06"/>
    <w:rsid w:val="004B4643"/>
    <w:rsid w:val="004B4AD0"/>
    <w:rsid w:val="004B7F67"/>
    <w:rsid w:val="004C1994"/>
    <w:rsid w:val="004D0453"/>
    <w:rsid w:val="004D4080"/>
    <w:rsid w:val="004D4425"/>
    <w:rsid w:val="004D6B0C"/>
    <w:rsid w:val="004D75D6"/>
    <w:rsid w:val="004E05FD"/>
    <w:rsid w:val="004E1A0D"/>
    <w:rsid w:val="004E23F5"/>
    <w:rsid w:val="004E55C8"/>
    <w:rsid w:val="004E63E5"/>
    <w:rsid w:val="004E6B76"/>
    <w:rsid w:val="004E7BF4"/>
    <w:rsid w:val="004F3540"/>
    <w:rsid w:val="004F3AB1"/>
    <w:rsid w:val="004F407D"/>
    <w:rsid w:val="004F5624"/>
    <w:rsid w:val="004F5DA4"/>
    <w:rsid w:val="004F62B2"/>
    <w:rsid w:val="004F6424"/>
    <w:rsid w:val="005040CD"/>
    <w:rsid w:val="00505229"/>
    <w:rsid w:val="00505EDB"/>
    <w:rsid w:val="00505F96"/>
    <w:rsid w:val="00506D18"/>
    <w:rsid w:val="00507300"/>
    <w:rsid w:val="00507F98"/>
    <w:rsid w:val="005108A3"/>
    <w:rsid w:val="0051091F"/>
    <w:rsid w:val="00510B7B"/>
    <w:rsid w:val="00510F6E"/>
    <w:rsid w:val="005118AE"/>
    <w:rsid w:val="005151DA"/>
    <w:rsid w:val="0051587A"/>
    <w:rsid w:val="005158FA"/>
    <w:rsid w:val="005165AB"/>
    <w:rsid w:val="005169AD"/>
    <w:rsid w:val="005208B9"/>
    <w:rsid w:val="005221F0"/>
    <w:rsid w:val="00524807"/>
    <w:rsid w:val="00525361"/>
    <w:rsid w:val="00525FF9"/>
    <w:rsid w:val="00526C96"/>
    <w:rsid w:val="00531D11"/>
    <w:rsid w:val="00532D3F"/>
    <w:rsid w:val="0053383B"/>
    <w:rsid w:val="0053386D"/>
    <w:rsid w:val="0053791F"/>
    <w:rsid w:val="00547037"/>
    <w:rsid w:val="00547538"/>
    <w:rsid w:val="00553BFA"/>
    <w:rsid w:val="00553D8D"/>
    <w:rsid w:val="0055608E"/>
    <w:rsid w:val="00557755"/>
    <w:rsid w:val="0056077E"/>
    <w:rsid w:val="00561E41"/>
    <w:rsid w:val="005629EE"/>
    <w:rsid w:val="005648FA"/>
    <w:rsid w:val="00564D50"/>
    <w:rsid w:val="005655B6"/>
    <w:rsid w:val="00567346"/>
    <w:rsid w:val="0057371B"/>
    <w:rsid w:val="005737B4"/>
    <w:rsid w:val="00574616"/>
    <w:rsid w:val="00575EB8"/>
    <w:rsid w:val="005760B6"/>
    <w:rsid w:val="00582A9B"/>
    <w:rsid w:val="005832AB"/>
    <w:rsid w:val="0058437C"/>
    <w:rsid w:val="0058606E"/>
    <w:rsid w:val="00587706"/>
    <w:rsid w:val="005935F4"/>
    <w:rsid w:val="00596D5D"/>
    <w:rsid w:val="005A0BB2"/>
    <w:rsid w:val="005A0D2F"/>
    <w:rsid w:val="005A346E"/>
    <w:rsid w:val="005A3682"/>
    <w:rsid w:val="005A607E"/>
    <w:rsid w:val="005A73CF"/>
    <w:rsid w:val="005B14D5"/>
    <w:rsid w:val="005B409C"/>
    <w:rsid w:val="005B798B"/>
    <w:rsid w:val="005C04FD"/>
    <w:rsid w:val="005C1FAE"/>
    <w:rsid w:val="005C2162"/>
    <w:rsid w:val="005C3787"/>
    <w:rsid w:val="005C39E8"/>
    <w:rsid w:val="005C49B3"/>
    <w:rsid w:val="005C5660"/>
    <w:rsid w:val="005C7731"/>
    <w:rsid w:val="005D4B68"/>
    <w:rsid w:val="005E11C1"/>
    <w:rsid w:val="005E2563"/>
    <w:rsid w:val="005E394C"/>
    <w:rsid w:val="005E42BF"/>
    <w:rsid w:val="005E4341"/>
    <w:rsid w:val="005E4E70"/>
    <w:rsid w:val="005E65BB"/>
    <w:rsid w:val="005F0DA0"/>
    <w:rsid w:val="005F4914"/>
    <w:rsid w:val="005F51C2"/>
    <w:rsid w:val="005F6103"/>
    <w:rsid w:val="005F62B7"/>
    <w:rsid w:val="005F63DF"/>
    <w:rsid w:val="005F6869"/>
    <w:rsid w:val="005F6BB9"/>
    <w:rsid w:val="005F7E35"/>
    <w:rsid w:val="006003A8"/>
    <w:rsid w:val="00603148"/>
    <w:rsid w:val="00605E0B"/>
    <w:rsid w:val="00606FC7"/>
    <w:rsid w:val="00610456"/>
    <w:rsid w:val="00611473"/>
    <w:rsid w:val="00611B36"/>
    <w:rsid w:val="00613A34"/>
    <w:rsid w:val="00615ADA"/>
    <w:rsid w:val="00615CC5"/>
    <w:rsid w:val="006221CD"/>
    <w:rsid w:val="006237D8"/>
    <w:rsid w:val="006266A9"/>
    <w:rsid w:val="00630426"/>
    <w:rsid w:val="006316C1"/>
    <w:rsid w:val="00631ED4"/>
    <w:rsid w:val="00633BC7"/>
    <w:rsid w:val="00635E9C"/>
    <w:rsid w:val="00637163"/>
    <w:rsid w:val="00637B41"/>
    <w:rsid w:val="006414EE"/>
    <w:rsid w:val="00642D0A"/>
    <w:rsid w:val="00646130"/>
    <w:rsid w:val="00646FE1"/>
    <w:rsid w:val="006470ED"/>
    <w:rsid w:val="00647E20"/>
    <w:rsid w:val="00656F01"/>
    <w:rsid w:val="00660727"/>
    <w:rsid w:val="00661140"/>
    <w:rsid w:val="00667893"/>
    <w:rsid w:val="006710DD"/>
    <w:rsid w:val="006714D3"/>
    <w:rsid w:val="00673200"/>
    <w:rsid w:val="00674194"/>
    <w:rsid w:val="0067501E"/>
    <w:rsid w:val="006773D2"/>
    <w:rsid w:val="006818B0"/>
    <w:rsid w:val="00681A41"/>
    <w:rsid w:val="006821B2"/>
    <w:rsid w:val="00682EC4"/>
    <w:rsid w:val="006838C0"/>
    <w:rsid w:val="00685901"/>
    <w:rsid w:val="00685BB9"/>
    <w:rsid w:val="00685D08"/>
    <w:rsid w:val="0068614F"/>
    <w:rsid w:val="006866D3"/>
    <w:rsid w:val="00690127"/>
    <w:rsid w:val="00691BFF"/>
    <w:rsid w:val="00693B9E"/>
    <w:rsid w:val="00695227"/>
    <w:rsid w:val="006953C1"/>
    <w:rsid w:val="00696175"/>
    <w:rsid w:val="00696EB2"/>
    <w:rsid w:val="006A16E9"/>
    <w:rsid w:val="006A18FE"/>
    <w:rsid w:val="006A303C"/>
    <w:rsid w:val="006A5450"/>
    <w:rsid w:val="006B0199"/>
    <w:rsid w:val="006B0A32"/>
    <w:rsid w:val="006B0BD8"/>
    <w:rsid w:val="006B22A3"/>
    <w:rsid w:val="006B285F"/>
    <w:rsid w:val="006B3279"/>
    <w:rsid w:val="006B7CDB"/>
    <w:rsid w:val="006C0251"/>
    <w:rsid w:val="006C2B9A"/>
    <w:rsid w:val="006C38EA"/>
    <w:rsid w:val="006C39BB"/>
    <w:rsid w:val="006C4502"/>
    <w:rsid w:val="006D159F"/>
    <w:rsid w:val="006D2F02"/>
    <w:rsid w:val="006D5CC8"/>
    <w:rsid w:val="006D5E91"/>
    <w:rsid w:val="006D75DA"/>
    <w:rsid w:val="006E14E6"/>
    <w:rsid w:val="006E1AEE"/>
    <w:rsid w:val="006E1F6F"/>
    <w:rsid w:val="006E23AC"/>
    <w:rsid w:val="006E3B9C"/>
    <w:rsid w:val="006E51A2"/>
    <w:rsid w:val="006F0DE2"/>
    <w:rsid w:val="006F3495"/>
    <w:rsid w:val="006F417D"/>
    <w:rsid w:val="006F518D"/>
    <w:rsid w:val="006F5C83"/>
    <w:rsid w:val="006F67CC"/>
    <w:rsid w:val="00701C2D"/>
    <w:rsid w:val="00702162"/>
    <w:rsid w:val="00702286"/>
    <w:rsid w:val="00703930"/>
    <w:rsid w:val="00703AFB"/>
    <w:rsid w:val="00704070"/>
    <w:rsid w:val="00705744"/>
    <w:rsid w:val="0070610E"/>
    <w:rsid w:val="00706FEA"/>
    <w:rsid w:val="007073BA"/>
    <w:rsid w:val="00707759"/>
    <w:rsid w:val="00710081"/>
    <w:rsid w:val="00710B0D"/>
    <w:rsid w:val="00711923"/>
    <w:rsid w:val="00713CB5"/>
    <w:rsid w:val="007153E5"/>
    <w:rsid w:val="0071558B"/>
    <w:rsid w:val="00715791"/>
    <w:rsid w:val="00721189"/>
    <w:rsid w:val="007221C3"/>
    <w:rsid w:val="00722F2C"/>
    <w:rsid w:val="007253A4"/>
    <w:rsid w:val="007254D1"/>
    <w:rsid w:val="00725B32"/>
    <w:rsid w:val="00725B3C"/>
    <w:rsid w:val="007264B0"/>
    <w:rsid w:val="007326E4"/>
    <w:rsid w:val="00733D54"/>
    <w:rsid w:val="00736A4F"/>
    <w:rsid w:val="00736E76"/>
    <w:rsid w:val="00737753"/>
    <w:rsid w:val="00740CE9"/>
    <w:rsid w:val="007428E3"/>
    <w:rsid w:val="00743511"/>
    <w:rsid w:val="0074394E"/>
    <w:rsid w:val="00746249"/>
    <w:rsid w:val="007471D2"/>
    <w:rsid w:val="00750ABC"/>
    <w:rsid w:val="00750D0A"/>
    <w:rsid w:val="00751863"/>
    <w:rsid w:val="00751D93"/>
    <w:rsid w:val="0075223B"/>
    <w:rsid w:val="00752300"/>
    <w:rsid w:val="0075256C"/>
    <w:rsid w:val="007546F8"/>
    <w:rsid w:val="00755BAB"/>
    <w:rsid w:val="00757BA2"/>
    <w:rsid w:val="0076080E"/>
    <w:rsid w:val="007615E5"/>
    <w:rsid w:val="0076411D"/>
    <w:rsid w:val="007650F8"/>
    <w:rsid w:val="007670F8"/>
    <w:rsid w:val="007671D4"/>
    <w:rsid w:val="00770A85"/>
    <w:rsid w:val="00772F2D"/>
    <w:rsid w:val="00773B43"/>
    <w:rsid w:val="00773DC9"/>
    <w:rsid w:val="00775598"/>
    <w:rsid w:val="0077572E"/>
    <w:rsid w:val="00777DEA"/>
    <w:rsid w:val="0078031B"/>
    <w:rsid w:val="00781EBC"/>
    <w:rsid w:val="0078293B"/>
    <w:rsid w:val="00782F1A"/>
    <w:rsid w:val="00782FB3"/>
    <w:rsid w:val="00784F44"/>
    <w:rsid w:val="00786672"/>
    <w:rsid w:val="007872CF"/>
    <w:rsid w:val="0079201C"/>
    <w:rsid w:val="00792495"/>
    <w:rsid w:val="0079307F"/>
    <w:rsid w:val="007947C4"/>
    <w:rsid w:val="007955EE"/>
    <w:rsid w:val="00795CE1"/>
    <w:rsid w:val="007A06AC"/>
    <w:rsid w:val="007B1014"/>
    <w:rsid w:val="007B103F"/>
    <w:rsid w:val="007B1484"/>
    <w:rsid w:val="007B170C"/>
    <w:rsid w:val="007B1A10"/>
    <w:rsid w:val="007B6659"/>
    <w:rsid w:val="007B76AB"/>
    <w:rsid w:val="007B7DBD"/>
    <w:rsid w:val="007C065D"/>
    <w:rsid w:val="007C45D3"/>
    <w:rsid w:val="007C597B"/>
    <w:rsid w:val="007C61CB"/>
    <w:rsid w:val="007C760C"/>
    <w:rsid w:val="007D08FD"/>
    <w:rsid w:val="007D0AD2"/>
    <w:rsid w:val="007D1584"/>
    <w:rsid w:val="007D2044"/>
    <w:rsid w:val="007D2D55"/>
    <w:rsid w:val="007D4F33"/>
    <w:rsid w:val="007D5670"/>
    <w:rsid w:val="007D65C7"/>
    <w:rsid w:val="007D74D2"/>
    <w:rsid w:val="007D79B5"/>
    <w:rsid w:val="007E01A2"/>
    <w:rsid w:val="007E09F0"/>
    <w:rsid w:val="007E2334"/>
    <w:rsid w:val="007E23CE"/>
    <w:rsid w:val="007E2CE7"/>
    <w:rsid w:val="007E43D0"/>
    <w:rsid w:val="007E45DC"/>
    <w:rsid w:val="007E4EA8"/>
    <w:rsid w:val="007E4FDA"/>
    <w:rsid w:val="007E54F8"/>
    <w:rsid w:val="007E5987"/>
    <w:rsid w:val="007E5BD8"/>
    <w:rsid w:val="007E6601"/>
    <w:rsid w:val="007E7BF9"/>
    <w:rsid w:val="007F0212"/>
    <w:rsid w:val="007F02BC"/>
    <w:rsid w:val="007F1A40"/>
    <w:rsid w:val="007F1D17"/>
    <w:rsid w:val="007F235A"/>
    <w:rsid w:val="007F2D80"/>
    <w:rsid w:val="007F2E65"/>
    <w:rsid w:val="007F2F4B"/>
    <w:rsid w:val="007F43BA"/>
    <w:rsid w:val="007F45D1"/>
    <w:rsid w:val="007F68FA"/>
    <w:rsid w:val="007F6DC3"/>
    <w:rsid w:val="008006B4"/>
    <w:rsid w:val="00801A3F"/>
    <w:rsid w:val="00803695"/>
    <w:rsid w:val="00803FD4"/>
    <w:rsid w:val="0080481C"/>
    <w:rsid w:val="0080494A"/>
    <w:rsid w:val="00804A38"/>
    <w:rsid w:val="00804C54"/>
    <w:rsid w:val="008056DD"/>
    <w:rsid w:val="00807785"/>
    <w:rsid w:val="0081104C"/>
    <w:rsid w:val="00811D2A"/>
    <w:rsid w:val="00812D16"/>
    <w:rsid w:val="00813417"/>
    <w:rsid w:val="00817A54"/>
    <w:rsid w:val="00817A6B"/>
    <w:rsid w:val="00817C04"/>
    <w:rsid w:val="00821865"/>
    <w:rsid w:val="0082327D"/>
    <w:rsid w:val="0082433D"/>
    <w:rsid w:val="00826509"/>
    <w:rsid w:val="00826BEC"/>
    <w:rsid w:val="00831900"/>
    <w:rsid w:val="0083354D"/>
    <w:rsid w:val="0083561B"/>
    <w:rsid w:val="0083685F"/>
    <w:rsid w:val="00836C13"/>
    <w:rsid w:val="008371F6"/>
    <w:rsid w:val="00837D78"/>
    <w:rsid w:val="00840D79"/>
    <w:rsid w:val="00842A21"/>
    <w:rsid w:val="008431CC"/>
    <w:rsid w:val="008439BF"/>
    <w:rsid w:val="008450A5"/>
    <w:rsid w:val="00845DAD"/>
    <w:rsid w:val="00853C1D"/>
    <w:rsid w:val="008548E7"/>
    <w:rsid w:val="00854B2F"/>
    <w:rsid w:val="00856354"/>
    <w:rsid w:val="008568E1"/>
    <w:rsid w:val="008568F2"/>
    <w:rsid w:val="00856BE9"/>
    <w:rsid w:val="008578F8"/>
    <w:rsid w:val="00860566"/>
    <w:rsid w:val="0086165C"/>
    <w:rsid w:val="00861B26"/>
    <w:rsid w:val="00862EED"/>
    <w:rsid w:val="00863366"/>
    <w:rsid w:val="008643FC"/>
    <w:rsid w:val="00864529"/>
    <w:rsid w:val="008649B9"/>
    <w:rsid w:val="00864B2B"/>
    <w:rsid w:val="0086784F"/>
    <w:rsid w:val="00870394"/>
    <w:rsid w:val="0087073B"/>
    <w:rsid w:val="00876851"/>
    <w:rsid w:val="00876C11"/>
    <w:rsid w:val="008770D4"/>
    <w:rsid w:val="008770F3"/>
    <w:rsid w:val="0088127F"/>
    <w:rsid w:val="008815EF"/>
    <w:rsid w:val="00885273"/>
    <w:rsid w:val="00885F2C"/>
    <w:rsid w:val="00886386"/>
    <w:rsid w:val="00886672"/>
    <w:rsid w:val="0088701C"/>
    <w:rsid w:val="00887BA4"/>
    <w:rsid w:val="0089174C"/>
    <w:rsid w:val="0089195C"/>
    <w:rsid w:val="00892EB4"/>
    <w:rsid w:val="0089499B"/>
    <w:rsid w:val="00894ACA"/>
    <w:rsid w:val="00894E87"/>
    <w:rsid w:val="00894EC5"/>
    <w:rsid w:val="008957AC"/>
    <w:rsid w:val="008967B5"/>
    <w:rsid w:val="008A03AC"/>
    <w:rsid w:val="008A0914"/>
    <w:rsid w:val="008A1703"/>
    <w:rsid w:val="008A186D"/>
    <w:rsid w:val="008A20BE"/>
    <w:rsid w:val="008A2B4E"/>
    <w:rsid w:val="008A345A"/>
    <w:rsid w:val="008A3BF2"/>
    <w:rsid w:val="008A3DB9"/>
    <w:rsid w:val="008A53A7"/>
    <w:rsid w:val="008A6022"/>
    <w:rsid w:val="008A6418"/>
    <w:rsid w:val="008A6A5C"/>
    <w:rsid w:val="008A7316"/>
    <w:rsid w:val="008B500A"/>
    <w:rsid w:val="008B62B6"/>
    <w:rsid w:val="008B7F46"/>
    <w:rsid w:val="008C1610"/>
    <w:rsid w:val="008C2F1E"/>
    <w:rsid w:val="008C30E5"/>
    <w:rsid w:val="008C3B5B"/>
    <w:rsid w:val="008C409F"/>
    <w:rsid w:val="008C4157"/>
    <w:rsid w:val="008C602D"/>
    <w:rsid w:val="008C6BCC"/>
    <w:rsid w:val="008D098D"/>
    <w:rsid w:val="008D135A"/>
    <w:rsid w:val="008D2205"/>
    <w:rsid w:val="008D2331"/>
    <w:rsid w:val="008D2E83"/>
    <w:rsid w:val="008D2E9B"/>
    <w:rsid w:val="008D36CD"/>
    <w:rsid w:val="008D4380"/>
    <w:rsid w:val="008D48D1"/>
    <w:rsid w:val="008D5B7E"/>
    <w:rsid w:val="008E0548"/>
    <w:rsid w:val="008F2C49"/>
    <w:rsid w:val="008F399E"/>
    <w:rsid w:val="008F4FB0"/>
    <w:rsid w:val="008F769E"/>
    <w:rsid w:val="008F7C04"/>
    <w:rsid w:val="008F7CFF"/>
    <w:rsid w:val="008F7ED1"/>
    <w:rsid w:val="00901C8D"/>
    <w:rsid w:val="00901EAD"/>
    <w:rsid w:val="0090203D"/>
    <w:rsid w:val="009027BC"/>
    <w:rsid w:val="00904A4D"/>
    <w:rsid w:val="00905BFB"/>
    <w:rsid w:val="00905D16"/>
    <w:rsid w:val="00905EE9"/>
    <w:rsid w:val="009060A7"/>
    <w:rsid w:val="009065F4"/>
    <w:rsid w:val="009075A7"/>
    <w:rsid w:val="009076AF"/>
    <w:rsid w:val="00910FBA"/>
    <w:rsid w:val="00911D39"/>
    <w:rsid w:val="00912B9F"/>
    <w:rsid w:val="00912E6A"/>
    <w:rsid w:val="00917C0F"/>
    <w:rsid w:val="00917D2A"/>
    <w:rsid w:val="009202DA"/>
    <w:rsid w:val="0092040E"/>
    <w:rsid w:val="00920C6C"/>
    <w:rsid w:val="00921986"/>
    <w:rsid w:val="009227D9"/>
    <w:rsid w:val="00925008"/>
    <w:rsid w:val="009253FC"/>
    <w:rsid w:val="00925D9E"/>
    <w:rsid w:val="00927791"/>
    <w:rsid w:val="00930607"/>
    <w:rsid w:val="00930D0A"/>
    <w:rsid w:val="009329BA"/>
    <w:rsid w:val="0093304D"/>
    <w:rsid w:val="009356C6"/>
    <w:rsid w:val="009356D3"/>
    <w:rsid w:val="00935DA5"/>
    <w:rsid w:val="00936939"/>
    <w:rsid w:val="0094053B"/>
    <w:rsid w:val="00942040"/>
    <w:rsid w:val="00942C9F"/>
    <w:rsid w:val="009435C3"/>
    <w:rsid w:val="00945631"/>
    <w:rsid w:val="0094662E"/>
    <w:rsid w:val="00947549"/>
    <w:rsid w:val="00951BDD"/>
    <w:rsid w:val="00955DC8"/>
    <w:rsid w:val="009574F9"/>
    <w:rsid w:val="0095793C"/>
    <w:rsid w:val="0096111E"/>
    <w:rsid w:val="00961125"/>
    <w:rsid w:val="00961951"/>
    <w:rsid w:val="00962D21"/>
    <w:rsid w:val="00963BD1"/>
    <w:rsid w:val="00965562"/>
    <w:rsid w:val="00966B1F"/>
    <w:rsid w:val="00970374"/>
    <w:rsid w:val="00970C06"/>
    <w:rsid w:val="00974518"/>
    <w:rsid w:val="009757B2"/>
    <w:rsid w:val="00975B88"/>
    <w:rsid w:val="00980FE0"/>
    <w:rsid w:val="00983178"/>
    <w:rsid w:val="00983A15"/>
    <w:rsid w:val="00983D7E"/>
    <w:rsid w:val="00984922"/>
    <w:rsid w:val="00987ABB"/>
    <w:rsid w:val="009927BB"/>
    <w:rsid w:val="009928B7"/>
    <w:rsid w:val="0099321A"/>
    <w:rsid w:val="00994A84"/>
    <w:rsid w:val="009960B7"/>
    <w:rsid w:val="00997986"/>
    <w:rsid w:val="009A09F6"/>
    <w:rsid w:val="009A1864"/>
    <w:rsid w:val="009A1B3A"/>
    <w:rsid w:val="009A324E"/>
    <w:rsid w:val="009A3D53"/>
    <w:rsid w:val="009A722C"/>
    <w:rsid w:val="009B39D3"/>
    <w:rsid w:val="009B536C"/>
    <w:rsid w:val="009B6496"/>
    <w:rsid w:val="009B69D5"/>
    <w:rsid w:val="009C01DA"/>
    <w:rsid w:val="009C070E"/>
    <w:rsid w:val="009C20CC"/>
    <w:rsid w:val="009C3558"/>
    <w:rsid w:val="009C562E"/>
    <w:rsid w:val="009C7531"/>
    <w:rsid w:val="009C776D"/>
    <w:rsid w:val="009D220C"/>
    <w:rsid w:val="009D221F"/>
    <w:rsid w:val="009D53E0"/>
    <w:rsid w:val="009D5FB5"/>
    <w:rsid w:val="009E09F0"/>
    <w:rsid w:val="009E19E8"/>
    <w:rsid w:val="009E377C"/>
    <w:rsid w:val="009E458A"/>
    <w:rsid w:val="009E5DFC"/>
    <w:rsid w:val="009F1789"/>
    <w:rsid w:val="009F36D2"/>
    <w:rsid w:val="009F4504"/>
    <w:rsid w:val="009F502C"/>
    <w:rsid w:val="009F603B"/>
    <w:rsid w:val="009F6987"/>
    <w:rsid w:val="009F720F"/>
    <w:rsid w:val="00A00CFB"/>
    <w:rsid w:val="00A010E7"/>
    <w:rsid w:val="00A01A17"/>
    <w:rsid w:val="00A01A60"/>
    <w:rsid w:val="00A02C07"/>
    <w:rsid w:val="00A0391D"/>
    <w:rsid w:val="00A04F67"/>
    <w:rsid w:val="00A076F9"/>
    <w:rsid w:val="00A07997"/>
    <w:rsid w:val="00A07F87"/>
    <w:rsid w:val="00A10BAA"/>
    <w:rsid w:val="00A11B05"/>
    <w:rsid w:val="00A12B81"/>
    <w:rsid w:val="00A15F86"/>
    <w:rsid w:val="00A17110"/>
    <w:rsid w:val="00A206ED"/>
    <w:rsid w:val="00A20806"/>
    <w:rsid w:val="00A20C7F"/>
    <w:rsid w:val="00A212DF"/>
    <w:rsid w:val="00A21BD8"/>
    <w:rsid w:val="00A22DBA"/>
    <w:rsid w:val="00A231D2"/>
    <w:rsid w:val="00A25992"/>
    <w:rsid w:val="00A25BFF"/>
    <w:rsid w:val="00A27522"/>
    <w:rsid w:val="00A2796E"/>
    <w:rsid w:val="00A330C5"/>
    <w:rsid w:val="00A34D76"/>
    <w:rsid w:val="00A365D0"/>
    <w:rsid w:val="00A37428"/>
    <w:rsid w:val="00A402B8"/>
    <w:rsid w:val="00A4360E"/>
    <w:rsid w:val="00A443A6"/>
    <w:rsid w:val="00A45A1A"/>
    <w:rsid w:val="00A47F32"/>
    <w:rsid w:val="00A5253F"/>
    <w:rsid w:val="00A53220"/>
    <w:rsid w:val="00A538E6"/>
    <w:rsid w:val="00A540C1"/>
    <w:rsid w:val="00A56800"/>
    <w:rsid w:val="00A56D7E"/>
    <w:rsid w:val="00A5729F"/>
    <w:rsid w:val="00A57404"/>
    <w:rsid w:val="00A575BD"/>
    <w:rsid w:val="00A57AB2"/>
    <w:rsid w:val="00A60EEC"/>
    <w:rsid w:val="00A613CA"/>
    <w:rsid w:val="00A616E0"/>
    <w:rsid w:val="00A6468A"/>
    <w:rsid w:val="00A65BD9"/>
    <w:rsid w:val="00A65C1E"/>
    <w:rsid w:val="00A66718"/>
    <w:rsid w:val="00A70750"/>
    <w:rsid w:val="00A70B31"/>
    <w:rsid w:val="00A70F6F"/>
    <w:rsid w:val="00A71382"/>
    <w:rsid w:val="00A72A72"/>
    <w:rsid w:val="00A757DF"/>
    <w:rsid w:val="00A759FE"/>
    <w:rsid w:val="00A76D67"/>
    <w:rsid w:val="00A776B8"/>
    <w:rsid w:val="00A80DD3"/>
    <w:rsid w:val="00A812B6"/>
    <w:rsid w:val="00A827A3"/>
    <w:rsid w:val="00A851C3"/>
    <w:rsid w:val="00A85357"/>
    <w:rsid w:val="00A902DD"/>
    <w:rsid w:val="00A91617"/>
    <w:rsid w:val="00A920F9"/>
    <w:rsid w:val="00A93207"/>
    <w:rsid w:val="00A9432C"/>
    <w:rsid w:val="00A9482B"/>
    <w:rsid w:val="00A95230"/>
    <w:rsid w:val="00A96FA8"/>
    <w:rsid w:val="00A9770A"/>
    <w:rsid w:val="00A97A85"/>
    <w:rsid w:val="00AA0DD3"/>
    <w:rsid w:val="00AA1C07"/>
    <w:rsid w:val="00AA209C"/>
    <w:rsid w:val="00AA3688"/>
    <w:rsid w:val="00AA5887"/>
    <w:rsid w:val="00AA7213"/>
    <w:rsid w:val="00AB19F8"/>
    <w:rsid w:val="00AB2A61"/>
    <w:rsid w:val="00AB3A12"/>
    <w:rsid w:val="00AB589B"/>
    <w:rsid w:val="00AB5A8D"/>
    <w:rsid w:val="00AB5C95"/>
    <w:rsid w:val="00AB5FA4"/>
    <w:rsid w:val="00AB6642"/>
    <w:rsid w:val="00AB7025"/>
    <w:rsid w:val="00AC028C"/>
    <w:rsid w:val="00AC2EFE"/>
    <w:rsid w:val="00AC3930"/>
    <w:rsid w:val="00AC3AB1"/>
    <w:rsid w:val="00AC3C1C"/>
    <w:rsid w:val="00AC68C6"/>
    <w:rsid w:val="00AC75AA"/>
    <w:rsid w:val="00AC79C1"/>
    <w:rsid w:val="00AC7CA4"/>
    <w:rsid w:val="00AD14BB"/>
    <w:rsid w:val="00AD2F3C"/>
    <w:rsid w:val="00AD4A64"/>
    <w:rsid w:val="00AD598F"/>
    <w:rsid w:val="00AD6D09"/>
    <w:rsid w:val="00AD72A5"/>
    <w:rsid w:val="00AD7B84"/>
    <w:rsid w:val="00AE098E"/>
    <w:rsid w:val="00AE0BBA"/>
    <w:rsid w:val="00AE2291"/>
    <w:rsid w:val="00AE25C8"/>
    <w:rsid w:val="00AE4113"/>
    <w:rsid w:val="00AE42BE"/>
    <w:rsid w:val="00AE4380"/>
    <w:rsid w:val="00AE52C0"/>
    <w:rsid w:val="00AE5525"/>
    <w:rsid w:val="00AE6381"/>
    <w:rsid w:val="00AE656F"/>
    <w:rsid w:val="00AE743A"/>
    <w:rsid w:val="00AE7D78"/>
    <w:rsid w:val="00AF0902"/>
    <w:rsid w:val="00AF438E"/>
    <w:rsid w:val="00AF45CA"/>
    <w:rsid w:val="00AF5CEE"/>
    <w:rsid w:val="00AF719C"/>
    <w:rsid w:val="00AF7506"/>
    <w:rsid w:val="00B007DD"/>
    <w:rsid w:val="00B0098A"/>
    <w:rsid w:val="00B01016"/>
    <w:rsid w:val="00B0146E"/>
    <w:rsid w:val="00B01B31"/>
    <w:rsid w:val="00B027CB"/>
    <w:rsid w:val="00B0352B"/>
    <w:rsid w:val="00B03A73"/>
    <w:rsid w:val="00B06321"/>
    <w:rsid w:val="00B074F8"/>
    <w:rsid w:val="00B145CD"/>
    <w:rsid w:val="00B15A0A"/>
    <w:rsid w:val="00B17FAB"/>
    <w:rsid w:val="00B2099F"/>
    <w:rsid w:val="00B22C5F"/>
    <w:rsid w:val="00B23687"/>
    <w:rsid w:val="00B24274"/>
    <w:rsid w:val="00B25710"/>
    <w:rsid w:val="00B2724E"/>
    <w:rsid w:val="00B27B03"/>
    <w:rsid w:val="00B27B73"/>
    <w:rsid w:val="00B301B0"/>
    <w:rsid w:val="00B309F5"/>
    <w:rsid w:val="00B30DCD"/>
    <w:rsid w:val="00B311B8"/>
    <w:rsid w:val="00B31B62"/>
    <w:rsid w:val="00B33711"/>
    <w:rsid w:val="00B33DC3"/>
    <w:rsid w:val="00B3482A"/>
    <w:rsid w:val="00B34889"/>
    <w:rsid w:val="00B353AC"/>
    <w:rsid w:val="00B3652E"/>
    <w:rsid w:val="00B37550"/>
    <w:rsid w:val="00B402C6"/>
    <w:rsid w:val="00B41DC1"/>
    <w:rsid w:val="00B43058"/>
    <w:rsid w:val="00B4420E"/>
    <w:rsid w:val="00B46EC7"/>
    <w:rsid w:val="00B50A91"/>
    <w:rsid w:val="00B50F22"/>
    <w:rsid w:val="00B52022"/>
    <w:rsid w:val="00B52187"/>
    <w:rsid w:val="00B54691"/>
    <w:rsid w:val="00B5744E"/>
    <w:rsid w:val="00B60CCD"/>
    <w:rsid w:val="00B62854"/>
    <w:rsid w:val="00B62EF1"/>
    <w:rsid w:val="00B640CC"/>
    <w:rsid w:val="00B645B6"/>
    <w:rsid w:val="00B64DAE"/>
    <w:rsid w:val="00B667BF"/>
    <w:rsid w:val="00B6797D"/>
    <w:rsid w:val="00B71DC0"/>
    <w:rsid w:val="00B72CC8"/>
    <w:rsid w:val="00B735B8"/>
    <w:rsid w:val="00B73B5A"/>
    <w:rsid w:val="00B74858"/>
    <w:rsid w:val="00B752EB"/>
    <w:rsid w:val="00B7782D"/>
    <w:rsid w:val="00B77BE4"/>
    <w:rsid w:val="00B812BE"/>
    <w:rsid w:val="00B8137B"/>
    <w:rsid w:val="00B816FE"/>
    <w:rsid w:val="00B81D87"/>
    <w:rsid w:val="00B84BFC"/>
    <w:rsid w:val="00B851E2"/>
    <w:rsid w:val="00B86608"/>
    <w:rsid w:val="00B87847"/>
    <w:rsid w:val="00B90477"/>
    <w:rsid w:val="00B90D23"/>
    <w:rsid w:val="00B90F98"/>
    <w:rsid w:val="00B91FDB"/>
    <w:rsid w:val="00B92AA5"/>
    <w:rsid w:val="00B96744"/>
    <w:rsid w:val="00BA6419"/>
    <w:rsid w:val="00BA6550"/>
    <w:rsid w:val="00BB0EDC"/>
    <w:rsid w:val="00BB2437"/>
    <w:rsid w:val="00BB2F21"/>
    <w:rsid w:val="00BB32A1"/>
    <w:rsid w:val="00BB3642"/>
    <w:rsid w:val="00BB66AB"/>
    <w:rsid w:val="00BC0AD6"/>
    <w:rsid w:val="00BC3584"/>
    <w:rsid w:val="00BC40F1"/>
    <w:rsid w:val="00BC4673"/>
    <w:rsid w:val="00BC5428"/>
    <w:rsid w:val="00BD5692"/>
    <w:rsid w:val="00BD5B0B"/>
    <w:rsid w:val="00BE0AA9"/>
    <w:rsid w:val="00BE1765"/>
    <w:rsid w:val="00BE1905"/>
    <w:rsid w:val="00BE1CB6"/>
    <w:rsid w:val="00BE2A1F"/>
    <w:rsid w:val="00BE4ED6"/>
    <w:rsid w:val="00BE54F3"/>
    <w:rsid w:val="00BE5F67"/>
    <w:rsid w:val="00BE7920"/>
    <w:rsid w:val="00BE793B"/>
    <w:rsid w:val="00BF1ABF"/>
    <w:rsid w:val="00BF2CD1"/>
    <w:rsid w:val="00BF4B6A"/>
    <w:rsid w:val="00BF5135"/>
    <w:rsid w:val="00BF5FA5"/>
    <w:rsid w:val="00BF6CC7"/>
    <w:rsid w:val="00C009F5"/>
    <w:rsid w:val="00C01129"/>
    <w:rsid w:val="00C02239"/>
    <w:rsid w:val="00C022E1"/>
    <w:rsid w:val="00C0398D"/>
    <w:rsid w:val="00C0539F"/>
    <w:rsid w:val="00C11E4C"/>
    <w:rsid w:val="00C14792"/>
    <w:rsid w:val="00C14954"/>
    <w:rsid w:val="00C152E2"/>
    <w:rsid w:val="00C16BEB"/>
    <w:rsid w:val="00C1743B"/>
    <w:rsid w:val="00C17D23"/>
    <w:rsid w:val="00C20CA6"/>
    <w:rsid w:val="00C23398"/>
    <w:rsid w:val="00C23B23"/>
    <w:rsid w:val="00C26C22"/>
    <w:rsid w:val="00C27B03"/>
    <w:rsid w:val="00C3089B"/>
    <w:rsid w:val="00C32028"/>
    <w:rsid w:val="00C34B40"/>
    <w:rsid w:val="00C35836"/>
    <w:rsid w:val="00C415C4"/>
    <w:rsid w:val="00C41CD3"/>
    <w:rsid w:val="00C41D29"/>
    <w:rsid w:val="00C43438"/>
    <w:rsid w:val="00C43DF2"/>
    <w:rsid w:val="00C44264"/>
    <w:rsid w:val="00C44A1E"/>
    <w:rsid w:val="00C4501D"/>
    <w:rsid w:val="00C459B6"/>
    <w:rsid w:val="00C46251"/>
    <w:rsid w:val="00C4790F"/>
    <w:rsid w:val="00C47FC0"/>
    <w:rsid w:val="00C5072A"/>
    <w:rsid w:val="00C5281A"/>
    <w:rsid w:val="00C528CC"/>
    <w:rsid w:val="00C53ABD"/>
    <w:rsid w:val="00C53AD3"/>
    <w:rsid w:val="00C53C94"/>
    <w:rsid w:val="00C56E1B"/>
    <w:rsid w:val="00C57741"/>
    <w:rsid w:val="00C60440"/>
    <w:rsid w:val="00C60B41"/>
    <w:rsid w:val="00C61ECB"/>
    <w:rsid w:val="00C6210E"/>
    <w:rsid w:val="00C62568"/>
    <w:rsid w:val="00C64143"/>
    <w:rsid w:val="00C6434D"/>
    <w:rsid w:val="00C652E5"/>
    <w:rsid w:val="00C659F1"/>
    <w:rsid w:val="00C66261"/>
    <w:rsid w:val="00C67446"/>
    <w:rsid w:val="00C7356B"/>
    <w:rsid w:val="00C7652A"/>
    <w:rsid w:val="00C7697F"/>
    <w:rsid w:val="00C76989"/>
    <w:rsid w:val="00C8136C"/>
    <w:rsid w:val="00C82FFA"/>
    <w:rsid w:val="00C85521"/>
    <w:rsid w:val="00C86111"/>
    <w:rsid w:val="00C863EE"/>
    <w:rsid w:val="00C879CA"/>
    <w:rsid w:val="00C92646"/>
    <w:rsid w:val="00C9316A"/>
    <w:rsid w:val="00C9380B"/>
    <w:rsid w:val="00C93B5E"/>
    <w:rsid w:val="00C93FF3"/>
    <w:rsid w:val="00C9524B"/>
    <w:rsid w:val="00C95D8D"/>
    <w:rsid w:val="00CA24F2"/>
    <w:rsid w:val="00CA2883"/>
    <w:rsid w:val="00CA2AEF"/>
    <w:rsid w:val="00CA5547"/>
    <w:rsid w:val="00CA6136"/>
    <w:rsid w:val="00CA6BCC"/>
    <w:rsid w:val="00CA71DA"/>
    <w:rsid w:val="00CB5032"/>
    <w:rsid w:val="00CB5C65"/>
    <w:rsid w:val="00CB62AC"/>
    <w:rsid w:val="00CB77EA"/>
    <w:rsid w:val="00CB7DF6"/>
    <w:rsid w:val="00CC01BE"/>
    <w:rsid w:val="00CC197F"/>
    <w:rsid w:val="00CC303F"/>
    <w:rsid w:val="00CC3C96"/>
    <w:rsid w:val="00CC4541"/>
    <w:rsid w:val="00CD077C"/>
    <w:rsid w:val="00CD092B"/>
    <w:rsid w:val="00CD114E"/>
    <w:rsid w:val="00CD1ACE"/>
    <w:rsid w:val="00CD25B0"/>
    <w:rsid w:val="00CD342A"/>
    <w:rsid w:val="00CD3940"/>
    <w:rsid w:val="00CD3B1F"/>
    <w:rsid w:val="00CD4E32"/>
    <w:rsid w:val="00CD515F"/>
    <w:rsid w:val="00CD7E60"/>
    <w:rsid w:val="00CE18A7"/>
    <w:rsid w:val="00CE3AE5"/>
    <w:rsid w:val="00CE5429"/>
    <w:rsid w:val="00CE6A0B"/>
    <w:rsid w:val="00CF0950"/>
    <w:rsid w:val="00CF09F1"/>
    <w:rsid w:val="00CF12B1"/>
    <w:rsid w:val="00CF3B07"/>
    <w:rsid w:val="00CF4C13"/>
    <w:rsid w:val="00CF4DC9"/>
    <w:rsid w:val="00CF625A"/>
    <w:rsid w:val="00CF6384"/>
    <w:rsid w:val="00CF6902"/>
    <w:rsid w:val="00CF6C0C"/>
    <w:rsid w:val="00CF7924"/>
    <w:rsid w:val="00D048C2"/>
    <w:rsid w:val="00D06E88"/>
    <w:rsid w:val="00D0750E"/>
    <w:rsid w:val="00D101ED"/>
    <w:rsid w:val="00D11F90"/>
    <w:rsid w:val="00D13527"/>
    <w:rsid w:val="00D15E4E"/>
    <w:rsid w:val="00D161AC"/>
    <w:rsid w:val="00D174E6"/>
    <w:rsid w:val="00D17601"/>
    <w:rsid w:val="00D20D6E"/>
    <w:rsid w:val="00D21300"/>
    <w:rsid w:val="00D230DC"/>
    <w:rsid w:val="00D303E8"/>
    <w:rsid w:val="00D31BA6"/>
    <w:rsid w:val="00D31EB9"/>
    <w:rsid w:val="00D335E1"/>
    <w:rsid w:val="00D35FEA"/>
    <w:rsid w:val="00D366E4"/>
    <w:rsid w:val="00D36CA9"/>
    <w:rsid w:val="00D423AC"/>
    <w:rsid w:val="00D44DC6"/>
    <w:rsid w:val="00D514E5"/>
    <w:rsid w:val="00D51B12"/>
    <w:rsid w:val="00D539D5"/>
    <w:rsid w:val="00D53A43"/>
    <w:rsid w:val="00D544D5"/>
    <w:rsid w:val="00D5508E"/>
    <w:rsid w:val="00D602DE"/>
    <w:rsid w:val="00D6096A"/>
    <w:rsid w:val="00D60ABE"/>
    <w:rsid w:val="00D60CE5"/>
    <w:rsid w:val="00D61811"/>
    <w:rsid w:val="00D62055"/>
    <w:rsid w:val="00D62A5A"/>
    <w:rsid w:val="00D63F9F"/>
    <w:rsid w:val="00D646D3"/>
    <w:rsid w:val="00D66264"/>
    <w:rsid w:val="00D662F2"/>
    <w:rsid w:val="00D665F1"/>
    <w:rsid w:val="00D6711E"/>
    <w:rsid w:val="00D67EF6"/>
    <w:rsid w:val="00D72A72"/>
    <w:rsid w:val="00D73B08"/>
    <w:rsid w:val="00D74BE7"/>
    <w:rsid w:val="00D76ADD"/>
    <w:rsid w:val="00D80127"/>
    <w:rsid w:val="00D805D1"/>
    <w:rsid w:val="00D82FD7"/>
    <w:rsid w:val="00D848F2"/>
    <w:rsid w:val="00D84FA6"/>
    <w:rsid w:val="00D85ECC"/>
    <w:rsid w:val="00D864C7"/>
    <w:rsid w:val="00D86552"/>
    <w:rsid w:val="00D86EB7"/>
    <w:rsid w:val="00D92B5E"/>
    <w:rsid w:val="00D93388"/>
    <w:rsid w:val="00D95457"/>
    <w:rsid w:val="00D97A7B"/>
    <w:rsid w:val="00DA0D4C"/>
    <w:rsid w:val="00DA1259"/>
    <w:rsid w:val="00DA1AAD"/>
    <w:rsid w:val="00DA1BE8"/>
    <w:rsid w:val="00DA1E08"/>
    <w:rsid w:val="00DA48E7"/>
    <w:rsid w:val="00DA4A52"/>
    <w:rsid w:val="00DA4FBC"/>
    <w:rsid w:val="00DA7457"/>
    <w:rsid w:val="00DB055B"/>
    <w:rsid w:val="00DB2995"/>
    <w:rsid w:val="00DB2ED0"/>
    <w:rsid w:val="00DB37CB"/>
    <w:rsid w:val="00DB38F0"/>
    <w:rsid w:val="00DB3EE8"/>
    <w:rsid w:val="00DB4701"/>
    <w:rsid w:val="00DB4BAA"/>
    <w:rsid w:val="00DB59C0"/>
    <w:rsid w:val="00DB5F53"/>
    <w:rsid w:val="00DB7E46"/>
    <w:rsid w:val="00DB7F22"/>
    <w:rsid w:val="00DC0146"/>
    <w:rsid w:val="00DC03EE"/>
    <w:rsid w:val="00DC0B70"/>
    <w:rsid w:val="00DC1BA1"/>
    <w:rsid w:val="00DC36B8"/>
    <w:rsid w:val="00DC3F79"/>
    <w:rsid w:val="00DC48F3"/>
    <w:rsid w:val="00DC4CAB"/>
    <w:rsid w:val="00DC53F2"/>
    <w:rsid w:val="00DC6B01"/>
    <w:rsid w:val="00DC7797"/>
    <w:rsid w:val="00DD078A"/>
    <w:rsid w:val="00DD1737"/>
    <w:rsid w:val="00DD34E1"/>
    <w:rsid w:val="00DD7667"/>
    <w:rsid w:val="00DD777C"/>
    <w:rsid w:val="00DE0299"/>
    <w:rsid w:val="00DE0D75"/>
    <w:rsid w:val="00DE19EB"/>
    <w:rsid w:val="00DE5B0F"/>
    <w:rsid w:val="00DE7763"/>
    <w:rsid w:val="00DF2CB1"/>
    <w:rsid w:val="00DF33CF"/>
    <w:rsid w:val="00DF4F8B"/>
    <w:rsid w:val="00DF69F9"/>
    <w:rsid w:val="00E00330"/>
    <w:rsid w:val="00E02B50"/>
    <w:rsid w:val="00E03CC9"/>
    <w:rsid w:val="00E04B08"/>
    <w:rsid w:val="00E04B3F"/>
    <w:rsid w:val="00E060C1"/>
    <w:rsid w:val="00E06B1E"/>
    <w:rsid w:val="00E07787"/>
    <w:rsid w:val="00E07FBC"/>
    <w:rsid w:val="00E1036D"/>
    <w:rsid w:val="00E10AAF"/>
    <w:rsid w:val="00E10CD0"/>
    <w:rsid w:val="00E115D0"/>
    <w:rsid w:val="00E1258C"/>
    <w:rsid w:val="00E147D5"/>
    <w:rsid w:val="00E14C0E"/>
    <w:rsid w:val="00E16642"/>
    <w:rsid w:val="00E176AF"/>
    <w:rsid w:val="00E1787C"/>
    <w:rsid w:val="00E2249E"/>
    <w:rsid w:val="00E22B76"/>
    <w:rsid w:val="00E234F1"/>
    <w:rsid w:val="00E24762"/>
    <w:rsid w:val="00E25AF8"/>
    <w:rsid w:val="00E26C55"/>
    <w:rsid w:val="00E26F6C"/>
    <w:rsid w:val="00E27EC3"/>
    <w:rsid w:val="00E320A0"/>
    <w:rsid w:val="00E326EA"/>
    <w:rsid w:val="00E34637"/>
    <w:rsid w:val="00E34CA3"/>
    <w:rsid w:val="00E36E5E"/>
    <w:rsid w:val="00E37DA6"/>
    <w:rsid w:val="00E37FE3"/>
    <w:rsid w:val="00E42C09"/>
    <w:rsid w:val="00E43AAA"/>
    <w:rsid w:val="00E44C62"/>
    <w:rsid w:val="00E54EF2"/>
    <w:rsid w:val="00E55FD9"/>
    <w:rsid w:val="00E607B7"/>
    <w:rsid w:val="00E60DC5"/>
    <w:rsid w:val="00E61A93"/>
    <w:rsid w:val="00E61DC0"/>
    <w:rsid w:val="00E6231F"/>
    <w:rsid w:val="00E63559"/>
    <w:rsid w:val="00E67180"/>
    <w:rsid w:val="00E676E2"/>
    <w:rsid w:val="00E709E5"/>
    <w:rsid w:val="00E74FA5"/>
    <w:rsid w:val="00E756A8"/>
    <w:rsid w:val="00E76032"/>
    <w:rsid w:val="00E768F2"/>
    <w:rsid w:val="00E77E9E"/>
    <w:rsid w:val="00E81DED"/>
    <w:rsid w:val="00E82316"/>
    <w:rsid w:val="00E825B3"/>
    <w:rsid w:val="00E849DE"/>
    <w:rsid w:val="00E85948"/>
    <w:rsid w:val="00E85B02"/>
    <w:rsid w:val="00E86536"/>
    <w:rsid w:val="00E87EE7"/>
    <w:rsid w:val="00E9167E"/>
    <w:rsid w:val="00E922A4"/>
    <w:rsid w:val="00E93F3F"/>
    <w:rsid w:val="00E97944"/>
    <w:rsid w:val="00EA05D9"/>
    <w:rsid w:val="00EA0C7F"/>
    <w:rsid w:val="00EA1104"/>
    <w:rsid w:val="00EA1846"/>
    <w:rsid w:val="00EA18E1"/>
    <w:rsid w:val="00EA1E93"/>
    <w:rsid w:val="00EA3330"/>
    <w:rsid w:val="00EA3B8C"/>
    <w:rsid w:val="00EA5257"/>
    <w:rsid w:val="00EA55BE"/>
    <w:rsid w:val="00EA59B6"/>
    <w:rsid w:val="00EA6A8C"/>
    <w:rsid w:val="00EB0433"/>
    <w:rsid w:val="00EB1B8B"/>
    <w:rsid w:val="00EB3C54"/>
    <w:rsid w:val="00EB4951"/>
    <w:rsid w:val="00EB6E25"/>
    <w:rsid w:val="00EC098E"/>
    <w:rsid w:val="00EC0BCB"/>
    <w:rsid w:val="00EC0E71"/>
    <w:rsid w:val="00EC221F"/>
    <w:rsid w:val="00EC5D25"/>
    <w:rsid w:val="00EC799E"/>
    <w:rsid w:val="00ED281F"/>
    <w:rsid w:val="00ED50F6"/>
    <w:rsid w:val="00ED613A"/>
    <w:rsid w:val="00ED6CFA"/>
    <w:rsid w:val="00ED6D11"/>
    <w:rsid w:val="00ED6D53"/>
    <w:rsid w:val="00EE1855"/>
    <w:rsid w:val="00EE2B68"/>
    <w:rsid w:val="00EE42A1"/>
    <w:rsid w:val="00EE6D70"/>
    <w:rsid w:val="00EF1386"/>
    <w:rsid w:val="00EF2491"/>
    <w:rsid w:val="00EF256B"/>
    <w:rsid w:val="00EF2F19"/>
    <w:rsid w:val="00EF5277"/>
    <w:rsid w:val="00EF52FB"/>
    <w:rsid w:val="00EF54CA"/>
    <w:rsid w:val="00EF5CAD"/>
    <w:rsid w:val="00EF611F"/>
    <w:rsid w:val="00EF6A7E"/>
    <w:rsid w:val="00EF71DF"/>
    <w:rsid w:val="00EF7E14"/>
    <w:rsid w:val="00F1030E"/>
    <w:rsid w:val="00F10925"/>
    <w:rsid w:val="00F12F6C"/>
    <w:rsid w:val="00F12F7D"/>
    <w:rsid w:val="00F13DAE"/>
    <w:rsid w:val="00F155BC"/>
    <w:rsid w:val="00F157D8"/>
    <w:rsid w:val="00F172C9"/>
    <w:rsid w:val="00F201AD"/>
    <w:rsid w:val="00F21481"/>
    <w:rsid w:val="00F222BB"/>
    <w:rsid w:val="00F2491A"/>
    <w:rsid w:val="00F24C6C"/>
    <w:rsid w:val="00F24EF6"/>
    <w:rsid w:val="00F254E4"/>
    <w:rsid w:val="00F27AE8"/>
    <w:rsid w:val="00F35D19"/>
    <w:rsid w:val="00F367D8"/>
    <w:rsid w:val="00F37007"/>
    <w:rsid w:val="00F3760A"/>
    <w:rsid w:val="00F41269"/>
    <w:rsid w:val="00F41319"/>
    <w:rsid w:val="00F44B13"/>
    <w:rsid w:val="00F44FAB"/>
    <w:rsid w:val="00F45BE7"/>
    <w:rsid w:val="00F45C51"/>
    <w:rsid w:val="00F463D7"/>
    <w:rsid w:val="00F50163"/>
    <w:rsid w:val="00F508B4"/>
    <w:rsid w:val="00F510E2"/>
    <w:rsid w:val="00F515F1"/>
    <w:rsid w:val="00F5194B"/>
    <w:rsid w:val="00F52269"/>
    <w:rsid w:val="00F5273A"/>
    <w:rsid w:val="00F52D6B"/>
    <w:rsid w:val="00F546FB"/>
    <w:rsid w:val="00F55335"/>
    <w:rsid w:val="00F57D1C"/>
    <w:rsid w:val="00F6030C"/>
    <w:rsid w:val="00F6086A"/>
    <w:rsid w:val="00F62824"/>
    <w:rsid w:val="00F62D7C"/>
    <w:rsid w:val="00F634C8"/>
    <w:rsid w:val="00F636EC"/>
    <w:rsid w:val="00F63957"/>
    <w:rsid w:val="00F641D7"/>
    <w:rsid w:val="00F67155"/>
    <w:rsid w:val="00F7058F"/>
    <w:rsid w:val="00F70D21"/>
    <w:rsid w:val="00F70FEF"/>
    <w:rsid w:val="00F7365E"/>
    <w:rsid w:val="00F74F3A"/>
    <w:rsid w:val="00F75C02"/>
    <w:rsid w:val="00F77ECB"/>
    <w:rsid w:val="00F81E47"/>
    <w:rsid w:val="00F824EF"/>
    <w:rsid w:val="00F85FED"/>
    <w:rsid w:val="00F86474"/>
    <w:rsid w:val="00F868B4"/>
    <w:rsid w:val="00F8730A"/>
    <w:rsid w:val="00F87BE0"/>
    <w:rsid w:val="00F90601"/>
    <w:rsid w:val="00F961BB"/>
    <w:rsid w:val="00F96A04"/>
    <w:rsid w:val="00F97406"/>
    <w:rsid w:val="00FA072C"/>
    <w:rsid w:val="00FA0D8C"/>
    <w:rsid w:val="00FA35FC"/>
    <w:rsid w:val="00FA49C5"/>
    <w:rsid w:val="00FB0A82"/>
    <w:rsid w:val="00FB11BE"/>
    <w:rsid w:val="00FB1357"/>
    <w:rsid w:val="00FB13FA"/>
    <w:rsid w:val="00FB1B56"/>
    <w:rsid w:val="00FB4C6F"/>
    <w:rsid w:val="00FB6181"/>
    <w:rsid w:val="00FB7039"/>
    <w:rsid w:val="00FC04FC"/>
    <w:rsid w:val="00FC0D60"/>
    <w:rsid w:val="00FC5E76"/>
    <w:rsid w:val="00FC69CF"/>
    <w:rsid w:val="00FC7214"/>
    <w:rsid w:val="00FC76B8"/>
    <w:rsid w:val="00FD0B70"/>
    <w:rsid w:val="00FD11B8"/>
    <w:rsid w:val="00FD1440"/>
    <w:rsid w:val="00FD1489"/>
    <w:rsid w:val="00FD1F14"/>
    <w:rsid w:val="00FD2DA9"/>
    <w:rsid w:val="00FD34F4"/>
    <w:rsid w:val="00FD3E97"/>
    <w:rsid w:val="00FD48D3"/>
    <w:rsid w:val="00FD59F1"/>
    <w:rsid w:val="00FD6FE2"/>
    <w:rsid w:val="00FD7383"/>
    <w:rsid w:val="00FD74CB"/>
    <w:rsid w:val="00FD7543"/>
    <w:rsid w:val="00FD7BF5"/>
    <w:rsid w:val="00FE0DC0"/>
    <w:rsid w:val="00FE185C"/>
    <w:rsid w:val="00FE3C5F"/>
    <w:rsid w:val="00FE4705"/>
    <w:rsid w:val="00FE557C"/>
    <w:rsid w:val="00FE6D45"/>
    <w:rsid w:val="00FF0AEC"/>
    <w:rsid w:val="00FF1BA1"/>
    <w:rsid w:val="00FF2B65"/>
    <w:rsid w:val="00FF47A7"/>
    <w:rsid w:val="00FF4C3A"/>
    <w:rsid w:val="00FF521E"/>
    <w:rsid w:val="00FF62F4"/>
    <w:rsid w:val="00FF6519"/>
  </w:rsids>
  <m:mathPr>
    <m:mathFont m:val="Cambria Math"/>
    <m:brkBin m:val="before"/>
    <m:brkBinSub m:val="--"/>
    <m:smallFrac m:val="0"/>
    <m:dispDef/>
    <m:lMargin m:val="0"/>
    <m:rMargin m:val="0"/>
    <m:defJc m:val="centerGroup"/>
    <m:wrapRight/>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359E1E"/>
  <w15:docId w15:val="{1F7718AF-1E5F-4F14-8C8C-67CDBA0CF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21BD8"/>
    <w:pPr>
      <w:tabs>
        <w:tab w:val="left" w:pos="567"/>
      </w:tabs>
      <w:spacing w:line="260" w:lineRule="exact"/>
    </w:pPr>
    <w:rPr>
      <w:snapToGrid w:val="0"/>
      <w:sz w:val="22"/>
      <w:lang w:eastAsia="zh-CN"/>
    </w:rPr>
  </w:style>
  <w:style w:type="paragraph" w:styleId="Cmsor1">
    <w:name w:val="heading 1"/>
    <w:basedOn w:val="Norml"/>
    <w:next w:val="Norml"/>
    <w:link w:val="Cmsor1Char"/>
    <w:qFormat/>
    <w:rsid w:val="00A21BD8"/>
    <w:pPr>
      <w:numPr>
        <w:numId w:val="10"/>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rsid w:val="00A21BD8"/>
    <w:pPr>
      <w:keepNext/>
      <w:numPr>
        <w:ilvl w:val="1"/>
        <w:numId w:val="10"/>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rsid w:val="00A21BD8"/>
    <w:pPr>
      <w:keepNext/>
      <w:keepLines/>
      <w:numPr>
        <w:ilvl w:val="2"/>
        <w:numId w:val="10"/>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A21BD8"/>
    <w:pPr>
      <w:keepNext/>
      <w:numPr>
        <w:ilvl w:val="3"/>
        <w:numId w:val="10"/>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A21BD8"/>
    <w:pPr>
      <w:keepNext/>
      <w:numPr>
        <w:ilvl w:val="4"/>
        <w:numId w:val="10"/>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A21BD8"/>
    <w:pPr>
      <w:keepNext/>
      <w:numPr>
        <w:ilvl w:val="5"/>
        <w:numId w:val="10"/>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rsid w:val="00A21BD8"/>
    <w:pPr>
      <w:keepNext/>
      <w:numPr>
        <w:ilvl w:val="6"/>
        <w:numId w:val="10"/>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rsid w:val="00A21BD8"/>
    <w:pPr>
      <w:keepNext/>
      <w:numPr>
        <w:ilvl w:val="7"/>
        <w:numId w:val="10"/>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rsid w:val="00A21BD8"/>
    <w:pPr>
      <w:keepNext/>
      <w:numPr>
        <w:ilvl w:val="8"/>
        <w:numId w:val="10"/>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rsid w:val="00A21BD8"/>
    <w:pPr>
      <w:tabs>
        <w:tab w:val="center" w:pos="4536"/>
        <w:tab w:val="right" w:pos="8306"/>
      </w:tabs>
    </w:pPr>
    <w:rPr>
      <w:rFonts w:ascii="Arial" w:hAnsi="Arial"/>
      <w:noProof/>
      <w:sz w:val="16"/>
      <w:lang w:val="en-US"/>
    </w:rPr>
  </w:style>
  <w:style w:type="character" w:customStyle="1" w:styleId="llbChar">
    <w:name w:val="Élőláb Char"/>
    <w:link w:val="llb"/>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rsid w:val="00A21BD8"/>
    <w:pPr>
      <w:spacing w:line="240" w:lineRule="auto"/>
    </w:pPr>
    <w:rPr>
      <w:rFonts w:ascii="Tahoma" w:hAnsi="Tahoma" w:cs="Tahoma"/>
      <w:sz w:val="16"/>
      <w:szCs w:val="16"/>
    </w:rPr>
  </w:style>
  <w:style w:type="character" w:customStyle="1" w:styleId="BuborkszvegChar">
    <w:name w:val="Buborékszöveg Char"/>
    <w:link w:val="Buborkszveg"/>
    <w:rsid w:val="00B145CD"/>
    <w:rPr>
      <w:rFonts w:ascii="Tahoma" w:hAnsi="Tahoma" w:cs="Tahoma"/>
      <w:snapToGrid w:val="0"/>
      <w:sz w:val="16"/>
      <w:szCs w:val="16"/>
      <w:lang w:val="en-GB"/>
    </w:rPr>
  </w:style>
  <w:style w:type="paragraph" w:styleId="lfej">
    <w:name w:val="header"/>
    <w:basedOn w:val="Norml"/>
    <w:link w:val="lfejChar"/>
    <w:uiPriority w:val="99"/>
    <w:rsid w:val="00A21BD8"/>
    <w:pPr>
      <w:tabs>
        <w:tab w:val="clear" w:pos="567"/>
        <w:tab w:val="center" w:pos="4320"/>
        <w:tab w:val="right" w:pos="8640"/>
      </w:tabs>
    </w:pPr>
  </w:style>
  <w:style w:type="character" w:styleId="Jegyzethivatkozs">
    <w:name w:val="annotation reference"/>
    <w:semiHidden/>
    <w:rsid w:val="0029347B"/>
    <w:rPr>
      <w:sz w:val="16"/>
      <w:szCs w:val="16"/>
    </w:rPr>
  </w:style>
  <w:style w:type="paragraph" w:styleId="Jegyzetszveg">
    <w:name w:val="annotation text"/>
    <w:basedOn w:val="Norml"/>
    <w:semiHidden/>
    <w:rsid w:val="00A21BD8"/>
    <w:rPr>
      <w:sz w:val="20"/>
    </w:rPr>
  </w:style>
  <w:style w:type="paragraph" w:styleId="Megjegyzstrgya">
    <w:name w:val="annotation subject"/>
    <w:basedOn w:val="Jegyzetszveg"/>
    <w:next w:val="Jegyzetszveg"/>
    <w:semiHidden/>
    <w:rsid w:val="0029347B"/>
    <w:rPr>
      <w:b/>
      <w:bCs/>
    </w:rPr>
  </w:style>
  <w:style w:type="paragraph" w:customStyle="1" w:styleId="EMEAEnBodyText">
    <w:name w:val="EMEA En Body Text"/>
    <w:basedOn w:val="Norml"/>
    <w:rsid w:val="00704070"/>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sid w:val="00A21BD8"/>
    <w:rPr>
      <w:rFonts w:eastAsia="Times New Roman"/>
      <w:b/>
      <w:caps/>
      <w:sz w:val="26"/>
    </w:rPr>
  </w:style>
  <w:style w:type="character" w:customStyle="1" w:styleId="Cmsor2Char">
    <w:name w:val="Címsor 2 Char"/>
    <w:link w:val="Cmsor2"/>
    <w:rsid w:val="00A21BD8"/>
    <w:rPr>
      <w:rFonts w:ascii="Helvetica" w:eastAsia="Times New Roman" w:hAnsi="Helvetica"/>
      <w:b/>
      <w:i/>
      <w:sz w:val="24"/>
      <w:lang w:val="hu-HU"/>
    </w:rPr>
  </w:style>
  <w:style w:type="character" w:customStyle="1" w:styleId="Cmsor3Char">
    <w:name w:val="Címsor 3 Char"/>
    <w:link w:val="Cmsor3"/>
    <w:rsid w:val="00A21BD8"/>
    <w:rPr>
      <w:rFonts w:eastAsia="Times New Roman"/>
      <w:b/>
      <w:kern w:val="1"/>
      <w:sz w:val="24"/>
    </w:rPr>
  </w:style>
  <w:style w:type="character" w:customStyle="1" w:styleId="Cmsor4Char">
    <w:name w:val="Címsor 4 Char"/>
    <w:link w:val="Cmsor4"/>
    <w:rsid w:val="00A21BD8"/>
    <w:rPr>
      <w:rFonts w:eastAsia="Times New Roman"/>
      <w:b/>
      <w:sz w:val="22"/>
    </w:rPr>
  </w:style>
  <w:style w:type="character" w:customStyle="1" w:styleId="Cmsor5Char">
    <w:name w:val="Címsor 5 Char"/>
    <w:link w:val="Cmsor5"/>
    <w:rsid w:val="00A21BD8"/>
    <w:rPr>
      <w:rFonts w:eastAsia="Times New Roman"/>
      <w:sz w:val="22"/>
    </w:rPr>
  </w:style>
  <w:style w:type="character" w:customStyle="1" w:styleId="Cmsor6Char">
    <w:name w:val="Címsor 6 Char"/>
    <w:link w:val="Cmsor6"/>
    <w:rsid w:val="00A21BD8"/>
    <w:rPr>
      <w:rFonts w:eastAsia="Times New Roman"/>
      <w:i/>
      <w:sz w:val="22"/>
      <w:lang w:val="hu-HU"/>
    </w:rPr>
  </w:style>
  <w:style w:type="character" w:customStyle="1" w:styleId="Cmsor7Char">
    <w:name w:val="Címsor 7 Char"/>
    <w:link w:val="Cmsor7"/>
    <w:rsid w:val="00A21BD8"/>
    <w:rPr>
      <w:rFonts w:eastAsia="Times New Roman"/>
      <w:i/>
      <w:sz w:val="22"/>
      <w:lang w:val="hu-HU"/>
    </w:rPr>
  </w:style>
  <w:style w:type="character" w:customStyle="1" w:styleId="Cmsor8Char">
    <w:name w:val="Címsor 8 Char"/>
    <w:link w:val="Cmsor8"/>
    <w:rsid w:val="00A21BD8"/>
    <w:rPr>
      <w:rFonts w:eastAsia="Times New Roman"/>
      <w:b/>
      <w:i/>
      <w:sz w:val="22"/>
      <w:lang w:val="hu-HU"/>
    </w:rPr>
  </w:style>
  <w:style w:type="character" w:customStyle="1" w:styleId="Cmsor9Char">
    <w:name w:val="Címsor 9 Char"/>
    <w:link w:val="Cmsor9"/>
    <w:rsid w:val="00A21BD8"/>
    <w:rPr>
      <w:rFonts w:eastAsia="Times New Roman"/>
      <w:b/>
      <w:i/>
      <w:sz w:val="22"/>
      <w:lang w:val="hu-HU"/>
    </w:rPr>
  </w:style>
  <w:style w:type="character" w:styleId="Mrltotthiperhivatkozs">
    <w:name w:val="FollowedHyperlink"/>
    <w:rsid w:val="00A21BD8"/>
    <w:rPr>
      <w:color w:val="800080"/>
      <w:u w:val="single"/>
    </w:rPr>
  </w:style>
  <w:style w:type="paragraph" w:styleId="Szvegtrzs">
    <w:name w:val="Body Text"/>
    <w:basedOn w:val="Norml"/>
    <w:link w:val="SzvegtrzsChar"/>
    <w:rsid w:val="00A21BD8"/>
    <w:pPr>
      <w:tabs>
        <w:tab w:val="clear" w:pos="567"/>
      </w:tabs>
      <w:suppressAutoHyphens/>
    </w:pPr>
    <w:rPr>
      <w:rFonts w:eastAsia="Times New Roman"/>
      <w:b/>
      <w:i/>
      <w:snapToGrid/>
      <w:lang w:val="hu-HU"/>
    </w:rPr>
  </w:style>
  <w:style w:type="character" w:customStyle="1" w:styleId="SzvegtrzsChar">
    <w:name w:val="Szövegtörzs Char"/>
    <w:link w:val="Szvegtrzs"/>
    <w:rsid w:val="00A21BD8"/>
    <w:rPr>
      <w:rFonts w:eastAsia="Times New Roman"/>
      <w:b/>
      <w:i/>
      <w:sz w:val="22"/>
      <w:lang w:val="hu-HU"/>
    </w:rPr>
  </w:style>
  <w:style w:type="paragraph" w:styleId="Lista">
    <w:name w:val="List"/>
    <w:basedOn w:val="Szvegtrzs"/>
    <w:rsid w:val="00A21BD8"/>
    <w:rPr>
      <w:rFonts w:cs="Tahoma"/>
    </w:rPr>
  </w:style>
  <w:style w:type="paragraph" w:styleId="Szvegtrzsbehzssal">
    <w:name w:val="Body Text Indent"/>
    <w:basedOn w:val="Norml"/>
    <w:link w:val="SzvegtrzsbehzssalChar"/>
    <w:rsid w:val="00A21BD8"/>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sid w:val="00A21BD8"/>
    <w:rPr>
      <w:rFonts w:eastAsia="Times New Roman"/>
      <w:b/>
      <w:color w:val="808080"/>
      <w:sz w:val="22"/>
      <w:lang w:val="hu-HU"/>
    </w:rPr>
  </w:style>
  <w:style w:type="paragraph" w:styleId="Bortkcm">
    <w:name w:val="envelope address"/>
    <w:basedOn w:val="Norml"/>
    <w:next w:val="Szvegtrzs"/>
    <w:rsid w:val="00A21BD8"/>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uiPriority w:val="99"/>
    <w:rsid w:val="00A21BD8"/>
    <w:pPr>
      <w:tabs>
        <w:tab w:val="clear" w:pos="567"/>
      </w:tabs>
      <w:suppressAutoHyphens/>
    </w:pPr>
    <w:rPr>
      <w:rFonts w:eastAsia="Times New Roman"/>
      <w:snapToGrid/>
      <w:sz w:val="20"/>
      <w:lang w:val="hu-HU"/>
    </w:rPr>
  </w:style>
  <w:style w:type="character" w:customStyle="1" w:styleId="LbjegyzetszvegChar">
    <w:name w:val="Lábjegyzetszöveg Char"/>
    <w:link w:val="Lbjegyzetszveg"/>
    <w:uiPriority w:val="99"/>
    <w:rsid w:val="00A21BD8"/>
    <w:rPr>
      <w:rFonts w:eastAsia="Times New Roman"/>
      <w:lang w:val="hu-HU"/>
    </w:rPr>
  </w:style>
  <w:style w:type="paragraph" w:styleId="Vgjegyzetszvege">
    <w:name w:val="endnote text"/>
    <w:basedOn w:val="Norml"/>
    <w:next w:val="Norml"/>
    <w:link w:val="VgjegyzetszvegeChar"/>
    <w:rsid w:val="00A21BD8"/>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sid w:val="00A21BD8"/>
    <w:rPr>
      <w:rFonts w:eastAsia="Times New Roman"/>
      <w:sz w:val="22"/>
      <w:lang w:val="hu-HU"/>
    </w:rPr>
  </w:style>
  <w:style w:type="paragraph" w:styleId="Szvegblokk">
    <w:name w:val="Block Text"/>
    <w:basedOn w:val="Norml"/>
    <w:rsid w:val="00A21BD8"/>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rsid w:val="00A21BD8"/>
    <w:pPr>
      <w:tabs>
        <w:tab w:val="clear" w:pos="567"/>
      </w:tabs>
      <w:suppressAutoHyphens/>
    </w:pPr>
    <w:rPr>
      <w:rFonts w:ascii="Tahoma" w:eastAsia="Times New Roman" w:hAnsi="Tahoma" w:cs="Tahoma"/>
      <w:snapToGrid/>
      <w:sz w:val="16"/>
      <w:szCs w:val="16"/>
      <w:lang w:val="hu-HU"/>
    </w:rPr>
  </w:style>
  <w:style w:type="paragraph" w:customStyle="1" w:styleId="Default">
    <w:name w:val="Default"/>
    <w:rsid w:val="00596D5D"/>
    <w:pPr>
      <w:autoSpaceDE w:val="0"/>
      <w:autoSpaceDN w:val="0"/>
      <w:adjustRightInd w:val="0"/>
    </w:pPr>
    <w:rPr>
      <w:color w:val="000000"/>
      <w:sz w:val="24"/>
      <w:szCs w:val="24"/>
    </w:rPr>
  </w:style>
  <w:style w:type="table" w:styleId="Rcsostblzat">
    <w:name w:val="Table Grid"/>
    <w:basedOn w:val="Normltblzat"/>
    <w:uiPriority w:val="39"/>
    <w:rsid w:val="003413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fejChar">
    <w:name w:val="Élőfej Char"/>
    <w:basedOn w:val="Bekezdsalapbettpusa"/>
    <w:link w:val="lfej"/>
    <w:uiPriority w:val="99"/>
    <w:rsid w:val="00F367D8"/>
    <w:rPr>
      <w:snapToGrid w:val="0"/>
      <w:sz w:val="22"/>
      <w:lang w:eastAsia="zh-CN"/>
    </w:rPr>
  </w:style>
  <w:style w:type="paragraph" w:styleId="Vltozat">
    <w:name w:val="Revision"/>
    <w:hidden/>
    <w:uiPriority w:val="99"/>
    <w:semiHidden/>
    <w:rsid w:val="004459B2"/>
    <w:rPr>
      <w:snapToGrid w:val="0"/>
      <w:sz w:val="22"/>
      <w:lang w:eastAsia="zh-CN"/>
    </w:rPr>
  </w:style>
  <w:style w:type="character" w:styleId="Lbjegyzet-hivatkozs">
    <w:name w:val="footnote reference"/>
    <w:basedOn w:val="Bekezdsalapbettpusa"/>
    <w:uiPriority w:val="99"/>
    <w:unhideWhenUsed/>
    <w:rsid w:val="00AD2F3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ma.europa.eu/docs/en_GB/document_library/Template_or_form/2013/03/WC500139752.doc"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1b05093-80b2-43f9-9ce5-1ae2087fc1a0">
      <Terms xmlns="http://schemas.microsoft.com/office/infopath/2007/PartnerControls"/>
    </lcf76f155ced4ddcb4097134ff3c332f>
    <TaxCatchAll xmlns="59e6f6a6-8d82-489f-9821-0b4711d6f9a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5264F54F661255438DB574C374437AEB" ma:contentTypeVersion="15" ma:contentTypeDescription="Ein neues Dokument erstellen." ma:contentTypeScope="" ma:versionID="4fe7f79042c96ed8c63eb5d4f379d914">
  <xsd:schema xmlns:xsd="http://www.w3.org/2001/XMLSchema" xmlns:xs="http://www.w3.org/2001/XMLSchema" xmlns:p="http://schemas.microsoft.com/office/2006/metadata/properties" xmlns:ns2="f1b05093-80b2-43f9-9ce5-1ae2087fc1a0" xmlns:ns3="59e6f6a6-8d82-489f-9821-0b4711d6f9aa" xmlns:ns4="86ca9ff9-eb03-41c7-87eb-0f6b317dc576" targetNamespace="http://schemas.microsoft.com/office/2006/metadata/properties" ma:root="true" ma:fieldsID="864f6135213c9ca27a1425aef11a86f9" ns2:_="" ns3:_="" ns4:_="">
    <xsd:import namespace="f1b05093-80b2-43f9-9ce5-1ae2087fc1a0"/>
    <xsd:import namespace="59e6f6a6-8d82-489f-9821-0b4711d6f9aa"/>
    <xsd:import namespace="86ca9ff9-eb03-41c7-87eb-0f6b317dc57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4:SharedWithUsers" minOccurs="0"/>
                <xsd:element ref="ns4: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b05093-80b2-43f9-9ce5-1ae2087fc1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Bildmarkierungen" ma:readOnly="false" ma:fieldId="{5cf76f15-5ced-4ddc-b409-7134ff3c332f}" ma:taxonomyMulti="true" ma:sspId="dd4d43df-b564-478e-9dfb-74c907658818"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e6f6a6-8d82-489f-9821-0b4711d6f9a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b037854-7874-474f-8520-ecfec57e4aa3}" ma:internalName="TaxCatchAll" ma:showField="CatchAllData" ma:web="86ca9ff9-eb03-41c7-87eb-0f6b317dc57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6ca9ff9-eb03-41c7-87eb-0f6b317dc576" elementFormDefault="qualified">
    <xsd:import namespace="http://schemas.microsoft.com/office/2006/documentManagement/types"/>
    <xsd:import namespace="http://schemas.microsoft.com/office/infopath/2007/PartnerControls"/>
    <xsd:element name="SharedWithUsers" ma:index="19"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AE1EF-D511-415C-84C5-F8EC94A063CF}">
  <ds:schemaRefs>
    <ds:schemaRef ds:uri="http://schemas.openxmlformats.org/package/2006/metadata/core-properties"/>
    <ds:schemaRef ds:uri="http://schemas.microsoft.com/office/2006/metadata/properties"/>
    <ds:schemaRef ds:uri="http://purl.org/dc/dcmitype/"/>
    <ds:schemaRef ds:uri="http://purl.org/dc/elements/1.1/"/>
    <ds:schemaRef ds:uri="http://purl.org/dc/terms/"/>
    <ds:schemaRef ds:uri="http://schemas.microsoft.com/office/infopath/2007/PartnerControls"/>
    <ds:schemaRef ds:uri="http://www.w3.org/XML/1998/namespace"/>
    <ds:schemaRef ds:uri="http://schemas.microsoft.com/office/2006/documentManagement/types"/>
    <ds:schemaRef ds:uri="86ca9ff9-eb03-41c7-87eb-0f6b317dc576"/>
    <ds:schemaRef ds:uri="59e6f6a6-8d82-489f-9821-0b4711d6f9aa"/>
    <ds:schemaRef ds:uri="f1b05093-80b2-43f9-9ce5-1ae2087fc1a0"/>
  </ds:schemaRefs>
</ds:datastoreItem>
</file>

<file path=customXml/itemProps2.xml><?xml version="1.0" encoding="utf-8"?>
<ds:datastoreItem xmlns:ds="http://schemas.openxmlformats.org/officeDocument/2006/customXml" ds:itemID="{BF560FBD-B893-45E8-945C-4D4D2C8376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b05093-80b2-43f9-9ce5-1ae2087fc1a0"/>
    <ds:schemaRef ds:uri="59e6f6a6-8d82-489f-9821-0b4711d6f9aa"/>
    <ds:schemaRef ds:uri="86ca9ff9-eb03-41c7-87eb-0f6b317dc5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94E2D8-19DA-4B5B-A2A8-242829041E4E}">
  <ds:schemaRefs>
    <ds:schemaRef ds:uri="http://schemas.microsoft.com/sharepoint/v3/contenttype/forms"/>
  </ds:schemaRefs>
</ds:datastoreItem>
</file>

<file path=customXml/itemProps4.xml><?xml version="1.0" encoding="utf-8"?>
<ds:datastoreItem xmlns:ds="http://schemas.openxmlformats.org/officeDocument/2006/customXml" ds:itemID="{803C8DC4-1030-4E58-8818-C576A9785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7645</Words>
  <Characters>54425</Characters>
  <Application>Microsoft Office Word</Application>
  <DocSecurity>0</DocSecurity>
  <Lines>453</Lines>
  <Paragraphs>123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Hreferralspcclean_hu</vt:lpstr>
      <vt:lpstr>Hreferralspcclean_hu</vt:lpstr>
    </vt:vector>
  </TitlesOfParts>
  <Company>Translation Centre</Company>
  <LinksUpToDate>false</LinksUpToDate>
  <CharactersWithSpaces>61947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Hreferralspcclean_hu</dc:title>
  <dc:creator>European Medicines Agency</dc:creator>
  <cp:lastModifiedBy>HU OGYI 49.1</cp:lastModifiedBy>
  <cp:revision>3</cp:revision>
  <dcterms:created xsi:type="dcterms:W3CDTF">2023-12-06T15:47:00Z</dcterms:created>
  <dcterms:modified xsi:type="dcterms:W3CDTF">2023-12-06T15:48:00Z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03/02/2020 10:27:31</vt:lpwstr>
  </property>
  <property fmtid="{D5CDD505-2E9C-101B-9397-08002B2CF9AE}" pid="7" name="DM_Creator_Name">
    <vt:lpwstr>Akhtar Timea</vt:lpwstr>
  </property>
  <property fmtid="{D5CDD505-2E9C-101B-9397-08002B2CF9AE}" pid="8" name="DM_DocRefId">
    <vt:lpwstr>EMA/58083/2020</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423415</vt:lpwstr>
  </property>
  <property fmtid="{D5CDD505-2E9C-101B-9397-08002B2CF9AE}" pid="14" name="DM_emea_doc_ref_id">
    <vt:lpwstr>EMA/58083/2020</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17/02/2020 15:04:18</vt:lpwstr>
  </property>
  <property fmtid="{D5CDD505-2E9C-101B-9397-08002B2CF9AE}" pid="35" name="DM_Modifier_Name">
    <vt:lpwstr>Akhtar Timea</vt:lpwstr>
  </property>
  <property fmtid="{D5CDD505-2E9C-101B-9397-08002B2CF9AE}" pid="36" name="DM_Modify_Date">
    <vt:lpwstr>17/02/2020 15:04:18</vt:lpwstr>
  </property>
  <property fmtid="{D5CDD505-2E9C-101B-9397-08002B2CF9AE}" pid="37" name="DM_Name">
    <vt:lpwstr>Hreferralspcclean_hu</vt:lpwstr>
  </property>
  <property fmtid="{D5CDD505-2E9C-101B-9397-08002B2CF9AE}" pid="38" name="DM_Owner">
    <vt:lpwstr>Espinasse Claire</vt:lpwstr>
  </property>
  <property fmtid="{D5CDD505-2E9C-101B-9397-08002B2CF9AE}" pid="39" name="DM_Path">
    <vt:lpwstr>/02b. Administration of Scientific Meeting/WPs SAGs DGs and other WGs/CxMP - QRD/3. Other activities/02. Procedures/01. QRD PI templates/03 QRD H-Referral templates/2019-06 H Referral template v 4.1 Dec 19/Publication February 2020/Final CLEAN templates f</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MSIP_Label_0eea11ca-d417-4147-80ed-01a58412c458_ActionId">
    <vt:lpwstr>30d1419a-b734-4e3b-9ae9-07c1948efd4c</vt:lpwstr>
  </property>
  <property fmtid="{D5CDD505-2E9C-101B-9397-08002B2CF9AE}" pid="46" name="MSIP_Label_0eea11ca-d417-4147-80ed-01a58412c458_Application">
    <vt:lpwstr>Microsoft Azure Information Protection</vt:lpwstr>
  </property>
  <property fmtid="{D5CDD505-2E9C-101B-9397-08002B2CF9AE}" pid="47" name="MSIP_Label_0eea11ca-d417-4147-80ed-01a58412c458_Enabled">
    <vt:lpwstr>True</vt:lpwstr>
  </property>
  <property fmtid="{D5CDD505-2E9C-101B-9397-08002B2CF9AE}" pid="48" name="MSIP_Label_0eea11ca-d417-4147-80ed-01a58412c458_Extended_MSFT_Method">
    <vt:lpwstr>Automatic</vt:lpwstr>
  </property>
  <property fmtid="{D5CDD505-2E9C-101B-9397-08002B2CF9AE}" pid="49" name="MSIP_Label_0eea11ca-d417-4147-80ed-01a58412c458_Name">
    <vt:lpwstr>All EMA Staff and Contractors</vt:lpwstr>
  </property>
  <property fmtid="{D5CDD505-2E9C-101B-9397-08002B2CF9AE}" pid="50" name="MSIP_Label_0eea11ca-d417-4147-80ed-01a58412c458_Owner">
    <vt:lpwstr>Tia.Akhtar@ema.europa.eu</vt:lpwstr>
  </property>
  <property fmtid="{D5CDD505-2E9C-101B-9397-08002B2CF9AE}" pid="51" name="MSIP_Label_0eea11ca-d417-4147-80ed-01a58412c458_Parent">
    <vt:lpwstr>afe1b31d-cec0-4074-b4bd-f07689e43d84</vt:lpwstr>
  </property>
  <property fmtid="{D5CDD505-2E9C-101B-9397-08002B2CF9AE}" pid="52" name="MSIP_Label_0eea11ca-d417-4147-80ed-01a58412c458_SetDate">
    <vt:lpwstr>2020-02-03T09:06:09.6925906Z</vt:lpwstr>
  </property>
  <property fmtid="{D5CDD505-2E9C-101B-9397-08002B2CF9AE}" pid="53" name="MSIP_Label_0eea11ca-d417-4147-80ed-01a58412c458_SiteId">
    <vt:lpwstr>bc9dc15c-61bc-4f03-b60b-e5b6d8922839</vt:lpwstr>
  </property>
  <property fmtid="{D5CDD505-2E9C-101B-9397-08002B2CF9AE}" pid="54" name="MSIP_Label_afe1b31d-cec0-4074-b4bd-f07689e43d84_ActionId">
    <vt:lpwstr>30d1419a-b734-4e3b-9ae9-07c1948efd4c</vt:lpwstr>
  </property>
  <property fmtid="{D5CDD505-2E9C-101B-9397-08002B2CF9AE}" pid="55" name="MSIP_Label_afe1b31d-cec0-4074-b4bd-f07689e43d84_Application">
    <vt:lpwstr>Microsoft Azure Information Protection</vt:lpwstr>
  </property>
  <property fmtid="{D5CDD505-2E9C-101B-9397-08002B2CF9AE}" pid="56" name="MSIP_Label_afe1b31d-cec0-4074-b4bd-f07689e43d84_Enabled">
    <vt:lpwstr>True</vt:lpwstr>
  </property>
  <property fmtid="{D5CDD505-2E9C-101B-9397-08002B2CF9AE}" pid="57" name="MSIP_Label_afe1b31d-cec0-4074-b4bd-f07689e43d84_Extended_MSFT_Method">
    <vt:lpwstr>Automatic</vt:lpwstr>
  </property>
  <property fmtid="{D5CDD505-2E9C-101B-9397-08002B2CF9AE}" pid="58" name="MSIP_Label_afe1b31d-cec0-4074-b4bd-f07689e43d84_Name">
    <vt:lpwstr>Internal</vt:lpwstr>
  </property>
  <property fmtid="{D5CDD505-2E9C-101B-9397-08002B2CF9AE}" pid="59" name="MSIP_Label_afe1b31d-cec0-4074-b4bd-f07689e43d84_Owner">
    <vt:lpwstr>Tia.Akhtar@ema.europa.eu</vt:lpwstr>
  </property>
  <property fmtid="{D5CDD505-2E9C-101B-9397-08002B2CF9AE}" pid="60" name="MSIP_Label_afe1b31d-cec0-4074-b4bd-f07689e43d84_SetDate">
    <vt:lpwstr>2020-02-03T09:06:09.6925906Z</vt:lpwstr>
  </property>
  <property fmtid="{D5CDD505-2E9C-101B-9397-08002B2CF9AE}" pid="61" name="MSIP_Label_afe1b31d-cec0-4074-b4bd-f07689e43d84_SiteId">
    <vt:lpwstr>bc9dc15c-61bc-4f03-b60b-e5b6d8922839</vt:lpwstr>
  </property>
  <property fmtid="{D5CDD505-2E9C-101B-9397-08002B2CF9AE}" pid="62" name="ContentTypeId">
    <vt:lpwstr>0x0101005264F54F661255438DB574C374437AEB</vt:lpwstr>
  </property>
  <property fmtid="{D5CDD505-2E9C-101B-9397-08002B2CF9AE}" pid="63" name="MediaServiceImageTags">
    <vt:lpwstr/>
  </property>
</Properties>
</file>