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BB9B2" w14:textId="0AF8CCC0" w:rsidR="004C0305" w:rsidRPr="001A762B" w:rsidRDefault="006C526F" w:rsidP="0087685B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037FB0F1" w14:textId="77777777" w:rsidR="004C0305" w:rsidRPr="001A762B" w:rsidRDefault="001F30F8" w:rsidP="0087685B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jc w:val="both"/>
        <w:rPr>
          <w:rFonts w:cs="Times New Roman"/>
          <w:b w:val="0"/>
          <w:bCs w:val="0"/>
        </w:rPr>
      </w:pPr>
      <w:r w:rsidRPr="001A762B">
        <w:rPr>
          <w:rFonts w:cs="Times New Roman"/>
        </w:rPr>
        <w:t>A GYÓGYSZER NEVE</w:t>
      </w:r>
    </w:p>
    <w:p w14:paraId="54B3C7C5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  <w:b/>
          <w:bCs/>
        </w:rPr>
      </w:pPr>
    </w:p>
    <w:p w14:paraId="1003AF94" w14:textId="2C1CCF51" w:rsidR="004C0305" w:rsidRPr="001A762B" w:rsidRDefault="00102EDD" w:rsidP="0087685B">
      <w:pPr>
        <w:pStyle w:val="Szvegtrzs"/>
        <w:ind w:left="0"/>
        <w:jc w:val="both"/>
        <w:rPr>
          <w:rFonts w:cs="Times New Roman"/>
        </w:rPr>
      </w:pPr>
      <w:r>
        <w:rPr>
          <w:rFonts w:cs="Times New Roman"/>
        </w:rPr>
        <w:t>Chantico</w:t>
      </w:r>
      <w:r w:rsidR="00903401">
        <w:rPr>
          <w:rFonts w:cs="Times New Roman"/>
        </w:rPr>
        <w:t xml:space="preserve"> 0</w:t>
      </w:r>
      <w:proofErr w:type="gramStart"/>
      <w:r w:rsidR="00903401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="00903401">
        <w:rPr>
          <w:rFonts w:cs="Times New Roman"/>
        </w:rPr>
        <w:t xml:space="preserve"> kemény kapszula</w:t>
      </w:r>
    </w:p>
    <w:p w14:paraId="78738087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</w:rPr>
      </w:pPr>
    </w:p>
    <w:p w14:paraId="0216AAFD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</w:rPr>
      </w:pPr>
    </w:p>
    <w:p w14:paraId="3AAA6DC6" w14:textId="77777777" w:rsidR="004C0305" w:rsidRPr="001A762B" w:rsidRDefault="001F30F8" w:rsidP="0087685B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jc w:val="both"/>
        <w:rPr>
          <w:rFonts w:cs="Times New Roman"/>
          <w:b w:val="0"/>
          <w:bCs w:val="0"/>
        </w:rPr>
      </w:pPr>
      <w:r w:rsidRPr="001A762B">
        <w:rPr>
          <w:rFonts w:cs="Times New Roman"/>
        </w:rPr>
        <w:t>MINŐSÉGI ÉS MENNYISÉGI ÖSSZETÉTEL</w:t>
      </w:r>
    </w:p>
    <w:p w14:paraId="374211CF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</w:rPr>
      </w:pPr>
    </w:p>
    <w:p w14:paraId="7CB20A9C" w14:textId="0650A149" w:rsidR="008E5466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</w:t>
      </w:r>
      <w:r w:rsidR="00102EDD">
        <w:rPr>
          <w:rFonts w:cs="Times New Roman"/>
        </w:rPr>
        <w:t>dal egyenértékű fingolimod-</w:t>
      </w:r>
      <w:r w:rsidRPr="001A762B">
        <w:rPr>
          <w:rFonts w:cs="Times New Roman"/>
        </w:rPr>
        <w:t>hidroklorid</w:t>
      </w:r>
      <w:r w:rsidR="00102EDD">
        <w:rPr>
          <w:rFonts w:cs="Times New Roman"/>
        </w:rPr>
        <w:t>ot tartalmaz</w:t>
      </w:r>
      <w:r w:rsidR="003E4330" w:rsidRPr="003E4330">
        <w:rPr>
          <w:rFonts w:cs="Times New Roman"/>
        </w:rPr>
        <w:t xml:space="preserve"> </w:t>
      </w:r>
      <w:r w:rsidR="003E4330">
        <w:rPr>
          <w:rFonts w:cs="Times New Roman"/>
        </w:rPr>
        <w:t>kapszulánként</w:t>
      </w:r>
      <w:r w:rsidRPr="001A762B">
        <w:rPr>
          <w:rFonts w:cs="Times New Roman"/>
        </w:rPr>
        <w:t>.</w:t>
      </w:r>
    </w:p>
    <w:p w14:paraId="554E0FC3" w14:textId="77777777" w:rsidR="008E5466" w:rsidRPr="001A762B" w:rsidRDefault="008E5466" w:rsidP="00225D6A">
      <w:pPr>
        <w:pStyle w:val="Szvegtrzs"/>
        <w:ind w:left="0"/>
        <w:rPr>
          <w:rFonts w:cs="Times New Roman"/>
        </w:rPr>
      </w:pPr>
    </w:p>
    <w:p w14:paraId="2EBF86E1" w14:textId="4D0B415E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segédanyagok teljes listáját lásd a 6.1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ban.</w:t>
      </w:r>
    </w:p>
    <w:p w14:paraId="04A633D1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71E96BD" w14:textId="77777777" w:rsidR="003C2747" w:rsidRPr="001A762B" w:rsidRDefault="003C2747" w:rsidP="00225D6A">
      <w:pPr>
        <w:rPr>
          <w:rFonts w:ascii="Times New Roman" w:eastAsia="Times New Roman" w:hAnsi="Times New Roman" w:cs="Times New Roman"/>
        </w:rPr>
      </w:pPr>
    </w:p>
    <w:p w14:paraId="6B89CB3E" w14:textId="77777777" w:rsidR="004C0305" w:rsidRPr="001A762B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GYÓGYSZERFORMA</w:t>
      </w:r>
    </w:p>
    <w:p w14:paraId="2046E9A9" w14:textId="77777777" w:rsidR="004C0305" w:rsidRPr="001A762B" w:rsidRDefault="004C0305" w:rsidP="00225D6A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5B7EADA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Kemény kapszula</w:t>
      </w:r>
    </w:p>
    <w:p w14:paraId="25D95895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1E153D3" w14:textId="7396B950" w:rsidR="004C0305" w:rsidRPr="001A762B" w:rsidRDefault="00102EDD" w:rsidP="00225D6A">
      <w:pPr>
        <w:pStyle w:val="Szvegtrzs"/>
        <w:ind w:left="0"/>
        <w:rPr>
          <w:rFonts w:cs="Times New Roman"/>
        </w:rPr>
      </w:pPr>
      <w:r>
        <w:rPr>
          <w:rFonts w:cs="Times New Roman"/>
        </w:rPr>
        <w:t>16 mm</w:t>
      </w:r>
      <w:r>
        <w:rPr>
          <w:rFonts w:cs="Times New Roman"/>
        </w:rPr>
        <w:noBreakHyphen/>
        <w:t>es (</w:t>
      </w:r>
      <w:r w:rsidR="00903401">
        <w:rPr>
          <w:rFonts w:cs="Times New Roman"/>
        </w:rPr>
        <w:t>3-as méretű</w:t>
      </w:r>
      <w:r>
        <w:rPr>
          <w:rFonts w:cs="Times New Roman"/>
        </w:rPr>
        <w:t>)</w:t>
      </w:r>
      <w:r w:rsidR="00903401">
        <w:rPr>
          <w:rFonts w:cs="Times New Roman"/>
        </w:rPr>
        <w:t xml:space="preserve"> </w:t>
      </w:r>
      <w:r w:rsidR="002E14D2">
        <w:rPr>
          <w:rFonts w:cs="Times New Roman"/>
        </w:rPr>
        <w:t>kemény zselatin</w:t>
      </w:r>
      <w:r w:rsidR="002E14D2" w:rsidRPr="001A762B">
        <w:rPr>
          <w:rFonts w:cs="Times New Roman"/>
        </w:rPr>
        <w:t xml:space="preserve"> </w:t>
      </w:r>
      <w:r w:rsidR="001F30F8" w:rsidRPr="001A762B">
        <w:rPr>
          <w:rFonts w:cs="Times New Roman"/>
        </w:rPr>
        <w:t xml:space="preserve">kapszula, </w:t>
      </w:r>
      <w:r w:rsidR="003E4330" w:rsidRPr="00FB6D00">
        <w:rPr>
          <w:rFonts w:cs="Times New Roman"/>
          <w:spacing w:val="-3"/>
          <w:szCs w:val="24"/>
          <w:lang w:eastAsia="hu-HU"/>
        </w:rPr>
        <w:t>sárga színű átlátszatlan felső és fehér színű átlátszatlan alsó résszel</w:t>
      </w:r>
      <w:r w:rsidR="00666729">
        <w:rPr>
          <w:rFonts w:cs="Times New Roman"/>
        </w:rPr>
        <w:t>.</w:t>
      </w:r>
    </w:p>
    <w:p w14:paraId="3C59899D" w14:textId="7081E884" w:rsidR="004C0305" w:rsidRDefault="004C0305" w:rsidP="00225D6A">
      <w:pPr>
        <w:rPr>
          <w:rFonts w:ascii="Times New Roman" w:eastAsia="Times New Roman" w:hAnsi="Times New Roman" w:cs="Times New Roman"/>
        </w:rPr>
      </w:pPr>
    </w:p>
    <w:p w14:paraId="42C209B6" w14:textId="77777777" w:rsidR="008D72BD" w:rsidRPr="001A762B" w:rsidRDefault="008D72BD" w:rsidP="00225D6A">
      <w:pPr>
        <w:rPr>
          <w:rFonts w:ascii="Times New Roman" w:eastAsia="Times New Roman" w:hAnsi="Times New Roman" w:cs="Times New Roman"/>
        </w:rPr>
      </w:pPr>
    </w:p>
    <w:p w14:paraId="52011C36" w14:textId="77777777" w:rsidR="004C0305" w:rsidRPr="001A762B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KLINIKAI JELLEMZŐK</w:t>
      </w:r>
    </w:p>
    <w:p w14:paraId="0FA41BBC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25C8C627" w14:textId="77777777" w:rsidR="004C0305" w:rsidRPr="001A762B" w:rsidRDefault="001F30F8" w:rsidP="00225D6A">
      <w:pPr>
        <w:numPr>
          <w:ilvl w:val="1"/>
          <w:numId w:val="2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b/>
        </w:rPr>
        <w:t>Terápiás javallatok</w:t>
      </w:r>
    </w:p>
    <w:p w14:paraId="22668B41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52F90239" w14:textId="4AB5BA50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102EDD">
        <w:rPr>
          <w:rFonts w:cs="Times New Roman"/>
        </w:rPr>
        <w:t>Chantico</w:t>
      </w:r>
      <w:r w:rsidR="00903401">
        <w:rPr>
          <w:rFonts w:cs="Times New Roman"/>
        </w:rPr>
        <w:t xml:space="preserve"> </w:t>
      </w:r>
      <w:r w:rsidRPr="001A762B">
        <w:rPr>
          <w:rFonts w:cs="Times New Roman"/>
        </w:rPr>
        <w:t>betegségmódosító kezelésként önmagában javallott nagyon aktív relapszáló-remittáló sclerosis multiplex kezelésére a következő felnőtt és 10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vagy annál idősebb gyermek</w:t>
      </w:r>
      <w:r w:rsidR="00A751C6">
        <w:rPr>
          <w:rFonts w:cs="Times New Roman"/>
        </w:rPr>
        <w:t>ek és serdülők esetében</w:t>
      </w:r>
      <w:r w:rsidRPr="001A762B">
        <w:rPr>
          <w:rFonts w:cs="Times New Roman"/>
        </w:rPr>
        <w:t>:</w:t>
      </w:r>
    </w:p>
    <w:p w14:paraId="38B97065" w14:textId="77777777" w:rsidR="00A9558F" w:rsidRPr="001A762B" w:rsidRDefault="00A9558F" w:rsidP="00225D6A">
      <w:pPr>
        <w:pStyle w:val="Szvegtrzs"/>
        <w:ind w:left="0"/>
        <w:rPr>
          <w:rFonts w:cs="Times New Roman"/>
        </w:rPr>
      </w:pPr>
    </w:p>
    <w:p w14:paraId="1743237A" w14:textId="656F04DA" w:rsidR="004C0305" w:rsidRDefault="001F30F8" w:rsidP="00225D6A">
      <w:pPr>
        <w:pStyle w:val="Szvegtrzs"/>
        <w:numPr>
          <w:ilvl w:val="0"/>
          <w:numId w:val="27"/>
        </w:numPr>
        <w:ind w:left="567" w:hanging="567"/>
        <w:rPr>
          <w:rFonts w:cs="Times New Roman"/>
        </w:rPr>
      </w:pPr>
      <w:proofErr w:type="gramStart"/>
      <w:r w:rsidRPr="001A762B">
        <w:rPr>
          <w:rFonts w:cs="Times New Roman"/>
        </w:rPr>
        <w:t>azon</w:t>
      </w:r>
      <w:proofErr w:type="gramEnd"/>
      <w:r w:rsidRPr="001A762B">
        <w:rPr>
          <w:rFonts w:cs="Times New Roman"/>
        </w:rPr>
        <w:t xml:space="preserve"> betegeknél, akiknél legalább egy teljes és megfelelő betegségmódosító terápiával történt kezelés ellenére a betegség nagyon aktív (a kivételekről is a kiürülési időkről lásd a 4.4 és az</w:t>
      </w:r>
      <w:r w:rsidR="00CB3891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5.1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ot)</w:t>
      </w:r>
      <w:r w:rsidR="00F060A5">
        <w:rPr>
          <w:rFonts w:cs="Times New Roman"/>
        </w:rPr>
        <w:t>.</w:t>
      </w:r>
    </w:p>
    <w:p w14:paraId="6F19FDFA" w14:textId="7AD2C465" w:rsidR="007D2011" w:rsidRPr="001A762B" w:rsidRDefault="007D2011" w:rsidP="00225D6A">
      <w:pPr>
        <w:pStyle w:val="Szvegtrzs"/>
        <w:ind w:left="0"/>
        <w:rPr>
          <w:rFonts w:cs="Times New Roman"/>
        </w:rPr>
      </w:pPr>
      <w:proofErr w:type="gramStart"/>
      <w:r>
        <w:rPr>
          <w:rFonts w:cs="Times New Roman"/>
        </w:rPr>
        <w:t>vagy</w:t>
      </w:r>
      <w:proofErr w:type="gramEnd"/>
    </w:p>
    <w:p w14:paraId="009529C7" w14:textId="6A601115" w:rsidR="004C0305" w:rsidRPr="001A762B" w:rsidRDefault="001F30F8" w:rsidP="00225D6A">
      <w:pPr>
        <w:pStyle w:val="Szvegtrzs"/>
        <w:numPr>
          <w:ilvl w:val="0"/>
          <w:numId w:val="27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azon betegeknél, akiknél a relapszáló-remittáló sclerosis multiplex gyorsan súlyosbodik, azaz 2</w:t>
      </w:r>
      <w:r w:rsidR="00CB3891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vagy több funkcióvesztést okozó relapszus fordult elő egy</w:t>
      </w:r>
      <w:r w:rsidR="00063923">
        <w:rPr>
          <w:rFonts w:cs="Times New Roman"/>
        </w:rPr>
        <w:t xml:space="preserve"> </w:t>
      </w:r>
      <w:r w:rsidR="00607A97">
        <w:rPr>
          <w:rFonts w:cs="Times New Roman"/>
        </w:rPr>
        <w:t>év</w:t>
      </w:r>
      <w:r w:rsidRPr="001A762B">
        <w:rPr>
          <w:rFonts w:cs="Times New Roman"/>
        </w:rPr>
        <w:t xml:space="preserve"> alatt, és 1 vagy több gadolínium-dúsulással járó lézió </w:t>
      </w:r>
      <w:r w:rsidR="00063923">
        <w:rPr>
          <w:rFonts w:cs="Times New Roman"/>
        </w:rPr>
        <w:t>látható</w:t>
      </w:r>
      <w:r w:rsidRPr="001A762B">
        <w:rPr>
          <w:rFonts w:cs="Times New Roman"/>
        </w:rPr>
        <w:t xml:space="preserve"> agyi MR-</w:t>
      </w:r>
      <w:r w:rsidR="00180080">
        <w:rPr>
          <w:rFonts w:cs="Times New Roman"/>
        </w:rPr>
        <w:t>vizsgálat</w:t>
      </w:r>
      <w:r w:rsidR="00063923">
        <w:rPr>
          <w:rFonts w:cs="Times New Roman"/>
        </w:rPr>
        <w:t>tal</w:t>
      </w:r>
      <w:r w:rsidRPr="001A762B">
        <w:rPr>
          <w:rFonts w:cs="Times New Roman"/>
        </w:rPr>
        <w:t>, vagy jelentős növekedés volt a T2</w:t>
      </w:r>
      <w:r w:rsidR="00180080">
        <w:rPr>
          <w:rFonts w:cs="Times New Roman"/>
        </w:rPr>
        <w:t>-</w:t>
      </w:r>
      <w:r w:rsidRPr="001A762B">
        <w:rPr>
          <w:rFonts w:cs="Times New Roman"/>
        </w:rPr>
        <w:t>léziókban a legutóbbi MR-</w:t>
      </w:r>
      <w:r w:rsidR="00180080">
        <w:rPr>
          <w:rFonts w:cs="Times New Roman"/>
        </w:rPr>
        <w:t>lelet</w:t>
      </w:r>
      <w:r w:rsidRPr="001A762B">
        <w:rPr>
          <w:rFonts w:cs="Times New Roman"/>
        </w:rPr>
        <w:t>hez képest.</w:t>
      </w:r>
    </w:p>
    <w:p w14:paraId="75705DA7" w14:textId="77777777" w:rsidR="001F30F8" w:rsidRPr="001A762B" w:rsidRDefault="001F30F8" w:rsidP="00225D6A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</w:rPr>
      </w:pPr>
    </w:p>
    <w:p w14:paraId="72C5CFDE" w14:textId="77777777" w:rsidR="004C0305" w:rsidRPr="001A762B" w:rsidRDefault="001F30F8" w:rsidP="00225D6A">
      <w:pPr>
        <w:pStyle w:val="Cmsor1"/>
        <w:numPr>
          <w:ilvl w:val="1"/>
          <w:numId w:val="26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Adagolás és alkalmazás</w:t>
      </w:r>
    </w:p>
    <w:p w14:paraId="29C47B4D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71BAF1FE" w14:textId="61DBCE7D" w:rsidR="00CB3891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kezelést a sclerosis multiplex</w:t>
      </w:r>
      <w:r w:rsidR="00180080">
        <w:rPr>
          <w:rFonts w:cs="Times New Roman"/>
        </w:rPr>
        <w:t xml:space="preserve"> kezelésé</w:t>
      </w:r>
      <w:r w:rsidRPr="001A762B">
        <w:rPr>
          <w:rFonts w:cs="Times New Roman"/>
        </w:rPr>
        <w:t xml:space="preserve">ben tapasztalattal rendelkező orvosnak kell elkezdenie és felügyelnie. </w:t>
      </w:r>
    </w:p>
    <w:p w14:paraId="2BE27FE1" w14:textId="77777777" w:rsidR="00CB3891" w:rsidRPr="001A762B" w:rsidRDefault="00CB3891" w:rsidP="00225D6A">
      <w:pPr>
        <w:pStyle w:val="Szvegtrzs"/>
        <w:ind w:left="0"/>
        <w:rPr>
          <w:rFonts w:cs="Times New Roman"/>
        </w:rPr>
      </w:pPr>
    </w:p>
    <w:p w14:paraId="296FDEE4" w14:textId="77777777" w:rsidR="004C0305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  <w:r w:rsidRPr="001A762B">
        <w:rPr>
          <w:rFonts w:cs="Times New Roman"/>
          <w:u w:val="single" w:color="000000"/>
        </w:rPr>
        <w:t>Adagolás</w:t>
      </w:r>
    </w:p>
    <w:p w14:paraId="43C6A68C" w14:textId="77777777" w:rsidR="00CB3891" w:rsidRPr="001A762B" w:rsidRDefault="00CB3891" w:rsidP="00225D6A">
      <w:pPr>
        <w:pStyle w:val="Szvegtrzs"/>
        <w:ind w:left="0"/>
        <w:rPr>
          <w:rFonts w:cs="Times New Roman"/>
        </w:rPr>
      </w:pPr>
    </w:p>
    <w:p w14:paraId="36F01AE8" w14:textId="29704C2D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Felnőtteknél a </w:t>
      </w:r>
      <w:r w:rsidR="00102EDD">
        <w:rPr>
          <w:rFonts w:cs="Times New Roman"/>
        </w:rPr>
        <w:t>Chantico</w:t>
      </w:r>
      <w:r w:rsidR="00903401">
        <w:rPr>
          <w:rFonts w:cs="Times New Roman"/>
        </w:rPr>
        <w:t xml:space="preserve"> </w:t>
      </w:r>
      <w:r w:rsidRPr="001A762B">
        <w:rPr>
          <w:rFonts w:cs="Times New Roman"/>
        </w:rPr>
        <w:t>javasolt adagja naponta egyszer egy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kapszula, szájon át bevéve.</w:t>
      </w:r>
    </w:p>
    <w:p w14:paraId="0A3ECFAA" w14:textId="77777777" w:rsidR="00102EDD" w:rsidRPr="001A762B" w:rsidRDefault="00102EDD" w:rsidP="00225D6A">
      <w:pPr>
        <w:pStyle w:val="Szvegtrzs"/>
        <w:ind w:left="0"/>
        <w:rPr>
          <w:rFonts w:cs="Times New Roman"/>
        </w:rPr>
      </w:pPr>
    </w:p>
    <w:p w14:paraId="57EFEDC9" w14:textId="0137522D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Gyermek</w:t>
      </w:r>
      <w:r w:rsidR="008D72BD">
        <w:rPr>
          <w:rFonts w:cs="Times New Roman"/>
        </w:rPr>
        <w:t>ek</w:t>
      </w:r>
      <w:r w:rsidR="00324E9E">
        <w:rPr>
          <w:rFonts w:cs="Times New Roman"/>
        </w:rPr>
        <w:t xml:space="preserve"> és se</w:t>
      </w:r>
      <w:r w:rsidR="00102EDD">
        <w:rPr>
          <w:rFonts w:cs="Times New Roman"/>
        </w:rPr>
        <w:t>r</w:t>
      </w:r>
      <w:r w:rsidR="00324E9E">
        <w:rPr>
          <w:rFonts w:cs="Times New Roman"/>
        </w:rPr>
        <w:t>dülők esetében</w:t>
      </w:r>
      <w:r w:rsidR="008B2F5B">
        <w:rPr>
          <w:rFonts w:cs="Times New Roman"/>
        </w:rPr>
        <w:t xml:space="preserve"> </w:t>
      </w:r>
      <w:r w:rsidRPr="001A762B">
        <w:rPr>
          <w:rFonts w:cs="Times New Roman"/>
        </w:rPr>
        <w:t>(10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vagy annál idősebb) a javasolt adag a testsúlytól függ:</w:t>
      </w:r>
    </w:p>
    <w:p w14:paraId="2A822C03" w14:textId="3A1D7533" w:rsidR="004C0305" w:rsidRPr="001A762B" w:rsidRDefault="001F30F8" w:rsidP="00225D6A">
      <w:pPr>
        <w:pStyle w:val="Szvegtrzs"/>
        <w:numPr>
          <w:ilvl w:val="0"/>
          <w:numId w:val="25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≤</w:t>
      </w:r>
      <w:r w:rsidR="00180080">
        <w:rPr>
          <w:rFonts w:cs="Times New Roman"/>
        </w:rPr>
        <w:t> </w:t>
      </w:r>
      <w:r w:rsidRPr="001A762B">
        <w:rPr>
          <w:rFonts w:cs="Times New Roman"/>
        </w:rPr>
        <w:t>40</w:t>
      </w:r>
      <w:r w:rsidR="00523202">
        <w:rPr>
          <w:rFonts w:cs="Times New Roman"/>
        </w:rPr>
        <w:t> kg-os</w:t>
      </w:r>
      <w:r w:rsidRPr="001A762B">
        <w:rPr>
          <w:rFonts w:cs="Times New Roman"/>
        </w:rPr>
        <w:t xml:space="preserve"> </w:t>
      </w:r>
      <w:r w:rsidR="00523202">
        <w:rPr>
          <w:rFonts w:cs="Times New Roman"/>
        </w:rPr>
        <w:t xml:space="preserve">testtömegű </w:t>
      </w:r>
      <w:r w:rsidR="00324E9E">
        <w:rPr>
          <w:rFonts w:cs="Times New Roman"/>
        </w:rPr>
        <w:t xml:space="preserve">gyermekek és </w:t>
      </w:r>
      <w:r w:rsidR="00102EDD">
        <w:rPr>
          <w:rFonts w:cs="Times New Roman"/>
        </w:rPr>
        <w:t>serdülők</w:t>
      </w:r>
      <w:r w:rsidR="00324E9E">
        <w:rPr>
          <w:rFonts w:cs="Times New Roman"/>
        </w:rPr>
        <w:t xml:space="preserve"> esetében</w:t>
      </w:r>
      <w:r w:rsidRPr="001A762B">
        <w:rPr>
          <w:rFonts w:cs="Times New Roman"/>
        </w:rPr>
        <w:t>: naponta egyszer egy 0</w:t>
      </w:r>
      <w:proofErr w:type="gramStart"/>
      <w:r w:rsidRPr="001A762B">
        <w:rPr>
          <w:rFonts w:cs="Times New Roman"/>
        </w:rPr>
        <w:t>,25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kapszula, szájon át bevéve.</w:t>
      </w:r>
      <w:r w:rsidR="00102EDD">
        <w:rPr>
          <w:rFonts w:cs="Times New Roman"/>
        </w:rPr>
        <w:t xml:space="preserve"> </w:t>
      </w:r>
      <w:r w:rsidR="00063923">
        <w:rPr>
          <w:rFonts w:cs="Times New Roman"/>
        </w:rPr>
        <w:t>A fingolimodot kisebb hatáserősségben</w:t>
      </w:r>
      <w:r w:rsidR="00063923" w:rsidRPr="007D2011">
        <w:rPr>
          <w:rFonts w:cs="Times New Roman"/>
        </w:rPr>
        <w:t xml:space="preserve"> </w:t>
      </w:r>
      <w:r w:rsidR="00063923">
        <w:rPr>
          <w:rFonts w:cs="Times New Roman"/>
        </w:rPr>
        <w:t>tartalmazó készítmény (0</w:t>
      </w:r>
      <w:proofErr w:type="gramStart"/>
      <w:r w:rsidR="00063923">
        <w:rPr>
          <w:rFonts w:cs="Times New Roman"/>
        </w:rPr>
        <w:t>,25</w:t>
      </w:r>
      <w:proofErr w:type="gramEnd"/>
      <w:r w:rsidR="00063923">
        <w:rPr>
          <w:rFonts w:cs="Times New Roman"/>
        </w:rPr>
        <w:t> mg</w:t>
      </w:r>
      <w:r w:rsidR="00063923">
        <w:rPr>
          <w:rFonts w:cs="Times New Roman"/>
        </w:rPr>
        <w:noBreakHyphen/>
        <w:t>os kapszula) hozzáférhető a kereskedelmi forgalomban.</w:t>
      </w:r>
      <w:r w:rsidR="00102EDD">
        <w:rPr>
          <w:rFonts w:cs="Times New Roman"/>
        </w:rPr>
        <w:t xml:space="preserve"> </w:t>
      </w:r>
    </w:p>
    <w:p w14:paraId="5EDF2975" w14:textId="1725F2B5" w:rsidR="004C0305" w:rsidRPr="001A762B" w:rsidRDefault="001F30F8" w:rsidP="00225D6A">
      <w:pPr>
        <w:pStyle w:val="Szvegtrzs"/>
        <w:numPr>
          <w:ilvl w:val="0"/>
          <w:numId w:val="25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&gt;</w:t>
      </w:r>
      <w:r w:rsidR="00180080">
        <w:rPr>
          <w:rFonts w:cs="Times New Roman"/>
        </w:rPr>
        <w:t> </w:t>
      </w:r>
      <w:r w:rsidRPr="001A762B">
        <w:rPr>
          <w:rFonts w:cs="Times New Roman"/>
        </w:rPr>
        <w:t>40</w:t>
      </w:r>
      <w:r w:rsidR="00523202">
        <w:rPr>
          <w:rFonts w:cs="Times New Roman"/>
        </w:rPr>
        <w:t> kg-os</w:t>
      </w:r>
      <w:r w:rsidR="00523202" w:rsidRPr="001A762B">
        <w:rPr>
          <w:rFonts w:cs="Times New Roman"/>
        </w:rPr>
        <w:t xml:space="preserve"> </w:t>
      </w:r>
      <w:r w:rsidR="00523202">
        <w:rPr>
          <w:rFonts w:cs="Times New Roman"/>
        </w:rPr>
        <w:t>testtömegű</w:t>
      </w:r>
      <w:r w:rsidR="008B2F5B">
        <w:rPr>
          <w:rFonts w:cs="Times New Roman"/>
        </w:rPr>
        <w:t xml:space="preserve"> </w:t>
      </w:r>
      <w:r w:rsidRPr="001A762B">
        <w:rPr>
          <w:rFonts w:cs="Times New Roman"/>
        </w:rPr>
        <w:t>gyermek</w:t>
      </w:r>
      <w:r w:rsidR="006839A1">
        <w:rPr>
          <w:rFonts w:cs="Times New Roman"/>
        </w:rPr>
        <w:t>ek</w:t>
      </w:r>
      <w:r w:rsidR="00324E9E">
        <w:rPr>
          <w:rFonts w:cs="Times New Roman"/>
        </w:rPr>
        <w:t xml:space="preserve"> és se</w:t>
      </w:r>
      <w:r w:rsidR="00722BA5">
        <w:rPr>
          <w:rFonts w:cs="Times New Roman"/>
        </w:rPr>
        <w:t>r</w:t>
      </w:r>
      <w:r w:rsidR="00324E9E">
        <w:rPr>
          <w:rFonts w:cs="Times New Roman"/>
        </w:rPr>
        <w:t>dülők esetében</w:t>
      </w:r>
      <w:r w:rsidRPr="001A762B">
        <w:rPr>
          <w:rFonts w:cs="Times New Roman"/>
        </w:rPr>
        <w:t>: naponta egyszer egy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kapszula, szájon át bevéve.</w:t>
      </w:r>
    </w:p>
    <w:p w14:paraId="32465A7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39F7CB5" w14:textId="5AAA6F14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Azo</w:t>
      </w:r>
      <w:r w:rsidR="006839A1">
        <w:rPr>
          <w:rFonts w:cs="Times New Roman"/>
        </w:rPr>
        <w:t>n</w:t>
      </w:r>
      <w:r w:rsidR="002F6FC8">
        <w:rPr>
          <w:rFonts w:cs="Times New Roman"/>
        </w:rPr>
        <w:t xml:space="preserve"> </w:t>
      </w:r>
      <w:r w:rsidRPr="001A762B">
        <w:rPr>
          <w:rFonts w:cs="Times New Roman"/>
        </w:rPr>
        <w:t>gyermek</w:t>
      </w:r>
      <w:r w:rsidR="002F6FC8">
        <w:rPr>
          <w:rFonts w:cs="Times New Roman"/>
        </w:rPr>
        <w:t>ek</w:t>
      </w:r>
      <w:r w:rsidR="00063923">
        <w:rPr>
          <w:rFonts w:cs="Times New Roman"/>
        </w:rPr>
        <w:t>et</w:t>
      </w:r>
      <w:r w:rsidR="002F6FC8">
        <w:rPr>
          <w:rFonts w:cs="Times New Roman"/>
        </w:rPr>
        <w:t xml:space="preserve"> és se</w:t>
      </w:r>
      <w:r w:rsidR="00722BA5">
        <w:rPr>
          <w:rFonts w:cs="Times New Roman"/>
        </w:rPr>
        <w:t>r</w:t>
      </w:r>
      <w:r w:rsidR="002F6FC8">
        <w:rPr>
          <w:rFonts w:cs="Times New Roman"/>
        </w:rPr>
        <w:t>dülők</w:t>
      </w:r>
      <w:r w:rsidR="00063923">
        <w:rPr>
          <w:rFonts w:cs="Times New Roman"/>
        </w:rPr>
        <w:t>et</w:t>
      </w:r>
      <w:r w:rsidRPr="001A762B">
        <w:rPr>
          <w:rFonts w:cs="Times New Roman"/>
        </w:rPr>
        <w:t>, akik</w:t>
      </w:r>
      <w:r w:rsidR="00063923">
        <w:rPr>
          <w:rFonts w:cs="Times New Roman"/>
        </w:rPr>
        <w:t>nél</w:t>
      </w:r>
      <w:r w:rsidRPr="001A762B">
        <w:rPr>
          <w:rFonts w:cs="Times New Roman"/>
        </w:rPr>
        <w:t xml:space="preserve"> a kezelést 0,25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kapszulával kezdik, majd azt</w:t>
      </w:r>
      <w:r w:rsidR="00175F1C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követően </w:t>
      </w:r>
      <w:r w:rsidR="00063923">
        <w:rPr>
          <w:rFonts w:cs="Times New Roman"/>
        </w:rPr>
        <w:t xml:space="preserve">testtömegük </w:t>
      </w:r>
      <w:r w:rsidRPr="001A762B">
        <w:rPr>
          <w:rFonts w:cs="Times New Roman"/>
        </w:rPr>
        <w:t>stabil</w:t>
      </w:r>
      <w:r w:rsidR="00063923">
        <w:rPr>
          <w:rFonts w:cs="Times New Roman"/>
        </w:rPr>
        <w:t>an</w:t>
      </w:r>
      <w:r w:rsidRPr="001A762B">
        <w:rPr>
          <w:rFonts w:cs="Times New Roman"/>
        </w:rPr>
        <w:t xml:space="preserve"> 40</w:t>
      </w:r>
      <w:r w:rsidR="007D2011">
        <w:rPr>
          <w:rFonts w:cs="Times New Roman"/>
        </w:rPr>
        <w:t> </w:t>
      </w:r>
      <w:r w:rsidRPr="001A762B">
        <w:rPr>
          <w:rFonts w:cs="Times New Roman"/>
        </w:rPr>
        <w:t xml:space="preserve">kg fölé </w:t>
      </w:r>
      <w:r w:rsidR="00063923">
        <w:rPr>
          <w:rFonts w:cs="Times New Roman"/>
        </w:rPr>
        <w:t>emelkedik</w:t>
      </w:r>
      <w:r w:rsidR="007D2011">
        <w:rPr>
          <w:rFonts w:cs="Times New Roman"/>
        </w:rPr>
        <w:t>,</w:t>
      </w:r>
      <w:r w:rsidRPr="001A762B">
        <w:rPr>
          <w:rFonts w:cs="Times New Roman"/>
        </w:rPr>
        <w:t xml:space="preserve"> át kell áll</w:t>
      </w:r>
      <w:r w:rsidR="00063923">
        <w:rPr>
          <w:rFonts w:cs="Times New Roman"/>
        </w:rPr>
        <w:t>íta</w:t>
      </w:r>
      <w:r w:rsidRPr="001A762B">
        <w:rPr>
          <w:rFonts w:cs="Times New Roman"/>
        </w:rPr>
        <w:t>ni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kapszulára.</w:t>
      </w:r>
    </w:p>
    <w:p w14:paraId="2F278E2D" w14:textId="77777777" w:rsidR="00B82A80" w:rsidRPr="001A762B" w:rsidRDefault="00B82A80" w:rsidP="00225D6A">
      <w:pPr>
        <w:pStyle w:val="Szvegtrzs"/>
        <w:ind w:left="0"/>
        <w:rPr>
          <w:rFonts w:cs="Times New Roman"/>
        </w:rPr>
      </w:pPr>
    </w:p>
    <w:p w14:paraId="1916B7EE" w14:textId="7C819811" w:rsidR="00271D03" w:rsidRDefault="001F30F8" w:rsidP="00ED646C">
      <w:pPr>
        <w:pStyle w:val="Szvegtrzs"/>
        <w:ind w:left="0"/>
        <w:rPr>
          <w:lang w:val="hu-HU"/>
        </w:rPr>
      </w:pPr>
      <w:r w:rsidRPr="001A762B">
        <w:rPr>
          <w:rFonts w:cs="Times New Roman"/>
        </w:rPr>
        <w:lastRenderedPageBreak/>
        <w:t>A naponta 0,25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-ról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-ra történő átállítás során az első adag bevételekor javasolt </w:t>
      </w:r>
      <w:r w:rsidR="008D72BD">
        <w:rPr>
          <w:rFonts w:cs="Times New Roman"/>
        </w:rPr>
        <w:t xml:space="preserve">ismét </w:t>
      </w:r>
      <w:r w:rsidR="008D72BD" w:rsidRPr="001A762B">
        <w:rPr>
          <w:rFonts w:cs="Times New Roman"/>
        </w:rPr>
        <w:t xml:space="preserve">elvégezni </w:t>
      </w:r>
      <w:r w:rsidRPr="001A762B">
        <w:rPr>
          <w:rFonts w:cs="Times New Roman"/>
        </w:rPr>
        <w:t>a kezelés megkezdésekor alkalmazott monitorozást.</w:t>
      </w:r>
    </w:p>
    <w:p w14:paraId="00DE3035" w14:textId="77777777" w:rsidR="00B82A80" w:rsidRPr="00431150" w:rsidRDefault="00B82A80" w:rsidP="00225D6A">
      <w:pPr>
        <w:rPr>
          <w:rFonts w:ascii="Times New Roman" w:eastAsia="Times New Roman" w:hAnsi="Times New Roman" w:cs="Times New Roman"/>
          <w:lang w:val="hu-HU"/>
        </w:rPr>
      </w:pPr>
    </w:p>
    <w:p w14:paraId="75E85DDA" w14:textId="77777777" w:rsidR="004C0305" w:rsidRPr="00431150" w:rsidRDefault="001F30F8" w:rsidP="00225D6A">
      <w:pPr>
        <w:pStyle w:val="Szvegtrzs"/>
        <w:ind w:left="0"/>
        <w:rPr>
          <w:rFonts w:cs="Times New Roman"/>
          <w:lang w:val="hu-HU"/>
        </w:rPr>
      </w:pPr>
      <w:r w:rsidRPr="00431150">
        <w:rPr>
          <w:rFonts w:cs="Times New Roman"/>
          <w:lang w:val="hu-HU"/>
        </w:rPr>
        <w:t>Az első dózis esetén ugyanaz a monitorozás javasolt, mint a kezelés elkezdésekor, ha a kezelést az</w:t>
      </w:r>
      <w:r w:rsidR="00B53222" w:rsidRPr="00431150">
        <w:rPr>
          <w:rFonts w:cs="Times New Roman"/>
          <w:lang w:val="hu-HU"/>
        </w:rPr>
        <w:t xml:space="preserve"> </w:t>
      </w:r>
      <w:r w:rsidRPr="00431150">
        <w:rPr>
          <w:rFonts w:cs="Times New Roman"/>
          <w:lang w:val="hu-HU"/>
        </w:rPr>
        <w:t>alábbiak szerint megszakították:</w:t>
      </w:r>
    </w:p>
    <w:p w14:paraId="6E6578AB" w14:textId="595A0826" w:rsidR="004C0305" w:rsidRPr="001A762B" w:rsidRDefault="001F30F8" w:rsidP="00225D6A">
      <w:pPr>
        <w:pStyle w:val="Szvegtrzs"/>
        <w:numPr>
          <w:ilvl w:val="0"/>
          <w:numId w:val="24"/>
        </w:numPr>
        <w:tabs>
          <w:tab w:val="left" w:pos="567"/>
        </w:tabs>
        <w:ind w:left="0" w:firstLine="0"/>
        <w:rPr>
          <w:rFonts w:cs="Times New Roman"/>
        </w:rPr>
      </w:pPr>
      <w:r w:rsidRPr="001A762B">
        <w:rPr>
          <w:rFonts w:cs="Times New Roman"/>
        </w:rPr>
        <w:t>1 vagy több nap</w:t>
      </w:r>
      <w:r w:rsidR="0013481D">
        <w:rPr>
          <w:rFonts w:cs="Times New Roman"/>
        </w:rPr>
        <w:t>ra</w:t>
      </w:r>
      <w:r w:rsidRPr="001A762B">
        <w:rPr>
          <w:rFonts w:cs="Times New Roman"/>
        </w:rPr>
        <w:t xml:space="preserve"> a kezelés első 2 hete alatt.</w:t>
      </w:r>
    </w:p>
    <w:p w14:paraId="45D3175B" w14:textId="4B557902" w:rsidR="004C0305" w:rsidRPr="001A762B" w:rsidRDefault="001F30F8" w:rsidP="00225D6A">
      <w:pPr>
        <w:pStyle w:val="Szvegtrzs"/>
        <w:numPr>
          <w:ilvl w:val="0"/>
          <w:numId w:val="24"/>
        </w:numPr>
        <w:tabs>
          <w:tab w:val="left" w:pos="567"/>
        </w:tabs>
        <w:ind w:left="0" w:firstLine="0"/>
        <w:rPr>
          <w:rFonts w:cs="Times New Roman"/>
        </w:rPr>
      </w:pPr>
      <w:proofErr w:type="gramStart"/>
      <w:r w:rsidRPr="001A762B">
        <w:rPr>
          <w:rFonts w:cs="Times New Roman"/>
        </w:rPr>
        <w:t>több</w:t>
      </w:r>
      <w:proofErr w:type="gramEnd"/>
      <w:r w:rsidRPr="001A762B">
        <w:rPr>
          <w:rFonts w:cs="Times New Roman"/>
        </w:rPr>
        <w:t xml:space="preserve"> mint 7 nap</w:t>
      </w:r>
      <w:r w:rsidR="0013481D">
        <w:rPr>
          <w:rFonts w:cs="Times New Roman"/>
        </w:rPr>
        <w:t>ra</w:t>
      </w:r>
      <w:r w:rsidRPr="001A762B">
        <w:rPr>
          <w:rFonts w:cs="Times New Roman"/>
        </w:rPr>
        <w:t xml:space="preserve"> a kezelés 3. </w:t>
      </w:r>
      <w:proofErr w:type="gramStart"/>
      <w:r w:rsidRPr="001A762B">
        <w:rPr>
          <w:rFonts w:cs="Times New Roman"/>
        </w:rPr>
        <w:t>és</w:t>
      </w:r>
      <w:proofErr w:type="gramEnd"/>
      <w:r w:rsidRPr="001A762B">
        <w:rPr>
          <w:rFonts w:cs="Times New Roman"/>
        </w:rPr>
        <w:t xml:space="preserve"> 4. </w:t>
      </w:r>
      <w:proofErr w:type="gramStart"/>
      <w:r w:rsidRPr="001A762B">
        <w:rPr>
          <w:rFonts w:cs="Times New Roman"/>
        </w:rPr>
        <w:t>hete</w:t>
      </w:r>
      <w:proofErr w:type="gramEnd"/>
      <w:r w:rsidRPr="001A762B">
        <w:rPr>
          <w:rFonts w:cs="Times New Roman"/>
        </w:rPr>
        <w:t xml:space="preserve"> alatt.</w:t>
      </w:r>
    </w:p>
    <w:p w14:paraId="4E33D2CD" w14:textId="5667AE77" w:rsidR="004C0305" w:rsidRDefault="001F30F8" w:rsidP="00225D6A">
      <w:pPr>
        <w:pStyle w:val="Szvegtrzs"/>
        <w:numPr>
          <w:ilvl w:val="0"/>
          <w:numId w:val="24"/>
        </w:numPr>
        <w:tabs>
          <w:tab w:val="left" w:pos="567"/>
        </w:tabs>
        <w:ind w:left="0" w:firstLine="0"/>
        <w:rPr>
          <w:rFonts w:cs="Times New Roman"/>
        </w:rPr>
      </w:pPr>
      <w:proofErr w:type="gramStart"/>
      <w:r w:rsidRPr="001A762B">
        <w:rPr>
          <w:rFonts w:cs="Times New Roman"/>
        </w:rPr>
        <w:t>több</w:t>
      </w:r>
      <w:proofErr w:type="gramEnd"/>
      <w:r w:rsidRPr="001A762B">
        <w:rPr>
          <w:rFonts w:cs="Times New Roman"/>
        </w:rPr>
        <w:t xml:space="preserve"> mint 2 hét</w:t>
      </w:r>
      <w:r w:rsidR="0013481D">
        <w:rPr>
          <w:rFonts w:cs="Times New Roman"/>
        </w:rPr>
        <w:t>re</w:t>
      </w:r>
      <w:r w:rsidRPr="001A762B">
        <w:rPr>
          <w:rFonts w:cs="Times New Roman"/>
        </w:rPr>
        <w:t>, egy</w:t>
      </w:r>
      <w:r w:rsidR="0013481D">
        <w:rPr>
          <w:rFonts w:cs="Times New Roman"/>
        </w:rPr>
        <w:t xml:space="preserve"> </w:t>
      </w:r>
      <w:r w:rsidRPr="001A762B">
        <w:rPr>
          <w:rFonts w:cs="Times New Roman"/>
        </w:rPr>
        <w:t>hónapos kezelés után.</w:t>
      </w:r>
    </w:p>
    <w:p w14:paraId="4AD3BDE5" w14:textId="5D89805A" w:rsidR="00CB3891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Ha a kezelés </w:t>
      </w:r>
      <w:r w:rsidR="0013481D">
        <w:rPr>
          <w:rFonts w:cs="Times New Roman"/>
        </w:rPr>
        <w:t>meg</w:t>
      </w:r>
      <w:r w:rsidRPr="001A762B">
        <w:rPr>
          <w:rFonts w:cs="Times New Roman"/>
        </w:rPr>
        <w:t>szakítása a fentieknél rövidebb ideig tart, akkor a kezelést a következő adaggal</w:t>
      </w:r>
      <w:r w:rsidR="0097063D">
        <w:rPr>
          <w:rFonts w:cs="Times New Roman"/>
        </w:rPr>
        <w:t>,</w:t>
      </w:r>
      <w:r w:rsidRPr="001A762B">
        <w:rPr>
          <w:rFonts w:cs="Times New Roman"/>
        </w:rPr>
        <w:t xml:space="preserve"> a</w:t>
      </w:r>
      <w:r w:rsidR="0097063D">
        <w:rPr>
          <w:rFonts w:cs="Times New Roman"/>
        </w:rPr>
        <w:t xml:space="preserve">z eredeti </w:t>
      </w:r>
      <w:r w:rsidRPr="001A762B">
        <w:rPr>
          <w:rFonts w:cs="Times New Roman"/>
        </w:rPr>
        <w:t>terv szerint kell folytatni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3828D54E" w14:textId="77777777" w:rsidR="00CB3891" w:rsidRPr="001A762B" w:rsidRDefault="00CB3891" w:rsidP="00225D6A">
      <w:pPr>
        <w:pStyle w:val="Szvegtrzs"/>
        <w:ind w:left="0"/>
        <w:rPr>
          <w:rFonts w:cs="Times New Roman"/>
        </w:rPr>
      </w:pPr>
    </w:p>
    <w:p w14:paraId="118BE662" w14:textId="7F0DE751" w:rsidR="004C0305" w:rsidRPr="001A762B" w:rsidRDefault="00341C9D" w:rsidP="00225D6A">
      <w:pPr>
        <w:pStyle w:val="Szvegtrzs"/>
        <w:ind w:left="0"/>
        <w:rPr>
          <w:rFonts w:cs="Times New Roman"/>
        </w:rPr>
      </w:pPr>
      <w:r>
        <w:rPr>
          <w:rFonts w:cs="Times New Roman"/>
          <w:u w:val="single" w:color="000000"/>
        </w:rPr>
        <w:t>Különleges</w:t>
      </w:r>
      <w:r w:rsidR="0065653F">
        <w:rPr>
          <w:rFonts w:cs="Times New Roman"/>
          <w:u w:val="single" w:color="000000"/>
        </w:rPr>
        <w:t xml:space="preserve"> </w:t>
      </w:r>
      <w:r w:rsidR="0097063D">
        <w:rPr>
          <w:rFonts w:cs="Times New Roman"/>
          <w:u w:val="single" w:color="000000"/>
        </w:rPr>
        <w:t>betegcsoportok</w:t>
      </w:r>
    </w:p>
    <w:p w14:paraId="3F11F74C" w14:textId="77777777" w:rsidR="00CB3891" w:rsidRPr="001A762B" w:rsidRDefault="00CB3891" w:rsidP="00225D6A">
      <w:pPr>
        <w:rPr>
          <w:rFonts w:ascii="Times New Roman" w:hAnsi="Times New Roman" w:cs="Times New Roman"/>
          <w:i/>
          <w:u w:val="single" w:color="000000"/>
        </w:rPr>
      </w:pPr>
    </w:p>
    <w:p w14:paraId="2F48F334" w14:textId="0152B31C" w:rsidR="004C0305" w:rsidRPr="001A762B" w:rsidRDefault="001F30F8" w:rsidP="00225D6A">
      <w:pPr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i/>
          <w:u w:val="single" w:color="000000"/>
        </w:rPr>
        <w:t>Idő</w:t>
      </w:r>
      <w:r w:rsidR="000D0470">
        <w:rPr>
          <w:rFonts w:ascii="Times New Roman" w:hAnsi="Times New Roman" w:cs="Times New Roman"/>
          <w:i/>
          <w:u w:val="single" w:color="000000"/>
        </w:rPr>
        <w:t>sek</w:t>
      </w:r>
    </w:p>
    <w:p w14:paraId="4B1891D2" w14:textId="4F632F29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</w:t>
      </w:r>
      <w:r w:rsidR="00261D2B">
        <w:rPr>
          <w:rFonts w:cs="Times New Roman"/>
        </w:rPr>
        <w:t xml:space="preserve"> </w:t>
      </w:r>
      <w:r w:rsidR="00B82A80">
        <w:rPr>
          <w:rFonts w:cs="Times New Roman"/>
        </w:rPr>
        <w:t>Chantico</w:t>
      </w:r>
      <w:r w:rsidR="00B82A80">
        <w:rPr>
          <w:rFonts w:cs="Times New Roman"/>
        </w:rPr>
        <w:noBreakHyphen/>
        <w:t>t</w:t>
      </w:r>
      <w:r w:rsidRPr="001A762B">
        <w:rPr>
          <w:rFonts w:cs="Times New Roman"/>
        </w:rPr>
        <w:t xml:space="preserve"> a biztonságosságra és a hatásosságra vonatkozó kevés adat miatt a 65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és idősebb</w:t>
      </w:r>
      <w:r w:rsidR="00175F1C">
        <w:rPr>
          <w:rFonts w:cs="Times New Roman"/>
        </w:rPr>
        <w:t xml:space="preserve"> </w:t>
      </w:r>
      <w:r w:rsidRPr="001A762B">
        <w:rPr>
          <w:rFonts w:cs="Times New Roman"/>
        </w:rPr>
        <w:t>betegeknél óvatosan kell alkalmazni (lásd 5.2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5527853F" w14:textId="77777777" w:rsidR="000D0470" w:rsidRPr="001A762B" w:rsidRDefault="000D0470" w:rsidP="00225D6A">
      <w:pPr>
        <w:pStyle w:val="Szvegtrzs"/>
        <w:ind w:left="0"/>
        <w:rPr>
          <w:rFonts w:cs="Times New Roman"/>
        </w:rPr>
      </w:pPr>
    </w:p>
    <w:p w14:paraId="56C285C1" w14:textId="3C537A80" w:rsidR="004C0305" w:rsidRPr="001A762B" w:rsidRDefault="000D0470" w:rsidP="00225D6A">
      <w:pPr>
        <w:rPr>
          <w:rFonts w:ascii="Times New Roman" w:eastAsia="Times New Roman" w:hAnsi="Times New Roman" w:cs="Times New Roman"/>
        </w:rPr>
      </w:pPr>
      <w:r w:rsidRPr="00027F8E">
        <w:rPr>
          <w:rFonts w:ascii="Times New Roman" w:eastAsia="Times New Roman" w:hAnsi="Times New Roman" w:cs="Times New Roman"/>
          <w:i/>
          <w:iCs/>
          <w:u w:val="single"/>
        </w:rPr>
        <w:t>V</w:t>
      </w:r>
      <w:r w:rsidR="001F30F8" w:rsidRPr="00C82645">
        <w:rPr>
          <w:rFonts w:ascii="Times New Roman" w:hAnsi="Times New Roman" w:cs="Times New Roman"/>
          <w:i/>
          <w:u w:val="single"/>
        </w:rPr>
        <w:t>e</w:t>
      </w:r>
      <w:r w:rsidRPr="00C82645">
        <w:rPr>
          <w:rFonts w:ascii="Times New Roman" w:hAnsi="Times New Roman" w:cs="Times New Roman"/>
          <w:i/>
          <w:u w:val="single"/>
        </w:rPr>
        <w:t>s</w:t>
      </w:r>
      <w:r>
        <w:rPr>
          <w:rFonts w:ascii="Times New Roman" w:hAnsi="Times New Roman" w:cs="Times New Roman"/>
          <w:i/>
          <w:u w:val="single" w:color="000000"/>
        </w:rPr>
        <w:t>ekárosodás</w:t>
      </w:r>
    </w:p>
    <w:p w14:paraId="7F922004" w14:textId="3EB2C533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A9558F">
        <w:rPr>
          <w:rFonts w:cs="Times New Roman"/>
        </w:rPr>
        <w:t>fingolimodot</w:t>
      </w:r>
      <w:r w:rsidR="00B82A8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a sclerosis multiplex miatt végzett piv</w:t>
      </w:r>
      <w:r w:rsidR="0097063D">
        <w:rPr>
          <w:rFonts w:cs="Times New Roman"/>
        </w:rPr>
        <w:t>o</w:t>
      </w:r>
      <w:r w:rsidRPr="001A762B">
        <w:rPr>
          <w:rFonts w:cs="Times New Roman"/>
        </w:rPr>
        <w:t xml:space="preserve">tális </w:t>
      </w:r>
      <w:r w:rsidRPr="007C08E9">
        <w:rPr>
          <w:rFonts w:cs="Times New Roman"/>
        </w:rPr>
        <w:t xml:space="preserve">vizsgálatokban </w:t>
      </w:r>
      <w:r w:rsidR="007C08E9" w:rsidRPr="007C08E9">
        <w:rPr>
          <w:rFonts w:cs="Times New Roman"/>
        </w:rPr>
        <w:t>károsodott</w:t>
      </w:r>
      <w:r w:rsidRPr="007C08E9">
        <w:rPr>
          <w:rFonts w:cs="Times New Roman"/>
        </w:rPr>
        <w:t xml:space="preserve"> ves</w:t>
      </w:r>
      <w:r w:rsidR="002F6FC8" w:rsidRPr="007C08E9">
        <w:rPr>
          <w:rFonts w:cs="Times New Roman"/>
        </w:rPr>
        <w:t>e</w:t>
      </w:r>
      <w:r w:rsidR="00C82645" w:rsidRPr="007C08E9">
        <w:rPr>
          <w:rFonts w:cs="Times New Roman"/>
        </w:rPr>
        <w:t>működés</w:t>
      </w:r>
      <w:r w:rsidR="007C08E9">
        <w:rPr>
          <w:rFonts w:cs="Times New Roman"/>
        </w:rPr>
        <w:t>ű</w:t>
      </w:r>
      <w:r w:rsidR="002F6FC8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betegeknél nem vizsgálták. A klinikai farmakológiai vizsgálatok alapján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enyhe-súlyos fok</w:t>
      </w:r>
      <w:r w:rsidR="003A38EE">
        <w:rPr>
          <w:rFonts w:cs="Times New Roman"/>
        </w:rPr>
        <w:t>ú</w:t>
      </w:r>
      <w:r w:rsidR="002F6FC8">
        <w:rPr>
          <w:rFonts w:cs="Times New Roman"/>
        </w:rPr>
        <w:t xml:space="preserve"> vesekárosodásban szenvedő </w:t>
      </w:r>
      <w:r w:rsidRPr="001A762B">
        <w:rPr>
          <w:rFonts w:cs="Times New Roman"/>
        </w:rPr>
        <w:t>betegeknél a dózis módosítása nem szükséges.</w:t>
      </w:r>
    </w:p>
    <w:p w14:paraId="23E330A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DCEC34C" w14:textId="759EBBFB" w:rsidR="004C0305" w:rsidRPr="001A762B" w:rsidRDefault="000D0470" w:rsidP="00225D6A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i/>
          <w:u w:val="single" w:color="000000"/>
        </w:rPr>
        <w:t>Májkárosodás</w:t>
      </w:r>
    </w:p>
    <w:p w14:paraId="602716C5" w14:textId="24CE73F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B82A80">
        <w:rPr>
          <w:rFonts w:cs="Times New Roman"/>
        </w:rPr>
        <w:t>Chantico</w:t>
      </w:r>
      <w:r w:rsidR="00B82A80">
        <w:rPr>
          <w:rFonts w:cs="Times New Roman"/>
        </w:rPr>
        <w:noBreakHyphen/>
        <w:t>t</w:t>
      </w:r>
      <w:r w:rsidR="00B82A8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a </w:t>
      </w:r>
      <w:r w:rsidRPr="00A70079">
        <w:rPr>
          <w:rFonts w:cs="Times New Roman"/>
        </w:rPr>
        <w:t xml:space="preserve">súlyos </w:t>
      </w:r>
      <w:r w:rsidR="00A70079">
        <w:rPr>
          <w:rFonts w:cs="Times New Roman"/>
        </w:rPr>
        <w:t>májkárosodásban szenvedö</w:t>
      </w:r>
      <w:r w:rsidRPr="001A762B">
        <w:rPr>
          <w:rFonts w:cs="Times New Roman"/>
        </w:rPr>
        <w:t xml:space="preserve"> betegeknél (Child</w:t>
      </w:r>
      <w:r w:rsidR="005D0410">
        <w:rPr>
          <w:rFonts w:cs="Times New Roman"/>
        </w:rPr>
        <w:t>–</w:t>
      </w:r>
      <w:r w:rsidRPr="001A762B">
        <w:rPr>
          <w:rFonts w:cs="Times New Roman"/>
        </w:rPr>
        <w:t>Pugh C stádium) tilos alkalmazni (lásd 4.3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Noha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enyh</w:t>
      </w:r>
      <w:r w:rsidR="00A70079">
        <w:rPr>
          <w:rFonts w:cs="Times New Roman"/>
        </w:rPr>
        <w:t>e</w:t>
      </w:r>
      <w:r w:rsidRPr="001A762B">
        <w:rPr>
          <w:rFonts w:cs="Times New Roman"/>
        </w:rPr>
        <w:t xml:space="preserve">-közepes </w:t>
      </w:r>
      <w:r w:rsidR="0097063D">
        <w:rPr>
          <w:rFonts w:cs="Times New Roman"/>
        </w:rPr>
        <w:t xml:space="preserve">fokú </w:t>
      </w:r>
      <w:r w:rsidR="00A70079">
        <w:rPr>
          <w:rFonts w:cs="Times New Roman"/>
        </w:rPr>
        <w:t>májkárosodásban szenvedő b</w:t>
      </w:r>
      <w:r w:rsidRPr="001A762B">
        <w:rPr>
          <w:rFonts w:cs="Times New Roman"/>
        </w:rPr>
        <w:t>etegeknél a dózis módosítása nem szükséges, a kezelés elkezdésekor ezeknél a betegeknél elővigyázatosság</w:t>
      </w:r>
      <w:r w:rsidR="00A70079">
        <w:rPr>
          <w:rFonts w:cs="Times New Roman"/>
        </w:rPr>
        <w:t xml:space="preserve">gal kell eljárni </w:t>
      </w:r>
      <w:r w:rsidRPr="001A762B">
        <w:rPr>
          <w:rFonts w:cs="Times New Roman"/>
        </w:rPr>
        <w:t>(lásd 4.4 és 5.2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56A16D70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9F054C8" w14:textId="77777777" w:rsidR="004C0305" w:rsidRPr="001A762B" w:rsidRDefault="001F30F8" w:rsidP="00225D6A">
      <w:pPr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i/>
          <w:u w:val="single" w:color="000000"/>
        </w:rPr>
        <w:t xml:space="preserve">Gyermekek és serdülők </w:t>
      </w:r>
    </w:p>
    <w:p w14:paraId="1E7F07DB" w14:textId="51D2AA25" w:rsidR="00A427E3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A9558F">
        <w:rPr>
          <w:rFonts w:cs="Times New Roman"/>
        </w:rPr>
        <w:t>fingolimod</w:t>
      </w:r>
      <w:r w:rsidR="00903401">
        <w:rPr>
          <w:rFonts w:cs="Times New Roman"/>
        </w:rPr>
        <w:t xml:space="preserve"> </w:t>
      </w:r>
      <w:r w:rsidRPr="001A762B">
        <w:rPr>
          <w:rFonts w:cs="Times New Roman"/>
        </w:rPr>
        <w:t>biztonságosságát és hatásosságát 10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esnél fiatalabb gyermekek esetében nem igazolták.</w:t>
      </w:r>
      <w:r w:rsidR="00A9558F">
        <w:rPr>
          <w:rFonts w:cs="Times New Roman"/>
        </w:rPr>
        <w:t xml:space="preserve"> </w:t>
      </w:r>
      <w:r w:rsidRPr="001A762B">
        <w:rPr>
          <w:rFonts w:cs="Times New Roman"/>
        </w:rPr>
        <w:t>Nincsenek rendelkezésre álló adatok.</w:t>
      </w:r>
    </w:p>
    <w:p w14:paraId="7B83BC43" w14:textId="19D62F0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10–12</w:t>
      </w:r>
      <w:r w:rsidR="00607A97">
        <w:rPr>
          <w:rFonts w:cs="Times New Roman"/>
        </w:rPr>
        <w:t> év</w:t>
      </w:r>
      <w:r w:rsidR="00A9558F">
        <w:rPr>
          <w:rFonts w:cs="Times New Roman"/>
        </w:rPr>
        <w:t xml:space="preserve"> közötti</w:t>
      </w:r>
      <w:r w:rsidRPr="001A762B">
        <w:rPr>
          <w:rFonts w:cs="Times New Roman"/>
        </w:rPr>
        <w:t xml:space="preserve"> gyermekek esetében nagyon korlátozott mennyiségű adat áll rendelkezésre (lásd 4.4, 4.8 és 5.1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07DA4876" w14:textId="77777777" w:rsidR="001F30F8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</w:p>
    <w:p w14:paraId="5C1A7C8E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A762B">
        <w:rPr>
          <w:rFonts w:cs="Times New Roman"/>
          <w:u w:val="single" w:color="000000"/>
        </w:rPr>
        <w:t>Az</w:t>
      </w:r>
      <w:proofErr w:type="gramEnd"/>
      <w:r w:rsidRPr="001A762B">
        <w:rPr>
          <w:rFonts w:cs="Times New Roman"/>
          <w:u w:val="single" w:color="000000"/>
        </w:rPr>
        <w:t xml:space="preserve"> alkalmazás módja</w:t>
      </w:r>
    </w:p>
    <w:p w14:paraId="1C27538D" w14:textId="2BBD0AFC" w:rsidR="00035AD3" w:rsidRDefault="00035AD3" w:rsidP="00225D6A">
      <w:pPr>
        <w:pStyle w:val="Szvegtrzs"/>
        <w:ind w:left="0"/>
        <w:rPr>
          <w:rFonts w:cs="Times New Roman"/>
        </w:rPr>
      </w:pPr>
    </w:p>
    <w:p w14:paraId="0E5B3952" w14:textId="2C609483" w:rsidR="00035AD3" w:rsidRDefault="00035AD3" w:rsidP="00225D6A">
      <w:pPr>
        <w:pStyle w:val="Szvegtrzs"/>
        <w:ind w:left="0"/>
        <w:rPr>
          <w:color w:val="000000"/>
        </w:rPr>
      </w:pPr>
      <w:r>
        <w:rPr>
          <w:color w:val="000000"/>
        </w:rPr>
        <w:t>Ez a gyógyszer szájon át alkalmazandó.</w:t>
      </w:r>
    </w:p>
    <w:p w14:paraId="102E32FE" w14:textId="5767061A" w:rsidR="00A9558F" w:rsidRDefault="00A9558F" w:rsidP="00225D6A">
      <w:pPr>
        <w:pStyle w:val="Szvegtrzs"/>
        <w:ind w:left="0"/>
        <w:rPr>
          <w:color w:val="000000"/>
        </w:rPr>
      </w:pPr>
    </w:p>
    <w:p w14:paraId="14D06718" w14:textId="48D5D982" w:rsidR="00A9558F" w:rsidRDefault="00A9558F" w:rsidP="00A9558F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</w:rPr>
        <w:t xml:space="preserve">A Chantico </w:t>
      </w:r>
      <w:r w:rsidRPr="00271D03">
        <w:rPr>
          <w:rFonts w:ascii="Times New Roman" w:eastAsia="Times New Roman" w:hAnsi="Times New Roman" w:cs="Times New Roman"/>
          <w:lang w:val="hu-HU"/>
        </w:rPr>
        <w:t xml:space="preserve">bevehető </w:t>
      </w:r>
      <w:r>
        <w:rPr>
          <w:rFonts w:ascii="Times New Roman" w:eastAsia="Times New Roman" w:hAnsi="Times New Roman" w:cs="Times New Roman"/>
          <w:lang w:val="hu-HU"/>
        </w:rPr>
        <w:t>étkezés közben</w:t>
      </w:r>
      <w:r w:rsidRPr="00271D03">
        <w:rPr>
          <w:rFonts w:ascii="Times New Roman" w:eastAsia="Times New Roman" w:hAnsi="Times New Roman" w:cs="Times New Roman"/>
          <w:lang w:val="hu-HU"/>
        </w:rPr>
        <w:t xml:space="preserve"> vagy </w:t>
      </w:r>
      <w:r>
        <w:rPr>
          <w:rFonts w:ascii="Times New Roman" w:eastAsia="Times New Roman" w:hAnsi="Times New Roman" w:cs="Times New Roman"/>
          <w:lang w:val="hu-HU"/>
        </w:rPr>
        <w:t>attól függetlenül</w:t>
      </w:r>
      <w:r w:rsidRPr="00271D03">
        <w:rPr>
          <w:rFonts w:ascii="Times New Roman" w:eastAsia="Times New Roman" w:hAnsi="Times New Roman" w:cs="Times New Roman"/>
          <w:lang w:val="hu-HU"/>
        </w:rPr>
        <w:t xml:space="preserve"> is</w:t>
      </w:r>
      <w:r>
        <w:rPr>
          <w:rFonts w:ascii="Times New Roman" w:eastAsia="Times New Roman" w:hAnsi="Times New Roman" w:cs="Times New Roman"/>
          <w:lang w:val="hu-HU"/>
        </w:rPr>
        <w:t xml:space="preserve"> (lásd 5.2 pont).</w:t>
      </w:r>
    </w:p>
    <w:p w14:paraId="24914520" w14:textId="3683E817" w:rsidR="00A9558F" w:rsidRDefault="00A9558F" w:rsidP="00A9558F">
      <w:pPr>
        <w:rPr>
          <w:rFonts w:ascii="Times New Roman" w:eastAsia="Times New Roman" w:hAnsi="Times New Roman" w:cs="Times New Roman"/>
          <w:lang w:val="hu-HU"/>
        </w:rPr>
      </w:pPr>
    </w:p>
    <w:p w14:paraId="2661E665" w14:textId="4F062725" w:rsidR="00A9558F" w:rsidRPr="006C526F" w:rsidRDefault="00A9558F" w:rsidP="00ED646C">
      <w:pPr>
        <w:rPr>
          <w:lang w:val="hu-HU"/>
        </w:rPr>
      </w:pPr>
      <w:r w:rsidRPr="00271D03">
        <w:rPr>
          <w:rFonts w:ascii="Times New Roman" w:eastAsia="Times New Roman" w:hAnsi="Times New Roman" w:cs="Times New Roman"/>
          <w:lang w:val="hu-HU"/>
        </w:rPr>
        <w:t xml:space="preserve">A kapszulákat mindig egészben kell lenyelni, nem szabad </w:t>
      </w:r>
      <w:r w:rsidRPr="00D45CD2">
        <w:rPr>
          <w:rFonts w:ascii="Times New Roman" w:eastAsia="Times New Roman" w:hAnsi="Times New Roman" w:cs="Times New Roman"/>
          <w:lang w:val="hu-HU"/>
        </w:rPr>
        <w:t>felnyitni</w:t>
      </w:r>
      <w:r w:rsidRPr="00271D03">
        <w:rPr>
          <w:rFonts w:ascii="Times New Roman" w:eastAsia="Times New Roman" w:hAnsi="Times New Roman" w:cs="Times New Roman"/>
          <w:lang w:val="hu-HU"/>
        </w:rPr>
        <w:t>.</w:t>
      </w:r>
    </w:p>
    <w:p w14:paraId="641FDB73" w14:textId="77777777" w:rsidR="00284365" w:rsidRPr="006C526F" w:rsidRDefault="00284365" w:rsidP="00225D6A">
      <w:pPr>
        <w:rPr>
          <w:rFonts w:ascii="Times New Roman" w:eastAsia="Times New Roman" w:hAnsi="Times New Roman" w:cs="Times New Roman"/>
          <w:lang w:val="hu-HU"/>
        </w:rPr>
      </w:pPr>
    </w:p>
    <w:p w14:paraId="3532A883" w14:textId="77777777" w:rsidR="004C0305" w:rsidRPr="001A762B" w:rsidRDefault="001F30F8" w:rsidP="00225D6A">
      <w:pPr>
        <w:pStyle w:val="Cmsor1"/>
        <w:numPr>
          <w:ilvl w:val="1"/>
          <w:numId w:val="26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Ellenjavallatok</w:t>
      </w:r>
    </w:p>
    <w:p w14:paraId="73778C58" w14:textId="77777777" w:rsidR="004C0305" w:rsidRPr="00DD051E" w:rsidRDefault="004C0305" w:rsidP="00225D6A">
      <w:pPr>
        <w:rPr>
          <w:rFonts w:ascii="Times New Roman" w:eastAsia="Times New Roman" w:hAnsi="Times New Roman" w:cs="Times New Roman"/>
        </w:rPr>
      </w:pPr>
    </w:p>
    <w:p w14:paraId="7A56E4BF" w14:textId="77777777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Immunhiányos szindróma.</w:t>
      </w:r>
    </w:p>
    <w:p w14:paraId="7292644D" w14:textId="16FF1F20" w:rsidR="004C0305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 xml:space="preserve">Olyan betegeknél, akiknél fokozott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opportunista fertőzések kockázata, beleértve a legyengült immunrendszerű betegeket is (köztük azokat, akik jelenleg immunszuppresszív kezelést</w:t>
      </w:r>
      <w:r w:rsidR="001F7A4E">
        <w:rPr>
          <w:rFonts w:cs="Times New Roman"/>
        </w:rPr>
        <w:t xml:space="preserve"> </w:t>
      </w:r>
      <w:r w:rsidR="001F7A4E" w:rsidRPr="001A762B">
        <w:rPr>
          <w:rFonts w:cs="Times New Roman"/>
        </w:rPr>
        <w:t>kapnak</w:t>
      </w:r>
      <w:r w:rsidRPr="001A762B">
        <w:rPr>
          <w:rFonts w:cs="Times New Roman"/>
        </w:rPr>
        <w:t xml:space="preserve"> vagy azokat, akiknek az immunrendszere korábbi kezelés miatt gyengült le).</w:t>
      </w:r>
    </w:p>
    <w:p w14:paraId="74E9B4DC" w14:textId="7E7D817B" w:rsidR="00CD60F1" w:rsidRPr="001A762B" w:rsidRDefault="00CD60F1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CD60F1">
        <w:rPr>
          <w:rFonts w:cs="Times New Roman"/>
          <w:lang w:val="hu-HU"/>
        </w:rPr>
        <w:t>Feltételezett vagy igazolt progresszív multifokális leukoencephalopathia (PML) (lásd 4.4 pont).</w:t>
      </w:r>
    </w:p>
    <w:p w14:paraId="751ED3FB" w14:textId="77777777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Súlyos, aktív fertőzések, aktív, krónikus fertőzések (hepatitis, tuberculosis).</w:t>
      </w:r>
    </w:p>
    <w:p w14:paraId="3AB747AF" w14:textId="77777777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Aktív malignus megbetegedések.</w:t>
      </w:r>
    </w:p>
    <w:p w14:paraId="2445D606" w14:textId="3230F8EE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Súlyos</w:t>
      </w:r>
      <w:r w:rsidR="001F7A4E">
        <w:rPr>
          <w:rFonts w:cs="Times New Roman"/>
        </w:rPr>
        <w:t xml:space="preserve"> májkárosodás</w:t>
      </w:r>
      <w:r w:rsidRPr="001A762B">
        <w:rPr>
          <w:rFonts w:cs="Times New Roman"/>
        </w:rPr>
        <w:t xml:space="preserve"> (Child</w:t>
      </w:r>
      <w:r w:rsidR="00A427E3">
        <w:rPr>
          <w:rFonts w:cs="Times New Roman"/>
        </w:rPr>
        <w:t>–</w:t>
      </w:r>
      <w:r w:rsidRPr="001A762B">
        <w:rPr>
          <w:rFonts w:cs="Times New Roman"/>
        </w:rPr>
        <w:t>Pugh C stádium).</w:t>
      </w:r>
    </w:p>
    <w:p w14:paraId="2A2C1C59" w14:textId="33131CF7" w:rsidR="004C0305" w:rsidRPr="008649A9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proofErr w:type="gramStart"/>
      <w:r w:rsidRPr="0097063D">
        <w:rPr>
          <w:rFonts w:cs="Times New Roman"/>
        </w:rPr>
        <w:t>Az</w:t>
      </w:r>
      <w:proofErr w:type="gramEnd"/>
      <w:r w:rsidRPr="0097063D">
        <w:rPr>
          <w:rFonts w:cs="Times New Roman"/>
        </w:rPr>
        <w:t xml:space="preserve"> előző 6</w:t>
      </w:r>
      <w:r w:rsidR="00607A97" w:rsidRPr="0097063D">
        <w:rPr>
          <w:rFonts w:cs="Times New Roman"/>
        </w:rPr>
        <w:t> hónap</w:t>
      </w:r>
      <w:r w:rsidRPr="0097063D">
        <w:rPr>
          <w:rFonts w:cs="Times New Roman"/>
        </w:rPr>
        <w:t>ban myocardialis infarctusban (MI), instabil angina pectorisban,</w:t>
      </w:r>
      <w:r w:rsidR="0097063D">
        <w:rPr>
          <w:rFonts w:cs="Times New Roman"/>
        </w:rPr>
        <w:t xml:space="preserve"> </w:t>
      </w:r>
      <w:r w:rsidRPr="0097063D">
        <w:rPr>
          <w:rFonts w:cs="Times New Roman"/>
        </w:rPr>
        <w:t xml:space="preserve">stroke-ban/transiens ischaemiás attackban (TIA), dekompenzált </w:t>
      </w:r>
      <w:r w:rsidR="0097063D">
        <w:rPr>
          <w:rFonts w:cs="Times New Roman"/>
        </w:rPr>
        <w:t>(</w:t>
      </w:r>
      <w:r w:rsidR="0097063D" w:rsidRPr="0097063D">
        <w:rPr>
          <w:rFonts w:cs="Times New Roman"/>
        </w:rPr>
        <w:t>kórházi kezelést igényl</w:t>
      </w:r>
      <w:r w:rsidR="0097063D">
        <w:rPr>
          <w:rFonts w:cs="Times New Roman"/>
        </w:rPr>
        <w:t>ő</w:t>
      </w:r>
      <w:r w:rsidR="0097063D" w:rsidRPr="0097063D">
        <w:rPr>
          <w:rFonts w:cs="Times New Roman"/>
        </w:rPr>
        <w:t xml:space="preserve">) </w:t>
      </w:r>
      <w:r w:rsidRPr="0097063D">
        <w:rPr>
          <w:rFonts w:cs="Times New Roman"/>
        </w:rPr>
        <w:t>szívelégtelenségben</w:t>
      </w:r>
      <w:r w:rsidR="0097063D">
        <w:rPr>
          <w:rFonts w:cs="Times New Roman"/>
        </w:rPr>
        <w:t xml:space="preserve"> </w:t>
      </w:r>
      <w:r w:rsidRPr="0097063D">
        <w:rPr>
          <w:rFonts w:cs="Times New Roman"/>
        </w:rPr>
        <w:t xml:space="preserve">vagy </w:t>
      </w:r>
      <w:r w:rsidR="0097063D" w:rsidRPr="0097063D">
        <w:rPr>
          <w:rFonts w:cs="Times New Roman"/>
        </w:rPr>
        <w:t xml:space="preserve">NYHA </w:t>
      </w:r>
      <w:r w:rsidR="0097063D">
        <w:rPr>
          <w:rFonts w:cs="Times New Roman"/>
        </w:rPr>
        <w:t>(</w:t>
      </w:r>
      <w:r w:rsidRPr="0097063D">
        <w:rPr>
          <w:rFonts w:cs="Times New Roman"/>
        </w:rPr>
        <w:t xml:space="preserve">New York Heart Association) III/IV. </w:t>
      </w:r>
      <w:proofErr w:type="gramStart"/>
      <w:r w:rsidRPr="0097063D">
        <w:rPr>
          <w:rFonts w:cs="Times New Roman"/>
        </w:rPr>
        <w:t>stádiumú</w:t>
      </w:r>
      <w:proofErr w:type="gramEnd"/>
      <w:r w:rsidRPr="0097063D">
        <w:rPr>
          <w:rFonts w:cs="Times New Roman"/>
        </w:rPr>
        <w:t xml:space="preserve"> szívelégtelenségben szenvedő betegek (lásd 4.4</w:t>
      </w:r>
      <w:r w:rsidR="00B377B0" w:rsidRPr="00F26DBC">
        <w:rPr>
          <w:rFonts w:cs="Times New Roman"/>
        </w:rPr>
        <w:t> pont</w:t>
      </w:r>
      <w:r w:rsidRPr="008649A9">
        <w:rPr>
          <w:rFonts w:cs="Times New Roman"/>
        </w:rPr>
        <w:t>).</w:t>
      </w:r>
    </w:p>
    <w:p w14:paraId="79484CF5" w14:textId="469F5E4D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Az Ia osztályú vagy III</w:t>
      </w:r>
      <w:r w:rsidR="00A9239C">
        <w:rPr>
          <w:rFonts w:cs="Times New Roman"/>
        </w:rPr>
        <w:t>.</w:t>
      </w:r>
      <w:r w:rsidRPr="001A762B">
        <w:rPr>
          <w:rFonts w:cs="Times New Roman"/>
        </w:rPr>
        <w:t xml:space="preserve"> </w:t>
      </w:r>
      <w:proofErr w:type="gramStart"/>
      <w:r w:rsidRPr="001A762B">
        <w:rPr>
          <w:rFonts w:cs="Times New Roman"/>
        </w:rPr>
        <w:t>osztályú</w:t>
      </w:r>
      <w:proofErr w:type="gramEnd"/>
      <w:r w:rsidRPr="001A762B">
        <w:rPr>
          <w:rFonts w:cs="Times New Roman"/>
        </w:rPr>
        <w:t xml:space="preserve"> antiarrhythmiás gyógyszerekkel végzett antiarrhythmiás</w:t>
      </w:r>
      <w:r w:rsidR="00B53222" w:rsidRPr="001A762B">
        <w:rPr>
          <w:rFonts w:cs="Times New Roman"/>
        </w:rPr>
        <w:t xml:space="preserve"> </w:t>
      </w:r>
      <w:r w:rsidRPr="001A762B">
        <w:rPr>
          <w:rFonts w:cs="Times New Roman"/>
        </w:rPr>
        <w:lastRenderedPageBreak/>
        <w:t>kezelést igénylő, súlyos szívritmuszavarokban szenvedő betegek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65BD4FE8" w14:textId="7A4853E7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Másodfokú, Mobitz II</w:t>
      </w:r>
      <w:r w:rsidR="0097063D">
        <w:rPr>
          <w:rFonts w:cs="Times New Roman"/>
        </w:rPr>
        <w:t xml:space="preserve">. </w:t>
      </w:r>
      <w:proofErr w:type="gramStart"/>
      <w:r w:rsidRPr="001A762B">
        <w:rPr>
          <w:rFonts w:cs="Times New Roman"/>
        </w:rPr>
        <w:t>típusú</w:t>
      </w:r>
      <w:proofErr w:type="gramEnd"/>
      <w:r w:rsidRPr="001A762B">
        <w:rPr>
          <w:rFonts w:cs="Times New Roman"/>
        </w:rPr>
        <w:t xml:space="preserve"> atrioventricularis (AV) blokkban vagy harmadfokú AV-blokkban vagy sick</w:t>
      </w:r>
      <w:r w:rsidR="0097063D">
        <w:rPr>
          <w:rFonts w:cs="Times New Roman"/>
        </w:rPr>
        <w:t xml:space="preserve"> </w:t>
      </w:r>
      <w:r w:rsidRPr="001A762B">
        <w:rPr>
          <w:rFonts w:cs="Times New Roman"/>
        </w:rPr>
        <w:t>sinus szindrómában szenvedő betegek, ha nincs pacemakerük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2AAF6FB1" w14:textId="43C7AE58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Olyan betegek, akiknek a kiindulási QTc</w:t>
      </w:r>
      <w:r w:rsidRPr="00904C84">
        <w:rPr>
          <w:rFonts w:cs="Times New Roman"/>
        </w:rPr>
        <w:t>-távolságuk ≥</w:t>
      </w:r>
      <w:r w:rsidR="0097063D">
        <w:rPr>
          <w:rFonts w:cs="Times New Roman"/>
        </w:rPr>
        <w:t> </w:t>
      </w:r>
      <w:r w:rsidRPr="001A762B">
        <w:rPr>
          <w:rFonts w:cs="Times New Roman"/>
        </w:rPr>
        <w:t>500</w:t>
      </w:r>
      <w:r w:rsidR="00A9239C">
        <w:rPr>
          <w:rFonts w:cs="Times New Roman"/>
        </w:rPr>
        <w:t> </w:t>
      </w:r>
      <w:r w:rsidRPr="001A762B">
        <w:rPr>
          <w:rFonts w:cs="Times New Roman"/>
        </w:rPr>
        <w:t>ms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275CAF2C" w14:textId="5E782F52" w:rsidR="004C0305" w:rsidRPr="001A762B" w:rsidRDefault="001F30F8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Terhesség során, illetve olyan fogamzóképes nőkn</w:t>
      </w:r>
      <w:r w:rsidR="0097063D">
        <w:rPr>
          <w:rFonts w:cs="Times New Roman"/>
        </w:rPr>
        <w:t>él</w:t>
      </w:r>
      <w:r w:rsidRPr="001A762B">
        <w:rPr>
          <w:rFonts w:cs="Times New Roman"/>
        </w:rPr>
        <w:t>, akik nem alkalmaznak hatékony fogamzásgátlást (lásd 4.4 és 4.6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353D197E" w14:textId="7F32B7F2" w:rsidR="00A9239C" w:rsidRPr="001A762B" w:rsidRDefault="00A9239C" w:rsidP="00225D6A">
      <w:pPr>
        <w:pStyle w:val="Szvegtrzs"/>
        <w:numPr>
          <w:ilvl w:val="0"/>
          <w:numId w:val="24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A készítmény hatóanyagával vagy a 6.1</w:t>
      </w:r>
      <w:r>
        <w:rPr>
          <w:rFonts w:cs="Times New Roman"/>
        </w:rPr>
        <w:t> </w:t>
      </w:r>
      <w:r w:rsidRPr="001A762B">
        <w:rPr>
          <w:rFonts w:cs="Times New Roman"/>
        </w:rPr>
        <w:t>pontban felsorolt bármely segédanyagával szembeni túlérzékenység.</w:t>
      </w:r>
    </w:p>
    <w:p w14:paraId="3526DBE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ED0408F" w14:textId="77777777" w:rsidR="004C0305" w:rsidRPr="001A762B" w:rsidRDefault="001F30F8" w:rsidP="00225D6A">
      <w:pPr>
        <w:pStyle w:val="Cmsor1"/>
        <w:numPr>
          <w:ilvl w:val="1"/>
          <w:numId w:val="26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 xml:space="preserve">Különleges figyelmeztetések és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alkalmazással kapcsolatos óvintézkedések</w:t>
      </w:r>
    </w:p>
    <w:p w14:paraId="06497489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4B08634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Bradyarrhythmia</w:t>
      </w:r>
    </w:p>
    <w:p w14:paraId="7B942E6E" w14:textId="6DEF3164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kezelés elkezdése a szív</w:t>
      </w:r>
      <w:r w:rsidR="00320592">
        <w:rPr>
          <w:rFonts w:cs="Times New Roman"/>
        </w:rPr>
        <w:t xml:space="preserve">frekvencia </w:t>
      </w:r>
      <w:r w:rsidRPr="001A762B">
        <w:rPr>
          <w:rFonts w:cs="Times New Roman"/>
        </w:rPr>
        <w:t xml:space="preserve">átmeneti csökkenését </w:t>
      </w:r>
      <w:r w:rsidR="00320592">
        <w:rPr>
          <w:rFonts w:cs="Times New Roman"/>
        </w:rPr>
        <w:t>okozza</w:t>
      </w:r>
      <w:r w:rsidRPr="001A762B">
        <w:rPr>
          <w:rFonts w:cs="Times New Roman"/>
        </w:rPr>
        <w:t xml:space="preserve">, mely lassult atrioventricularis átvezetéssel is társulhat, beleértve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átmeneti, spontán megszűnő teljes AV-blo</w:t>
      </w:r>
      <w:r w:rsidR="00320592">
        <w:rPr>
          <w:rFonts w:cs="Times New Roman"/>
        </w:rPr>
        <w:t>k</w:t>
      </w:r>
      <w:r w:rsidRPr="001A762B">
        <w:rPr>
          <w:rFonts w:cs="Times New Roman"/>
        </w:rPr>
        <w:t>k</w:t>
      </w:r>
      <w:r w:rsidR="00320592">
        <w:rPr>
          <w:rFonts w:cs="Times New Roman"/>
        </w:rPr>
        <w:t>ot is egyes</w:t>
      </w:r>
      <w:r w:rsidRPr="001A762B">
        <w:rPr>
          <w:rFonts w:cs="Times New Roman"/>
        </w:rPr>
        <w:t xml:space="preserve"> izolált jelentések</w:t>
      </w:r>
      <w:r w:rsidR="00320592">
        <w:rPr>
          <w:rFonts w:cs="Times New Roman"/>
        </w:rPr>
        <w:t xml:space="preserve"> szerint</w:t>
      </w:r>
      <w:r w:rsidRPr="001A762B">
        <w:rPr>
          <w:rFonts w:cs="Times New Roman"/>
        </w:rPr>
        <w:t xml:space="preserve"> (lásd 4.8 és 5.1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7EC63AC7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5C9D836" w14:textId="19209779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 adag után a </w:t>
      </w:r>
      <w:r w:rsidR="002669CE" w:rsidRPr="001A762B">
        <w:rPr>
          <w:rFonts w:cs="Times New Roman"/>
        </w:rPr>
        <w:t>szív</w:t>
      </w:r>
      <w:r w:rsidR="002669CE">
        <w:rPr>
          <w:rFonts w:cs="Times New Roman"/>
        </w:rPr>
        <w:t xml:space="preserve">frekvencia </w:t>
      </w:r>
      <w:r w:rsidRPr="001A762B">
        <w:rPr>
          <w:rFonts w:cs="Times New Roman"/>
        </w:rPr>
        <w:t xml:space="preserve">csökkenése egy órán belül elkezdődik, és 6 órán belül a legkifejezettebb. Ez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adagolást követő hatás a következő napokban fennáll, bár rendszerint enyhébb mértékben, és a következő hetekben általában csökken.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adagolás folytatása mellett az átlagos </w:t>
      </w:r>
      <w:r w:rsidR="002669CE" w:rsidRPr="001A762B">
        <w:rPr>
          <w:rFonts w:cs="Times New Roman"/>
        </w:rPr>
        <w:t>szív</w:t>
      </w:r>
      <w:r w:rsidR="002669CE">
        <w:rPr>
          <w:rFonts w:cs="Times New Roman"/>
        </w:rPr>
        <w:t xml:space="preserve">frekvencia </w:t>
      </w:r>
      <w:r w:rsidRPr="001A762B">
        <w:rPr>
          <w:rFonts w:cs="Times New Roman"/>
        </w:rPr>
        <w:t>egy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on belül visszatér a kiindulási szintre. Ugyanakkor egyes betegeknél előfordulhat, hogy a </w:t>
      </w:r>
      <w:r w:rsidR="002669CE" w:rsidRPr="001A762B">
        <w:rPr>
          <w:rFonts w:cs="Times New Roman"/>
        </w:rPr>
        <w:t>szív</w:t>
      </w:r>
      <w:r w:rsidR="002669CE">
        <w:rPr>
          <w:rFonts w:cs="Times New Roman"/>
        </w:rPr>
        <w:t xml:space="preserve">frekvencia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</w:t>
      </w:r>
      <w:r w:rsidR="002669CE">
        <w:rPr>
          <w:rFonts w:cs="Times New Roman"/>
        </w:rPr>
        <w:t xml:space="preserve"> </w:t>
      </w:r>
      <w:r w:rsidR="00607A97">
        <w:rPr>
          <w:rFonts w:cs="Times New Roman"/>
        </w:rPr>
        <w:t>hónap</w:t>
      </w:r>
      <w:r w:rsidRPr="001A762B">
        <w:rPr>
          <w:rFonts w:cs="Times New Roman"/>
        </w:rPr>
        <w:t xml:space="preserve"> végére nem tér vissza a kiindulási szintre. A vezetési zavarok jellemző módon átmenetiek és tünetmentesek voltak. A kezelésükre általában nem volt szükség, és a kezelés első 24 óráján belül megszűntek. Ha szükséges, a </w:t>
      </w:r>
      <w:r w:rsidR="002669CE" w:rsidRPr="001A762B">
        <w:rPr>
          <w:rFonts w:cs="Times New Roman"/>
        </w:rPr>
        <w:t>szív</w:t>
      </w:r>
      <w:r w:rsidR="002669CE">
        <w:rPr>
          <w:rFonts w:cs="Times New Roman"/>
        </w:rPr>
        <w:t xml:space="preserve">frekvencia </w:t>
      </w:r>
      <w:r w:rsidRPr="001A762B">
        <w:rPr>
          <w:rFonts w:cs="Times New Roman"/>
        </w:rPr>
        <w:t>fingolimod által kiváltott csökkenése atropin vagy izoprenalin parenterális adásával visszafordítható.</w:t>
      </w:r>
    </w:p>
    <w:p w14:paraId="7B784317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FB2C164" w14:textId="125FB8D4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035AD3">
        <w:rPr>
          <w:rFonts w:cs="Times New Roman"/>
        </w:rPr>
        <w:t>Chantico</w:t>
      </w:r>
      <w:r w:rsidR="00035AD3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első dózisa előtt és 6 órával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után minden betegnél EKG-vizsgálatot és vérnyomásmérést kell végezni. Minden betegnél óránkénti pulzusszám- és vérnyomásméréssel 6 órán keresztül monitorozni kell a bradycardia okozta </w:t>
      </w:r>
      <w:r w:rsidR="002669CE">
        <w:rPr>
          <w:rFonts w:cs="Times New Roman"/>
        </w:rPr>
        <w:t>jeleket</w:t>
      </w:r>
      <w:r w:rsidR="002669CE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és tüneteket. Ezalatt a 6 órás időszak alatt folyamatos (valós idejű) EKG-monitorozás javasolt.</w:t>
      </w:r>
    </w:p>
    <w:p w14:paraId="17B1F2D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0BF0AD0" w14:textId="7D425582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0</w:t>
      </w:r>
      <w:proofErr w:type="gramStart"/>
      <w:r w:rsidRPr="001A762B">
        <w:rPr>
          <w:rFonts w:cs="Times New Roman"/>
        </w:rPr>
        <w:t>,25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-ról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napi adagra történő átállítás során az első adag bevételekor javasolt a kezelés megkezdésekor alkalmazott óvintézkedéseket meg</w:t>
      </w:r>
      <w:r w:rsidR="002669CE">
        <w:rPr>
          <w:rFonts w:cs="Times New Roman"/>
        </w:rPr>
        <w:t>ismételni</w:t>
      </w:r>
      <w:r w:rsidRPr="001A762B">
        <w:rPr>
          <w:rFonts w:cs="Times New Roman"/>
        </w:rPr>
        <w:t>.</w:t>
      </w:r>
    </w:p>
    <w:p w14:paraId="5C0E9112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35E052A1" w14:textId="767A138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Amennyiben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adagolást követően bradyarrhythmiával összefüggő tünetek jelentkeznek, akkor megfelelő klinikai kezelést kell kezdeni, és a monitorozást a tünetek megszűnéséig folytatni kell. Amennyiben egy betegnél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 dózis monitorozásának ideje alatt gyógyszeres beavatkozásra van szükség, akkor egy egész éjszakán át tartó, egészségügyi intézményben végzett monitorozást kell kezdeni, és az első dózissal járó monitorozási stratégiát a </w:t>
      </w:r>
      <w:r w:rsidR="00B377B0">
        <w:rPr>
          <w:rFonts w:cs="Times New Roman"/>
        </w:rPr>
        <w:t>Chantico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második dózisa után is meg kell ismételni.</w:t>
      </w:r>
    </w:p>
    <w:p w14:paraId="79CEC45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ECAB6FA" w14:textId="63E6295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DC0132">
        <w:rPr>
          <w:rFonts w:cs="Times New Roman"/>
        </w:rPr>
        <w:t xml:space="preserve">Ha a </w:t>
      </w:r>
      <w:r w:rsidR="00F26DBC" w:rsidRPr="00DC0132">
        <w:rPr>
          <w:rFonts w:cs="Times New Roman"/>
        </w:rPr>
        <w:t>szívfrekvencia</w:t>
      </w:r>
      <w:r w:rsidR="00F26DBC">
        <w:rPr>
          <w:rFonts w:cs="Times New Roman"/>
        </w:rPr>
        <w:t xml:space="preserve">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 dózis beadása óta a 6. órában a legalacsonyabb (ami arra utal, hogy lehet, hogy a szívre gyakorolt maximális farmakodinámiás hatás még nem alakult ki), akkor a monitorozást legalább 2 órával meg kell hosszabbítani, mindaddig, amíg a pulzusszám újra emelkedni nem kezd. Ezen kívül, ha 6 óra </w:t>
      </w:r>
      <w:r w:rsidR="00F26DBC">
        <w:rPr>
          <w:rFonts w:cs="Times New Roman"/>
        </w:rPr>
        <w:t>elteltével</w:t>
      </w:r>
      <w:r w:rsidR="00F26DBC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a percenkénti </w:t>
      </w:r>
      <w:r w:rsidR="00CE6D3C">
        <w:rPr>
          <w:rFonts w:cs="Times New Roman"/>
        </w:rPr>
        <w:t>szívfrekvencia</w:t>
      </w:r>
      <w:r w:rsidRPr="001A762B">
        <w:rPr>
          <w:rFonts w:cs="Times New Roman"/>
        </w:rPr>
        <w:t xml:space="preserve"> felnőtteknél &lt;</w:t>
      </w:r>
      <w:r w:rsidR="00F26DBC">
        <w:rPr>
          <w:rFonts w:cs="Times New Roman"/>
        </w:rPr>
        <w:t> </w:t>
      </w:r>
      <w:r w:rsidRPr="001A762B">
        <w:rPr>
          <w:rFonts w:cs="Times New Roman"/>
        </w:rPr>
        <w:t>45, tizenkét</w:t>
      </w:r>
      <w:r w:rsidR="00F26DBC">
        <w:rPr>
          <w:rFonts w:cs="Times New Roman"/>
        </w:rPr>
        <w:t xml:space="preserve"> </w:t>
      </w:r>
      <w:r w:rsidR="00607A97">
        <w:rPr>
          <w:rFonts w:cs="Times New Roman"/>
        </w:rPr>
        <w:t>év</w:t>
      </w:r>
      <w:r w:rsidRPr="001A762B">
        <w:rPr>
          <w:rFonts w:cs="Times New Roman"/>
        </w:rPr>
        <w:t>es vagy annál idősebb gyermekeknél &lt;</w:t>
      </w:r>
      <w:r w:rsidR="00F26DBC">
        <w:rPr>
          <w:rFonts w:cs="Times New Roman"/>
        </w:rPr>
        <w:t> </w:t>
      </w:r>
      <w:r w:rsidRPr="001A762B">
        <w:rPr>
          <w:rFonts w:cs="Times New Roman"/>
        </w:rPr>
        <w:t>55, illetve tíz és tizenkét</w:t>
      </w:r>
      <w:r w:rsidR="00F26DBC">
        <w:rPr>
          <w:rFonts w:cs="Times New Roman"/>
        </w:rPr>
        <w:t xml:space="preserve"> </w:t>
      </w:r>
      <w:r w:rsidR="00607A97">
        <w:rPr>
          <w:rFonts w:cs="Times New Roman"/>
        </w:rPr>
        <w:t>év</w:t>
      </w:r>
      <w:r w:rsidRPr="001A762B">
        <w:rPr>
          <w:rFonts w:cs="Times New Roman"/>
        </w:rPr>
        <w:t>es kor közötti gyermekeknél &lt;</w:t>
      </w:r>
      <w:r w:rsidR="00F26DBC">
        <w:rPr>
          <w:rFonts w:cs="Times New Roman"/>
        </w:rPr>
        <w:t> </w:t>
      </w:r>
      <w:r w:rsidRPr="001A762B">
        <w:rPr>
          <w:rFonts w:cs="Times New Roman"/>
        </w:rPr>
        <w:t>60, vagy az EKG újonnan kialakuló másodfokú vagy magasabb fokú AV-blo</w:t>
      </w:r>
      <w:r w:rsidR="00F26DBC">
        <w:rPr>
          <w:rFonts w:cs="Times New Roman"/>
        </w:rPr>
        <w:t>k</w:t>
      </w:r>
      <w:r w:rsidRPr="001A762B">
        <w:rPr>
          <w:rFonts w:cs="Times New Roman"/>
        </w:rPr>
        <w:t>kot vagy ≥</w:t>
      </w:r>
      <w:r w:rsidR="00F26DBC">
        <w:rPr>
          <w:rFonts w:cs="Times New Roman"/>
        </w:rPr>
        <w:t> </w:t>
      </w:r>
      <w:r w:rsidRPr="001A762B">
        <w:rPr>
          <w:rFonts w:cs="Times New Roman"/>
        </w:rPr>
        <w:t>500</w:t>
      </w:r>
      <w:r w:rsidR="00A9239C">
        <w:rPr>
          <w:rFonts w:cs="Times New Roman"/>
        </w:rPr>
        <w:t> ms</w:t>
      </w:r>
      <w:r w:rsidRPr="001A762B">
        <w:rPr>
          <w:rFonts w:cs="Times New Roman"/>
        </w:rPr>
        <w:t xml:space="preserve">-os QTc-távolságot mutat, akkor hosszabb ideig tartó monitorozást (legalább az egész éjszakán át tartó monitorozást) kell végezni, mindaddig, amíg ezek az eltérések meg nem szűnnek. </w:t>
      </w:r>
      <w:r w:rsidR="00F26DBC">
        <w:rPr>
          <w:rFonts w:cs="Times New Roman"/>
        </w:rPr>
        <w:t>Ha b</w:t>
      </w:r>
      <w:r w:rsidRPr="001A762B">
        <w:rPr>
          <w:rFonts w:cs="Times New Roman"/>
        </w:rPr>
        <w:t>ármikor harmadfokú</w:t>
      </w:r>
      <w:r w:rsidR="00F26DBC">
        <w:rPr>
          <w:rFonts w:cs="Times New Roman"/>
        </w:rPr>
        <w:t xml:space="preserve"> </w:t>
      </w:r>
      <w:r w:rsidRPr="001A762B">
        <w:rPr>
          <w:rFonts w:cs="Times New Roman"/>
        </w:rPr>
        <w:t>AV-blo</w:t>
      </w:r>
      <w:r w:rsidR="00F26DBC">
        <w:rPr>
          <w:rFonts w:cs="Times New Roman"/>
        </w:rPr>
        <w:t>k</w:t>
      </w:r>
      <w:r w:rsidRPr="001A762B">
        <w:rPr>
          <w:rFonts w:cs="Times New Roman"/>
        </w:rPr>
        <w:t xml:space="preserve">k </w:t>
      </w:r>
      <w:r w:rsidR="00F26DBC">
        <w:rPr>
          <w:rFonts w:cs="Times New Roman"/>
        </w:rPr>
        <w:t xml:space="preserve">alakul ki, akkor </w:t>
      </w:r>
      <w:r w:rsidRPr="001A762B">
        <w:rPr>
          <w:rFonts w:cs="Times New Roman"/>
        </w:rPr>
        <w:t>szintén hosszabb ide</w:t>
      </w:r>
      <w:r w:rsidR="00F26DBC">
        <w:rPr>
          <w:rFonts w:cs="Times New Roman"/>
        </w:rPr>
        <w:t>jű</w:t>
      </w:r>
      <w:r w:rsidRPr="001A762B">
        <w:rPr>
          <w:rFonts w:cs="Times New Roman"/>
        </w:rPr>
        <w:t xml:space="preserve"> (legalább egész éjszakán át tartó</w:t>
      </w:r>
      <w:r w:rsidR="00F26DBC">
        <w:rPr>
          <w:rFonts w:cs="Times New Roman"/>
        </w:rPr>
        <w:t>)</w:t>
      </w:r>
      <w:r w:rsidRPr="001A762B">
        <w:rPr>
          <w:rFonts w:cs="Times New Roman"/>
        </w:rPr>
        <w:t xml:space="preserve"> monitorozás</w:t>
      </w:r>
      <w:r w:rsidR="00F26DBC" w:rsidRPr="001A762B">
        <w:rPr>
          <w:rFonts w:cs="Times New Roman"/>
        </w:rPr>
        <w:t xml:space="preserve"> </w:t>
      </w:r>
      <w:r w:rsidR="00F26DBC">
        <w:rPr>
          <w:rFonts w:cs="Times New Roman"/>
        </w:rPr>
        <w:t>szükséges</w:t>
      </w:r>
      <w:r w:rsidRPr="001A762B">
        <w:rPr>
          <w:rFonts w:cs="Times New Roman"/>
        </w:rPr>
        <w:t>.</w:t>
      </w:r>
    </w:p>
    <w:p w14:paraId="01DA70F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4296417" w14:textId="524B4724" w:rsidR="0017344B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3A73B4" w:rsidRPr="001A762B">
        <w:rPr>
          <w:rFonts w:cs="Times New Roman"/>
        </w:rPr>
        <w:t>szív</w:t>
      </w:r>
      <w:r w:rsidR="003A73B4">
        <w:rPr>
          <w:rFonts w:cs="Times New Roman"/>
        </w:rPr>
        <w:t xml:space="preserve">frekvenciára </w:t>
      </w:r>
      <w:r w:rsidRPr="001A762B">
        <w:rPr>
          <w:rFonts w:cs="Times New Roman"/>
        </w:rPr>
        <w:t xml:space="preserve">és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atrioventricularis átvezetésre gyakorolt hatások a </w:t>
      </w:r>
      <w:r w:rsidR="0017344B">
        <w:rPr>
          <w:rFonts w:cs="Times New Roman"/>
        </w:rPr>
        <w:t>fingolimod</w:t>
      </w:r>
      <w:r w:rsidRPr="001A762B">
        <w:rPr>
          <w:rFonts w:cs="Times New Roman"/>
        </w:rPr>
        <w:t>-kezelés ismételt elkezdésekor újra visszatérhetnek</w:t>
      </w:r>
      <w:r w:rsidR="003A73B4">
        <w:rPr>
          <w:rFonts w:cs="Times New Roman"/>
        </w:rPr>
        <w:t>,</w:t>
      </w:r>
      <w:r w:rsidRPr="001A762B">
        <w:rPr>
          <w:rFonts w:cs="Times New Roman"/>
        </w:rPr>
        <w:t xml:space="preserve"> a kezelés megkezdése óta eltelt idő és a megszakítás hosszától függően.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 dózis esetén ugyanaz a monitorozás javasolt, mint a kezelés elkezdésekor, ha a kezelést az alábbiak szerint megszakították</w:t>
      </w:r>
      <w:r w:rsidR="0017344B">
        <w:rPr>
          <w:rFonts w:cs="Times New Roman"/>
        </w:rPr>
        <w:t xml:space="preserve"> (lásd 4.2 pont).</w:t>
      </w:r>
    </w:p>
    <w:p w14:paraId="59E599C9" w14:textId="77777777" w:rsidR="004C0305" w:rsidRPr="001A762B" w:rsidRDefault="004C0305" w:rsidP="00ED646C">
      <w:pPr>
        <w:pStyle w:val="Szvegtrzs"/>
        <w:ind w:left="0"/>
      </w:pPr>
    </w:p>
    <w:p w14:paraId="58499F2A" w14:textId="184CF854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Nagyon ritka esetekben T-hullám</w:t>
      </w:r>
      <w:r w:rsidR="003A73B4">
        <w:rPr>
          <w:rFonts w:cs="Times New Roman"/>
        </w:rPr>
        <w:t>-</w:t>
      </w:r>
      <w:r w:rsidRPr="001A762B">
        <w:rPr>
          <w:rFonts w:cs="Times New Roman"/>
        </w:rPr>
        <w:t xml:space="preserve">inverzióról számoltak be a fingolimoddal kezelt felnőtt betegeknél. </w:t>
      </w:r>
      <w:bookmarkStart w:id="0" w:name="_Hlk43461923"/>
      <w:r w:rsidRPr="001A762B">
        <w:rPr>
          <w:rFonts w:cs="Times New Roman"/>
        </w:rPr>
        <w:t>T-hullám</w:t>
      </w:r>
      <w:r w:rsidR="003A73B4">
        <w:rPr>
          <w:rFonts w:cs="Times New Roman"/>
        </w:rPr>
        <w:t>-</w:t>
      </w:r>
      <w:r w:rsidRPr="001A762B">
        <w:rPr>
          <w:rFonts w:cs="Times New Roman"/>
        </w:rPr>
        <w:t xml:space="preserve">inverzió </w:t>
      </w:r>
      <w:bookmarkEnd w:id="0"/>
      <w:r w:rsidRPr="001A762B">
        <w:rPr>
          <w:rFonts w:cs="Times New Roman"/>
        </w:rPr>
        <w:t xml:space="preserve">esetén a gyógyszert </w:t>
      </w:r>
      <w:r w:rsidR="008649A9">
        <w:rPr>
          <w:rFonts w:cs="Times New Roman"/>
        </w:rPr>
        <w:t>rendelő</w:t>
      </w:r>
      <w:r w:rsidR="008649A9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orvosnak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 xml:space="preserve"> kell győződnie arról, hogy nincsenek </w:t>
      </w:r>
      <w:r w:rsidRPr="001A762B">
        <w:rPr>
          <w:rFonts w:cs="Times New Roman"/>
        </w:rPr>
        <w:lastRenderedPageBreak/>
        <w:t>társuló, myocardialis ischaemiára utaló panaszok vagy tünetek. Ha myocardialis ischaemiára van gyanú, kardiológus tanácsának kikérése javasolt.</w:t>
      </w:r>
    </w:p>
    <w:p w14:paraId="1B6C04B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9FDE75B" w14:textId="778684E9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súlyos ritmuszavarok vagy a jelentős bradycardia kockázata miatt a </w:t>
      </w:r>
      <w:r w:rsidR="00B377B0">
        <w:rPr>
          <w:rFonts w:cs="Times New Roman"/>
        </w:rPr>
        <w:t>Chantico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nem alkalmazható olyan betegeknél, akiknek sino-atrialis </w:t>
      </w:r>
      <w:r w:rsidR="008649A9">
        <w:rPr>
          <w:rFonts w:cs="Times New Roman"/>
        </w:rPr>
        <w:t>blokk</w:t>
      </w:r>
      <w:r w:rsidRPr="001A762B">
        <w:rPr>
          <w:rFonts w:cs="Times New Roman"/>
        </w:rPr>
        <w:t>ja van, az anamnézisében tünetekkel járó bradycardia, visszatérő ájulás vagy szívleállás szerepel, vagy olyan betegeknél, akiknél a QT-távolság jelentősen megnyúlt (QTc &gt;</w:t>
      </w:r>
      <w:r w:rsidR="003A73B4">
        <w:rPr>
          <w:rFonts w:cs="Times New Roman"/>
        </w:rPr>
        <w:t> </w:t>
      </w:r>
      <w:r w:rsidRPr="001A762B">
        <w:rPr>
          <w:rFonts w:cs="Times New Roman"/>
        </w:rPr>
        <w:t>470</w:t>
      </w:r>
      <w:r w:rsidR="00A9239C">
        <w:rPr>
          <w:rFonts w:cs="Times New Roman"/>
        </w:rPr>
        <w:t> ms</w:t>
      </w:r>
      <w:r w:rsidRPr="001A762B">
        <w:rPr>
          <w:rFonts w:cs="Times New Roman"/>
        </w:rPr>
        <w:t xml:space="preserve"> [felnőtt nők], &gt;</w:t>
      </w:r>
      <w:r w:rsidR="003A73B4">
        <w:rPr>
          <w:rFonts w:cs="Times New Roman"/>
        </w:rPr>
        <w:t> </w:t>
      </w:r>
      <w:r w:rsidRPr="001A762B">
        <w:rPr>
          <w:rFonts w:cs="Times New Roman"/>
        </w:rPr>
        <w:t>460</w:t>
      </w:r>
      <w:r w:rsidR="00A9239C">
        <w:rPr>
          <w:rFonts w:cs="Times New Roman"/>
        </w:rPr>
        <w:t> ms</w:t>
      </w:r>
      <w:r w:rsidRPr="001A762B">
        <w:rPr>
          <w:rFonts w:cs="Times New Roman"/>
        </w:rPr>
        <w:t xml:space="preserve"> [lányok] vagy &gt;</w:t>
      </w:r>
      <w:r w:rsidR="003A73B4">
        <w:rPr>
          <w:rFonts w:cs="Times New Roman"/>
        </w:rPr>
        <w:t> </w:t>
      </w:r>
      <w:r w:rsidRPr="001A762B">
        <w:rPr>
          <w:rFonts w:cs="Times New Roman"/>
        </w:rPr>
        <w:t>450</w:t>
      </w:r>
      <w:r w:rsidR="00A9239C">
        <w:rPr>
          <w:rFonts w:cs="Times New Roman"/>
        </w:rPr>
        <w:t> ms</w:t>
      </w:r>
      <w:r w:rsidRPr="001A762B">
        <w:rPr>
          <w:rFonts w:cs="Times New Roman"/>
        </w:rPr>
        <w:t xml:space="preserve"> [felnőtt férfiak és fiúk]), nem beállított hypertonia vagy súlyos alvási apnoe szerepel (lásd még 4.3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ilyen betegeknél a </w:t>
      </w:r>
      <w:r w:rsidR="00B377B0">
        <w:rPr>
          <w:rFonts w:cs="Times New Roman"/>
        </w:rPr>
        <w:t>Chantico</w:t>
      </w:r>
      <w:r w:rsidRPr="001A762B">
        <w:rPr>
          <w:rFonts w:cs="Times New Roman"/>
        </w:rPr>
        <w:t xml:space="preserve">-kezelés csak akkor mérlegelhető, ha a várható előnyök meghaladják a lehetséges kockázatokat és a kezelés megkezdése előtt a legmegfelelőbb monitorozás meghatározása érdekében kardiológus tanácsát kérik. A kezelés megkezdéséhez legalább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egész éjszakán át tartó, meghosszabbított monitorozás javasolt (lásd még 4.5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3CA13FB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116F98C" w14:textId="7EA5C3B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17344B">
        <w:rPr>
          <w:rFonts w:cs="Times New Roman"/>
        </w:rPr>
        <w:t>fingolimodo</w:t>
      </w:r>
      <w:r w:rsidR="00B377B0">
        <w:rPr>
          <w:rFonts w:cs="Times New Roman"/>
        </w:rPr>
        <w:t>t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nem vizsgálták olyan arrhythmiás betegeknél, akiknek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Ia osztályba (pl. kinidin, dizopiramid) vagy a III. </w:t>
      </w:r>
      <w:proofErr w:type="gramStart"/>
      <w:r w:rsidRPr="001A762B">
        <w:rPr>
          <w:rFonts w:cs="Times New Roman"/>
        </w:rPr>
        <w:t>osztályba</w:t>
      </w:r>
      <w:proofErr w:type="gramEnd"/>
      <w:r w:rsidRPr="001A762B">
        <w:rPr>
          <w:rFonts w:cs="Times New Roman"/>
        </w:rPr>
        <w:t xml:space="preserve"> (pl. amiodaron, szotalol) tartozó antiarrhythmiás gyógyszerekkel végzett kezelésre volt szükségük. A bradycardiás betegeknél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Ia osztályba és a III. </w:t>
      </w:r>
      <w:proofErr w:type="gramStart"/>
      <w:r w:rsidRPr="001A762B">
        <w:rPr>
          <w:rFonts w:cs="Times New Roman"/>
        </w:rPr>
        <w:t>osztályba</w:t>
      </w:r>
      <w:proofErr w:type="gramEnd"/>
      <w:r w:rsidRPr="001A762B">
        <w:rPr>
          <w:rFonts w:cs="Times New Roman"/>
        </w:rPr>
        <w:t xml:space="preserve"> tartozó antiarrhythmiás gyógyszerekkel végzett kezelés </w:t>
      </w:r>
      <w:r w:rsidRPr="001A762B">
        <w:rPr>
          <w:rFonts w:cs="Times New Roman"/>
          <w:i/>
        </w:rPr>
        <w:t xml:space="preserve">torsades de pointes </w:t>
      </w:r>
      <w:r w:rsidRPr="001A762B">
        <w:rPr>
          <w:rFonts w:cs="Times New Roman"/>
        </w:rPr>
        <w:t>esetekkel társult (lásd 4.3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39703911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214A0669" w14:textId="458294E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17344B">
        <w:rPr>
          <w:rFonts w:cs="Times New Roman"/>
        </w:rPr>
        <w:t>fingolimoddal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szerzett tapasztalat korlátozott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olyan betegeknél, akik egyidejűleg béta-blokkolókkal, pulzusszámcsökkentő kalciumcsatorna-blokkolókkal (például verapamil vagy diltiazem) vagy más, olyan hatóanyagokkal végzett kezelést kapnak, amelyek csökkenthetik a </w:t>
      </w:r>
      <w:r w:rsidR="008649A9" w:rsidRPr="001A762B">
        <w:rPr>
          <w:rFonts w:cs="Times New Roman"/>
        </w:rPr>
        <w:t>szív</w:t>
      </w:r>
      <w:r w:rsidR="008649A9">
        <w:rPr>
          <w:rFonts w:cs="Times New Roman"/>
        </w:rPr>
        <w:t xml:space="preserve">frekvenciát </w:t>
      </w:r>
      <w:r w:rsidRPr="001A762B">
        <w:rPr>
          <w:rFonts w:cs="Times New Roman"/>
        </w:rPr>
        <w:t xml:space="preserve">(pl. ivabradin, digoxin, antikolinészteráz szerek vagy pilokarpin). Mivel a </w:t>
      </w:r>
      <w:r w:rsidR="0017344B">
        <w:rPr>
          <w:rFonts w:cs="Times New Roman"/>
        </w:rPr>
        <w:t>fingolimod</w:t>
      </w:r>
      <w:r w:rsidRPr="001A762B">
        <w:rPr>
          <w:rFonts w:cs="Times New Roman"/>
        </w:rPr>
        <w:t xml:space="preserve">-kezelés elkezdése is a </w:t>
      </w:r>
      <w:r w:rsidR="008649A9" w:rsidRPr="001A762B">
        <w:rPr>
          <w:rFonts w:cs="Times New Roman"/>
        </w:rPr>
        <w:t>szív</w:t>
      </w:r>
      <w:r w:rsidR="008649A9">
        <w:rPr>
          <w:rFonts w:cs="Times New Roman"/>
        </w:rPr>
        <w:t xml:space="preserve">frekvencia </w:t>
      </w:r>
      <w:r w:rsidRPr="001A762B">
        <w:rPr>
          <w:rFonts w:cs="Times New Roman"/>
        </w:rPr>
        <w:t>lassulásával jár (lásd még 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, Bradyarrhythmia), ezen a hatóanyagok egyidejű alkalmazása a </w:t>
      </w:r>
      <w:r w:rsidR="0017344B">
        <w:rPr>
          <w:rFonts w:cs="Times New Roman"/>
        </w:rPr>
        <w:t>kezelés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elkezdésével súlyos bradycardiával és ingerületvezetési zavarral társulhat. A </w:t>
      </w:r>
      <w:r w:rsidR="008649A9" w:rsidRPr="001A762B">
        <w:rPr>
          <w:rFonts w:cs="Times New Roman"/>
        </w:rPr>
        <w:t>szív</w:t>
      </w:r>
      <w:r w:rsidR="008649A9">
        <w:rPr>
          <w:rFonts w:cs="Times New Roman"/>
        </w:rPr>
        <w:t xml:space="preserve">frekvenciára </w:t>
      </w:r>
      <w:r w:rsidRPr="001A762B">
        <w:rPr>
          <w:rFonts w:cs="Times New Roman"/>
        </w:rPr>
        <w:t xml:space="preserve">gyakorolt potenciális additív hatása miatt a </w:t>
      </w:r>
      <w:r w:rsidR="00B41CBE">
        <w:rPr>
          <w:rFonts w:cs="Times New Roman"/>
        </w:rPr>
        <w:t>Chantico-</w:t>
      </w:r>
      <w:r w:rsidRPr="001A762B">
        <w:rPr>
          <w:rFonts w:cs="Times New Roman"/>
        </w:rPr>
        <w:t>kezelést nem szabad elkezdeni olyan betegeknél, akiket egyidejűleg ezekkel a hatóanyagokkal kezelnek (lásd még 4.5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ilyen betegeknél a </w:t>
      </w:r>
      <w:r w:rsidR="00B377B0">
        <w:rPr>
          <w:rFonts w:cs="Times New Roman"/>
        </w:rPr>
        <w:t>Chantico</w:t>
      </w:r>
      <w:r w:rsidRPr="001A762B">
        <w:rPr>
          <w:rFonts w:cs="Times New Roman"/>
        </w:rPr>
        <w:t xml:space="preserve">-kezelés csak akkor mérlegelhető, ha a várható előnyök meghaladják a lehetséges kockázatokat. A </w:t>
      </w:r>
      <w:r w:rsidR="00B377B0">
        <w:rPr>
          <w:rFonts w:cs="Times New Roman"/>
        </w:rPr>
        <w:t>Chantico</w:t>
      </w:r>
      <w:r w:rsidRPr="001A762B">
        <w:rPr>
          <w:rFonts w:cs="Times New Roman"/>
        </w:rPr>
        <w:t xml:space="preserve">-kezelés mérlegelésekor a kezelés megkezdése előtt kardiológus tanácsát kell kérni egy, a </w:t>
      </w:r>
      <w:r w:rsidR="008649A9" w:rsidRPr="001A762B">
        <w:rPr>
          <w:rFonts w:cs="Times New Roman"/>
        </w:rPr>
        <w:t>szív</w:t>
      </w:r>
      <w:r w:rsidR="008649A9">
        <w:rPr>
          <w:rFonts w:cs="Times New Roman"/>
        </w:rPr>
        <w:t xml:space="preserve">frekvenciát </w:t>
      </w:r>
      <w:r w:rsidRPr="001A762B">
        <w:rPr>
          <w:rFonts w:cs="Times New Roman"/>
        </w:rPr>
        <w:t xml:space="preserve">nem csökkentő gyógyszerre történő átállítást illetően. Ha a szívfrekvenciát csökkentő </w:t>
      </w:r>
      <w:r w:rsidR="0017344B">
        <w:rPr>
          <w:rFonts w:cs="Times New Roman"/>
        </w:rPr>
        <w:t>kezelést</w:t>
      </w:r>
      <w:r w:rsidR="0017344B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nem lehet abbahagyni,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 dózis megfelelő monitorozásának meghatározása érdekében kardiológus tanácsát kell kérni, legalább az egész éjszakán át tartó, meghosszabbított monitorozás javasolt (lásd még 4.5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2FE4BDB1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54DF71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904C84">
        <w:rPr>
          <w:rFonts w:cs="Times New Roman"/>
          <w:u w:val="single" w:color="000000"/>
        </w:rPr>
        <w:t>QT-távolság</w:t>
      </w:r>
    </w:p>
    <w:p w14:paraId="4B0CBAE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26B9E91" w14:textId="2BCD0EEC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QT-távolságnak a 1,25 vagy 2,5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fingolimod</w:t>
      </w:r>
      <w:r w:rsidR="008649A9">
        <w:rPr>
          <w:rFonts w:cs="Times New Roman"/>
        </w:rPr>
        <w:t>-</w:t>
      </w:r>
      <w:r w:rsidRPr="001A762B">
        <w:rPr>
          <w:rFonts w:cs="Times New Roman"/>
        </w:rPr>
        <w:t xml:space="preserve">dózisok mellett kialakult dinamikus egyensúlyi állapotban – amikor a negatív chronotrop hatás még fennállt – történt alapos vizsgálatában a fingolimod-kezelés a QTcI </w:t>
      </w:r>
      <w:r w:rsidR="008649A9">
        <w:rPr>
          <w:rFonts w:cs="Times New Roman"/>
        </w:rPr>
        <w:t>(</w:t>
      </w:r>
      <w:r w:rsidR="0039628C" w:rsidRPr="00225D6A">
        <w:rPr>
          <w:rFonts w:cs="Times New Roman"/>
          <w:color w:val="4D5156"/>
          <w:shd w:val="clear" w:color="auto" w:fill="FFFFFF"/>
        </w:rPr>
        <w:t>egyénileg korrigált QT-szakasz</w:t>
      </w:r>
      <w:r w:rsidR="0039628C" w:rsidRPr="0039628C">
        <w:rPr>
          <w:rFonts w:cs="Times New Roman"/>
          <w:color w:val="212121"/>
          <w:shd w:val="clear" w:color="auto" w:fill="FFFFFF"/>
        </w:rPr>
        <w:t xml:space="preserve"> </w:t>
      </w:r>
      <w:r w:rsidR="0039628C">
        <w:rPr>
          <w:rFonts w:cs="Times New Roman"/>
          <w:color w:val="212121"/>
          <w:shd w:val="clear" w:color="auto" w:fill="FFFFFF"/>
        </w:rPr>
        <w:t>[</w:t>
      </w:r>
      <w:r w:rsidR="008649A9" w:rsidRPr="00225D6A">
        <w:rPr>
          <w:rFonts w:cs="Times New Roman"/>
          <w:color w:val="212121"/>
          <w:shd w:val="clear" w:color="auto" w:fill="FFFFFF"/>
        </w:rPr>
        <w:t>individual-specific QT</w:t>
      </w:r>
      <w:r w:rsidR="0039628C">
        <w:rPr>
          <w:rFonts w:cs="Times New Roman"/>
          <w:color w:val="212121"/>
          <w:shd w:val="clear" w:color="auto" w:fill="FFFFFF"/>
        </w:rPr>
        <w:t>]</w:t>
      </w:r>
      <w:r w:rsidR="008649A9">
        <w:rPr>
          <w:rFonts w:cs="Times New Roman"/>
        </w:rPr>
        <w:t xml:space="preserve">) </w:t>
      </w:r>
      <w:r w:rsidRPr="001A762B">
        <w:rPr>
          <w:rFonts w:cs="Times New Roman"/>
        </w:rPr>
        <w:t>megnyúlását idézte elő, ≤</w:t>
      </w:r>
      <w:r w:rsidR="0039628C">
        <w:rPr>
          <w:rFonts w:cs="Times New Roman"/>
        </w:rPr>
        <w:t> </w:t>
      </w:r>
      <w:r w:rsidRPr="001A762B">
        <w:rPr>
          <w:rFonts w:cs="Times New Roman"/>
        </w:rPr>
        <w:t>13,0 ms-os 90%-os konfidenciaintervallum felső határértékkel. A fingolimod és a QTcI</w:t>
      </w:r>
      <w:r w:rsidR="0039628C">
        <w:rPr>
          <w:rFonts w:cs="Times New Roman"/>
        </w:rPr>
        <w:t>-</w:t>
      </w:r>
      <w:r w:rsidRPr="001A762B">
        <w:rPr>
          <w:rFonts w:cs="Times New Roman"/>
        </w:rPr>
        <w:t>megnyúlás között nincs dózis-</w:t>
      </w:r>
      <w:r w:rsidR="0039628C">
        <w:rPr>
          <w:rFonts w:cs="Times New Roman"/>
        </w:rPr>
        <w:t>válasz</w:t>
      </w:r>
      <w:r w:rsidRPr="001A762B">
        <w:rPr>
          <w:rFonts w:cs="Times New Roman"/>
        </w:rPr>
        <w:t xml:space="preserve"> vagy expozíció-válasz összefüggés. Nincs egyértelmű jel arra, hogy a fingolimod-kezelés a QTcI</w:t>
      </w:r>
      <w:r w:rsidR="008649A9">
        <w:rPr>
          <w:rFonts w:cs="Times New Roman"/>
        </w:rPr>
        <w:t>-</w:t>
      </w:r>
      <w:r w:rsidRPr="001A762B">
        <w:rPr>
          <w:rFonts w:cs="Times New Roman"/>
        </w:rPr>
        <w:t>eltérés gyakoribb előfordulásával, annak abszolút vagy a kiindulási értékhez viszonyított változásával járna.</w:t>
      </w:r>
    </w:p>
    <w:p w14:paraId="35AEE84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212EB0E" w14:textId="77777777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Ennek a felismerésnek a klinikai jelentősége nem ismert. A sclerosis multiplex miatt végzett vizsgálatokban nem észleltek a QTc-távolság megnyúlására gyakorolt, klinikailag jelentős hatásokat, de a klinikai vizsgálatokba nem vontak be olyan betegeket, akiknél fennállt a QT-távolság megnyúlásának veszélye.</w:t>
      </w:r>
    </w:p>
    <w:p w14:paraId="7AD02F14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1FAB1EE9" w14:textId="77777777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Azoknál a betegeknél, akiknek releváns kockázati tényezőik vannak, mint amilyen a hypokalaemia vagy a QT-távolság veleszületett megnyúlása, legjobb elkerülni azokat a gyógyszereket, amelyek megnyújthatják a QTc-távolságot.</w:t>
      </w:r>
    </w:p>
    <w:p w14:paraId="02CD81E0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0FC2ED1" w14:textId="77777777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u w:val="single" w:color="000000"/>
          <w:lang w:val="de-DE"/>
        </w:rPr>
        <w:t>Immunszuppresszív hatások</w:t>
      </w:r>
    </w:p>
    <w:p w14:paraId="059CC380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6A04B920" w14:textId="39618496" w:rsidR="001F30F8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 xml:space="preserve">A fingolimodnak immunszuppresszív hatása van, ami </w:t>
      </w:r>
      <w:r w:rsidR="00826BF4">
        <w:rPr>
          <w:rFonts w:cs="Times New Roman"/>
          <w:lang w:val="de-DE"/>
        </w:rPr>
        <w:t xml:space="preserve">növeli </w:t>
      </w:r>
      <w:r w:rsidRPr="00431150">
        <w:rPr>
          <w:rFonts w:cs="Times New Roman"/>
          <w:lang w:val="de-DE"/>
        </w:rPr>
        <w:t>a fertőzés</w:t>
      </w:r>
      <w:r w:rsidR="00826BF4">
        <w:rPr>
          <w:rFonts w:cs="Times New Roman"/>
          <w:lang w:val="de-DE"/>
        </w:rPr>
        <w:t>ek</w:t>
      </w:r>
      <w:r w:rsidRPr="00431150">
        <w:rPr>
          <w:rFonts w:cs="Times New Roman"/>
          <w:lang w:val="de-DE"/>
        </w:rPr>
        <w:t xml:space="preserve"> kockázatá</w:t>
      </w:r>
      <w:r w:rsidR="00826BF4">
        <w:rPr>
          <w:rFonts w:cs="Times New Roman"/>
          <w:lang w:val="de-DE"/>
        </w:rPr>
        <w:t>t</w:t>
      </w:r>
      <w:r w:rsidRPr="00431150">
        <w:rPr>
          <w:rFonts w:cs="Times New Roman"/>
          <w:lang w:val="de-DE"/>
        </w:rPr>
        <w:t xml:space="preserve">, beleértve az opportunista fertőzéseket is, amelyek végzetes kimenetelűek is lehetnek, és növeli a lymphomák és egyéb malignitások, különösen a cutan malignitások kialakulásának kockázatát. Az orvosoknak </w:t>
      </w:r>
      <w:r w:rsidRPr="00431150">
        <w:rPr>
          <w:rFonts w:cs="Times New Roman"/>
          <w:lang w:val="de-DE"/>
        </w:rPr>
        <w:lastRenderedPageBreak/>
        <w:t xml:space="preserve">körültekintően monitorozniuk kell a betegeket, különösen azokat, akiknek kísérőbetegségeik vannak, vagy ismert kockázati tényezők állnak fent náluk, mint például a korábbi immunszuppresszív kezelés. Ha erre a kockázatra van gyanú, akkor az orvosnak </w:t>
      </w:r>
      <w:r w:rsidR="00826BF4">
        <w:rPr>
          <w:rFonts w:cs="Times New Roman"/>
          <w:lang w:val="de-DE"/>
        </w:rPr>
        <w:t>betegenként kell</w:t>
      </w:r>
      <w:r w:rsidRPr="00431150">
        <w:rPr>
          <w:rFonts w:cs="Times New Roman"/>
          <w:lang w:val="de-DE"/>
        </w:rPr>
        <w:t xml:space="preserve"> </w:t>
      </w:r>
      <w:r w:rsidR="00826BF4" w:rsidRPr="00431150">
        <w:rPr>
          <w:rFonts w:cs="Times New Roman"/>
          <w:lang w:val="de-DE"/>
        </w:rPr>
        <w:t xml:space="preserve">mérlegelnie </w:t>
      </w:r>
      <w:r w:rsidRPr="00431150">
        <w:rPr>
          <w:rFonts w:cs="Times New Roman"/>
          <w:lang w:val="de-DE"/>
        </w:rPr>
        <w:t>a kezelés abbahagyását (lásd még 4.4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>, „Fertőzések” és „</w:t>
      </w:r>
      <w:r w:rsidR="00CD60F1" w:rsidRPr="00CD60F1">
        <w:rPr>
          <w:rFonts w:cs="Times New Roman"/>
          <w:lang w:val="hu-HU"/>
        </w:rPr>
        <w:t>B</w:t>
      </w:r>
      <w:r w:rsidR="00CD60F1" w:rsidRPr="00CD60F1">
        <w:rPr>
          <w:rFonts w:cs="Times New Roman" w:hint="eastAsia"/>
          <w:lang w:val="hu-HU"/>
        </w:rPr>
        <w:t>ő</w:t>
      </w:r>
      <w:r w:rsidR="00CD60F1" w:rsidRPr="00CD60F1">
        <w:rPr>
          <w:rFonts w:cs="Times New Roman"/>
          <w:lang w:val="hu-HU"/>
        </w:rPr>
        <w:t>rmalignitások</w:t>
      </w:r>
      <w:r w:rsidRPr="00431150">
        <w:rPr>
          <w:rFonts w:cs="Times New Roman"/>
          <w:lang w:val="de-DE"/>
        </w:rPr>
        <w:t>”, és 4.8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 xml:space="preserve">, „Lymphomák”). </w:t>
      </w:r>
    </w:p>
    <w:p w14:paraId="523EE03C" w14:textId="77777777" w:rsidR="001F30F8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</w:p>
    <w:p w14:paraId="512D2EF2" w14:textId="5981CBBA" w:rsidR="004C0305" w:rsidRPr="00431150" w:rsidRDefault="001F30F8" w:rsidP="00225D6A">
      <w:pPr>
        <w:pStyle w:val="Szvegtrzs"/>
        <w:ind w:left="0"/>
        <w:rPr>
          <w:rFonts w:cs="Times New Roman"/>
          <w:u w:val="single" w:color="000000"/>
          <w:lang w:val="de-DE"/>
        </w:rPr>
      </w:pPr>
      <w:r w:rsidRPr="00431150">
        <w:rPr>
          <w:rFonts w:cs="Times New Roman"/>
          <w:u w:val="single" w:color="000000"/>
          <w:lang w:val="de-DE"/>
        </w:rPr>
        <w:t>Fertőzések</w:t>
      </w:r>
    </w:p>
    <w:p w14:paraId="63717616" w14:textId="77777777" w:rsidR="002F2306" w:rsidRPr="00431150" w:rsidRDefault="002F2306" w:rsidP="00225D6A">
      <w:pPr>
        <w:pStyle w:val="Szvegtrzs"/>
        <w:ind w:left="0"/>
        <w:rPr>
          <w:rFonts w:cs="Times New Roman"/>
          <w:lang w:val="de-DE"/>
        </w:rPr>
      </w:pPr>
    </w:p>
    <w:p w14:paraId="4D6EC8E3" w14:textId="3D964146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 xml:space="preserve">A </w:t>
      </w:r>
      <w:r w:rsidR="0017344B">
        <w:rPr>
          <w:rFonts w:cs="Times New Roman"/>
          <w:lang w:val="de-DE"/>
        </w:rPr>
        <w:t>fingolimod</w:t>
      </w:r>
      <w:r w:rsidR="0017344B" w:rsidRPr="00431150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alapvető farmakodinámiás hatása a perifériás lymphocyta-szám dózisfüggő csökkentése a kiindulási érték 20-30%-ára. Ez a lymphocyták lymphoid szövetbe történő reverz</w:t>
      </w:r>
      <w:r w:rsidR="00826BF4">
        <w:rPr>
          <w:rFonts w:cs="Times New Roman"/>
          <w:lang w:val="de-DE"/>
        </w:rPr>
        <w:t>i</w:t>
      </w:r>
      <w:r w:rsidRPr="00431150">
        <w:rPr>
          <w:rFonts w:cs="Times New Roman"/>
          <w:lang w:val="de-DE"/>
        </w:rPr>
        <w:t>bilis szekvesztrációjának a következménye (lásd 5.1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>).</w:t>
      </w:r>
    </w:p>
    <w:p w14:paraId="2E1D978A" w14:textId="77777777" w:rsidR="001F30F8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</w:p>
    <w:p w14:paraId="249FB8F8" w14:textId="034061D0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 xml:space="preserve">A </w:t>
      </w:r>
      <w:r w:rsidR="00B377B0" w:rsidRPr="00431150">
        <w:rPr>
          <w:rFonts w:cs="Times New Roman"/>
          <w:lang w:val="de-DE"/>
        </w:rPr>
        <w:t>Chantico</w:t>
      </w:r>
      <w:r w:rsidRPr="00431150">
        <w:rPr>
          <w:rFonts w:cs="Times New Roman"/>
          <w:lang w:val="de-DE"/>
        </w:rPr>
        <w:t>-kezelés megkezdése előtt friss (azaz 6</w:t>
      </w:r>
      <w:r w:rsidR="00607A97" w:rsidRPr="00431150">
        <w:rPr>
          <w:rFonts w:cs="Times New Roman"/>
          <w:lang w:val="de-DE"/>
        </w:rPr>
        <w:t> hónap</w:t>
      </w:r>
      <w:r w:rsidRPr="00431150">
        <w:rPr>
          <w:rFonts w:cs="Times New Roman"/>
          <w:lang w:val="de-DE"/>
        </w:rPr>
        <w:t>on belüli vagy a korábbi kezelés abbahagyása utáni) teljes vérképnek kell rendelkezésre állnia. A kezelés alatt</w:t>
      </w:r>
      <w:r w:rsidR="00826BF4" w:rsidRPr="00826BF4">
        <w:rPr>
          <w:rFonts w:cs="Times New Roman"/>
          <w:lang w:val="de-DE"/>
        </w:rPr>
        <w:t xml:space="preserve"> </w:t>
      </w:r>
      <w:r w:rsidR="00826BF4" w:rsidRPr="00431150">
        <w:rPr>
          <w:rFonts w:cs="Times New Roman"/>
          <w:lang w:val="de-DE"/>
        </w:rPr>
        <w:t>a teljes vérkép rendszeres időközönként végzett vizsgálata javasolt</w:t>
      </w:r>
      <w:r w:rsidRPr="00431150">
        <w:rPr>
          <w:rFonts w:cs="Times New Roman"/>
          <w:lang w:val="de-DE"/>
        </w:rPr>
        <w:t>, a 3.</w:t>
      </w:r>
      <w:r w:rsidR="00607A97" w:rsidRPr="00431150">
        <w:rPr>
          <w:rFonts w:cs="Times New Roman"/>
          <w:lang w:val="de-DE"/>
        </w:rPr>
        <w:t> hónap</w:t>
      </w:r>
      <w:r w:rsidRPr="00431150">
        <w:rPr>
          <w:rFonts w:cs="Times New Roman"/>
          <w:lang w:val="de-DE"/>
        </w:rPr>
        <w:t>ban, és azután legalább</w:t>
      </w:r>
      <w:r w:rsidR="00826BF4">
        <w:rPr>
          <w:rFonts w:cs="Times New Roman"/>
          <w:lang w:val="de-DE"/>
        </w:rPr>
        <w:t xml:space="preserve"> </w:t>
      </w:r>
      <w:r w:rsidR="00607A97" w:rsidRPr="00431150">
        <w:rPr>
          <w:rFonts w:cs="Times New Roman"/>
          <w:lang w:val="de-DE"/>
        </w:rPr>
        <w:t>év</w:t>
      </w:r>
      <w:r w:rsidRPr="00431150">
        <w:rPr>
          <w:rFonts w:cs="Times New Roman"/>
          <w:lang w:val="de-DE"/>
        </w:rPr>
        <w:t>enként, valamint fertőzésre utaló tünetek esetén. Ha a</w:t>
      </w:r>
      <w:r w:rsidR="00826BF4">
        <w:rPr>
          <w:rFonts w:cs="Times New Roman"/>
          <w:lang w:val="de-DE"/>
        </w:rPr>
        <w:t>z</w:t>
      </w:r>
      <w:r w:rsidRPr="00431150">
        <w:rPr>
          <w:rFonts w:cs="Times New Roman"/>
          <w:lang w:val="de-DE"/>
        </w:rPr>
        <w:t xml:space="preserve"> </w:t>
      </w:r>
      <w:r w:rsidR="00826BF4" w:rsidRPr="00431150">
        <w:rPr>
          <w:rFonts w:cs="Times New Roman"/>
          <w:lang w:val="de-DE"/>
        </w:rPr>
        <w:t>abszolút lymphocyta-szám megerősítés</w:t>
      </w:r>
      <w:r w:rsidR="00826BF4">
        <w:rPr>
          <w:rFonts w:cs="Times New Roman"/>
          <w:lang w:val="de-DE"/>
        </w:rPr>
        <w:t xml:space="preserve"> után is </w:t>
      </w:r>
      <w:r w:rsidRPr="00431150">
        <w:rPr>
          <w:rFonts w:cs="Times New Roman"/>
          <w:lang w:val="de-DE"/>
        </w:rPr>
        <w:t>0,2×10</w:t>
      </w:r>
      <w:r w:rsidRPr="00431150">
        <w:rPr>
          <w:rFonts w:cs="Times New Roman"/>
          <w:vertAlign w:val="superscript"/>
          <w:lang w:val="de-DE"/>
        </w:rPr>
        <w:t>9</w:t>
      </w:r>
      <w:r w:rsidRPr="00431150">
        <w:rPr>
          <w:rFonts w:cs="Times New Roman"/>
          <w:lang w:val="de-DE"/>
        </w:rPr>
        <w:t xml:space="preserve">/l alatti, akkor annak normalizálódásáig a kezelést meg kell szakítani, mert a klinikai vizsgálatok alatt az olyan betegeknél, akiknél az abszolút </w:t>
      </w:r>
      <w:r w:rsidRPr="00937194">
        <w:rPr>
          <w:rFonts w:cs="Times New Roman"/>
          <w:lang w:val="de-DE"/>
        </w:rPr>
        <w:t>lymphocyta-szám &lt;</w:t>
      </w:r>
      <w:r w:rsidR="00826BF4">
        <w:rPr>
          <w:rFonts w:cs="Times New Roman"/>
          <w:lang w:val="de-DE"/>
        </w:rPr>
        <w:t> </w:t>
      </w:r>
      <w:r w:rsidRPr="00431150">
        <w:rPr>
          <w:rFonts w:cs="Times New Roman"/>
          <w:lang w:val="de-DE"/>
        </w:rPr>
        <w:t>0,2×10</w:t>
      </w:r>
      <w:r w:rsidRPr="00431150">
        <w:rPr>
          <w:rFonts w:cs="Times New Roman"/>
          <w:vertAlign w:val="superscript"/>
          <w:lang w:val="de-DE"/>
        </w:rPr>
        <w:t>9</w:t>
      </w:r>
      <w:r w:rsidRPr="00431150">
        <w:rPr>
          <w:rFonts w:cs="Times New Roman"/>
          <w:lang w:val="de-DE"/>
        </w:rPr>
        <w:t>/l volt, megszakították a</w:t>
      </w:r>
      <w:r w:rsidR="009B407C" w:rsidRPr="00431150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fingolimod-kezelést.</w:t>
      </w:r>
    </w:p>
    <w:p w14:paraId="1E87D9C3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6036AFB2" w14:textId="4852E37C" w:rsidR="004C0305" w:rsidRPr="00431150" w:rsidRDefault="001F30F8" w:rsidP="00ED646C">
      <w:pPr>
        <w:pStyle w:val="Szvegtrzs"/>
        <w:ind w:left="0"/>
        <w:rPr>
          <w:lang w:val="de-DE"/>
        </w:rPr>
      </w:pPr>
      <w:r w:rsidRPr="00431150">
        <w:rPr>
          <w:rFonts w:cs="Times New Roman"/>
          <w:lang w:val="de-DE"/>
        </w:rPr>
        <w:t xml:space="preserve">A súlyos, aktív fertőzésben szenvedő betegek </w:t>
      </w:r>
      <w:r w:rsidR="00B377B0" w:rsidRPr="00431150">
        <w:rPr>
          <w:rFonts w:cs="Times New Roman"/>
          <w:lang w:val="de-DE"/>
        </w:rPr>
        <w:t>Chantico</w:t>
      </w:r>
      <w:r w:rsidRPr="00431150">
        <w:rPr>
          <w:rFonts w:cs="Times New Roman"/>
          <w:lang w:val="de-DE"/>
        </w:rPr>
        <w:t>-kezelésének elkezdését a fertőzés megszűnéséig halasztani kell.</w:t>
      </w:r>
    </w:p>
    <w:p w14:paraId="53E3A01E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5E8280FA" w14:textId="5415D062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 xml:space="preserve">A </w:t>
      </w:r>
      <w:r w:rsidR="003B2172">
        <w:rPr>
          <w:rFonts w:cs="Times New Roman"/>
          <w:lang w:val="de-DE"/>
        </w:rPr>
        <w:t xml:space="preserve">fingolimod </w:t>
      </w:r>
      <w:r w:rsidRPr="00431150">
        <w:rPr>
          <w:rFonts w:cs="Times New Roman"/>
          <w:lang w:val="de-DE"/>
        </w:rPr>
        <w:t>immunrendszeri hatásai növelhetik a fertőzések, köztük az opportunista fertőzések kockázatát (lásd 4.8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 xml:space="preserve">). Ezért a kezelés ideje alatt fertőzés tüneteit mutató betegeknél hatékony diagnosztikai és terápiás stratégiákat kell alkalmazni. </w:t>
      </w:r>
      <w:r w:rsidR="00075953">
        <w:rPr>
          <w:rFonts w:cs="Times New Roman"/>
          <w:lang w:val="de-DE"/>
        </w:rPr>
        <w:t xml:space="preserve">Az </w:t>
      </w:r>
      <w:r w:rsidRPr="00431150">
        <w:rPr>
          <w:rFonts w:cs="Times New Roman"/>
          <w:lang w:val="de-DE"/>
        </w:rPr>
        <w:t>olyan</w:t>
      </w:r>
      <w:r w:rsidR="00075953">
        <w:rPr>
          <w:rFonts w:cs="Times New Roman"/>
          <w:lang w:val="de-DE"/>
        </w:rPr>
        <w:t xml:space="preserve"> beteg vizsgálatakor, akinél olyan fertőzést feltétel</w:t>
      </w:r>
      <w:r w:rsidR="00E839E4">
        <w:rPr>
          <w:rFonts w:cs="Times New Roman"/>
          <w:lang w:val="de-DE"/>
        </w:rPr>
        <w:t>e</w:t>
      </w:r>
      <w:r w:rsidR="00075953">
        <w:rPr>
          <w:rFonts w:cs="Times New Roman"/>
          <w:lang w:val="de-DE"/>
        </w:rPr>
        <w:t>zünk</w:t>
      </w:r>
      <w:r w:rsidRPr="00431150">
        <w:rPr>
          <w:rFonts w:cs="Times New Roman"/>
          <w:lang w:val="de-DE"/>
        </w:rPr>
        <w:t>, am</w:t>
      </w:r>
      <w:r w:rsidR="00075953">
        <w:rPr>
          <w:rFonts w:cs="Times New Roman"/>
          <w:lang w:val="de-DE"/>
        </w:rPr>
        <w:t>ely</w:t>
      </w:r>
      <w:r w:rsidRPr="00431150">
        <w:rPr>
          <w:rFonts w:cs="Times New Roman"/>
          <w:lang w:val="de-DE"/>
        </w:rPr>
        <w:t xml:space="preserve"> súlyos lehet, mérlegelendő a </w:t>
      </w:r>
      <w:r w:rsidR="00075953">
        <w:rPr>
          <w:rFonts w:cs="Times New Roman"/>
          <w:lang w:val="de-DE"/>
        </w:rPr>
        <w:t xml:space="preserve">beteg </w:t>
      </w:r>
      <w:r w:rsidRPr="00431150">
        <w:rPr>
          <w:rFonts w:cs="Times New Roman"/>
          <w:lang w:val="de-DE"/>
        </w:rPr>
        <w:t xml:space="preserve">fertőzések kezelésében jártas orvoshoz </w:t>
      </w:r>
      <w:r w:rsidR="00075953">
        <w:rPr>
          <w:rFonts w:cs="Times New Roman"/>
          <w:lang w:val="de-DE"/>
        </w:rPr>
        <w:t>irányítása</w:t>
      </w:r>
      <w:r w:rsidRPr="00431150">
        <w:rPr>
          <w:rFonts w:cs="Times New Roman"/>
          <w:lang w:val="de-DE"/>
        </w:rPr>
        <w:t xml:space="preserve">. A </w:t>
      </w:r>
      <w:r w:rsidR="003B2172" w:rsidRPr="00431150">
        <w:rPr>
          <w:rFonts w:cs="Times New Roman"/>
          <w:lang w:val="de-DE"/>
        </w:rPr>
        <w:t xml:space="preserve">kezelés alatt </w:t>
      </w:r>
      <w:r w:rsidR="003B2172">
        <w:rPr>
          <w:rFonts w:cs="Times New Roman"/>
          <w:lang w:val="de-DE"/>
        </w:rPr>
        <w:t xml:space="preserve">a </w:t>
      </w:r>
      <w:r w:rsidRPr="00431150">
        <w:rPr>
          <w:rFonts w:cs="Times New Roman"/>
          <w:lang w:val="de-DE"/>
        </w:rPr>
        <w:t>betegeket arra kell utasítani, hogy azonnal jelentsék kezelőorvosuknak a fertőzések tüneteit.</w:t>
      </w:r>
    </w:p>
    <w:p w14:paraId="4F9AEE1B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05AD623F" w14:textId="055ECAC9" w:rsidR="004C0305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 xml:space="preserve">A </w:t>
      </w:r>
      <w:r w:rsidR="00B377B0" w:rsidRPr="00431150">
        <w:rPr>
          <w:rFonts w:cs="Times New Roman"/>
          <w:lang w:val="de-DE"/>
        </w:rPr>
        <w:t>Chantico</w:t>
      </w:r>
      <w:r w:rsidR="00166629" w:rsidRPr="00431150">
        <w:rPr>
          <w:rFonts w:cs="Times New Roman"/>
          <w:lang w:val="de-DE"/>
        </w:rPr>
        <w:t>-</w:t>
      </w:r>
      <w:r w:rsidR="001F7A4E" w:rsidRPr="00431150">
        <w:rPr>
          <w:rFonts w:cs="Times New Roman"/>
          <w:lang w:val="de-DE"/>
        </w:rPr>
        <w:t xml:space="preserve">kezelés </w:t>
      </w:r>
      <w:r w:rsidRPr="00431150">
        <w:rPr>
          <w:rFonts w:cs="Times New Roman"/>
          <w:lang w:val="de-DE"/>
        </w:rPr>
        <w:t>felfüggesztését kell mérlegelni, ha egy betegnél súlyos fertőzés alakul ki, és a kezelés ismételt elkezdése előtt a</w:t>
      </w:r>
      <w:r w:rsidR="00075953">
        <w:rPr>
          <w:rFonts w:cs="Times New Roman"/>
          <w:lang w:val="de-DE"/>
        </w:rPr>
        <w:t>z</w:t>
      </w:r>
      <w:r w:rsidRPr="00431150">
        <w:rPr>
          <w:rFonts w:cs="Times New Roman"/>
          <w:lang w:val="de-DE"/>
        </w:rPr>
        <w:t xml:space="preserve"> </w:t>
      </w:r>
      <w:r w:rsidR="00075953">
        <w:rPr>
          <w:rFonts w:cs="Times New Roman"/>
          <w:lang w:val="de-DE"/>
        </w:rPr>
        <w:t>előny</w:t>
      </w:r>
      <w:r w:rsidRPr="00431150">
        <w:rPr>
          <w:rFonts w:cs="Times New Roman"/>
          <w:lang w:val="de-DE"/>
        </w:rPr>
        <w:t>-kockázat arányt mérlegelni kell.</w:t>
      </w:r>
    </w:p>
    <w:p w14:paraId="20962E21" w14:textId="3C7468CD" w:rsidR="0017344B" w:rsidRDefault="0017344B" w:rsidP="00225D6A">
      <w:pPr>
        <w:pStyle w:val="Szvegtrzs"/>
        <w:ind w:left="0"/>
        <w:rPr>
          <w:rFonts w:cs="Times New Roman"/>
          <w:lang w:val="de-DE"/>
        </w:rPr>
      </w:pPr>
    </w:p>
    <w:p w14:paraId="7275D8D8" w14:textId="5D5311C4" w:rsidR="0017344B" w:rsidRDefault="0017344B" w:rsidP="0017344B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 kezelés abbahagyását követően a fingolimod eliminációja akár két hónapig is eltarthat, ezért a fertőzésekre ezalatt az időszak alatt mindvégig oda kell figyelni. A betegeket utasítani kell arra, hogy a fingolimod</w:t>
      </w:r>
      <w:r w:rsidR="00154AAE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elhagyása után még legfeljebb 2 hónapig jelentsék a fertőzésre utaló tüneteket.</w:t>
      </w:r>
    </w:p>
    <w:p w14:paraId="32F0267B" w14:textId="2C407AEE" w:rsidR="003B2172" w:rsidRDefault="003B2172" w:rsidP="0017344B">
      <w:pPr>
        <w:pStyle w:val="Szvegtrzs"/>
        <w:ind w:left="0"/>
        <w:rPr>
          <w:rFonts w:cs="Times New Roman"/>
          <w:lang w:val="de-DE"/>
        </w:rPr>
      </w:pPr>
    </w:p>
    <w:p w14:paraId="0AD78544" w14:textId="77777777" w:rsidR="003B2172" w:rsidRPr="006C526F" w:rsidRDefault="003B2172" w:rsidP="0017344B">
      <w:pPr>
        <w:pStyle w:val="Szvegtrzs"/>
        <w:ind w:left="0"/>
        <w:rPr>
          <w:i/>
          <w:iCs/>
          <w:lang w:val="de-DE"/>
        </w:rPr>
      </w:pPr>
      <w:r w:rsidRPr="006C526F">
        <w:rPr>
          <w:i/>
          <w:iCs/>
          <w:u w:val="single"/>
          <w:lang w:val="de-DE"/>
        </w:rPr>
        <w:t>Herpesvirus okozta fertőzés</w:t>
      </w:r>
      <w:r w:rsidRPr="006C526F">
        <w:rPr>
          <w:i/>
          <w:iCs/>
          <w:lang w:val="de-DE"/>
        </w:rPr>
        <w:t xml:space="preserve"> </w:t>
      </w:r>
    </w:p>
    <w:p w14:paraId="40B8B748" w14:textId="56DD68F7" w:rsidR="003B2172" w:rsidRPr="00431150" w:rsidRDefault="003B2172" w:rsidP="0017344B">
      <w:pPr>
        <w:pStyle w:val="Szvegtrzs"/>
        <w:ind w:left="0"/>
        <w:rPr>
          <w:rFonts w:cs="Times New Roman"/>
          <w:lang w:val="de-DE"/>
        </w:rPr>
      </w:pPr>
      <w:r w:rsidRPr="006C526F">
        <w:rPr>
          <w:lang w:val="de-DE"/>
        </w:rPr>
        <w:t xml:space="preserve">A fingolimod-kezelés során előfordultak herpes simplex és varicella zoster vírus okozta encephalitis, meningitis vagy meningoencephalitis súlyos, életet veszélyeztető, és néhányszor végzetes kimenetelű esetei. Ezek bármikor bekövetkezhettek a kezelés ideje alatt. Herpes okozta encephalitis, meningitis vagy meningoencephalitis esetén abba kell hagyni a </w:t>
      </w:r>
      <w:r w:rsidR="003B04F6" w:rsidRPr="00431150">
        <w:rPr>
          <w:rFonts w:cs="Times New Roman"/>
          <w:lang w:val="de-DE"/>
        </w:rPr>
        <w:t>Chantico</w:t>
      </w:r>
      <w:r w:rsidRPr="006C526F">
        <w:rPr>
          <w:lang w:val="de-DE"/>
        </w:rPr>
        <w:t xml:space="preserve"> alkalmazását és megfelelő kezelést kell adni az adott fertőzés ellen.</w:t>
      </w:r>
    </w:p>
    <w:p w14:paraId="725BEDC0" w14:textId="4BBCC7B9" w:rsidR="0017344B" w:rsidRDefault="0017344B" w:rsidP="00225D6A">
      <w:pPr>
        <w:pStyle w:val="Szvegtrzs"/>
        <w:ind w:left="0"/>
        <w:rPr>
          <w:rFonts w:cs="Times New Roman"/>
          <w:lang w:val="de-DE"/>
        </w:rPr>
      </w:pPr>
    </w:p>
    <w:p w14:paraId="50846437" w14:textId="1FEA09BA" w:rsidR="0017344B" w:rsidRPr="00431150" w:rsidRDefault="0017344B" w:rsidP="0017344B">
      <w:pPr>
        <w:pStyle w:val="Szvegtrzs"/>
        <w:ind w:left="0"/>
        <w:rPr>
          <w:rFonts w:cs="Times New Roman"/>
          <w:lang w:val="de-DE"/>
        </w:rPr>
      </w:pPr>
      <w:r w:rsidRPr="00EB3855">
        <w:rPr>
          <w:rFonts w:cs="Times New Roman"/>
          <w:lang w:val="de-DE"/>
        </w:rPr>
        <w:t>A Chantico</w:t>
      </w:r>
      <w:r w:rsidRPr="00431150">
        <w:rPr>
          <w:rFonts w:cs="Times New Roman"/>
          <w:lang w:val="de-DE"/>
        </w:rPr>
        <w:t xml:space="preserve">-kezelés megkezdése előtt értékelni kell a betegek varicella (bárányhimlő) elleni immunitását. Ajánlott, hogy a </w:t>
      </w:r>
      <w:r w:rsidR="00EB3855">
        <w:rPr>
          <w:rFonts w:cs="Times New Roman"/>
          <w:lang w:val="de-DE"/>
        </w:rPr>
        <w:t>fing</w:t>
      </w:r>
      <w:r w:rsidRPr="00431150">
        <w:rPr>
          <w:rFonts w:cs="Times New Roman"/>
          <w:lang w:val="de-DE"/>
        </w:rPr>
        <w:t>o</w:t>
      </w:r>
      <w:r w:rsidR="00EB3855">
        <w:rPr>
          <w:rFonts w:cs="Times New Roman"/>
          <w:lang w:val="de-DE"/>
        </w:rPr>
        <w:t>limod</w:t>
      </w:r>
      <w:r w:rsidRPr="00431150">
        <w:rPr>
          <w:rFonts w:cs="Times New Roman"/>
          <w:lang w:val="de-DE"/>
        </w:rPr>
        <w:t>-kezelés megkezdése előtt a kórtörténetben egészségügyi szakember által igazoltan szereplő bárányhimlő, vagy a varicella elleni vakcinával dokumentáltan megtörtént teljes oltási sorozat hiányában a betegek</w:t>
      </w:r>
      <w:r>
        <w:rPr>
          <w:rFonts w:cs="Times New Roman"/>
          <w:lang w:val="de-DE"/>
        </w:rPr>
        <w:t>nél megtörténjen a</w:t>
      </w:r>
      <w:r w:rsidRPr="00431150">
        <w:rPr>
          <w:rFonts w:cs="Times New Roman"/>
          <w:lang w:val="de-DE"/>
        </w:rPr>
        <w:t xml:space="preserve"> varicella zoster vírus (VZV) ellenes antitest</w:t>
      </w:r>
      <w:r>
        <w:rPr>
          <w:rFonts w:cs="Times New Roman"/>
          <w:lang w:val="de-DE"/>
        </w:rPr>
        <w:t>ek</w:t>
      </w:r>
      <w:r w:rsidRPr="00431150">
        <w:rPr>
          <w:rFonts w:cs="Times New Roman"/>
          <w:lang w:val="de-DE"/>
        </w:rPr>
        <w:t xml:space="preserve"> vizsgálat</w:t>
      </w:r>
      <w:r>
        <w:rPr>
          <w:rFonts w:cs="Times New Roman"/>
          <w:lang w:val="de-DE"/>
        </w:rPr>
        <w:t>a</w:t>
      </w:r>
      <w:r w:rsidRPr="00431150">
        <w:rPr>
          <w:rFonts w:cs="Times New Roman"/>
          <w:lang w:val="de-DE"/>
        </w:rPr>
        <w:t>. Antitest-negatív betegeknél a</w:t>
      </w:r>
      <w:r w:rsidR="00EB3855">
        <w:rPr>
          <w:rFonts w:cs="Times New Roman"/>
          <w:lang w:val="de-DE"/>
        </w:rPr>
        <w:t xml:space="preserve"> fingolimod</w:t>
      </w:r>
      <w:r w:rsidRPr="00431150">
        <w:rPr>
          <w:rFonts w:cs="Times New Roman"/>
          <w:lang w:val="de-DE"/>
        </w:rPr>
        <w:t xml:space="preserve">-kezelés megkezdése előtt teljes varicella oltási sorozat beadása ajánlott (lásd 4.8 pont). A </w:t>
      </w:r>
      <w:r w:rsidR="00EB3855">
        <w:rPr>
          <w:rFonts w:cs="Times New Roman"/>
          <w:lang w:val="de-DE"/>
        </w:rPr>
        <w:t>fingolimod</w:t>
      </w:r>
      <w:r w:rsidRPr="00431150">
        <w:rPr>
          <w:rFonts w:cs="Times New Roman"/>
          <w:lang w:val="de-DE"/>
        </w:rPr>
        <w:t>-kezelés megkezdését 1 hónappal el kell halasztani annak érdekében, hogy a vakcináció hatása teljes mértékben kialakuljon.</w:t>
      </w:r>
    </w:p>
    <w:p w14:paraId="2446F07B" w14:textId="77777777" w:rsidR="0017344B" w:rsidRPr="00431150" w:rsidRDefault="0017344B" w:rsidP="00225D6A">
      <w:pPr>
        <w:pStyle w:val="Szvegtrzs"/>
        <w:ind w:left="0"/>
        <w:rPr>
          <w:rFonts w:cs="Times New Roman"/>
          <w:lang w:val="de-DE"/>
        </w:rPr>
      </w:pPr>
    </w:p>
    <w:p w14:paraId="679EB598" w14:textId="1189C2B1" w:rsidR="004C0305" w:rsidRPr="006C526F" w:rsidRDefault="00EB3855" w:rsidP="00ED646C">
      <w:pPr>
        <w:pStyle w:val="Szvegtrzs"/>
        <w:ind w:left="0"/>
        <w:rPr>
          <w:i/>
          <w:iCs/>
          <w:u w:val="single"/>
          <w:lang w:val="de-DE"/>
        </w:rPr>
      </w:pPr>
      <w:r w:rsidRPr="006C526F">
        <w:rPr>
          <w:i/>
          <w:iCs/>
          <w:u w:val="single"/>
          <w:lang w:val="de-DE"/>
        </w:rPr>
        <w:t>Cryptococcus meningitis</w:t>
      </w:r>
    </w:p>
    <w:p w14:paraId="4EA97696" w14:textId="1722B8AF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 forgalomba hozatalt követően cryptococcus meningitis (egy gombás fertőzés) olykor végzetes kimenetelű eseteit jelentették, körülbelül 2-3</w:t>
      </w:r>
      <w:r w:rsidR="00607A97" w:rsidRPr="00431150">
        <w:rPr>
          <w:rFonts w:cs="Times New Roman"/>
          <w:lang w:val="de-DE"/>
        </w:rPr>
        <w:t> év</w:t>
      </w:r>
      <w:r w:rsidRPr="00431150">
        <w:rPr>
          <w:rFonts w:cs="Times New Roman"/>
          <w:lang w:val="de-DE"/>
        </w:rPr>
        <w:t>es kezelés után, jóllehet a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>os kapcsolat a kezelés időtartamával nem ismert (lásd 4.8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 xml:space="preserve">). Azoknak a betegeknek, akiknek a panaszaik és tüneteik cryptococcus meningitisre utalnak (pl. fejfájás, amit mentális változások, például zavartság, hallucinációk és/vagy személyiségváltozások kísérnek), azonnali diagnosztikus vizsgálaton kell </w:t>
      </w:r>
      <w:r w:rsidRPr="00431150">
        <w:rPr>
          <w:rFonts w:cs="Times New Roman"/>
          <w:lang w:val="de-DE"/>
        </w:rPr>
        <w:lastRenderedPageBreak/>
        <w:t>átesniük. Ha cryptococcus meningitist diagnosztizálnak, a fingolimod adását fel kell függeszteni, és megfelelő kezelést kell kezdeni. Ha a fingolimod adásának ismételt elkezdése indokolt, akkor multidiszciplináris konzíliumot (pl. infektológussal) kell kezdeményezni.</w:t>
      </w:r>
    </w:p>
    <w:p w14:paraId="563747AF" w14:textId="69FA467F" w:rsidR="001F30F8" w:rsidRDefault="001F30F8" w:rsidP="00225D6A">
      <w:pPr>
        <w:pStyle w:val="Szvegtrzs"/>
        <w:ind w:left="0"/>
        <w:rPr>
          <w:rFonts w:cs="Times New Roman"/>
          <w:lang w:val="de-DE"/>
        </w:rPr>
      </w:pPr>
    </w:p>
    <w:p w14:paraId="416F5A04" w14:textId="513AD080" w:rsidR="007B587D" w:rsidRPr="006C526F" w:rsidRDefault="007B587D" w:rsidP="00225D6A">
      <w:pPr>
        <w:pStyle w:val="Szvegtrzs"/>
        <w:ind w:left="0"/>
        <w:rPr>
          <w:i/>
          <w:iCs/>
          <w:u w:val="single"/>
          <w:lang w:val="de-DE"/>
        </w:rPr>
      </w:pPr>
      <w:r w:rsidRPr="006C526F">
        <w:rPr>
          <w:i/>
          <w:iCs/>
          <w:u w:val="single"/>
          <w:lang w:val="de-DE"/>
        </w:rPr>
        <w:t>Progresszív multifokális leukoencephalopathia</w:t>
      </w:r>
    </w:p>
    <w:p w14:paraId="21C5F3B2" w14:textId="4ECC51DE" w:rsidR="004C0305" w:rsidRDefault="001F30F8" w:rsidP="00103DAB">
      <w:pPr>
        <w:pStyle w:val="Szvegtrzs"/>
        <w:ind w:left="0"/>
        <w:rPr>
          <w:rFonts w:cs="Times New Roman"/>
          <w:lang w:val="hu-HU"/>
        </w:rPr>
      </w:pPr>
      <w:r w:rsidRPr="00431150">
        <w:rPr>
          <w:rFonts w:cs="Times New Roman"/>
          <w:lang w:val="de-DE"/>
        </w:rPr>
        <w:t xml:space="preserve">A forgalomba hozatali engedély megadása óta </w:t>
      </w:r>
      <w:r w:rsidR="00390771">
        <w:rPr>
          <w:rFonts w:cs="Times New Roman"/>
          <w:lang w:val="de-DE"/>
        </w:rPr>
        <w:t>PML</w:t>
      </w:r>
      <w:r w:rsidR="0068528F">
        <w:rPr>
          <w:rFonts w:cs="Times New Roman"/>
          <w:lang w:val="de-DE"/>
        </w:rPr>
        <w:t>-ről</w:t>
      </w:r>
      <w:r w:rsidR="00390771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 xml:space="preserve">számoltak be </w:t>
      </w:r>
      <w:r w:rsidR="007317BF" w:rsidRPr="00431150">
        <w:rPr>
          <w:rFonts w:cs="Times New Roman"/>
          <w:lang w:val="de-DE"/>
        </w:rPr>
        <w:t xml:space="preserve">a fingolimod-kezelés alatt </w:t>
      </w:r>
      <w:r w:rsidRPr="00431150">
        <w:rPr>
          <w:rFonts w:cs="Times New Roman"/>
          <w:lang w:val="de-DE"/>
        </w:rPr>
        <w:t>(lásd 4.8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>). A progresszív multifokális leukoencephalopathia egy, a John Cunningham</w:t>
      </w:r>
      <w:r w:rsidR="00390771">
        <w:rPr>
          <w:rFonts w:cs="Times New Roman"/>
          <w:lang w:val="de-DE"/>
        </w:rPr>
        <w:t>-</w:t>
      </w:r>
      <w:r w:rsidRPr="00431150">
        <w:rPr>
          <w:rFonts w:cs="Times New Roman"/>
          <w:lang w:val="de-DE"/>
        </w:rPr>
        <w:t xml:space="preserve">vírus (JCV) által okozott opportunista fertőzés, ami </w:t>
      </w:r>
      <w:r w:rsidR="007317BF">
        <w:rPr>
          <w:rFonts w:cs="Times New Roman"/>
          <w:lang w:val="de-DE"/>
        </w:rPr>
        <w:t>halálos</w:t>
      </w:r>
      <w:r w:rsidR="007317BF" w:rsidRPr="00431150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 xml:space="preserve">kimenetelű </w:t>
      </w:r>
      <w:r w:rsidR="007317BF">
        <w:rPr>
          <w:rFonts w:cs="Times New Roman"/>
          <w:lang w:val="de-DE"/>
        </w:rPr>
        <w:t xml:space="preserve">is </w:t>
      </w:r>
      <w:r w:rsidRPr="00431150">
        <w:rPr>
          <w:rFonts w:cs="Times New Roman"/>
          <w:lang w:val="de-DE"/>
        </w:rPr>
        <w:t>lehet, vagy súlyos fogyatékosságot</w:t>
      </w:r>
      <w:r w:rsidR="0068528F">
        <w:rPr>
          <w:rFonts w:cs="Times New Roman"/>
          <w:lang w:val="de-DE"/>
        </w:rPr>
        <w:t xml:space="preserve"> </w:t>
      </w:r>
      <w:r w:rsidR="007317BF">
        <w:rPr>
          <w:rFonts w:cs="Times New Roman"/>
          <w:lang w:val="de-DE"/>
        </w:rPr>
        <w:t>okozhat</w:t>
      </w:r>
      <w:r w:rsidRPr="00431150">
        <w:rPr>
          <w:rFonts w:cs="Times New Roman"/>
          <w:lang w:val="de-DE"/>
        </w:rPr>
        <w:t>.</w:t>
      </w:r>
      <w:r w:rsidR="0068528F">
        <w:rPr>
          <w:rFonts w:cs="Times New Roman"/>
          <w:lang w:val="de-DE"/>
        </w:rPr>
        <w:t xml:space="preserve"> </w:t>
      </w:r>
      <w:r w:rsidR="0068528F" w:rsidRPr="0068528F">
        <w:rPr>
          <w:rFonts w:cs="Times New Roman"/>
          <w:lang w:val="de-DE"/>
        </w:rPr>
        <w:t>A PML-esetek többsége 2 éves vagy hosszabb ideig tartó fingolimod-kezelés után</w:t>
      </w:r>
      <w:r w:rsidR="007317BF">
        <w:rPr>
          <w:rFonts w:cs="Times New Roman"/>
          <w:lang w:val="de-DE"/>
        </w:rPr>
        <w:t xml:space="preserve"> </w:t>
      </w:r>
      <w:r w:rsidR="0068528F" w:rsidRPr="0068528F">
        <w:rPr>
          <w:rFonts w:cs="Times New Roman"/>
          <w:lang w:val="de-DE"/>
        </w:rPr>
        <w:t>fordult elő. A fingolimod-expozíció időtartama mellett a PML további lehetséges rizikófaktora a</w:t>
      </w:r>
      <w:r w:rsidR="007317BF">
        <w:rPr>
          <w:rFonts w:cs="Times New Roman"/>
          <w:lang w:val="de-DE"/>
        </w:rPr>
        <w:t xml:space="preserve"> </w:t>
      </w:r>
      <w:r w:rsidR="0068528F" w:rsidRPr="0068528F">
        <w:rPr>
          <w:rFonts w:cs="Times New Roman"/>
          <w:lang w:val="de-DE"/>
        </w:rPr>
        <w:t>korábbi immunszupresszáns vagy immunmodulá</w:t>
      </w:r>
      <w:r w:rsidR="007317BF">
        <w:rPr>
          <w:rFonts w:cs="Times New Roman"/>
          <w:lang w:val="de-DE"/>
        </w:rPr>
        <w:t xml:space="preserve">ns </w:t>
      </w:r>
      <w:r w:rsidR="0068528F" w:rsidRPr="0068528F">
        <w:rPr>
          <w:rFonts w:cs="Times New Roman"/>
          <w:lang w:val="de-DE"/>
        </w:rPr>
        <w:t>terápia, és/vagy a súlyos intenzitású lymphopenia</w:t>
      </w:r>
      <w:r w:rsidR="007317BF">
        <w:rPr>
          <w:rFonts w:cs="Times New Roman"/>
          <w:lang w:val="de-DE"/>
        </w:rPr>
        <w:t xml:space="preserve"> </w:t>
      </w:r>
      <w:r w:rsidR="0068528F" w:rsidRPr="0068528F">
        <w:rPr>
          <w:rFonts w:cs="Times New Roman"/>
          <w:lang w:val="de-DE"/>
        </w:rPr>
        <w:t>(&lt;0,5</w:t>
      </w:r>
      <w:r w:rsidR="007317BF">
        <w:rPr>
          <w:rFonts w:cs="Times New Roman"/>
          <w:lang w:val="de-DE"/>
        </w:rPr>
        <w:t> </w:t>
      </w:r>
      <w:r w:rsidR="0068528F" w:rsidRPr="0068528F">
        <w:rPr>
          <w:rFonts w:cs="Times New Roman"/>
          <w:lang w:val="de-DE"/>
        </w:rPr>
        <w:t>×</w:t>
      </w:r>
      <w:r w:rsidR="007317BF">
        <w:rPr>
          <w:rFonts w:cs="Times New Roman"/>
          <w:lang w:val="de-DE"/>
        </w:rPr>
        <w:t> </w:t>
      </w:r>
      <w:r w:rsidR="0068528F" w:rsidRPr="0068528F">
        <w:rPr>
          <w:rFonts w:cs="Times New Roman"/>
          <w:lang w:val="de-DE"/>
        </w:rPr>
        <w:t>10</w:t>
      </w:r>
      <w:r w:rsidR="0068528F" w:rsidRPr="00046133">
        <w:rPr>
          <w:rFonts w:cs="Times New Roman"/>
          <w:vertAlign w:val="superscript"/>
          <w:lang w:val="de-DE"/>
        </w:rPr>
        <w:t>9</w:t>
      </w:r>
      <w:r w:rsidR="0068528F" w:rsidRPr="0068528F">
        <w:rPr>
          <w:rFonts w:cs="Times New Roman"/>
          <w:lang w:val="de-DE"/>
        </w:rPr>
        <w:t>/l). A nagyobb kockázat</w:t>
      </w:r>
      <w:r w:rsidR="007317BF">
        <w:rPr>
          <w:rFonts w:cs="Times New Roman"/>
          <w:lang w:val="de-DE"/>
        </w:rPr>
        <w:t>ú</w:t>
      </w:r>
      <w:r w:rsidR="0068528F" w:rsidRPr="0068528F">
        <w:rPr>
          <w:rFonts w:cs="Times New Roman"/>
          <w:lang w:val="de-DE"/>
        </w:rPr>
        <w:t xml:space="preserve"> betegeknél a PML jeleire vagy tüneteire irányuló, szoros</w:t>
      </w:r>
      <w:r w:rsidR="007317BF">
        <w:rPr>
          <w:rFonts w:cs="Times New Roman"/>
          <w:lang w:val="de-DE"/>
        </w:rPr>
        <w:t xml:space="preserve"> </w:t>
      </w:r>
      <w:r w:rsidR="0068528F" w:rsidRPr="0068528F">
        <w:rPr>
          <w:rFonts w:cs="Times New Roman"/>
          <w:lang w:val="de-DE"/>
        </w:rPr>
        <w:t>monitorozást kell végezni.</w:t>
      </w:r>
      <w:r w:rsidRPr="00431150">
        <w:rPr>
          <w:rFonts w:cs="Times New Roman"/>
          <w:lang w:val="de-DE"/>
        </w:rPr>
        <w:t xml:space="preserve"> </w:t>
      </w:r>
      <w:r w:rsidRPr="00C22736">
        <w:rPr>
          <w:rFonts w:cs="Times New Roman"/>
          <w:lang w:val="de-DE"/>
        </w:rPr>
        <w:t xml:space="preserve">A progresszív multifokális leukoencephalopathia csak JCV-fertőzés jelenlétében fordul elő. Ha JCV-vizsgálatot végeznek, </w:t>
      </w:r>
      <w:r w:rsidR="007317BF">
        <w:t>figyelembe kell venni</w:t>
      </w:r>
      <w:r w:rsidR="007317BF" w:rsidRPr="00471A4F">
        <w:t>, hogy fingolimoddal kezelt betegeknél nem vizsgálták</w:t>
      </w:r>
      <w:r w:rsidRPr="00C22736">
        <w:rPr>
          <w:rFonts w:cs="Times New Roman"/>
          <w:lang w:val="de-DE"/>
        </w:rPr>
        <w:t xml:space="preserve"> a lymphopenia hatását a JCV-ellenes antitest vizsgálat</w:t>
      </w:r>
      <w:r w:rsidR="00B377B0" w:rsidRPr="00C22736">
        <w:rPr>
          <w:rFonts w:cs="Times New Roman"/>
          <w:lang w:val="de-DE"/>
        </w:rPr>
        <w:t> pont</w:t>
      </w:r>
      <w:r w:rsidRPr="00C22736">
        <w:rPr>
          <w:rFonts w:cs="Times New Roman"/>
          <w:lang w:val="de-DE"/>
        </w:rPr>
        <w:t xml:space="preserve">osságára. </w:t>
      </w:r>
      <w:r w:rsidR="0068528F" w:rsidRPr="00C22736">
        <w:rPr>
          <w:rFonts w:cs="Times New Roman"/>
          <w:lang w:val="de-DE"/>
        </w:rPr>
        <w:t>A</w:t>
      </w:r>
      <w:r w:rsidRPr="00C22736">
        <w:rPr>
          <w:rFonts w:cs="Times New Roman"/>
          <w:lang w:val="de-DE"/>
        </w:rPr>
        <w:t xml:space="preserve"> negatív JCV</w:t>
      </w:r>
      <w:r w:rsidRPr="00431150">
        <w:rPr>
          <w:rFonts w:cs="Times New Roman"/>
          <w:lang w:val="de-DE"/>
        </w:rPr>
        <w:t>-ellenes antitest</w:t>
      </w:r>
      <w:r w:rsidR="007317BF">
        <w:rPr>
          <w:rFonts w:cs="Times New Roman"/>
          <w:lang w:val="de-DE"/>
        </w:rPr>
        <w:t>-</w:t>
      </w:r>
      <w:r w:rsidRPr="00431150">
        <w:rPr>
          <w:rFonts w:cs="Times New Roman"/>
          <w:lang w:val="de-DE"/>
        </w:rPr>
        <w:t>vizsgálat nem zárja ki egy későbbi JCV-fertőzés lehetőségét. A fingolimod-kezelés elkezdése előtt referenciaként egy kiindulási MR</w:t>
      </w:r>
      <w:r w:rsidR="00390771">
        <w:rPr>
          <w:rFonts w:cs="Times New Roman"/>
          <w:lang w:val="de-DE"/>
        </w:rPr>
        <w:t>-lelet</w:t>
      </w:r>
      <w:r w:rsidRPr="00431150">
        <w:rPr>
          <w:rFonts w:cs="Times New Roman"/>
          <w:lang w:val="de-DE"/>
        </w:rPr>
        <w:t xml:space="preserve"> kell</w:t>
      </w:r>
      <w:r w:rsidR="007317BF">
        <w:rPr>
          <w:rFonts w:cs="Times New Roman"/>
          <w:lang w:val="de-DE"/>
        </w:rPr>
        <w:t>,</w:t>
      </w:r>
      <w:r w:rsidRPr="00431150">
        <w:rPr>
          <w:rFonts w:cs="Times New Roman"/>
          <w:lang w:val="de-DE"/>
        </w:rPr>
        <w:t xml:space="preserve"> hogy rendelkezésre álljon (rendszerint 3</w:t>
      </w:r>
      <w:r w:rsidR="00607A97" w:rsidRPr="00431150">
        <w:rPr>
          <w:rFonts w:cs="Times New Roman"/>
          <w:lang w:val="de-DE"/>
        </w:rPr>
        <w:t> hónap</w:t>
      </w:r>
      <w:r w:rsidRPr="00431150">
        <w:rPr>
          <w:rFonts w:cs="Times New Roman"/>
          <w:lang w:val="de-DE"/>
        </w:rPr>
        <w:t>nál nem régebbi). A rutinszerűen végzett MR</w:t>
      </w:r>
      <w:r w:rsidR="00390771">
        <w:rPr>
          <w:rFonts w:cs="Times New Roman"/>
          <w:lang w:val="de-DE"/>
        </w:rPr>
        <w:t>-vizsgálat</w:t>
      </w:r>
      <w:r w:rsidRPr="00431150">
        <w:rPr>
          <w:rFonts w:cs="Times New Roman"/>
          <w:lang w:val="de-DE"/>
        </w:rPr>
        <w:t xml:space="preserve"> alkalmával (a nemzeti és helyi ajánlásoknak megfelelően) az orvosoknak figyelniük kell a PML-re utaló léziókra. </w:t>
      </w:r>
      <w:r w:rsidR="00103DAB" w:rsidRPr="00431150">
        <w:rPr>
          <w:rFonts w:cs="Times New Roman"/>
          <w:lang w:val="de-DE"/>
        </w:rPr>
        <w:t xml:space="preserve">Lehetséges, hogy MR-vizsgálattal már a klinikai jelek vagy tünetek előtt észlelhető az állapot kialakulása. </w:t>
      </w:r>
      <w:r w:rsidR="007317BF">
        <w:t xml:space="preserve">Különösen </w:t>
      </w:r>
      <w:proofErr w:type="gramStart"/>
      <w:r w:rsidR="007317BF">
        <w:rPr>
          <w:rFonts w:cs="Times New Roman"/>
          <w:lang w:val="de-DE"/>
        </w:rPr>
        <w:t>a</w:t>
      </w:r>
      <w:r w:rsidRPr="00431150">
        <w:rPr>
          <w:rFonts w:cs="Times New Roman"/>
          <w:lang w:val="de-DE"/>
        </w:rPr>
        <w:t>z</w:t>
      </w:r>
      <w:proofErr w:type="gramEnd"/>
      <w:r w:rsidRPr="00431150">
        <w:rPr>
          <w:rFonts w:cs="Times New Roman"/>
          <w:lang w:val="de-DE"/>
        </w:rPr>
        <w:t xml:space="preserve"> olyan betegeknél, akiknél a PML kockázat</w:t>
      </w:r>
      <w:r w:rsidR="00103DAB">
        <w:rPr>
          <w:rFonts w:cs="Times New Roman"/>
          <w:lang w:val="de-DE"/>
        </w:rPr>
        <w:t>a</w:t>
      </w:r>
      <w:r w:rsidRPr="00431150">
        <w:rPr>
          <w:rFonts w:cs="Times New Roman"/>
          <w:lang w:val="de-DE"/>
        </w:rPr>
        <w:t xml:space="preserve"> emelkedett, az </w:t>
      </w:r>
      <w:r w:rsidR="00103DAB">
        <w:rPr>
          <w:rFonts w:cs="Times New Roman"/>
          <w:lang w:val="de-DE"/>
        </w:rPr>
        <w:t xml:space="preserve">éves </w:t>
      </w:r>
      <w:r w:rsidRPr="00431150">
        <w:rPr>
          <w:rFonts w:cs="Times New Roman"/>
          <w:lang w:val="de-DE"/>
        </w:rPr>
        <w:t>MR-</w:t>
      </w:r>
      <w:r w:rsidR="00390771">
        <w:rPr>
          <w:rFonts w:cs="Times New Roman"/>
          <w:lang w:val="de-DE"/>
        </w:rPr>
        <w:t>vizsgálat</w:t>
      </w:r>
      <w:r w:rsidRPr="00431150">
        <w:rPr>
          <w:rFonts w:cs="Times New Roman"/>
          <w:lang w:val="de-DE"/>
        </w:rPr>
        <w:t xml:space="preserve"> a fokozott </w:t>
      </w:r>
      <w:r w:rsidR="007317BF">
        <w:t>monitorozás részének tekinthető</w:t>
      </w:r>
      <w:r w:rsidRPr="00431150">
        <w:rPr>
          <w:rFonts w:cs="Times New Roman"/>
          <w:lang w:val="de-DE"/>
        </w:rPr>
        <w:t xml:space="preserve">. </w:t>
      </w:r>
      <w:r w:rsidR="00A86515" w:rsidRPr="00431150">
        <w:rPr>
          <w:rFonts w:cs="Times New Roman"/>
          <w:lang w:val="de-DE"/>
        </w:rPr>
        <w:t>F</w:t>
      </w:r>
      <w:r w:rsidRPr="00431150">
        <w:rPr>
          <w:rFonts w:cs="Times New Roman"/>
          <w:lang w:val="de-DE"/>
        </w:rPr>
        <w:t xml:space="preserve">ingolimoddal kezelt betegeknél MR-vizsgálati eredmények és JCV DNS-re pozitív cerebrospinalis folyadék alapján </w:t>
      </w:r>
      <w:r w:rsidR="007317BF">
        <w:rPr>
          <w:rFonts w:cs="Times New Roman"/>
          <w:lang w:val="de-DE"/>
        </w:rPr>
        <w:t xml:space="preserve">beszámoltak </w:t>
      </w:r>
      <w:r w:rsidRPr="00431150">
        <w:rPr>
          <w:rFonts w:cs="Times New Roman"/>
          <w:lang w:val="de-DE"/>
        </w:rPr>
        <w:t xml:space="preserve">tünetmentes PML eseteiről </w:t>
      </w:r>
      <w:r w:rsidR="007317BF">
        <w:rPr>
          <w:rFonts w:cs="Times New Roman"/>
          <w:lang w:val="de-DE"/>
        </w:rPr>
        <w:t>is</w:t>
      </w:r>
      <w:r w:rsidRPr="00431150">
        <w:rPr>
          <w:rFonts w:cs="Times New Roman"/>
          <w:lang w:val="de-DE"/>
        </w:rPr>
        <w:t>. Ha progresszív multifokális leukoencephalopathiára van gyanú, az MR-</w:t>
      </w:r>
      <w:r w:rsidR="00390771">
        <w:rPr>
          <w:rFonts w:cs="Times New Roman"/>
          <w:lang w:val="de-DE"/>
        </w:rPr>
        <w:t>vizsgálato</w:t>
      </w:r>
      <w:r w:rsidRPr="00431150">
        <w:rPr>
          <w:rFonts w:cs="Times New Roman"/>
          <w:lang w:val="de-DE"/>
        </w:rPr>
        <w:t>t diagnosztikus célból azonnal el kell végezni, és a fingolimod-kezelést a PML kizárásáig fel kell függeszteni.</w:t>
      </w:r>
      <w:r w:rsidR="00103DAB">
        <w:rPr>
          <w:rFonts w:cs="Times New Roman"/>
          <w:lang w:val="de-DE"/>
        </w:rPr>
        <w:t xml:space="preserve"> </w:t>
      </w:r>
      <w:r w:rsidR="00103DAB" w:rsidRPr="00103DAB">
        <w:rPr>
          <w:rFonts w:cs="Times New Roman"/>
          <w:lang w:val="hu-HU"/>
        </w:rPr>
        <w:t>Amennyiben PML igazolódik, a fingolimod-kezelést végleg abba kell hagyni (lásd még</w:t>
      </w:r>
      <w:r w:rsidR="00103DAB">
        <w:rPr>
          <w:rFonts w:cs="Times New Roman"/>
          <w:lang w:val="hu-HU"/>
        </w:rPr>
        <w:t xml:space="preserve"> </w:t>
      </w:r>
      <w:r w:rsidR="00103DAB" w:rsidRPr="00103DAB">
        <w:rPr>
          <w:rFonts w:cs="Times New Roman"/>
          <w:lang w:val="hu-HU"/>
        </w:rPr>
        <w:t>4.3 pont).</w:t>
      </w:r>
    </w:p>
    <w:p w14:paraId="34A22630" w14:textId="77777777" w:rsidR="00103DAB" w:rsidRDefault="00103DAB" w:rsidP="00103DAB">
      <w:pPr>
        <w:pStyle w:val="Szvegtrzs"/>
        <w:ind w:left="0"/>
        <w:rPr>
          <w:rFonts w:cs="Times New Roman"/>
          <w:lang w:val="hu-HU"/>
        </w:rPr>
      </w:pPr>
    </w:p>
    <w:p w14:paraId="24FA4BEE" w14:textId="71CF3F32" w:rsidR="00103DAB" w:rsidRPr="00046133" w:rsidRDefault="00103DAB" w:rsidP="00103DAB">
      <w:pPr>
        <w:pStyle w:val="Szvegtrzs"/>
        <w:ind w:left="0"/>
        <w:rPr>
          <w:rFonts w:cs="Times New Roman"/>
          <w:lang w:val="hu-HU"/>
        </w:rPr>
      </w:pPr>
      <w:r w:rsidRPr="00103DAB">
        <w:rPr>
          <w:rFonts w:cs="Times New Roman"/>
          <w:lang w:val="hu-HU"/>
        </w:rPr>
        <w:t xml:space="preserve">Immunrekonstitúciós gyulladásos </w:t>
      </w:r>
      <w:proofErr w:type="gramStart"/>
      <w:r w:rsidRPr="00103DAB">
        <w:rPr>
          <w:rFonts w:cs="Times New Roman"/>
          <w:lang w:val="hu-HU"/>
        </w:rPr>
        <w:t>szindrómáról</w:t>
      </w:r>
      <w:proofErr w:type="gramEnd"/>
      <w:r w:rsidRPr="00103DAB">
        <w:rPr>
          <w:rFonts w:cs="Times New Roman"/>
          <w:lang w:val="hu-HU"/>
        </w:rPr>
        <w:t xml:space="preserve"> (immune reconstitution inflammatory syndrome, IRIS)</w:t>
      </w:r>
      <w:r w:rsidR="0091096B">
        <w:rPr>
          <w:rFonts w:cs="Times New Roman"/>
          <w:lang w:val="hu-HU"/>
        </w:rPr>
        <w:t xml:space="preserve"> </w:t>
      </w:r>
      <w:r w:rsidRPr="00046133">
        <w:rPr>
          <w:rFonts w:cs="Times New Roman"/>
          <w:lang w:val="de-DE"/>
        </w:rPr>
        <w:t xml:space="preserve">számoltak be szfingozin 1-foszfát (S1P)-receptor-modulátor hatóanyagokkal </w:t>
      </w:r>
      <w:r w:rsidRPr="00046133">
        <w:rPr>
          <w:rFonts w:cs="Times New Roman" w:hint="eastAsia"/>
          <w:lang w:val="de-DE"/>
        </w:rPr>
        <w:t>–</w:t>
      </w:r>
      <w:r w:rsidRPr="00046133">
        <w:rPr>
          <w:rFonts w:cs="Times New Roman"/>
          <w:lang w:val="de-DE"/>
        </w:rPr>
        <w:t xml:space="preserve"> a fingolimodot is</w:t>
      </w:r>
      <w:r w:rsidR="0091096B">
        <w:rPr>
          <w:rFonts w:cs="Times New Roman"/>
          <w:lang w:val="de-DE"/>
        </w:rPr>
        <w:t xml:space="preserve"> </w:t>
      </w:r>
      <w:r w:rsidRPr="00046133">
        <w:rPr>
          <w:rFonts w:cs="Times New Roman"/>
          <w:lang w:val="de-DE"/>
        </w:rPr>
        <w:t xml:space="preserve">beleértve </w:t>
      </w:r>
      <w:r w:rsidRPr="00046133">
        <w:rPr>
          <w:rFonts w:cs="Times New Roman" w:hint="eastAsia"/>
          <w:lang w:val="de-DE"/>
        </w:rPr>
        <w:t>–</w:t>
      </w:r>
      <w:r w:rsidRPr="00046133">
        <w:rPr>
          <w:rFonts w:cs="Times New Roman"/>
          <w:lang w:val="de-DE"/>
        </w:rPr>
        <w:t xml:space="preserve"> kezelt betegekn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l, akikn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l PML alakult ki, ezt k</w:t>
      </w:r>
      <w:r w:rsidRPr="00046133">
        <w:rPr>
          <w:rFonts w:cs="Times New Roman" w:hint="eastAsia"/>
          <w:lang w:val="de-DE"/>
        </w:rPr>
        <w:t>ö</w:t>
      </w:r>
      <w:r w:rsidRPr="00046133">
        <w:rPr>
          <w:rFonts w:cs="Times New Roman"/>
          <w:lang w:val="de-DE"/>
        </w:rPr>
        <w:t>vet</w:t>
      </w:r>
      <w:r w:rsidRPr="00046133">
        <w:rPr>
          <w:rFonts w:cs="Times New Roman" w:hint="eastAsia"/>
          <w:lang w:val="de-DE"/>
        </w:rPr>
        <w:t>ő</w:t>
      </w:r>
      <w:r w:rsidRPr="00046133">
        <w:rPr>
          <w:rFonts w:cs="Times New Roman"/>
          <w:lang w:val="de-DE"/>
        </w:rPr>
        <w:t>en pedig abbahagyt</w:t>
      </w:r>
      <w:r w:rsidRPr="00046133">
        <w:rPr>
          <w:rFonts w:cs="Times New Roman" w:hint="eastAsia"/>
          <w:lang w:val="de-DE"/>
        </w:rPr>
        <w:t>á</w:t>
      </w:r>
      <w:r w:rsidRPr="00046133">
        <w:rPr>
          <w:rFonts w:cs="Times New Roman"/>
          <w:lang w:val="de-DE"/>
        </w:rPr>
        <w:t>k a kezel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st. Az</w:t>
      </w:r>
      <w:r w:rsidR="0091096B">
        <w:rPr>
          <w:rFonts w:cs="Times New Roman"/>
          <w:lang w:val="de-DE"/>
        </w:rPr>
        <w:t xml:space="preserve"> </w:t>
      </w:r>
      <w:r w:rsidRPr="00046133">
        <w:rPr>
          <w:rFonts w:cs="Times New Roman"/>
          <w:lang w:val="de-DE"/>
        </w:rPr>
        <w:t>IRIS a beteg állapotának klinikai romlásában manifesztálódik. Ez a klinikaiállapot-romlás gyorsan</w:t>
      </w:r>
      <w:r w:rsidR="0091096B">
        <w:rPr>
          <w:rFonts w:cs="Times New Roman"/>
          <w:lang w:val="de-DE"/>
        </w:rPr>
        <w:t xml:space="preserve"> </w:t>
      </w:r>
      <w:r w:rsidRPr="00046133">
        <w:rPr>
          <w:rFonts w:cs="Times New Roman"/>
          <w:lang w:val="de-DE"/>
        </w:rPr>
        <w:t>v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gbemehet, s</w:t>
      </w:r>
      <w:r w:rsidRPr="00046133">
        <w:rPr>
          <w:rFonts w:cs="Times New Roman" w:hint="eastAsia"/>
          <w:lang w:val="de-DE"/>
        </w:rPr>
        <w:t>ú</w:t>
      </w:r>
      <w:r w:rsidRPr="00046133">
        <w:rPr>
          <w:rFonts w:cs="Times New Roman"/>
          <w:lang w:val="de-DE"/>
        </w:rPr>
        <w:t>lyos neurol</w:t>
      </w:r>
      <w:r w:rsidRPr="00046133">
        <w:rPr>
          <w:rFonts w:cs="Times New Roman" w:hint="eastAsia"/>
          <w:lang w:val="de-DE"/>
        </w:rPr>
        <w:t>ó</w:t>
      </w:r>
      <w:r w:rsidRPr="00046133">
        <w:rPr>
          <w:rFonts w:cs="Times New Roman"/>
          <w:lang w:val="de-DE"/>
        </w:rPr>
        <w:t>giai sz</w:t>
      </w:r>
      <w:r w:rsidRPr="00046133">
        <w:rPr>
          <w:rFonts w:cs="Times New Roman" w:hint="eastAsia"/>
          <w:lang w:val="de-DE"/>
        </w:rPr>
        <w:t>ö</w:t>
      </w:r>
      <w:r w:rsidRPr="00046133">
        <w:rPr>
          <w:rFonts w:cs="Times New Roman"/>
          <w:lang w:val="de-DE"/>
        </w:rPr>
        <w:t>v</w:t>
      </w:r>
      <w:r w:rsidRPr="00046133">
        <w:rPr>
          <w:rFonts w:cs="Times New Roman" w:hint="eastAsia"/>
          <w:lang w:val="de-DE"/>
        </w:rPr>
        <w:t>ő</w:t>
      </w:r>
      <w:r w:rsidRPr="00046133">
        <w:rPr>
          <w:rFonts w:cs="Times New Roman"/>
          <w:lang w:val="de-DE"/>
        </w:rPr>
        <w:t>dm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nyekhez vagy hal</w:t>
      </w:r>
      <w:r w:rsidRPr="00046133">
        <w:rPr>
          <w:rFonts w:cs="Times New Roman" w:hint="eastAsia"/>
          <w:lang w:val="de-DE"/>
        </w:rPr>
        <w:t>á</w:t>
      </w:r>
      <w:r w:rsidRPr="00046133">
        <w:rPr>
          <w:rFonts w:cs="Times New Roman"/>
          <w:lang w:val="de-DE"/>
        </w:rPr>
        <w:t>lhoz vezethet, valamint gyakran t</w:t>
      </w:r>
      <w:r w:rsidRPr="00046133">
        <w:rPr>
          <w:rFonts w:cs="Times New Roman" w:hint="eastAsia"/>
          <w:lang w:val="de-DE"/>
        </w:rPr>
        <w:t>á</w:t>
      </w:r>
      <w:r w:rsidRPr="00046133">
        <w:rPr>
          <w:rFonts w:cs="Times New Roman"/>
          <w:lang w:val="de-DE"/>
        </w:rPr>
        <w:t>rsul</w:t>
      </w:r>
      <w:r w:rsidR="0091096B">
        <w:rPr>
          <w:rFonts w:cs="Times New Roman"/>
          <w:lang w:val="de-DE"/>
        </w:rPr>
        <w:t xml:space="preserve"> </w:t>
      </w:r>
      <w:r w:rsidRPr="00046133">
        <w:rPr>
          <w:rFonts w:cs="Times New Roman"/>
          <w:lang w:val="de-DE"/>
        </w:rPr>
        <w:t>MR-vizsgálattal kimutatható, jellegzetes elváltozásokkal. A PML-ben szenved</w:t>
      </w:r>
      <w:r w:rsidRPr="00046133">
        <w:rPr>
          <w:rFonts w:cs="Times New Roman" w:hint="eastAsia"/>
          <w:lang w:val="de-DE"/>
        </w:rPr>
        <w:t>ő</w:t>
      </w:r>
      <w:r w:rsidRPr="00046133">
        <w:rPr>
          <w:rFonts w:cs="Times New Roman"/>
          <w:lang w:val="de-DE"/>
        </w:rPr>
        <w:t xml:space="preserve"> betegeknél az IRIS</w:t>
      </w:r>
      <w:r w:rsidR="0091096B">
        <w:rPr>
          <w:rFonts w:cs="Times New Roman"/>
          <w:lang w:val="de-DE"/>
        </w:rPr>
        <w:t xml:space="preserve"> </w:t>
      </w:r>
      <w:r w:rsidRPr="00046133">
        <w:rPr>
          <w:rFonts w:cs="Times New Roman"/>
          <w:lang w:val="de-DE"/>
        </w:rPr>
        <w:t>rendszerint néhány héttel vagy hónappal az S1P-receptor-modulátor alkalmazásának abbahagyása után</w:t>
      </w:r>
      <w:r w:rsidR="0091096B">
        <w:rPr>
          <w:rFonts w:cs="Times New Roman"/>
          <w:lang w:val="de-DE"/>
        </w:rPr>
        <w:t xml:space="preserve"> </w:t>
      </w:r>
      <w:r w:rsidRPr="00046133">
        <w:rPr>
          <w:rFonts w:cs="Times New Roman"/>
          <w:lang w:val="de-DE"/>
        </w:rPr>
        <w:t>alakult ki. A betegeket monitorozni kell az IRIS kialakulásá</w:t>
      </w:r>
      <w:r w:rsidR="0091096B">
        <w:rPr>
          <w:rFonts w:cs="Times New Roman"/>
          <w:lang w:val="de-DE"/>
        </w:rPr>
        <w:t>n</w:t>
      </w:r>
      <w:r w:rsidRPr="00046133">
        <w:rPr>
          <w:rFonts w:cs="Times New Roman"/>
          <w:lang w:val="de-DE"/>
        </w:rPr>
        <w:t>a</w:t>
      </w:r>
      <w:r w:rsidR="0091096B">
        <w:rPr>
          <w:rFonts w:cs="Times New Roman"/>
          <w:lang w:val="de-DE"/>
        </w:rPr>
        <w:t>k</w:t>
      </w:r>
      <w:r w:rsidRPr="00046133">
        <w:rPr>
          <w:rFonts w:cs="Times New Roman"/>
          <w:lang w:val="de-DE"/>
        </w:rPr>
        <w:t xml:space="preserve"> </w:t>
      </w:r>
      <w:r w:rsidR="0091096B">
        <w:rPr>
          <w:rFonts w:cs="Times New Roman"/>
          <w:lang w:val="de-DE"/>
        </w:rPr>
        <w:t>észlelése érdekében</w:t>
      </w:r>
      <w:r w:rsidRPr="00046133">
        <w:rPr>
          <w:rFonts w:cs="Times New Roman"/>
          <w:lang w:val="de-DE"/>
        </w:rPr>
        <w:t xml:space="preserve">, 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s megfelel</w:t>
      </w:r>
      <w:r w:rsidRPr="00046133">
        <w:rPr>
          <w:rFonts w:cs="Times New Roman" w:hint="eastAsia"/>
          <w:lang w:val="de-DE"/>
        </w:rPr>
        <w:t>ő</w:t>
      </w:r>
      <w:r w:rsidRPr="00046133">
        <w:rPr>
          <w:rFonts w:cs="Times New Roman"/>
          <w:lang w:val="de-DE"/>
        </w:rPr>
        <w:t xml:space="preserve"> kezel</w:t>
      </w:r>
      <w:r w:rsidRPr="00046133">
        <w:rPr>
          <w:rFonts w:cs="Times New Roman" w:hint="eastAsia"/>
          <w:lang w:val="de-DE"/>
        </w:rPr>
        <w:t>é</w:t>
      </w:r>
      <w:r w:rsidRPr="00046133">
        <w:rPr>
          <w:rFonts w:cs="Times New Roman"/>
          <w:lang w:val="de-DE"/>
        </w:rPr>
        <w:t>st kell</w:t>
      </w:r>
      <w:r w:rsidR="0091096B">
        <w:rPr>
          <w:rFonts w:cs="Times New Roman"/>
          <w:lang w:val="hu-HU"/>
        </w:rPr>
        <w:t xml:space="preserve"> </w:t>
      </w:r>
      <w:r w:rsidRPr="00103DAB">
        <w:rPr>
          <w:rFonts w:cs="Times New Roman"/>
          <w:lang w:val="hu-HU"/>
        </w:rPr>
        <w:t>alkalmazni az azzal járó gyulladás ellen.</w:t>
      </w:r>
    </w:p>
    <w:p w14:paraId="4222B574" w14:textId="121E3194" w:rsidR="004C0305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B60B476" w14:textId="21B8AB1D" w:rsidR="007B587D" w:rsidRPr="006C526F" w:rsidRDefault="007B587D" w:rsidP="00225D6A">
      <w:pPr>
        <w:rPr>
          <w:rFonts w:ascii="Times New Roman" w:eastAsia="Times New Roman" w:hAnsi="Times New Roman"/>
          <w:i/>
          <w:iCs/>
          <w:u w:val="single"/>
          <w:lang w:val="de-DE"/>
        </w:rPr>
      </w:pPr>
      <w:r w:rsidRPr="006C526F">
        <w:rPr>
          <w:rFonts w:ascii="Times New Roman" w:eastAsia="Times New Roman" w:hAnsi="Times New Roman"/>
          <w:i/>
          <w:iCs/>
          <w:u w:val="single"/>
          <w:lang w:val="de-DE"/>
        </w:rPr>
        <w:t>Humán papillomavírus fertőzés</w:t>
      </w:r>
    </w:p>
    <w:p w14:paraId="4897E90C" w14:textId="457A0505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 forgalomba hozatalt követően a fingolimod-kezeléssel összefüggésben humán papillomavírus (HPV) fertőzésről, ezen belül papilloma, dysplasia, szemölcsök és HPV-vel összefüggő rák kialakulásáról számoltak be</w:t>
      </w:r>
      <w:r w:rsidR="007B587D">
        <w:rPr>
          <w:rFonts w:cs="Times New Roman"/>
          <w:lang w:val="de-DE"/>
        </w:rPr>
        <w:t xml:space="preserve"> (lásd 4.8 pont)</w:t>
      </w:r>
      <w:r w:rsidRPr="00431150">
        <w:rPr>
          <w:rFonts w:cs="Times New Roman"/>
          <w:lang w:val="de-DE"/>
        </w:rPr>
        <w:t>. A fingolimod immunszuppresszív tulajdonságai miatt mérlegelni kell a HPV elleni oltás beadását a fingolimod-kezelés megkezdése előtt, az oltással kapcsolatos ajánlásokat figyelembe véve. A szokásos gyakorlatnak megfelelő rákszűrés, így Papanicolau-teszt elvégzése javasolt.</w:t>
      </w:r>
    </w:p>
    <w:p w14:paraId="585EEE91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4CF30C76" w14:textId="12CC09D4" w:rsidR="004C0305" w:rsidRPr="00431150" w:rsidRDefault="001F30F8" w:rsidP="00225D6A">
      <w:pPr>
        <w:pStyle w:val="Szvegtrzs"/>
        <w:ind w:left="0"/>
        <w:rPr>
          <w:rFonts w:cs="Times New Roman"/>
          <w:u w:val="single" w:color="000000"/>
          <w:lang w:val="de-DE"/>
        </w:rPr>
      </w:pPr>
      <w:r w:rsidRPr="00431150">
        <w:rPr>
          <w:rFonts w:cs="Times New Roman"/>
          <w:u w:val="single" w:color="000000"/>
          <w:lang w:val="de-DE"/>
        </w:rPr>
        <w:t>Macula oedema</w:t>
      </w:r>
    </w:p>
    <w:p w14:paraId="38A1C9B5" w14:textId="77777777" w:rsidR="002F2306" w:rsidRPr="00431150" w:rsidRDefault="002F2306" w:rsidP="00225D6A">
      <w:pPr>
        <w:pStyle w:val="Szvegtrzs"/>
        <w:ind w:left="0"/>
        <w:rPr>
          <w:rFonts w:cs="Times New Roman"/>
          <w:lang w:val="de-DE"/>
        </w:rPr>
      </w:pPr>
    </w:p>
    <w:p w14:paraId="4F0E03AC" w14:textId="40A99E41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Vizuális tünetekkel járó vagy anélküli macula oedemát a 0,5</w:t>
      </w:r>
      <w:r w:rsidR="007D2011" w:rsidRPr="00431150">
        <w:rPr>
          <w:rFonts w:cs="Times New Roman"/>
          <w:lang w:val="de-DE"/>
        </w:rPr>
        <w:t> mg</w:t>
      </w:r>
      <w:r w:rsidRPr="00431150">
        <w:rPr>
          <w:rFonts w:cs="Times New Roman"/>
          <w:lang w:val="de-DE"/>
        </w:rPr>
        <w:t xml:space="preserve"> fingolimoddal kezelt betegek</w:t>
      </w:r>
      <w:r w:rsidR="00C845C7" w:rsidRPr="00431150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0,5%-ánál jelentettek, túlnyomórészt a kezelés első 3-4</w:t>
      </w:r>
      <w:r w:rsidR="00607A97" w:rsidRPr="00431150">
        <w:rPr>
          <w:rFonts w:cs="Times New Roman"/>
          <w:lang w:val="de-DE"/>
        </w:rPr>
        <w:t> hónap</w:t>
      </w:r>
      <w:r w:rsidRPr="00431150">
        <w:rPr>
          <w:rFonts w:cs="Times New Roman"/>
          <w:lang w:val="de-DE"/>
        </w:rPr>
        <w:t>ja alatt (lásd 4.8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>). Ezért a kezelés megkezdése után 3-4</w:t>
      </w:r>
      <w:r w:rsidR="00607A97" w:rsidRPr="00431150">
        <w:rPr>
          <w:rFonts w:cs="Times New Roman"/>
          <w:lang w:val="de-DE"/>
        </w:rPr>
        <w:t> hónap</w:t>
      </w:r>
      <w:r w:rsidRPr="00431150">
        <w:rPr>
          <w:rFonts w:cs="Times New Roman"/>
          <w:lang w:val="de-DE"/>
        </w:rPr>
        <w:t>pal szemészeti vizsgálat javasolt. Ha a betegek a kezelés ideje alatt bármikor látászavarokról számolnak be, a fundus, és ezen belül a macula vizsgálatát is el kell végezni.</w:t>
      </w:r>
    </w:p>
    <w:p w14:paraId="67AFB573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5AD0E00E" w14:textId="123B356C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431150">
        <w:rPr>
          <w:rFonts w:cs="Times New Roman"/>
          <w:lang w:val="de-DE"/>
        </w:rPr>
        <w:t>Azoknál a betegeknél, akiknek az anamnézisében uveitis szerepel, illetve a diabetes mellitusos betegeknél fokozott a macula oedema kockázata (lásd 4.8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 xml:space="preserve">). </w:t>
      </w:r>
      <w:r w:rsidRPr="001A762B">
        <w:rPr>
          <w:rFonts w:cs="Times New Roman"/>
        </w:rPr>
        <w:t xml:space="preserve">A </w:t>
      </w:r>
      <w:r w:rsidR="001A4C7F">
        <w:rPr>
          <w:rFonts w:cs="Times New Roman"/>
        </w:rPr>
        <w:t>fingolimodo</w:t>
      </w:r>
      <w:r w:rsidR="00B377B0">
        <w:rPr>
          <w:rFonts w:cs="Times New Roman"/>
        </w:rPr>
        <w:t>t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egyidejűleg diabetes mellitusban is szenvedő, sclerosis multiplexes betegeknél nem vizsgálaták. A sclerosis multiplexben szenvedő diabetes mellitusos betegeknél vagy azoknál, akiknek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anamnézisében uveitis szerepel, </w:t>
      </w:r>
      <w:r w:rsidRPr="001A762B">
        <w:rPr>
          <w:rFonts w:cs="Times New Roman"/>
        </w:rPr>
        <w:lastRenderedPageBreak/>
        <w:t>javasolt, hogy a kezelés megkezdése előtt szemészeti vizsgálaton essenek át, és a kezelés ideje alatt kontroll vizsgálatok történjenek náluk.</w:t>
      </w:r>
    </w:p>
    <w:p w14:paraId="1A306CC7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EC9D327" w14:textId="1849FCF6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macula oedemás betegeknél a kezelés folytatását nem értékelték. Ha egy betegnél macula oedema alakul ki, akkor a </w:t>
      </w:r>
      <w:r w:rsidR="00B377B0">
        <w:rPr>
          <w:rFonts w:cs="Times New Roman"/>
        </w:rPr>
        <w:t>Chantico</w:t>
      </w:r>
      <w:r w:rsidR="00B377B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elhagyása javasolt. A kezelésnek a macula oedema megszűnését követő újrakezdésével kapcsolatos döntéskor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adott beteg esetén figyelembe kell venni a potenciális előnyöket és kockázatokat.</w:t>
      </w:r>
    </w:p>
    <w:p w14:paraId="2FB6563C" w14:textId="484FAABA" w:rsidR="001F30F8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</w:p>
    <w:p w14:paraId="01171830" w14:textId="697A1A38" w:rsidR="004C0305" w:rsidRDefault="001F30F8" w:rsidP="00225D6A">
      <w:pPr>
        <w:pStyle w:val="Szvegtrzs"/>
        <w:ind w:left="0"/>
        <w:rPr>
          <w:rFonts w:cs="Times New Roman"/>
          <w:u w:val="single" w:color="000000"/>
        </w:rPr>
      </w:pPr>
      <w:r w:rsidRPr="001A762B">
        <w:rPr>
          <w:rFonts w:cs="Times New Roman"/>
          <w:u w:val="single" w:color="000000"/>
        </w:rPr>
        <w:t>Máj</w:t>
      </w:r>
      <w:r w:rsidR="0005704E">
        <w:rPr>
          <w:rFonts w:cs="Times New Roman"/>
          <w:u w:val="single" w:color="000000"/>
        </w:rPr>
        <w:t>károsodás</w:t>
      </w:r>
    </w:p>
    <w:p w14:paraId="438FC6FB" w14:textId="77777777" w:rsidR="002F2306" w:rsidRPr="001A762B" w:rsidRDefault="002F2306" w:rsidP="00225D6A">
      <w:pPr>
        <w:pStyle w:val="Szvegtrzs"/>
        <w:ind w:left="0"/>
        <w:rPr>
          <w:rFonts w:cs="Times New Roman"/>
        </w:rPr>
      </w:pPr>
    </w:p>
    <w:p w14:paraId="34E4F124" w14:textId="0C4CC0AC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1A762B">
        <w:rPr>
          <w:rFonts w:cs="Times New Roman"/>
        </w:rPr>
        <w:t>Emelkedett májenzimszint</w:t>
      </w:r>
      <w:r w:rsidR="00427E1F">
        <w:rPr>
          <w:rFonts w:cs="Times New Roman"/>
        </w:rPr>
        <w:t>-</w:t>
      </w:r>
      <w:r w:rsidRPr="001A762B">
        <w:rPr>
          <w:rFonts w:cs="Times New Roman"/>
        </w:rPr>
        <w:t xml:space="preserve"> (különösen </w:t>
      </w:r>
      <w:r w:rsidR="00427E1F" w:rsidRPr="0013665B">
        <w:rPr>
          <w:lang w:val="hu-HU"/>
        </w:rPr>
        <w:t>glutamát-piruvát</w:t>
      </w:r>
      <w:r w:rsidR="00427E1F">
        <w:rPr>
          <w:lang w:val="hu-HU"/>
        </w:rPr>
        <w:t xml:space="preserve"> </w:t>
      </w:r>
      <w:r w:rsidR="00427E1F" w:rsidRPr="0013665B">
        <w:rPr>
          <w:lang w:val="hu-HU"/>
        </w:rPr>
        <w:t>transzamináz</w:t>
      </w:r>
      <w:r w:rsidR="00427E1F">
        <w:rPr>
          <w:lang w:val="hu-HU"/>
        </w:rPr>
        <w:t>-</w:t>
      </w:r>
      <w:r w:rsidR="00427E1F" w:rsidRPr="001A762B" w:rsidDel="00427E1F">
        <w:rPr>
          <w:rFonts w:cs="Times New Roman"/>
        </w:rPr>
        <w:t xml:space="preserve"> </w:t>
      </w:r>
      <w:r w:rsidR="00427E1F">
        <w:rPr>
          <w:rFonts w:cs="Times New Roman"/>
        </w:rPr>
        <w:t xml:space="preserve">[GPT vagy </w:t>
      </w:r>
      <w:r w:rsidRPr="001A762B">
        <w:rPr>
          <w:rFonts w:cs="Times New Roman"/>
        </w:rPr>
        <w:t>AL</w:t>
      </w:r>
      <w:r w:rsidR="001F7A4E">
        <w:rPr>
          <w:rFonts w:cs="Times New Roman"/>
        </w:rPr>
        <w:t>A</w:t>
      </w:r>
      <w:r w:rsidRPr="001A762B">
        <w:rPr>
          <w:rFonts w:cs="Times New Roman"/>
        </w:rPr>
        <w:t>T</w:t>
      </w:r>
      <w:r w:rsidR="00427E1F">
        <w:rPr>
          <w:rFonts w:cs="Times New Roman"/>
        </w:rPr>
        <w:t>]</w:t>
      </w:r>
      <w:r w:rsidRPr="001A762B">
        <w:rPr>
          <w:rFonts w:cs="Times New Roman"/>
        </w:rPr>
        <w:t>, de ezen kívül gamma-glutamiltranszferáz</w:t>
      </w:r>
      <w:r w:rsidR="00427E1F">
        <w:rPr>
          <w:rFonts w:cs="Times New Roman"/>
        </w:rPr>
        <w:t>-</w:t>
      </w:r>
      <w:r w:rsidRPr="001A762B">
        <w:rPr>
          <w:rFonts w:cs="Times New Roman"/>
        </w:rPr>
        <w:t xml:space="preserve"> (GGT) és </w:t>
      </w:r>
      <w:r w:rsidR="00427E1F" w:rsidRPr="0013665B">
        <w:rPr>
          <w:lang w:val="hu-HU"/>
        </w:rPr>
        <w:t>glutamát-oxálacetát transzamináz</w:t>
      </w:r>
      <w:r w:rsidR="00427E1F">
        <w:rPr>
          <w:lang w:val="hu-HU"/>
        </w:rPr>
        <w:t>-</w:t>
      </w:r>
      <w:r w:rsidR="00427E1F" w:rsidRPr="001A762B" w:rsidDel="00427E1F">
        <w:rPr>
          <w:rFonts w:cs="Times New Roman"/>
        </w:rPr>
        <w:t xml:space="preserve"> </w:t>
      </w:r>
      <w:r w:rsidR="00427E1F">
        <w:rPr>
          <w:rFonts w:cs="Times New Roman"/>
        </w:rPr>
        <w:t xml:space="preserve">[GOT vagy </w:t>
      </w:r>
      <w:r w:rsidRPr="001A762B">
        <w:rPr>
          <w:rFonts w:cs="Times New Roman"/>
        </w:rPr>
        <w:t>AS</w:t>
      </w:r>
      <w:r w:rsidR="001F7A4E">
        <w:rPr>
          <w:rFonts w:cs="Times New Roman"/>
        </w:rPr>
        <w:t>A</w:t>
      </w:r>
      <w:r w:rsidRPr="001A762B">
        <w:rPr>
          <w:rFonts w:cs="Times New Roman"/>
        </w:rPr>
        <w:t>T</w:t>
      </w:r>
      <w:r w:rsidR="00427E1F">
        <w:rPr>
          <w:rFonts w:cs="Times New Roman"/>
        </w:rPr>
        <w:t>]</w:t>
      </w:r>
      <w:r w:rsidRPr="001A762B">
        <w:rPr>
          <w:rFonts w:cs="Times New Roman"/>
        </w:rPr>
        <w:t>) értékeket jelentettek</w:t>
      </w:r>
      <w:r w:rsidR="00C845C7" w:rsidRPr="001A762B">
        <w:rPr>
          <w:rFonts w:cs="Times New Roman"/>
        </w:rPr>
        <w:t xml:space="preserve"> </w:t>
      </w:r>
      <w:r w:rsidR="0005704E">
        <w:rPr>
          <w:rFonts w:cs="Times New Roman"/>
        </w:rPr>
        <w:t>fingolimod</w:t>
      </w:r>
      <w:r w:rsidRPr="001A762B">
        <w:rPr>
          <w:rFonts w:cs="Times New Roman"/>
        </w:rPr>
        <w:t xml:space="preserve">-kezelésben részesült sclerosis multiplexes betegeknél. </w:t>
      </w:r>
      <w:r w:rsidR="0005704E" w:rsidRPr="0005704E">
        <w:rPr>
          <w:rFonts w:cs="Times New Roman"/>
          <w:lang w:val="hu-HU"/>
        </w:rPr>
        <w:t xml:space="preserve">Beszámoltak néhány olyan esetről is, amelyekben májátültetést igénylő akut májelégtelenség és klinikailag jelentős májkárosodás következett be. Májkárosodásra utaló jelek – például jelentősen megemelkedett szérum májenzimszint és emelkedett összbilirubinszint – már akár tíz nappal az első adagot követően kialakultak, és ezekről tartós alkalmazást követően is beszámoltak. </w:t>
      </w:r>
      <w:r w:rsidRPr="006C526F">
        <w:rPr>
          <w:rFonts w:cs="Times New Roman"/>
          <w:lang w:val="hu-HU"/>
        </w:rPr>
        <w:t>A klinikai vizsgálatok alatt a 0,5</w:t>
      </w:r>
      <w:r w:rsidR="007D2011" w:rsidRPr="006C526F">
        <w:rPr>
          <w:rFonts w:cs="Times New Roman"/>
          <w:lang w:val="hu-HU"/>
        </w:rPr>
        <w:t> mg</w:t>
      </w:r>
      <w:r w:rsidRPr="006C526F">
        <w:rPr>
          <w:rFonts w:cs="Times New Roman"/>
          <w:lang w:val="hu-HU"/>
        </w:rPr>
        <w:t xml:space="preserve"> fingolimoddal kezelt betegeknél </w:t>
      </w:r>
      <w:r w:rsidR="00427E1F" w:rsidRPr="006C526F">
        <w:rPr>
          <w:rFonts w:cs="Times New Roman"/>
          <w:lang w:val="hu-HU"/>
        </w:rPr>
        <w:t>a GPT</w:t>
      </w:r>
      <w:r w:rsidRPr="006C526F">
        <w:rPr>
          <w:rFonts w:cs="Times New Roman"/>
          <w:lang w:val="hu-HU"/>
        </w:rPr>
        <w:t xml:space="preserve">-szint normálérték felső határának </w:t>
      </w:r>
      <w:r w:rsidR="00427E1F" w:rsidRPr="006C526F">
        <w:rPr>
          <w:rFonts w:cs="Times New Roman"/>
          <w:lang w:val="hu-HU"/>
        </w:rPr>
        <w:t>három</w:t>
      </w:r>
      <w:r w:rsidRPr="006C526F">
        <w:rPr>
          <w:rFonts w:cs="Times New Roman"/>
          <w:lang w:val="hu-HU"/>
        </w:rPr>
        <w:t xml:space="preserve">szorosát elérő vagy azt meghaladó emelkedése a placebóval kezelt betegek 1,9%-ához képest a felnőtt betegek 8,0%-ánál fordult elő. A normálérték felső határának </w:t>
      </w:r>
      <w:r w:rsidR="00427E1F" w:rsidRPr="006C526F">
        <w:rPr>
          <w:rFonts w:cs="Times New Roman"/>
          <w:lang w:val="hu-HU"/>
        </w:rPr>
        <w:t>öt</w:t>
      </w:r>
      <w:r w:rsidRPr="006C526F">
        <w:rPr>
          <w:rFonts w:cs="Times New Roman"/>
          <w:lang w:val="hu-HU"/>
        </w:rPr>
        <w:t>szörös emelkedése a fingolimod</w:t>
      </w:r>
      <w:r w:rsidR="00427E1F" w:rsidRPr="006C526F">
        <w:rPr>
          <w:rFonts w:cs="Times New Roman"/>
          <w:lang w:val="hu-HU"/>
        </w:rPr>
        <w:t>dal kezelt</w:t>
      </w:r>
      <w:r w:rsidRPr="006C526F">
        <w:rPr>
          <w:rFonts w:cs="Times New Roman"/>
          <w:lang w:val="hu-HU"/>
        </w:rPr>
        <w:t xml:space="preserve"> betegek</w:t>
      </w:r>
      <w:r w:rsidR="00C845C7" w:rsidRPr="006C526F">
        <w:rPr>
          <w:rFonts w:cs="Times New Roman"/>
          <w:lang w:val="hu-HU"/>
        </w:rPr>
        <w:t xml:space="preserve"> </w:t>
      </w:r>
      <w:r w:rsidRPr="006C526F">
        <w:rPr>
          <w:rFonts w:cs="Times New Roman"/>
          <w:lang w:val="hu-HU"/>
        </w:rPr>
        <w:t>1,8%-ánál</w:t>
      </w:r>
      <w:r w:rsidR="00427E1F" w:rsidRPr="006C526F">
        <w:rPr>
          <w:rFonts w:cs="Times New Roman"/>
          <w:lang w:val="hu-HU"/>
        </w:rPr>
        <w:t>,</w:t>
      </w:r>
      <w:r w:rsidRPr="006C526F">
        <w:rPr>
          <w:rFonts w:cs="Times New Roman"/>
          <w:lang w:val="hu-HU"/>
        </w:rPr>
        <w:t xml:space="preserve"> a placebót kapó betegek 0,9%-ánál alakult ki. A klinikai vizsgálatok során abbahagyták a fingolimod adását, ha az emelkedés meghaladta a normálérték felső határának </w:t>
      </w:r>
      <w:r w:rsidR="00427E1F" w:rsidRPr="006C526F">
        <w:rPr>
          <w:rFonts w:cs="Times New Roman"/>
          <w:lang w:val="hu-HU"/>
        </w:rPr>
        <w:t>öt</w:t>
      </w:r>
      <w:r w:rsidRPr="006C526F">
        <w:rPr>
          <w:rFonts w:cs="Times New Roman"/>
          <w:lang w:val="hu-HU"/>
        </w:rPr>
        <w:t>szörösét. A hepaticus transzaminázok szintjének ismételt emelkedése a kezelés újbóli elkezdésekor a betegek egy részénél ismét kialakult, ami alátámasztja a fingolimoddal való összefüggést. Klinikai vizsgálatok során a transzaminázok szintjének emelkedése a kezelés alatt bármikor előfordult, bár a legtöbbször ez az első 12</w:t>
      </w:r>
      <w:r w:rsidR="00607A97" w:rsidRPr="006C526F">
        <w:rPr>
          <w:rFonts w:cs="Times New Roman"/>
          <w:lang w:val="hu-HU"/>
        </w:rPr>
        <w:t> hónap</w:t>
      </w:r>
      <w:r w:rsidRPr="006C526F">
        <w:rPr>
          <w:rFonts w:cs="Times New Roman"/>
          <w:lang w:val="hu-HU"/>
        </w:rPr>
        <w:t>on belül történt. A szérum</w:t>
      </w:r>
      <w:r w:rsidR="00427E1F" w:rsidRPr="006C526F">
        <w:rPr>
          <w:rFonts w:cs="Times New Roman"/>
          <w:lang w:val="hu-HU"/>
        </w:rPr>
        <w:t>-</w:t>
      </w:r>
      <w:r w:rsidRPr="006C526F">
        <w:rPr>
          <w:rFonts w:cs="Times New Roman"/>
          <w:lang w:val="hu-HU"/>
        </w:rPr>
        <w:t>transzaminázszintek a fingolimod szedésének abbahagyását követően kb. 2</w:t>
      </w:r>
      <w:r w:rsidR="00607A97" w:rsidRPr="006C526F">
        <w:rPr>
          <w:rFonts w:cs="Times New Roman"/>
          <w:lang w:val="hu-HU"/>
        </w:rPr>
        <w:t> hónap</w:t>
      </w:r>
      <w:r w:rsidRPr="006C526F">
        <w:rPr>
          <w:rFonts w:cs="Times New Roman"/>
          <w:lang w:val="hu-HU"/>
        </w:rPr>
        <w:t xml:space="preserve"> múlva normalizálódtak.</w:t>
      </w:r>
    </w:p>
    <w:p w14:paraId="4E03B24B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7EDBB445" w14:textId="7788304B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 xml:space="preserve">A </w:t>
      </w:r>
      <w:r w:rsidR="0005704E" w:rsidRPr="006C526F">
        <w:rPr>
          <w:rFonts w:cs="Times New Roman"/>
          <w:lang w:val="hu-HU"/>
        </w:rPr>
        <w:t>fingolimodo</w:t>
      </w:r>
      <w:r w:rsidR="00B377B0" w:rsidRPr="006C526F">
        <w:rPr>
          <w:rFonts w:cs="Times New Roman"/>
          <w:lang w:val="hu-HU"/>
        </w:rPr>
        <w:t xml:space="preserve">t </w:t>
      </w:r>
      <w:r w:rsidRPr="006C526F">
        <w:rPr>
          <w:rFonts w:cs="Times New Roman"/>
          <w:lang w:val="hu-HU"/>
        </w:rPr>
        <w:t>nem vizsgálták olyan betegeknél, akiknek súlyos (Child</w:t>
      </w:r>
      <w:r w:rsidR="00B377B0" w:rsidRPr="006C526F">
        <w:rPr>
          <w:rFonts w:cs="Times New Roman"/>
          <w:lang w:val="hu-HU"/>
        </w:rPr>
        <w:t>–</w:t>
      </w:r>
      <w:r w:rsidRPr="006C526F">
        <w:rPr>
          <w:rFonts w:cs="Times New Roman"/>
          <w:lang w:val="hu-HU"/>
        </w:rPr>
        <w:t>Pugh C stádium), már meglévő</w:t>
      </w:r>
      <w:r w:rsidR="00C845C7" w:rsidRPr="006C526F">
        <w:rPr>
          <w:rFonts w:cs="Times New Roman"/>
          <w:lang w:val="hu-HU"/>
        </w:rPr>
        <w:t xml:space="preserve"> </w:t>
      </w:r>
      <w:r w:rsidRPr="006C526F">
        <w:rPr>
          <w:rFonts w:cs="Times New Roman"/>
          <w:lang w:val="hu-HU"/>
        </w:rPr>
        <w:t>májkárosodásuk volt, és a gyógyszert az ilyen betegeknél nem szabad alkalmazni (lásd 4.3</w:t>
      </w:r>
      <w:r w:rsidR="00B377B0" w:rsidRPr="006C526F">
        <w:rPr>
          <w:rFonts w:cs="Times New Roman"/>
          <w:lang w:val="hu-HU"/>
        </w:rPr>
        <w:t> pont</w:t>
      </w:r>
      <w:r w:rsidRPr="006C526F">
        <w:rPr>
          <w:rFonts w:cs="Times New Roman"/>
          <w:lang w:val="hu-HU"/>
        </w:rPr>
        <w:t>).</w:t>
      </w:r>
    </w:p>
    <w:p w14:paraId="5EE1ED06" w14:textId="77777777" w:rsidR="00B377B0" w:rsidRPr="006C526F" w:rsidRDefault="00B377B0" w:rsidP="00225D6A">
      <w:pPr>
        <w:pStyle w:val="Szvegtrzs"/>
        <w:ind w:left="0"/>
        <w:rPr>
          <w:rFonts w:cs="Times New Roman"/>
          <w:lang w:val="hu-HU"/>
        </w:rPr>
      </w:pPr>
    </w:p>
    <w:p w14:paraId="024DA9EC" w14:textId="61FDC0FF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>A fingolimod immunszuppresszív tulajdonságai miatt az aktív vírusos hepatitisben szenvedő betegeknél a kezelés elkezdését annak megszűnéséig halasztani kell.</w:t>
      </w:r>
    </w:p>
    <w:p w14:paraId="787C7E39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5B035974" w14:textId="6342A273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>A kezelés elkezdése előtt nem túl régi (azaz 6</w:t>
      </w:r>
      <w:r w:rsidR="00607A97" w:rsidRPr="006C526F">
        <w:rPr>
          <w:rFonts w:cs="Times New Roman"/>
          <w:lang w:val="hu-HU"/>
        </w:rPr>
        <w:t> hónap</w:t>
      </w:r>
      <w:r w:rsidRPr="006C526F">
        <w:rPr>
          <w:rFonts w:cs="Times New Roman"/>
          <w:lang w:val="hu-HU"/>
        </w:rPr>
        <w:t xml:space="preserve">on belüli) transzamináz- és bilirubinszint eredménynek kell rendelkezésre állnia. Klinikai tünetek hiányában a hepaticus transzaminázok szintjét </w:t>
      </w:r>
      <w:r w:rsidR="0005704E" w:rsidRPr="006C526F">
        <w:rPr>
          <w:lang w:val="hu-HU"/>
        </w:rPr>
        <w:t xml:space="preserve">és a szérum bilirubinszintjét </w:t>
      </w:r>
      <w:r w:rsidRPr="006C526F">
        <w:rPr>
          <w:rFonts w:cs="Times New Roman"/>
          <w:lang w:val="hu-HU"/>
        </w:rPr>
        <w:t>a kezelés 1</w:t>
      </w:r>
      <w:proofErr w:type="gramStart"/>
      <w:r w:rsidRPr="006C526F">
        <w:rPr>
          <w:rFonts w:cs="Times New Roman"/>
          <w:lang w:val="hu-HU"/>
        </w:rPr>
        <w:t>.,</w:t>
      </w:r>
      <w:proofErr w:type="gramEnd"/>
      <w:r w:rsidRPr="006C526F">
        <w:rPr>
          <w:rFonts w:cs="Times New Roman"/>
          <w:lang w:val="hu-HU"/>
        </w:rPr>
        <w:t xml:space="preserve"> 3., 6., 9. és 12.</w:t>
      </w:r>
      <w:r w:rsidR="00607A97" w:rsidRPr="006C526F">
        <w:rPr>
          <w:rFonts w:cs="Times New Roman"/>
          <w:lang w:val="hu-HU"/>
        </w:rPr>
        <w:t> hónap</w:t>
      </w:r>
      <w:r w:rsidRPr="006C526F">
        <w:rPr>
          <w:rFonts w:cs="Times New Roman"/>
          <w:lang w:val="hu-HU"/>
        </w:rPr>
        <w:t xml:space="preserve">jában, majd azt követően rendszeres időközönként </w:t>
      </w:r>
      <w:r w:rsidR="00427E1F" w:rsidRPr="006C526F">
        <w:rPr>
          <w:rFonts w:cs="Times New Roman"/>
          <w:lang w:val="hu-HU"/>
        </w:rPr>
        <w:t xml:space="preserve">ellenőrizni </w:t>
      </w:r>
      <w:r w:rsidRPr="006C526F">
        <w:rPr>
          <w:rFonts w:cs="Times New Roman"/>
          <w:lang w:val="hu-HU"/>
        </w:rPr>
        <w:t>kell</w:t>
      </w:r>
      <w:r w:rsidR="0005704E" w:rsidRPr="006C526F">
        <w:rPr>
          <w:rFonts w:cs="Times New Roman"/>
          <w:lang w:val="hu-HU"/>
        </w:rPr>
        <w:t xml:space="preserve"> </w:t>
      </w:r>
      <w:r w:rsidR="0005704E" w:rsidRPr="006C526F">
        <w:rPr>
          <w:lang w:val="hu-HU"/>
        </w:rPr>
        <w:t>a Chantico abbahagyása után 2 hónapig</w:t>
      </w:r>
      <w:r w:rsidRPr="006C526F">
        <w:rPr>
          <w:rFonts w:cs="Times New Roman"/>
          <w:lang w:val="hu-HU"/>
        </w:rPr>
        <w:t xml:space="preserve">. </w:t>
      </w:r>
      <w:r w:rsidR="0005704E" w:rsidRPr="006C526F">
        <w:rPr>
          <w:lang w:val="hu-HU"/>
        </w:rPr>
        <w:t xml:space="preserve">Klinikai tünetek hiányában, </w:t>
      </w:r>
      <w:r w:rsidR="0005704E" w:rsidRPr="006C526F">
        <w:rPr>
          <w:rFonts w:cs="Times New Roman"/>
          <w:lang w:val="hu-HU"/>
        </w:rPr>
        <w:t>h</w:t>
      </w:r>
      <w:r w:rsidRPr="006C526F">
        <w:rPr>
          <w:rFonts w:cs="Times New Roman"/>
          <w:lang w:val="hu-HU"/>
        </w:rPr>
        <w:t xml:space="preserve">a a hepaticus transzaminázok szintje a normálérték felső határának </w:t>
      </w:r>
      <w:r w:rsidR="0005704E" w:rsidRPr="006C526F">
        <w:rPr>
          <w:lang w:val="hu-HU"/>
        </w:rPr>
        <w:t>3-szorosát, de elmarad annak 5-szörösétől, és a szérum bilirubinszintje nem emelkedett</w:t>
      </w:r>
      <w:r w:rsidRPr="006C526F">
        <w:rPr>
          <w:rFonts w:cs="Times New Roman"/>
          <w:lang w:val="hu-HU"/>
        </w:rPr>
        <w:t xml:space="preserve">, gyakoribb </w:t>
      </w:r>
      <w:r w:rsidR="0005704E" w:rsidRPr="006C526F">
        <w:rPr>
          <w:rFonts w:cs="Times New Roman"/>
          <w:lang w:val="hu-HU"/>
        </w:rPr>
        <w:t xml:space="preserve">monitorozást </w:t>
      </w:r>
      <w:r w:rsidRPr="006C526F">
        <w:rPr>
          <w:rFonts w:cs="Times New Roman"/>
          <w:lang w:val="hu-HU"/>
        </w:rPr>
        <w:t xml:space="preserve">kell végezni, beleértve a szérum bilirubinszint és </w:t>
      </w:r>
      <w:r w:rsidR="0005704E" w:rsidRPr="006C526F">
        <w:rPr>
          <w:lang w:val="hu-HU"/>
        </w:rPr>
        <w:t>az alkalikus foszfatáz (ALP) szintjének meghatározását</w:t>
      </w:r>
      <w:r w:rsidRPr="006C526F">
        <w:rPr>
          <w:rFonts w:cs="Times New Roman"/>
          <w:lang w:val="hu-HU"/>
        </w:rPr>
        <w:t xml:space="preserve">. </w:t>
      </w:r>
      <w:r w:rsidR="0005704E" w:rsidRPr="006C526F">
        <w:rPr>
          <w:lang w:val="hu-HU"/>
        </w:rPr>
        <w:t xml:space="preserve">Ennek célja megállapítani azt, hogy bekövetkezik-e további emelkedés, illetve tisztázni, hogy fennáll-e valamilyen alternatív ok a májműködési zavar hátterében. Amennyiben a hepaticus transzaminázok szintje legalább </w:t>
      </w:r>
      <w:r w:rsidR="004C6871" w:rsidRPr="006C526F">
        <w:rPr>
          <w:lang w:val="hu-HU"/>
        </w:rPr>
        <w:t>öt</w:t>
      </w:r>
      <w:r w:rsidR="0005704E" w:rsidRPr="006C526F">
        <w:rPr>
          <w:lang w:val="hu-HU"/>
        </w:rPr>
        <w:t xml:space="preserve">szörösen meghaladja a normálérték felső határát, illetve ha legalább </w:t>
      </w:r>
      <w:r w:rsidR="004C6871" w:rsidRPr="006C526F">
        <w:rPr>
          <w:lang w:val="hu-HU"/>
        </w:rPr>
        <w:t>három</w:t>
      </w:r>
      <w:r w:rsidR="0005704E" w:rsidRPr="006C526F">
        <w:rPr>
          <w:lang w:val="hu-HU"/>
        </w:rPr>
        <w:t xml:space="preserve">szorosan meghaladja azt, és emellett a szérum bilirubinszintje is bármekkora mértékben megnő, abba kell hagyni a Chantico alkalmazását. A májműködés monitorozását folytatni kell. Ha a szérumszintek visszatérnek a normáltartományba (beleértve azt az esetet is, ha kiderül, hogy egyéb ok állt a májműködési zavar hátterében), a beteg alapos előny-kockázat értékelése alapján újra lehet kezdeni a Chantico alkalmazását. </w:t>
      </w:r>
    </w:p>
    <w:p w14:paraId="2A8B9494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47CFB8A6" w14:textId="70A10C87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 xml:space="preserve">Azoknál a betegeknél, akiknél májműködési zavarra utaló tünetek jelentkeznek, mint például a megmagyarázhatatlan hányinger, hányás, hasi fájdalom, fáradtság, étvágytalanság vagy icterus és/vagy sötét vizelet, a májenzimek </w:t>
      </w:r>
      <w:r w:rsidR="00A041BF" w:rsidRPr="006C526F">
        <w:rPr>
          <w:rFonts w:cs="Times New Roman"/>
          <w:lang w:val="hu-HU"/>
        </w:rPr>
        <w:t xml:space="preserve">és a bilirubin </w:t>
      </w:r>
      <w:r w:rsidRPr="006C526F">
        <w:rPr>
          <w:rFonts w:cs="Times New Roman"/>
          <w:lang w:val="hu-HU"/>
        </w:rPr>
        <w:t xml:space="preserve">szintjét </w:t>
      </w:r>
      <w:r w:rsidR="00A041BF" w:rsidRPr="006C526F">
        <w:rPr>
          <w:rFonts w:cs="Times New Roman"/>
          <w:lang w:val="hu-HU"/>
        </w:rPr>
        <w:t xml:space="preserve">haladéktalanul </w:t>
      </w:r>
      <w:r w:rsidRPr="006C526F">
        <w:rPr>
          <w:rFonts w:cs="Times New Roman"/>
          <w:lang w:val="hu-HU"/>
        </w:rPr>
        <w:t xml:space="preserve">ellenőrizni kell, és a </w:t>
      </w:r>
      <w:r w:rsidR="00C973CA" w:rsidRPr="006C526F">
        <w:rPr>
          <w:rFonts w:cs="Times New Roman"/>
          <w:lang w:val="hu-HU"/>
        </w:rPr>
        <w:t>f</w:t>
      </w:r>
      <w:r w:rsidR="00430A9D" w:rsidRPr="006C526F">
        <w:rPr>
          <w:rFonts w:cs="Times New Roman"/>
          <w:lang w:val="hu-HU"/>
        </w:rPr>
        <w:t>ingolimod</w:t>
      </w:r>
      <w:r w:rsidRPr="006C526F">
        <w:rPr>
          <w:rFonts w:cs="Times New Roman"/>
          <w:lang w:val="hu-HU"/>
        </w:rPr>
        <w:t xml:space="preserve"> adását abba kell hagyni, ha jelentős májkárosodás igazolódik</w:t>
      </w:r>
      <w:r w:rsidR="00A041BF" w:rsidRPr="006C526F">
        <w:rPr>
          <w:rFonts w:cs="Times New Roman"/>
          <w:lang w:val="hu-HU"/>
        </w:rPr>
        <w:t>.</w:t>
      </w:r>
      <w:r w:rsidR="00A041BF" w:rsidRPr="006C526F">
        <w:rPr>
          <w:lang w:val="hu-HU"/>
        </w:rPr>
        <w:t xml:space="preserve"> A kezelést mindaddig nem szabad folytatni, amíg meg nem határozzák, milyen valószínűsíthető alternatív ok állhat a májkárosodás jelei és tünetei mögött.</w:t>
      </w:r>
    </w:p>
    <w:p w14:paraId="06EB8BB4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155B323D" w14:textId="2A258112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 xml:space="preserve">Noha nincs arra utaló adat, hogy a </w:t>
      </w:r>
      <w:r w:rsidR="00E46AC7" w:rsidRPr="006C526F">
        <w:rPr>
          <w:rFonts w:cs="Times New Roman"/>
          <w:lang w:val="hu-HU"/>
        </w:rPr>
        <w:t>fingolimodo</w:t>
      </w:r>
      <w:r w:rsidR="00B377B0" w:rsidRPr="006C526F">
        <w:rPr>
          <w:rFonts w:cs="Times New Roman"/>
          <w:lang w:val="hu-HU"/>
        </w:rPr>
        <w:t xml:space="preserve">t </w:t>
      </w:r>
      <w:r w:rsidRPr="006C526F">
        <w:rPr>
          <w:rFonts w:cs="Times New Roman"/>
          <w:lang w:val="hu-HU"/>
        </w:rPr>
        <w:t xml:space="preserve">szedő, már </w:t>
      </w:r>
      <w:r w:rsidR="00D657D4" w:rsidRPr="006C526F">
        <w:rPr>
          <w:rFonts w:cs="Times New Roman"/>
          <w:lang w:val="hu-HU"/>
        </w:rPr>
        <w:t xml:space="preserve">fennálló </w:t>
      </w:r>
      <w:r w:rsidRPr="006C526F">
        <w:rPr>
          <w:rFonts w:cs="Times New Roman"/>
          <w:lang w:val="hu-HU"/>
        </w:rPr>
        <w:t xml:space="preserve">májbetegségben szenvedő betegeknél magasabb az emelkedett májfunkciós értékek kialakulásának a kockázata, a </w:t>
      </w:r>
      <w:r w:rsidR="00B377B0" w:rsidRPr="006C526F">
        <w:rPr>
          <w:rFonts w:cs="Times New Roman"/>
          <w:lang w:val="hu-HU"/>
        </w:rPr>
        <w:t xml:space="preserve">Chantico-t </w:t>
      </w:r>
      <w:r w:rsidRPr="006C526F">
        <w:rPr>
          <w:rFonts w:cs="Times New Roman"/>
          <w:lang w:val="hu-HU"/>
        </w:rPr>
        <w:t>óvatosan kell alkalmazni olyan betegeknél, akiknek az anamnézisében jelentős májbetegség szerepel.</w:t>
      </w:r>
    </w:p>
    <w:p w14:paraId="66A30A53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65987E0D" w14:textId="77777777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u w:val="single" w:color="000000"/>
          <w:lang w:val="hu-HU"/>
        </w:rPr>
        <w:t>A vérnyomásra gyakorolt hatások</w:t>
      </w:r>
    </w:p>
    <w:p w14:paraId="2628B315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026AF7DC" w14:textId="31BD48AB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 xml:space="preserve">Azokat a betegeket, akiknek gyógyszeresen nem beállított hypertoniája volt, kizárták a forgalomba hozatalt megelőző klinikai vizsgálatokban való részvételből, és a nem beállított magas vérnyomású betegek </w:t>
      </w:r>
      <w:r w:rsidR="002546F3" w:rsidRPr="006C526F">
        <w:rPr>
          <w:rFonts w:cs="Times New Roman"/>
          <w:lang w:val="hu-HU"/>
        </w:rPr>
        <w:t>Chantico</w:t>
      </w:r>
      <w:r w:rsidRPr="006C526F">
        <w:rPr>
          <w:rFonts w:cs="Times New Roman"/>
          <w:lang w:val="hu-HU"/>
        </w:rPr>
        <w:t>-kezelésekor különös elővigyázatosság szükséges.</w:t>
      </w:r>
    </w:p>
    <w:p w14:paraId="5CB3747C" w14:textId="77777777" w:rsidR="001F30F8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</w:p>
    <w:p w14:paraId="6B88906A" w14:textId="4867C989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>A sclerosis multiplex miatt végzett klinikai vizsgálatokban a 0,5</w:t>
      </w:r>
      <w:r w:rsidR="007D2011" w:rsidRPr="006C526F">
        <w:rPr>
          <w:rFonts w:cs="Times New Roman"/>
          <w:lang w:val="hu-HU"/>
        </w:rPr>
        <w:t> mg</w:t>
      </w:r>
      <w:r w:rsidRPr="006C526F">
        <w:rPr>
          <w:rFonts w:cs="Times New Roman"/>
          <w:lang w:val="hu-HU"/>
        </w:rPr>
        <w:t xml:space="preserve"> fingolimoddal kezelt betegeknél a</w:t>
      </w:r>
      <w:r w:rsidR="00C845C7" w:rsidRPr="006C526F">
        <w:rPr>
          <w:rFonts w:cs="Times New Roman"/>
          <w:lang w:val="hu-HU"/>
        </w:rPr>
        <w:t xml:space="preserve"> </w:t>
      </w:r>
      <w:r w:rsidRPr="006C526F">
        <w:rPr>
          <w:rFonts w:cs="Times New Roman"/>
          <w:lang w:val="hu-HU"/>
        </w:rPr>
        <w:t>szisztolés vérnyomás átlagos emelkedése megközelítőleg 3</w:t>
      </w:r>
      <w:r w:rsidR="00D657D4" w:rsidRPr="006C526F">
        <w:rPr>
          <w:rFonts w:cs="Times New Roman"/>
          <w:lang w:val="hu-HU"/>
        </w:rPr>
        <w:t> </w:t>
      </w:r>
      <w:r w:rsidRPr="006C526F">
        <w:rPr>
          <w:rFonts w:cs="Times New Roman"/>
          <w:lang w:val="hu-HU"/>
        </w:rPr>
        <w:t>Hgmm, míg a diasztolés vérnyomásé kb. 1</w:t>
      </w:r>
      <w:r w:rsidR="00D657D4" w:rsidRPr="006C526F">
        <w:rPr>
          <w:rFonts w:cs="Times New Roman"/>
          <w:lang w:val="hu-HU"/>
        </w:rPr>
        <w:t> </w:t>
      </w:r>
      <w:r w:rsidRPr="006C526F">
        <w:rPr>
          <w:rFonts w:cs="Times New Roman"/>
          <w:lang w:val="hu-HU"/>
        </w:rPr>
        <w:t>Hgmm volt, amit először mintegy 1</w:t>
      </w:r>
      <w:r w:rsidR="00607A97" w:rsidRPr="006C526F">
        <w:rPr>
          <w:rFonts w:cs="Times New Roman"/>
          <w:lang w:val="hu-HU"/>
        </w:rPr>
        <w:t> hónap</w:t>
      </w:r>
      <w:r w:rsidRPr="006C526F">
        <w:rPr>
          <w:rFonts w:cs="Times New Roman"/>
          <w:lang w:val="hu-HU"/>
        </w:rPr>
        <w:t>pal a kezelés megkezdését követően mutattak ki, és ami a kezelés folytatásakor fennmaradt. A két</w:t>
      </w:r>
      <w:r w:rsidR="00607A97" w:rsidRPr="006C526F">
        <w:rPr>
          <w:rFonts w:cs="Times New Roman"/>
          <w:lang w:val="hu-HU"/>
        </w:rPr>
        <w:t> év</w:t>
      </w:r>
      <w:r w:rsidRPr="006C526F">
        <w:rPr>
          <w:rFonts w:cs="Times New Roman"/>
          <w:lang w:val="hu-HU"/>
        </w:rPr>
        <w:t>ig tartó, placebokontrollos vizsgálatban a nemkívánatos eseményként jelentkező magas vérnyomásról a 0,5</w:t>
      </w:r>
      <w:r w:rsidR="007D2011" w:rsidRPr="006C526F">
        <w:rPr>
          <w:rFonts w:cs="Times New Roman"/>
          <w:lang w:val="hu-HU"/>
        </w:rPr>
        <w:t> mg</w:t>
      </w:r>
      <w:r w:rsidRPr="006C526F">
        <w:rPr>
          <w:rFonts w:cs="Times New Roman"/>
          <w:lang w:val="hu-HU"/>
        </w:rPr>
        <w:t xml:space="preserve"> fingolimodot kapó betegek 6,5%-ánál</w:t>
      </w:r>
      <w:r w:rsidR="00D657D4" w:rsidRPr="006C526F">
        <w:rPr>
          <w:rFonts w:cs="Times New Roman"/>
          <w:lang w:val="hu-HU"/>
        </w:rPr>
        <w:t>,</w:t>
      </w:r>
      <w:r w:rsidRPr="006C526F">
        <w:rPr>
          <w:rFonts w:cs="Times New Roman"/>
          <w:lang w:val="hu-HU"/>
        </w:rPr>
        <w:t xml:space="preserve"> a placebót kapó betegek 3,3%-ánál számoltak be. Ezért a kezelés alatt a vérnyomást rendszeresen ellenőrizni kell.</w:t>
      </w:r>
    </w:p>
    <w:p w14:paraId="71191B68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6B3D4A02" w14:textId="77777777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u w:val="single" w:color="000000"/>
          <w:lang w:val="hu-HU"/>
        </w:rPr>
        <w:t>Légzőrendszeri hatások</w:t>
      </w:r>
    </w:p>
    <w:p w14:paraId="294D17DA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0D98DA0B" w14:textId="164E8385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lang w:val="hu-HU"/>
        </w:rPr>
        <w:t xml:space="preserve">A </w:t>
      </w:r>
      <w:r w:rsidR="00BB6788" w:rsidRPr="006C526F">
        <w:rPr>
          <w:rFonts w:cs="Times New Roman"/>
          <w:lang w:val="hu-HU"/>
        </w:rPr>
        <w:t>fingolimod</w:t>
      </w:r>
      <w:r w:rsidRPr="006C526F">
        <w:rPr>
          <w:rFonts w:cs="Times New Roman"/>
          <w:lang w:val="hu-HU"/>
        </w:rPr>
        <w:t>-kezelés mellett a forszírozott exspirációs volumen (FEV</w:t>
      </w:r>
      <w:r w:rsidRPr="006C526F">
        <w:rPr>
          <w:rFonts w:cs="Times New Roman"/>
          <w:position w:val="-1"/>
          <w:vertAlign w:val="subscript"/>
          <w:lang w:val="hu-HU"/>
        </w:rPr>
        <w:t>1</w:t>
      </w:r>
      <w:r w:rsidRPr="006C526F">
        <w:rPr>
          <w:rFonts w:cs="Times New Roman"/>
          <w:lang w:val="hu-HU"/>
        </w:rPr>
        <w:t>) és a szén-monoxid</w:t>
      </w:r>
      <w:r w:rsidR="00D657D4" w:rsidRPr="006C526F">
        <w:rPr>
          <w:rFonts w:cs="Times New Roman"/>
          <w:lang w:val="hu-HU"/>
        </w:rPr>
        <w:t>-</w:t>
      </w:r>
      <w:r w:rsidRPr="006C526F">
        <w:rPr>
          <w:rFonts w:cs="Times New Roman"/>
          <w:lang w:val="hu-HU"/>
        </w:rPr>
        <w:t>diffúziós kapacitás értéke</w:t>
      </w:r>
      <w:r w:rsidR="00D657D4" w:rsidRPr="006C526F">
        <w:rPr>
          <w:rFonts w:cs="Times New Roman"/>
          <w:lang w:val="hu-HU"/>
        </w:rPr>
        <w:t>i</w:t>
      </w:r>
      <w:r w:rsidRPr="006C526F">
        <w:rPr>
          <w:rFonts w:cs="Times New Roman"/>
          <w:lang w:val="hu-HU"/>
        </w:rPr>
        <w:t>ben észlelt csekély, dózisfüggő csökkenés az első</w:t>
      </w:r>
      <w:r w:rsidR="00D657D4" w:rsidRPr="006C526F">
        <w:rPr>
          <w:rFonts w:cs="Times New Roman"/>
          <w:lang w:val="hu-HU"/>
        </w:rPr>
        <w:t xml:space="preserve"> </w:t>
      </w:r>
      <w:r w:rsidR="00607A97" w:rsidRPr="006C526F">
        <w:rPr>
          <w:rFonts w:cs="Times New Roman"/>
          <w:lang w:val="hu-HU"/>
        </w:rPr>
        <w:t>hónap</w:t>
      </w:r>
      <w:r w:rsidRPr="006C526F">
        <w:rPr>
          <w:rFonts w:cs="Times New Roman"/>
          <w:lang w:val="hu-HU"/>
        </w:rPr>
        <w:t xml:space="preserve">ban kezdődött, majd azt követően nem változott. A </w:t>
      </w:r>
      <w:r w:rsidR="002546F3" w:rsidRPr="006C526F">
        <w:rPr>
          <w:rFonts w:cs="Times New Roman"/>
          <w:lang w:val="hu-HU"/>
        </w:rPr>
        <w:t xml:space="preserve">Chantico-t </w:t>
      </w:r>
      <w:r w:rsidRPr="006C526F">
        <w:rPr>
          <w:rFonts w:cs="Times New Roman"/>
          <w:lang w:val="hu-HU"/>
        </w:rPr>
        <w:t>a súlyos légzőszervi megbetegedésben, pulmon</w:t>
      </w:r>
      <w:r w:rsidR="00D657D4" w:rsidRPr="006C526F">
        <w:rPr>
          <w:rFonts w:cs="Times New Roman"/>
          <w:lang w:val="hu-HU"/>
        </w:rPr>
        <w:t>a</w:t>
      </w:r>
      <w:r w:rsidRPr="006C526F">
        <w:rPr>
          <w:rFonts w:cs="Times New Roman"/>
          <w:lang w:val="hu-HU"/>
        </w:rPr>
        <w:t>lis fibrosisban és krónikus obstruktív tüdőbetegségben szenvedő betegeknél óvatosan kell alkalmazni (lásd 4.8</w:t>
      </w:r>
      <w:r w:rsidR="00B377B0" w:rsidRPr="006C526F">
        <w:rPr>
          <w:rFonts w:cs="Times New Roman"/>
          <w:lang w:val="hu-HU"/>
        </w:rPr>
        <w:t> pont</w:t>
      </w:r>
      <w:r w:rsidRPr="006C526F">
        <w:rPr>
          <w:rFonts w:cs="Times New Roman"/>
          <w:lang w:val="hu-HU"/>
        </w:rPr>
        <w:t>).</w:t>
      </w:r>
    </w:p>
    <w:p w14:paraId="3BF1954A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3DF901B0" w14:textId="77777777" w:rsidR="004C0305" w:rsidRPr="006C526F" w:rsidRDefault="001F30F8" w:rsidP="00225D6A">
      <w:pPr>
        <w:pStyle w:val="Szvegtrzs"/>
        <w:ind w:left="0"/>
        <w:rPr>
          <w:rFonts w:cs="Times New Roman"/>
          <w:lang w:val="hu-HU"/>
        </w:rPr>
      </w:pPr>
      <w:r w:rsidRPr="006C526F">
        <w:rPr>
          <w:rFonts w:cs="Times New Roman"/>
          <w:u w:val="single" w:color="000000"/>
          <w:lang w:val="hu-HU"/>
        </w:rPr>
        <w:t>Posterior reverzíbilis encephalopathia szindróma</w:t>
      </w:r>
    </w:p>
    <w:p w14:paraId="14C2938F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07A38788" w14:textId="64EB324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6C526F">
        <w:rPr>
          <w:rFonts w:cs="Times New Roman"/>
          <w:lang w:val="hu-HU"/>
        </w:rPr>
        <w:t>A klinikai vizsgálatokban és a forgalomba hozatalt követően posterior reverzíbilis encephalopathia szindróma (PRES) ritka eseteit jelentették a 0,5</w:t>
      </w:r>
      <w:r w:rsidR="007D2011" w:rsidRPr="006C526F">
        <w:rPr>
          <w:rFonts w:cs="Times New Roman"/>
          <w:lang w:val="hu-HU"/>
        </w:rPr>
        <w:t> mg</w:t>
      </w:r>
      <w:r w:rsidRPr="006C526F">
        <w:rPr>
          <w:rFonts w:cs="Times New Roman"/>
          <w:lang w:val="hu-HU"/>
        </w:rPr>
        <w:t>-os dózissal (lásd 4.8</w:t>
      </w:r>
      <w:r w:rsidR="00B377B0" w:rsidRPr="006C526F">
        <w:rPr>
          <w:rFonts w:cs="Times New Roman"/>
          <w:lang w:val="hu-HU"/>
        </w:rPr>
        <w:t> pont</w:t>
      </w:r>
      <w:r w:rsidRPr="006C526F">
        <w:rPr>
          <w:rFonts w:cs="Times New Roman"/>
          <w:lang w:val="hu-HU"/>
        </w:rPr>
        <w:t xml:space="preserve">). A jelentett tünetek közé tartozott a hirtelen kezdődő súlyos fejfájás, émelygés, hányás, megváltozott mentális állapot, látászavarok és görcsök. A PRES tünetei általában reverzíbilisek, de ischaemiás stroke-hoz vagy agyvérzéshez is vezethetnek. A diagnózis és a kezelés késlekedése maradandó neurológiai következményekkel járhat. </w:t>
      </w:r>
      <w:r w:rsidRPr="001A762B">
        <w:rPr>
          <w:rFonts w:cs="Times New Roman"/>
        </w:rPr>
        <w:t xml:space="preserve">Ha a PRES gyanúja felmerül, a </w:t>
      </w:r>
      <w:r w:rsidR="002546F3">
        <w:rPr>
          <w:rFonts w:cs="Times New Roman"/>
        </w:rPr>
        <w:t>Chantico</w:t>
      </w:r>
      <w:r w:rsidRPr="001A762B">
        <w:rPr>
          <w:rFonts w:cs="Times New Roman"/>
        </w:rPr>
        <w:t>-kezelést abba kell hagyni.</w:t>
      </w:r>
    </w:p>
    <w:p w14:paraId="279310D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FF92CC4" w14:textId="537AF59D" w:rsidR="004C0305" w:rsidRPr="001A762B" w:rsidRDefault="00D657D4" w:rsidP="00225D6A">
      <w:pPr>
        <w:pStyle w:val="Szvegtrzs"/>
        <w:ind w:left="0"/>
        <w:rPr>
          <w:rFonts w:cs="Times New Roman"/>
        </w:rPr>
      </w:pPr>
      <w:r>
        <w:rPr>
          <w:rFonts w:cs="Times New Roman"/>
          <w:u w:val="single" w:color="000000"/>
        </w:rPr>
        <w:t>Korábbi kezelés</w:t>
      </w:r>
      <w:r w:rsidR="001F30F8" w:rsidRPr="001A762B">
        <w:rPr>
          <w:rFonts w:cs="Times New Roman"/>
          <w:u w:val="single" w:color="000000"/>
        </w:rPr>
        <w:t xml:space="preserve"> immunszuppresszív és immunmoduláló gyógyszerekkel</w:t>
      </w:r>
    </w:p>
    <w:p w14:paraId="25374B4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5507242" w14:textId="34465B62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Nem végeztek vizsgálatokat a </w:t>
      </w:r>
      <w:r w:rsidR="00BB6788">
        <w:rPr>
          <w:rFonts w:cs="Times New Roman"/>
        </w:rPr>
        <w:t xml:space="preserve">fingolimod </w:t>
      </w:r>
      <w:r w:rsidRPr="001A762B">
        <w:rPr>
          <w:rFonts w:cs="Times New Roman"/>
        </w:rPr>
        <w:t xml:space="preserve">hatásosságának és biztonságosságának értékelésére olyan esetekben, amikor a betegeket teriflunomidról, dimetilfumarátról vagy alemtuzumabról állították át </w:t>
      </w:r>
      <w:r w:rsidR="00BB6788">
        <w:rPr>
          <w:rFonts w:cs="Times New Roman"/>
        </w:rPr>
        <w:t>fingolimod</w:t>
      </w:r>
      <w:r w:rsidR="00744655">
        <w:rPr>
          <w:rFonts w:cs="Times New Roman"/>
        </w:rPr>
        <w:t>ra</w:t>
      </w:r>
      <w:r w:rsidRPr="001A762B">
        <w:rPr>
          <w:rFonts w:cs="Times New Roman"/>
        </w:rPr>
        <w:t xml:space="preserve">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additív immunológiai hatás elkerülése, és egyúttal a betegségreaktiváció kockázatának minimalizálása érdekében az egyéb betegségmódosító terápiáról </w:t>
      </w:r>
      <w:r w:rsidR="00BB6788">
        <w:rPr>
          <w:rFonts w:cs="Times New Roman"/>
        </w:rPr>
        <w:t>fingolimod</w:t>
      </w:r>
      <w:r w:rsidR="00744655">
        <w:rPr>
          <w:rFonts w:cs="Times New Roman"/>
        </w:rPr>
        <w:t>ra</w:t>
      </w:r>
      <w:r w:rsidR="00744655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való átállítás esetén figyelembe kell venni az adott gyógyszer </w:t>
      </w:r>
      <w:r w:rsidR="00BB6788">
        <w:rPr>
          <w:rFonts w:cs="Times New Roman"/>
        </w:rPr>
        <w:t xml:space="preserve">eliminációs </w:t>
      </w:r>
      <w:r w:rsidRPr="001A762B">
        <w:rPr>
          <w:rFonts w:cs="Times New Roman"/>
        </w:rPr>
        <w:t xml:space="preserve">felezési idejét és hatásmódját. A </w:t>
      </w:r>
      <w:r w:rsidR="00744655">
        <w:rPr>
          <w:rFonts w:cs="Times New Roman"/>
        </w:rPr>
        <w:t>Chantico</w:t>
      </w:r>
      <w:r w:rsidR="00744655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alkalmazásának megkezdése előtt </w:t>
      </w:r>
      <w:bookmarkStart w:id="1" w:name="_Hlk43908367"/>
      <w:r w:rsidRPr="001A762B">
        <w:rPr>
          <w:rFonts w:cs="Times New Roman"/>
        </w:rPr>
        <w:t>teljesvérkép</w:t>
      </w:r>
      <w:r w:rsidR="00D657D4">
        <w:rPr>
          <w:rFonts w:cs="Times New Roman"/>
        </w:rPr>
        <w:t>-</w:t>
      </w:r>
      <w:r w:rsidRPr="001A762B">
        <w:rPr>
          <w:rFonts w:cs="Times New Roman"/>
        </w:rPr>
        <w:t xml:space="preserve">vizsgálat </w:t>
      </w:r>
      <w:bookmarkEnd w:id="1"/>
      <w:r w:rsidRPr="001A762B">
        <w:rPr>
          <w:rFonts w:cs="Times New Roman"/>
        </w:rPr>
        <w:t>elvégzése ajánlott annak biztosítása érdekében, hogy a korábbi kezelés immunológiai hatásai (pl. cytopenia) már megszűntek.</w:t>
      </w:r>
    </w:p>
    <w:p w14:paraId="0A3C2B0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14BE909" w14:textId="7ECD4F0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744655">
        <w:rPr>
          <w:rFonts w:cs="Times New Roman"/>
        </w:rPr>
        <w:t>Chantico</w:t>
      </w:r>
      <w:r w:rsidRPr="001A762B">
        <w:rPr>
          <w:rFonts w:cs="Times New Roman"/>
        </w:rPr>
        <w:t xml:space="preserve">-kezelés általában elkezdhető közvetlenül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interferon, illetve a glatiramer-acetát alkalmazásának befejezése után.</w:t>
      </w:r>
    </w:p>
    <w:p w14:paraId="1837E646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389C367" w14:textId="29B67BE3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dimetil-fumarát esetében a kimosási időszaknak elegendő hosszúnak kell lennie ahhoz, hogy a teljes</w:t>
      </w:r>
      <w:r w:rsidR="004E4F0C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vérkép normalizálódjon, mielőtt a </w:t>
      </w:r>
      <w:r w:rsidR="00744655">
        <w:rPr>
          <w:rFonts w:cs="Times New Roman"/>
        </w:rPr>
        <w:t>Chantico</w:t>
      </w:r>
      <w:r w:rsidRPr="001A762B">
        <w:rPr>
          <w:rFonts w:cs="Times New Roman"/>
        </w:rPr>
        <w:t>-kezelés megkezdődik.</w:t>
      </w:r>
    </w:p>
    <w:p w14:paraId="471A143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E858A78" w14:textId="04981CE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706D6">
        <w:rPr>
          <w:rFonts w:cs="Times New Roman"/>
        </w:rPr>
        <w:t>A natalizumab</w:t>
      </w:r>
      <w:r w:rsidRPr="001A762B">
        <w:rPr>
          <w:rFonts w:cs="Times New Roman"/>
        </w:rPr>
        <w:t xml:space="preserve"> hosszú </w:t>
      </w:r>
      <w:r w:rsidR="00BB6788">
        <w:rPr>
          <w:rFonts w:cs="Times New Roman"/>
        </w:rPr>
        <w:t xml:space="preserve">eliminációs </w:t>
      </w:r>
      <w:r w:rsidRPr="001A762B">
        <w:rPr>
          <w:rFonts w:cs="Times New Roman"/>
        </w:rPr>
        <w:t xml:space="preserve">felezési ideje miatt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elimináció általában 2-3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ig tart a kezelés abbahagyását követően. A teriflunomid szintén lassan eliminálódik a plazmából. Gyorsított eliminációs eljárás alkalmazása nélkül a teriflunomid plazma clearance-e több</w:t>
      </w:r>
      <w:r w:rsidR="00E07AD2">
        <w:rPr>
          <w:rFonts w:cs="Times New Roman"/>
        </w:rPr>
        <w:t xml:space="preserve"> </w:t>
      </w:r>
      <w:r w:rsidR="00607A97">
        <w:rPr>
          <w:rFonts w:cs="Times New Roman"/>
        </w:rPr>
        <w:t>hónap</w:t>
      </w:r>
      <w:r w:rsidRPr="001A762B">
        <w:rPr>
          <w:rFonts w:cs="Times New Roman"/>
        </w:rPr>
        <w:t>tól 2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ig is eltarthat. Gyorsított eliminációs eljárás alkalmazása (a teriflunomid alkalmazási előírásában leírt módon) ajánlott, vagy ennek alternatívájaként a kiürülési időtartam nem lehet rövidebb, mint</w:t>
      </w:r>
      <w:r w:rsidR="004E4F0C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3</w:t>
      </w:r>
      <w:proofErr w:type="gramStart"/>
      <w:r w:rsidRPr="001A762B">
        <w:rPr>
          <w:rFonts w:cs="Times New Roman"/>
        </w:rPr>
        <w:t>,5</w:t>
      </w:r>
      <w:proofErr w:type="gramEnd"/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. Tekintettel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esetleges egyidejű immunológiai hatásokra, óvatosság jánlott, amikor a </w:t>
      </w:r>
      <w:r w:rsidRPr="001A762B">
        <w:rPr>
          <w:rFonts w:cs="Times New Roman"/>
        </w:rPr>
        <w:lastRenderedPageBreak/>
        <w:t xml:space="preserve">betegeket natalizumabról vagy teriflunomidról állítják át </w:t>
      </w:r>
      <w:r w:rsidR="00744655">
        <w:rPr>
          <w:rFonts w:cs="Times New Roman"/>
        </w:rPr>
        <w:t>Chantico-ra</w:t>
      </w:r>
      <w:r w:rsidRPr="001A762B">
        <w:rPr>
          <w:rFonts w:cs="Times New Roman"/>
        </w:rPr>
        <w:t>.</w:t>
      </w:r>
    </w:p>
    <w:p w14:paraId="741E024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E4AFC3F" w14:textId="2B6495F6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706D6">
        <w:rPr>
          <w:rFonts w:cs="Times New Roman"/>
        </w:rPr>
        <w:t>Az</w:t>
      </w:r>
      <w:proofErr w:type="gramEnd"/>
      <w:r w:rsidRPr="001706D6">
        <w:rPr>
          <w:rFonts w:cs="Times New Roman"/>
        </w:rPr>
        <w:t xml:space="preserve"> alemtuzumabnak</w:t>
      </w:r>
      <w:r w:rsidRPr="001A762B">
        <w:rPr>
          <w:rFonts w:cs="Times New Roman"/>
        </w:rPr>
        <w:t xml:space="preserve"> jelentős és tartós immunszuppresszív hatásai vannak. Mivel e hatások tényleges időtartama nem ismert, nem ajánlott a </w:t>
      </w:r>
      <w:r w:rsidR="00744655">
        <w:rPr>
          <w:rFonts w:cs="Times New Roman"/>
        </w:rPr>
        <w:t>Chantico</w:t>
      </w:r>
      <w:r w:rsidRPr="001A762B">
        <w:rPr>
          <w:rFonts w:cs="Times New Roman"/>
        </w:rPr>
        <w:t xml:space="preserve">-kezelés indítása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alemtuzumab-kezelés után, kivéve, ha ennek előnyei egyértelműen meghaladják a beteg egyéni kockázatát.</w:t>
      </w:r>
    </w:p>
    <w:p w14:paraId="5DBBC03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6CB160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Gondos mérlegelést követően kell döntést hozni a kortikoszteroidokkal végzett tartós egyidejű kezelésről.</w:t>
      </w:r>
    </w:p>
    <w:p w14:paraId="38195FB7" w14:textId="77777777" w:rsidR="001F30F8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</w:p>
    <w:p w14:paraId="4079C067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Egyidejű alkalmazás potens CYP450-induktorokkal</w:t>
      </w:r>
    </w:p>
    <w:p w14:paraId="19D70FD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A87EF44" w14:textId="1C57A8A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és potens CYP450-induktorok kombinációját óvatosan kell alkalmazni. </w:t>
      </w:r>
      <w:r w:rsidR="00E175CE">
        <w:rPr>
          <w:rFonts w:cs="Times New Roman"/>
        </w:rPr>
        <w:t xml:space="preserve">Közönséges </w:t>
      </w:r>
      <w:r w:rsidRPr="001A762B">
        <w:rPr>
          <w:rFonts w:cs="Times New Roman"/>
        </w:rPr>
        <w:t>orbáncfűvel való egyidejű alkalmazása nem javasolt (lásd 4.5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7BF2F21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23D8BBC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Malignitások</w:t>
      </w:r>
    </w:p>
    <w:p w14:paraId="7E26740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43EFEE0" w14:textId="0A2C8749" w:rsidR="004C0305" w:rsidRDefault="001F30F8" w:rsidP="00225D6A">
      <w:pPr>
        <w:rPr>
          <w:rFonts w:ascii="Times New Roman" w:hAnsi="Times New Roman" w:cs="Times New Roman"/>
          <w:i/>
          <w:u w:val="single" w:color="000000"/>
        </w:rPr>
      </w:pPr>
      <w:r w:rsidRPr="001A762B">
        <w:rPr>
          <w:rFonts w:ascii="Times New Roman" w:hAnsi="Times New Roman" w:cs="Times New Roman"/>
          <w:i/>
          <w:u w:val="single" w:color="000000"/>
        </w:rPr>
        <w:t>Bőr</w:t>
      </w:r>
      <w:r w:rsidR="00BB6788">
        <w:rPr>
          <w:rFonts w:ascii="Times New Roman" w:hAnsi="Times New Roman" w:cs="Times New Roman"/>
          <w:i/>
          <w:u w:val="single" w:color="000000"/>
        </w:rPr>
        <w:t>malignitások</w:t>
      </w:r>
    </w:p>
    <w:p w14:paraId="1FC49D6F" w14:textId="5E03BF5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BB6788">
        <w:rPr>
          <w:rFonts w:cs="Times New Roman"/>
        </w:rPr>
        <w:t xml:space="preserve">fingolimodot kapó </w:t>
      </w:r>
      <w:r w:rsidRPr="001A762B">
        <w:rPr>
          <w:rFonts w:cs="Times New Roman"/>
        </w:rPr>
        <w:t>betegeknél basalsejtes carcinomáról (BCC) és más bőrdaganatokról, köztük malignus melanomáról, laphámsejtes carcinomáról, Kaposi</w:t>
      </w:r>
      <w:r w:rsidR="00E175CE">
        <w:rPr>
          <w:rFonts w:cs="Times New Roman"/>
        </w:rPr>
        <w:t>-</w:t>
      </w:r>
      <w:r w:rsidRPr="001A762B">
        <w:rPr>
          <w:rFonts w:cs="Times New Roman"/>
        </w:rPr>
        <w:t>sarcomáról és Merkel-sejtes carcinomáról számoltak be (lásd 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 A bőrléziók figyelése indokolt, és a kezelés elkezdésekor, és ezután a klinikai kép függvényében 6 – 12 havonta a bőr orvosi vizsgálata javasolt. Gyanús léziók észlelésekor a beteget bőrgyógyászhoz kell utani.</w:t>
      </w:r>
    </w:p>
    <w:p w14:paraId="54D87EC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08518ED" w14:textId="4FCAAED1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Mivel fennáll a malignus bőrdaganatok kialakulásának potenciális kockázata, a fingolimoddal kezelt betegeket óvatosságra kell inteni, hogy fényvédelem nélkül kerüljék a napfényt. Ezek a betegek nem kaphatnak egyidejűleg UV</w:t>
      </w:r>
      <w:r w:rsidR="00E175CE">
        <w:rPr>
          <w:rFonts w:cs="Times New Roman"/>
        </w:rPr>
        <w:t xml:space="preserve"> </w:t>
      </w:r>
      <w:r w:rsidRPr="001A762B">
        <w:rPr>
          <w:rFonts w:cs="Times New Roman"/>
        </w:rPr>
        <w:t>B</w:t>
      </w:r>
      <w:r w:rsidR="00E175CE">
        <w:rPr>
          <w:rFonts w:cs="Times New Roman"/>
        </w:rPr>
        <w:t>-</w:t>
      </w:r>
      <w:r w:rsidRPr="001A762B">
        <w:rPr>
          <w:rFonts w:cs="Times New Roman"/>
        </w:rPr>
        <w:t>sugárzással végzett fototerápiát vagy PUVA-fotokemoterápiát.</w:t>
      </w:r>
    </w:p>
    <w:p w14:paraId="5D19F42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7B8042F" w14:textId="027E4031" w:rsidR="004C0305" w:rsidRDefault="001F30F8" w:rsidP="00225D6A">
      <w:pPr>
        <w:rPr>
          <w:rFonts w:ascii="Times New Roman" w:hAnsi="Times New Roman" w:cs="Times New Roman"/>
          <w:i/>
          <w:u w:val="single" w:color="000000"/>
        </w:rPr>
      </w:pPr>
      <w:r w:rsidRPr="001A762B">
        <w:rPr>
          <w:rFonts w:ascii="Times New Roman" w:hAnsi="Times New Roman" w:cs="Times New Roman"/>
          <w:i/>
          <w:u w:val="single" w:color="000000"/>
        </w:rPr>
        <w:t>Lymphomák</w:t>
      </w:r>
    </w:p>
    <w:p w14:paraId="7985699E" w14:textId="50D19273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klinikai vizsgálatokban és a forgalomba hozatalt követően beszámoltak lymphoma eseteiről (lásd</w:t>
      </w:r>
      <w:r w:rsidR="00FB32E3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 A bejelentett esetek heterogén jellegűek voltak, főleg non-Hodgkin lymphoma</w:t>
      </w:r>
      <w:r w:rsidR="00E175CE">
        <w:rPr>
          <w:rFonts w:cs="Times New Roman"/>
        </w:rPr>
        <w:t xml:space="preserve"> –</w:t>
      </w:r>
      <w:r w:rsidRPr="001A762B">
        <w:rPr>
          <w:rFonts w:cs="Times New Roman"/>
        </w:rPr>
        <w:t xml:space="preserve"> beleértve a B-sejtes és T-sejtes lymphomákat is</w:t>
      </w:r>
      <w:r w:rsidR="00E175CE">
        <w:rPr>
          <w:rFonts w:cs="Times New Roman"/>
        </w:rPr>
        <w:t xml:space="preserve"> –</w:t>
      </w:r>
      <w:r w:rsidRPr="001A762B">
        <w:rPr>
          <w:rFonts w:cs="Times New Roman"/>
        </w:rPr>
        <w:t xml:space="preserve"> fordult elő. Bőr eredetű T-sejtes lymphoma (mycosis fungoides) eseteit is megfigyelték. Egy esetben végzetes, </w:t>
      </w:r>
      <w:bookmarkStart w:id="2" w:name="_Hlk43910006"/>
      <w:r w:rsidRPr="001A762B">
        <w:rPr>
          <w:rFonts w:cs="Times New Roman"/>
        </w:rPr>
        <w:t>Epstein–Barr-vírus</w:t>
      </w:r>
      <w:r w:rsidR="00E175CE">
        <w:rPr>
          <w:rFonts w:cs="Times New Roman"/>
        </w:rPr>
        <w:t>-</w:t>
      </w:r>
      <w:r w:rsidRPr="001A762B">
        <w:rPr>
          <w:rFonts w:cs="Times New Roman"/>
        </w:rPr>
        <w:t xml:space="preserve"> (EBV) pozitív </w:t>
      </w:r>
      <w:bookmarkEnd w:id="2"/>
      <w:r w:rsidRPr="001A762B">
        <w:rPr>
          <w:rFonts w:cs="Times New Roman"/>
        </w:rPr>
        <w:t xml:space="preserve">B-sejtes lymphomát is észleltek. Lymphoma gyanúja esetén abba kell hagyni a </w:t>
      </w:r>
      <w:r w:rsidR="00744655">
        <w:rPr>
          <w:rFonts w:cs="Times New Roman"/>
        </w:rPr>
        <w:t>kezelést</w:t>
      </w:r>
      <w:r w:rsidRPr="001A762B">
        <w:rPr>
          <w:rFonts w:cs="Times New Roman"/>
        </w:rPr>
        <w:t>.</w:t>
      </w:r>
    </w:p>
    <w:p w14:paraId="0E31DDD8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A185C4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Fogamzóképes nők</w:t>
      </w:r>
    </w:p>
    <w:p w14:paraId="0399854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39A10EA" w14:textId="26C1DBB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magzatra gyakorolt kockázat miatt a fingolimod alkalmazása ellenjavallt terhesség alatt és azoknál a fogamzóképes nőknél, akik nem alkalmaznak hatékony fogamzásgátlást. A kezelés megkezdése előtt tájékoztatni kell a fogamzóképes nőket a magzatra gyakorolt kockázatról, negatív terhességi teszttel kell rendelkezniük, és hatékony fogamzásgátlást kell alkalmazniuk a kezelés időtartama alatt, valamint a kezelés befejezését követően még 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on keresztül (lásd 4.3 és 4.6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, valamint az </w:t>
      </w:r>
      <w:r w:rsidR="00E175CE">
        <w:rPr>
          <w:rFonts w:cs="Times New Roman"/>
        </w:rPr>
        <w:t>o</w:t>
      </w:r>
      <w:r w:rsidRPr="001A762B">
        <w:rPr>
          <w:rFonts w:cs="Times New Roman"/>
        </w:rPr>
        <w:t xml:space="preserve">rvosoknak szóló </w:t>
      </w:r>
      <w:r w:rsidR="00E175CE">
        <w:rPr>
          <w:rFonts w:cs="Times New Roman"/>
        </w:rPr>
        <w:t>i</w:t>
      </w:r>
      <w:r w:rsidRPr="001A762B">
        <w:rPr>
          <w:rFonts w:cs="Times New Roman"/>
        </w:rPr>
        <w:t xml:space="preserve">nformációs </w:t>
      </w:r>
      <w:r w:rsidR="00E175CE">
        <w:rPr>
          <w:rFonts w:cs="Times New Roman"/>
        </w:rPr>
        <w:t>c</w:t>
      </w:r>
      <w:r w:rsidRPr="001A762B">
        <w:rPr>
          <w:rFonts w:cs="Times New Roman"/>
        </w:rPr>
        <w:t>somagban szereplő tájékoztatást).</w:t>
      </w:r>
    </w:p>
    <w:p w14:paraId="3887B5FA" w14:textId="4B10D6BF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95D10E9" w14:textId="531A2EB8" w:rsidR="004C0305" w:rsidRDefault="001F30F8" w:rsidP="00225D6A">
      <w:pPr>
        <w:pStyle w:val="Szvegtrzs"/>
        <w:ind w:left="0"/>
        <w:rPr>
          <w:rFonts w:cs="Times New Roman"/>
          <w:u w:val="single" w:color="000000"/>
        </w:rPr>
      </w:pPr>
      <w:r w:rsidRPr="001A762B">
        <w:rPr>
          <w:rFonts w:cs="Times New Roman"/>
          <w:u w:val="single" w:color="000000"/>
        </w:rPr>
        <w:t>Tumefaktív léziók</w:t>
      </w:r>
    </w:p>
    <w:p w14:paraId="2E7F31D2" w14:textId="77777777" w:rsidR="00DD3585" w:rsidRPr="001A762B" w:rsidRDefault="00DD3585" w:rsidP="00225D6A">
      <w:pPr>
        <w:pStyle w:val="Szvegtrzs"/>
        <w:ind w:left="0"/>
        <w:rPr>
          <w:rFonts w:cs="Times New Roman"/>
        </w:rPr>
      </w:pPr>
    </w:p>
    <w:p w14:paraId="125E935D" w14:textId="0B2ED7EA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relapszáló sclerosis multiplexhez társuló tumefaktív léziók ritka eset</w:t>
      </w:r>
      <w:r w:rsidR="001916DF">
        <w:rPr>
          <w:rFonts w:cs="Times New Roman"/>
        </w:rPr>
        <w:t>e</w:t>
      </w:r>
      <w:r w:rsidRPr="001A762B">
        <w:rPr>
          <w:rFonts w:cs="Times New Roman"/>
        </w:rPr>
        <w:t>it jelentették a forgalomba hozatalt követően. Súlyos relapszus esetén MR</w:t>
      </w:r>
      <w:r w:rsidR="00E175CE">
        <w:rPr>
          <w:rFonts w:cs="Times New Roman"/>
        </w:rPr>
        <w:t>-</w:t>
      </w:r>
      <w:r w:rsidRPr="001A762B">
        <w:rPr>
          <w:rFonts w:cs="Times New Roman"/>
        </w:rPr>
        <w:t xml:space="preserve">vizsgálatot kell végezni, a tumefaktív léziók kizárása érdekében.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egyén előny-kockázatának értékelése alapján minden egyes esetben mérlegelni kell a kezelés megszakítását.</w:t>
      </w:r>
    </w:p>
    <w:p w14:paraId="51480CA8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41A79DF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A betegségaktivitás visszatérése (rebound) a fingolimod-kezelés megszakítása után</w:t>
      </w:r>
    </w:p>
    <w:p w14:paraId="16C24EF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75CCD66" w14:textId="0C07587A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forgalomba hozatalt követően a fingolimod leállításakor ritkán a betegség súlyos exacerbációja fordult elő egyes betegeknél. Ezt általában a fingolimod leállítását követő 12 héten belül figyelték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 xml:space="preserve">, de a fingolimod-kezelés megszakítását követően akár 24 hétig is beszámoltak róla. Ezért a fingolimod-terápia leállítása során óvatosság javasolt. Amennyiben a fingolimod-kezelés leállítását szükségesnek ítélik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>, tekintetbe kell venni</w:t>
      </w:r>
      <w:r w:rsidR="00727F90">
        <w:rPr>
          <w:rFonts w:cs="Times New Roman"/>
        </w:rPr>
        <w:t xml:space="preserve"> a</w:t>
      </w:r>
      <w:r w:rsidRPr="001A762B">
        <w:rPr>
          <w:rFonts w:cs="Times New Roman"/>
        </w:rPr>
        <w:t xml:space="preserve"> </w:t>
      </w:r>
      <w:r w:rsidR="00727F90" w:rsidRPr="001A762B">
        <w:rPr>
          <w:rFonts w:cs="Times New Roman"/>
        </w:rPr>
        <w:t xml:space="preserve">betegségaktivitás kiújulásának </w:t>
      </w:r>
      <w:r w:rsidRPr="001A762B">
        <w:rPr>
          <w:rFonts w:cs="Times New Roman"/>
        </w:rPr>
        <w:t xml:space="preserve">kivételesen magas </w:t>
      </w:r>
      <w:r w:rsidR="00727F90">
        <w:rPr>
          <w:rFonts w:cs="Times New Roman"/>
        </w:rPr>
        <w:lastRenderedPageBreak/>
        <w:t>arányát</w:t>
      </w:r>
      <w:r w:rsidRPr="001A762B">
        <w:rPr>
          <w:rFonts w:cs="Times New Roman"/>
        </w:rPr>
        <w:t>, a betegeknél figyelni kell az erre utaló jelek és tünetek kialakulását, és szükség esetén a megfelelő kezelést kell elindítani (lásd alább „A kezelés leállítása”).</w:t>
      </w:r>
    </w:p>
    <w:p w14:paraId="7E409034" w14:textId="77777777" w:rsidR="001F30F8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</w:p>
    <w:p w14:paraId="0DE9060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A kezelés leállítása</w:t>
      </w:r>
    </w:p>
    <w:p w14:paraId="3F997DE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E7F0F2E" w14:textId="2D4FA4EC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Ha a </w:t>
      </w:r>
      <w:r w:rsidR="001916DF">
        <w:rPr>
          <w:rFonts w:cs="Times New Roman"/>
        </w:rPr>
        <w:t>Chantico</w:t>
      </w:r>
      <w:r w:rsidRPr="001A762B">
        <w:rPr>
          <w:rFonts w:cs="Times New Roman"/>
        </w:rPr>
        <w:t>-kezelés leállítására vonatkozó döntés születik, a felezési idő alapján a fingolimod keringésből történő kiürüléséhez 6</w:t>
      </w:r>
      <w:r w:rsidR="001916DF">
        <w:rPr>
          <w:rFonts w:cs="Times New Roman"/>
        </w:rPr>
        <w:t> </w:t>
      </w:r>
      <w:r w:rsidRPr="001A762B">
        <w:rPr>
          <w:rFonts w:cs="Times New Roman"/>
        </w:rPr>
        <w:t>hetes kezelésmentes időszak szükséges (lásd 5.2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 A lymphocyta-szám a kezelés leállítása után 1-2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on belül fokozatosan visszatér a normál tartományba a legtöbb betegnél (lásd 5.1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), bár egyes betegeknél a teljes gyógyulás jelentősen hosszabb időt vehet igénybe. Ez alatt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időszak alatt más kezeléseknek az elkezdése egyidejű fingolimod-expozíciót fog eredményezni. Immunszuppresszánsoknak a </w:t>
      </w:r>
      <w:r w:rsidR="001916DF">
        <w:rPr>
          <w:rFonts w:cs="Times New Roman"/>
        </w:rPr>
        <w:t>Chantico</w:t>
      </w:r>
      <w:r w:rsidR="001916DF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abbahagyása után röviddel történő alkalmazása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immunrendszerre gyakorolt additív hatáshoz vezethet, ezért elővigyázatosság javasolt.</w:t>
      </w:r>
    </w:p>
    <w:p w14:paraId="2A578B15" w14:textId="77777777" w:rsidR="000C54F4" w:rsidRDefault="000C54F4" w:rsidP="00225D6A">
      <w:pPr>
        <w:pStyle w:val="Szvegtrzs"/>
        <w:ind w:left="0"/>
        <w:rPr>
          <w:rFonts w:cs="Times New Roman"/>
        </w:rPr>
      </w:pPr>
    </w:p>
    <w:p w14:paraId="36332FE3" w14:textId="31B28DCB" w:rsidR="000C54F4" w:rsidRPr="001A762B" w:rsidRDefault="000C54F4" w:rsidP="000C54F4">
      <w:pPr>
        <w:pStyle w:val="Szvegtrzs"/>
        <w:ind w:left="0"/>
        <w:rPr>
          <w:rFonts w:cs="Times New Roman"/>
        </w:rPr>
      </w:pPr>
      <w:r w:rsidRPr="000C54F4">
        <w:rPr>
          <w:rFonts w:cs="Times New Roman"/>
          <w:lang w:val="hu-HU"/>
        </w:rPr>
        <w:t>A fingolimod</w:t>
      </w:r>
      <w:r w:rsidR="0091096B">
        <w:rPr>
          <w:rFonts w:cs="Times New Roman"/>
          <w:lang w:val="hu-HU"/>
        </w:rPr>
        <w:t>-kezelés</w:t>
      </w:r>
      <w:r w:rsidRPr="000C54F4">
        <w:rPr>
          <w:rFonts w:cs="Times New Roman"/>
          <w:lang w:val="hu-HU"/>
        </w:rPr>
        <w:t xml:space="preserve"> PML miatti abbahagy</w:t>
      </w:r>
      <w:r w:rsidRPr="000C54F4">
        <w:rPr>
          <w:rFonts w:cs="Times New Roman" w:hint="eastAsia"/>
          <w:lang w:val="hu-HU"/>
        </w:rPr>
        <w:t>á</w:t>
      </w:r>
      <w:r w:rsidRPr="000C54F4">
        <w:rPr>
          <w:rFonts w:cs="Times New Roman"/>
          <w:lang w:val="hu-HU"/>
        </w:rPr>
        <w:t>s</w:t>
      </w:r>
      <w:r w:rsidRPr="000C54F4">
        <w:rPr>
          <w:rFonts w:cs="Times New Roman" w:hint="eastAsia"/>
          <w:lang w:val="hu-HU"/>
        </w:rPr>
        <w:t>á</w:t>
      </w:r>
      <w:r w:rsidRPr="000C54F4">
        <w:rPr>
          <w:rFonts w:cs="Times New Roman"/>
          <w:lang w:val="hu-HU"/>
        </w:rPr>
        <w:t>t k</w:t>
      </w:r>
      <w:r w:rsidRPr="000C54F4">
        <w:rPr>
          <w:rFonts w:cs="Times New Roman" w:hint="eastAsia"/>
          <w:lang w:val="hu-HU"/>
        </w:rPr>
        <w:t>ö</w:t>
      </w:r>
      <w:r w:rsidRPr="000C54F4">
        <w:rPr>
          <w:rFonts w:cs="Times New Roman"/>
          <w:lang w:val="hu-HU"/>
        </w:rPr>
        <w:t>vet</w:t>
      </w:r>
      <w:r w:rsidRPr="000C54F4">
        <w:rPr>
          <w:rFonts w:cs="Times New Roman" w:hint="eastAsia"/>
          <w:lang w:val="hu-HU"/>
        </w:rPr>
        <w:t>ő</w:t>
      </w:r>
      <w:r w:rsidRPr="000C54F4">
        <w:rPr>
          <w:rFonts w:cs="Times New Roman"/>
          <w:lang w:val="hu-HU"/>
        </w:rPr>
        <w:t>en javasolt monitorozni a betegeket az</w:t>
      </w:r>
      <w:r w:rsidR="0091096B">
        <w:rPr>
          <w:rFonts w:cs="Times New Roman"/>
          <w:lang w:val="hu-HU"/>
        </w:rPr>
        <w:t xml:space="preserve"> </w:t>
      </w:r>
      <w:r w:rsidRPr="000C54F4">
        <w:rPr>
          <w:rFonts w:cs="Times New Roman"/>
          <w:lang w:val="hu-HU"/>
        </w:rPr>
        <w:t xml:space="preserve">immunrekonstitúciós gyulladásos </w:t>
      </w:r>
      <w:proofErr w:type="gramStart"/>
      <w:r w:rsidRPr="000C54F4">
        <w:rPr>
          <w:rFonts w:cs="Times New Roman"/>
          <w:lang w:val="hu-HU"/>
        </w:rPr>
        <w:t>szindróma</w:t>
      </w:r>
      <w:proofErr w:type="gramEnd"/>
      <w:r w:rsidRPr="000C54F4">
        <w:rPr>
          <w:rFonts w:cs="Times New Roman"/>
          <w:lang w:val="hu-HU"/>
        </w:rPr>
        <w:t xml:space="preserve"> (PML-IRIS) kialakulásá</w:t>
      </w:r>
      <w:r w:rsidR="0091096B">
        <w:rPr>
          <w:rFonts w:cs="Times New Roman"/>
          <w:lang w:val="hu-HU"/>
        </w:rPr>
        <w:t>n</w:t>
      </w:r>
      <w:r w:rsidRPr="000C54F4">
        <w:rPr>
          <w:rFonts w:cs="Times New Roman"/>
          <w:lang w:val="hu-HU"/>
        </w:rPr>
        <w:t>a</w:t>
      </w:r>
      <w:r w:rsidR="0091096B">
        <w:rPr>
          <w:rFonts w:cs="Times New Roman"/>
          <w:lang w:val="hu-HU"/>
        </w:rPr>
        <w:t>k</w:t>
      </w:r>
      <w:r w:rsidRPr="000C54F4">
        <w:rPr>
          <w:rFonts w:cs="Times New Roman"/>
          <w:lang w:val="hu-HU"/>
        </w:rPr>
        <w:t xml:space="preserve"> </w:t>
      </w:r>
      <w:r w:rsidR="0091096B">
        <w:rPr>
          <w:rFonts w:cs="Times New Roman"/>
          <w:lang w:val="hu-HU"/>
        </w:rPr>
        <w:t>észlelése érdekében</w:t>
      </w:r>
      <w:r w:rsidRPr="000C54F4">
        <w:rPr>
          <w:rFonts w:cs="Times New Roman"/>
          <w:lang w:val="hu-HU"/>
        </w:rPr>
        <w:t xml:space="preserve"> (lásd fentebb:</w:t>
      </w:r>
      <w:r w:rsidR="0091096B">
        <w:rPr>
          <w:rFonts w:cs="Times New Roman"/>
          <w:lang w:val="hu-HU"/>
        </w:rPr>
        <w:t xml:space="preserve"> </w:t>
      </w:r>
      <w:r w:rsidRPr="000C54F4">
        <w:rPr>
          <w:rFonts w:cs="Times New Roman" w:hint="eastAsia"/>
          <w:lang w:val="hu-HU"/>
        </w:rPr>
        <w:t>„</w:t>
      </w:r>
      <w:r w:rsidRPr="000C54F4">
        <w:rPr>
          <w:rFonts w:cs="Times New Roman"/>
          <w:lang w:val="hu-HU"/>
        </w:rPr>
        <w:t>Progressz</w:t>
      </w:r>
      <w:r w:rsidRPr="000C54F4">
        <w:rPr>
          <w:rFonts w:cs="Times New Roman" w:hint="eastAsia"/>
          <w:lang w:val="hu-HU"/>
        </w:rPr>
        <w:t>í</w:t>
      </w:r>
      <w:r w:rsidRPr="000C54F4">
        <w:rPr>
          <w:rFonts w:cs="Times New Roman"/>
          <w:lang w:val="hu-HU"/>
        </w:rPr>
        <w:t>v multifo</w:t>
      </w:r>
      <w:r w:rsidR="0091096B">
        <w:rPr>
          <w:rFonts w:cs="Times New Roman"/>
          <w:lang w:val="hu-HU"/>
        </w:rPr>
        <w:t>ká</w:t>
      </w:r>
      <w:r w:rsidRPr="000C54F4">
        <w:rPr>
          <w:rFonts w:cs="Times New Roman"/>
          <w:lang w:val="hu-HU"/>
        </w:rPr>
        <w:t>lis leukoencephalopathia</w:t>
      </w:r>
      <w:r w:rsidRPr="000C54F4">
        <w:rPr>
          <w:rFonts w:cs="Times New Roman" w:hint="eastAsia"/>
          <w:lang w:val="hu-HU"/>
        </w:rPr>
        <w:t>”</w:t>
      </w:r>
      <w:r w:rsidRPr="000C54F4">
        <w:rPr>
          <w:rFonts w:cs="Times New Roman"/>
          <w:lang w:val="hu-HU"/>
        </w:rPr>
        <w:t>).</w:t>
      </w:r>
    </w:p>
    <w:p w14:paraId="6B764DD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4964F16" w14:textId="10D9F55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rebound kockázata miatt elővigyázatosság javasolt a fingolimod terápia abbahagyásakor is (lásd fent: „A betegségaktivitás visszatérése (rebound) a fingolimod-kezelés megszakítása után”). Ha a </w:t>
      </w:r>
      <w:r w:rsidR="001916DF">
        <w:rPr>
          <w:rFonts w:cs="Times New Roman"/>
        </w:rPr>
        <w:t>Chantico</w:t>
      </w:r>
      <w:r w:rsidR="001916DF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abbahagyását szükségesnek tartják, a betegeknél ez idő alatt monitorozni kell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esetleges reboundra utaló jeleket.</w:t>
      </w:r>
    </w:p>
    <w:p w14:paraId="0564C83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C70C683" w14:textId="77777777" w:rsidR="00E46AC7" w:rsidRPr="001A762B" w:rsidRDefault="00E46AC7" w:rsidP="00E46AC7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Szerológiai vizsgálatokra gyakorolt zavaró hatás</w:t>
      </w:r>
    </w:p>
    <w:p w14:paraId="1D7C69F5" w14:textId="77777777" w:rsidR="00E46AC7" w:rsidRPr="001A762B" w:rsidRDefault="00E46AC7" w:rsidP="00E46AC7">
      <w:pPr>
        <w:rPr>
          <w:rFonts w:ascii="Times New Roman" w:eastAsia="Times New Roman" w:hAnsi="Times New Roman" w:cs="Times New Roman"/>
        </w:rPr>
      </w:pPr>
    </w:p>
    <w:p w14:paraId="48F991BA" w14:textId="57E56BC9" w:rsidR="00E46AC7" w:rsidRPr="001A762B" w:rsidRDefault="00E46AC7" w:rsidP="00E46AC7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Mivel a fingolimod a másodlagos lymphoid szervek felé történő redistribúció következtében csökkenti a vérben a lymphocyta-számot, ezért a </w:t>
      </w:r>
      <w:r w:rsidR="00B970B9">
        <w:rPr>
          <w:rFonts w:cs="Times New Roman"/>
        </w:rPr>
        <w:t xml:space="preserve">fingolimoddal </w:t>
      </w:r>
      <w:r w:rsidRPr="001A762B">
        <w:rPr>
          <w:rFonts w:cs="Times New Roman"/>
        </w:rPr>
        <w:t>kezelt betegeknél a perifériás lymphocyta-szám nem használható fel a lymphocyta</w:t>
      </w:r>
      <w:r>
        <w:rPr>
          <w:rFonts w:cs="Times New Roman"/>
        </w:rPr>
        <w:t>-</w:t>
      </w:r>
      <w:r w:rsidRPr="001A762B">
        <w:rPr>
          <w:rFonts w:cs="Times New Roman"/>
        </w:rPr>
        <w:t>altípusok státuszának meghatározására. A keringő lymphocyták számának csökkenése miatt a keringő mononuclearis sejtekkel kapcsolatos laboratóriumi vizsgálatok elvégzéséhez nagyobb mennyiségű vér szükséges.</w:t>
      </w:r>
    </w:p>
    <w:p w14:paraId="29586F7A" w14:textId="77777777" w:rsidR="00E46AC7" w:rsidRPr="001A762B" w:rsidRDefault="00E46AC7" w:rsidP="00E46AC7">
      <w:pPr>
        <w:rPr>
          <w:rFonts w:ascii="Times New Roman" w:eastAsia="Times New Roman" w:hAnsi="Times New Roman" w:cs="Times New Roman"/>
        </w:rPr>
      </w:pPr>
    </w:p>
    <w:p w14:paraId="066111C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Gyermekek és serdülők</w:t>
      </w:r>
    </w:p>
    <w:p w14:paraId="54F3396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1ED52C0" w14:textId="14A70811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biztonságossági profil gyermek</w:t>
      </w:r>
      <w:r w:rsidR="00727F90">
        <w:rPr>
          <w:rFonts w:cs="Times New Roman"/>
        </w:rPr>
        <w:t>eknél és serdülőknél</w:t>
      </w:r>
      <w:r w:rsidRPr="001A762B">
        <w:rPr>
          <w:rFonts w:cs="Times New Roman"/>
        </w:rPr>
        <w:t xml:space="preserve"> hasonló a felnőttekéhez, így a felnőttek esetében érvényes figyelmeztetések és óvintézkedések a gyermekgyógyászati betegekre is alkalmazandók.</w:t>
      </w:r>
    </w:p>
    <w:p w14:paraId="588C43A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80D18F8" w14:textId="66ED43B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1916DF">
        <w:rPr>
          <w:rFonts w:cs="Times New Roman"/>
        </w:rPr>
        <w:t>Chantico</w:t>
      </w:r>
      <w:r w:rsidR="001916DF" w:rsidRPr="001A762B">
        <w:rPr>
          <w:rFonts w:cs="Times New Roman"/>
        </w:rPr>
        <w:t xml:space="preserve"> </w:t>
      </w:r>
      <w:r w:rsidR="00727F90" w:rsidRPr="001A762B">
        <w:rPr>
          <w:rFonts w:cs="Times New Roman"/>
        </w:rPr>
        <w:t>gyermek</w:t>
      </w:r>
      <w:r w:rsidR="00727F90">
        <w:rPr>
          <w:rFonts w:cs="Times New Roman"/>
        </w:rPr>
        <w:t>- és serdülőkorú</w:t>
      </w:r>
      <w:r w:rsidR="00727F9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betegek részére történő felírásánál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alábbiakat kell különösen</w:t>
      </w:r>
      <w:r w:rsidR="00FB32E3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figyelembe venni:</w:t>
      </w:r>
    </w:p>
    <w:p w14:paraId="2DFCDBCB" w14:textId="77777777" w:rsidR="00B96464" w:rsidRDefault="001F30F8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 adag alkalmazásakor követni kell az óvintézkedéseket (lásd fent a „Bradyarrhythmia” c. részt). </w:t>
      </w:r>
    </w:p>
    <w:p w14:paraId="4983A2C2" w14:textId="3C1D59F8" w:rsidR="004C0305" w:rsidRPr="001A762B" w:rsidRDefault="001F30F8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A 0</w:t>
      </w:r>
      <w:proofErr w:type="gramStart"/>
      <w:r w:rsidRPr="001A762B">
        <w:rPr>
          <w:rFonts w:cs="Times New Roman"/>
        </w:rPr>
        <w:t>,25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-ról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napi adagra történő átállítás során az első adag bevételekor javasolt a kezelés megkezdésekor alkalmazott óvintézkedéseket megtenni.</w:t>
      </w:r>
    </w:p>
    <w:p w14:paraId="5A07BCF3" w14:textId="67E423E2" w:rsidR="004C0305" w:rsidRPr="001A762B" w:rsidRDefault="001F30F8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 xml:space="preserve">A D2311 kontrollos, gyermekgyógyászati vizsgálatban arról számoltak be, hogy nagyobb gyakorisággal fordultak elő görcsrohamok, szorongás, lehangoltság és depresszió a fingolimoddal kezelt betegeknél, mint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interferon béta-1a-val kezelt betegeknél. Ebben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alcsoportban óvatosan kell eljárni (lásd 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, „Gyermekek és serdülők” rész).</w:t>
      </w:r>
    </w:p>
    <w:p w14:paraId="75E89343" w14:textId="70153107" w:rsidR="004C0305" w:rsidRPr="001A762B" w:rsidRDefault="001F30F8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 xml:space="preserve">A bilirubinszint enyhe növekedését figyelték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 xml:space="preserve"> a </w:t>
      </w:r>
      <w:r w:rsidR="00B970B9">
        <w:rPr>
          <w:rFonts w:cs="Times New Roman"/>
        </w:rPr>
        <w:t>fingolimodo</w:t>
      </w:r>
      <w:r w:rsidR="001916DF">
        <w:rPr>
          <w:rFonts w:cs="Times New Roman"/>
        </w:rPr>
        <w:t>t</w:t>
      </w:r>
      <w:r w:rsidR="001916DF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kapó </w:t>
      </w:r>
      <w:r w:rsidR="00727F90" w:rsidRPr="001A762B">
        <w:rPr>
          <w:rFonts w:cs="Times New Roman"/>
        </w:rPr>
        <w:t>gyermek</w:t>
      </w:r>
      <w:r w:rsidR="00727F90">
        <w:rPr>
          <w:rFonts w:cs="Times New Roman"/>
        </w:rPr>
        <w:t>eknél és serdülőknél</w:t>
      </w:r>
      <w:r w:rsidRPr="001A762B">
        <w:rPr>
          <w:rFonts w:cs="Times New Roman"/>
        </w:rPr>
        <w:t>.</w:t>
      </w:r>
    </w:p>
    <w:p w14:paraId="76665B23" w14:textId="7737F5E5" w:rsidR="004C0305" w:rsidRPr="001A762B" w:rsidRDefault="00727F90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r>
        <w:rPr>
          <w:rFonts w:cs="Times New Roman"/>
        </w:rPr>
        <w:t>G</w:t>
      </w:r>
      <w:r w:rsidRPr="001A762B">
        <w:rPr>
          <w:rFonts w:cs="Times New Roman"/>
        </w:rPr>
        <w:t>yermek</w:t>
      </w:r>
      <w:r>
        <w:rPr>
          <w:rFonts w:cs="Times New Roman"/>
        </w:rPr>
        <w:t>- és serdülőkorú</w:t>
      </w:r>
      <w:r w:rsidRPr="001A762B" w:rsidDel="00727F90">
        <w:rPr>
          <w:rFonts w:cs="Times New Roman"/>
        </w:rPr>
        <w:t xml:space="preserve"> </w:t>
      </w:r>
      <w:r w:rsidR="001F30F8" w:rsidRPr="001A762B">
        <w:rPr>
          <w:rFonts w:cs="Times New Roman"/>
        </w:rPr>
        <w:t xml:space="preserve">betegek esetében javasolt </w:t>
      </w:r>
      <w:proofErr w:type="gramStart"/>
      <w:r w:rsidR="001F30F8" w:rsidRPr="001A762B">
        <w:rPr>
          <w:rFonts w:cs="Times New Roman"/>
        </w:rPr>
        <w:t>az</w:t>
      </w:r>
      <w:proofErr w:type="gramEnd"/>
      <w:r w:rsidR="001F30F8" w:rsidRPr="001A762B">
        <w:rPr>
          <w:rFonts w:cs="Times New Roman"/>
        </w:rPr>
        <w:t xml:space="preserve"> érvényben lévő oltási rendnek megfelelő</w:t>
      </w:r>
      <w:r w:rsidR="00FB32E3" w:rsidRPr="001A762B">
        <w:rPr>
          <w:rFonts w:cs="Times New Roman"/>
        </w:rPr>
        <w:t xml:space="preserve"> </w:t>
      </w:r>
      <w:r w:rsidR="001F30F8" w:rsidRPr="001A762B">
        <w:rPr>
          <w:rFonts w:cs="Times New Roman"/>
        </w:rPr>
        <w:t xml:space="preserve">összes oltás beadása a </w:t>
      </w:r>
      <w:r w:rsidR="001916DF">
        <w:rPr>
          <w:rFonts w:cs="Times New Roman"/>
        </w:rPr>
        <w:t>Chantico</w:t>
      </w:r>
      <w:r w:rsidR="001F30F8" w:rsidRPr="001A762B">
        <w:rPr>
          <w:rFonts w:cs="Times New Roman"/>
        </w:rPr>
        <w:t>-kezelés megkezdése előtt (lásd fent a „Fertőzések” c. részt).</w:t>
      </w:r>
    </w:p>
    <w:p w14:paraId="4FC339D6" w14:textId="6261D137" w:rsidR="004C0305" w:rsidRPr="001A762B" w:rsidRDefault="001F30F8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A 10–12</w:t>
      </w:r>
      <w:r w:rsidR="00607A97">
        <w:rPr>
          <w:rFonts w:cs="Times New Roman"/>
        </w:rPr>
        <w:t> év</w:t>
      </w:r>
      <w:r w:rsidR="00727F90">
        <w:rPr>
          <w:rFonts w:cs="Times New Roman"/>
        </w:rPr>
        <w:t>es</w:t>
      </w:r>
      <w:r w:rsidRPr="001A762B">
        <w:rPr>
          <w:rFonts w:cs="Times New Roman"/>
        </w:rPr>
        <w:t>, 40</w:t>
      </w:r>
      <w:r w:rsidR="00727F90">
        <w:rPr>
          <w:rFonts w:cs="Times New Roman"/>
        </w:rPr>
        <w:t> </w:t>
      </w:r>
      <w:r w:rsidRPr="001A762B">
        <w:rPr>
          <w:rFonts w:cs="Times New Roman"/>
        </w:rPr>
        <w:t>kg alatti vagy &lt;</w:t>
      </w:r>
      <w:r w:rsidR="00727F90">
        <w:rPr>
          <w:rFonts w:cs="Times New Roman"/>
        </w:rPr>
        <w:t> </w:t>
      </w:r>
      <w:r w:rsidRPr="001A762B">
        <w:rPr>
          <w:rFonts w:cs="Times New Roman"/>
        </w:rPr>
        <w:t>2 Tanner-stádiumú gyermekek esetében nagyon korlátozott mennyiségű adat áll rendelkezésre (lásd 4.8 és 5.1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A klinikai vizsgálatból származó, korlátozott ismeretek miatt ezekben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alcsoportokban elővigyázatosság szükséges.</w:t>
      </w:r>
    </w:p>
    <w:p w14:paraId="0F8EA4C8" w14:textId="77777777" w:rsidR="004C0305" w:rsidRPr="001A762B" w:rsidRDefault="001F30F8" w:rsidP="00225D6A">
      <w:pPr>
        <w:pStyle w:val="Szvegtrzs"/>
        <w:numPr>
          <w:ilvl w:val="0"/>
          <w:numId w:val="22"/>
        </w:numPr>
        <w:ind w:left="567" w:hanging="567"/>
        <w:rPr>
          <w:rFonts w:cs="Times New Roman"/>
        </w:rPr>
      </w:pPr>
      <w:r w:rsidRPr="001A762B">
        <w:rPr>
          <w:rFonts w:cs="Times New Roman"/>
        </w:rPr>
        <w:t>Gyermekek és serdülők esetében hosszú távú biztonságossági adatok nem állnak rendelkezésre.</w:t>
      </w:r>
    </w:p>
    <w:p w14:paraId="6E543E8E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0F0CCBE" w14:textId="77777777" w:rsidR="004C0305" w:rsidRPr="001A762B" w:rsidRDefault="001F30F8" w:rsidP="00225D6A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4.5</w:t>
      </w:r>
      <w:r w:rsidRPr="001A762B">
        <w:rPr>
          <w:rFonts w:cs="Times New Roman"/>
        </w:rPr>
        <w:tab/>
        <w:t>Gyógyszerkölcsönhatások és egyéb interakciók</w:t>
      </w:r>
    </w:p>
    <w:p w14:paraId="20EB51F1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7EB357E0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Daganatellenes, immunmoduláló vagy immunszuppresszív kezelések</w:t>
      </w:r>
    </w:p>
    <w:p w14:paraId="413F179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C791FBA" w14:textId="4D297E8C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additív immunrendszeri hatások kockázata miatt a daganatellenes, immunmoduláló vagy immunszuppresszív terápiákat nem szabad egyidejűleg alkalmazni (lásd 4.3 és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3DC2DF90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8076B9B" w14:textId="35BA343E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Akkor is elővigyázatosság szükséges, amikor a betegeket immunrendszeri hatásokkal bíró hosszú hatású kezelésekről, például natalizumabról, teriflunomidról vagy mitoxantronról állítják át (lásd</w:t>
      </w:r>
      <w:r w:rsidR="00FB32E3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 A sclerosis multiplex miatt végzett klinikai vizsgálatokban a relapszusoknak kortikoszteroidokkal történő, rövid ideig tartó egyidejű kezelése nem járt a fertőzések arányának növekedésével.</w:t>
      </w:r>
    </w:p>
    <w:p w14:paraId="4FB80069" w14:textId="77777777" w:rsidR="001F30F8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</w:p>
    <w:p w14:paraId="60F49396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Vakcináció</w:t>
      </w:r>
    </w:p>
    <w:p w14:paraId="21CEBA5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2D01F3C" w14:textId="5FBD1474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1916DF">
        <w:rPr>
          <w:rFonts w:cs="Times New Roman"/>
        </w:rPr>
        <w:t>Chantico</w:t>
      </w:r>
      <w:r w:rsidRPr="001A762B">
        <w:rPr>
          <w:rFonts w:cs="Times New Roman"/>
        </w:rPr>
        <w:t>-kezelés ideje alatt és utána legfeljebb 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ig előfordulhat, hogy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oltás kevésbé hatásos. Élő, attenuált kórokozókat tartalmazó vakcinák alkalmazása a fertőzések kockázatát hordozhatja, ezért </w:t>
      </w:r>
      <w:proofErr w:type="gramStart"/>
      <w:r w:rsidRPr="001A762B">
        <w:rPr>
          <w:rFonts w:cs="Times New Roman"/>
        </w:rPr>
        <w:t>azt</w:t>
      </w:r>
      <w:proofErr w:type="gramEnd"/>
      <w:r w:rsidRPr="001A762B">
        <w:rPr>
          <w:rFonts w:cs="Times New Roman"/>
        </w:rPr>
        <w:t xml:space="preserve"> kerülni kell (lásd 4.4 és 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554B0308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9C039A0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Bradycardiát indukáló hatóanyagok</w:t>
      </w:r>
    </w:p>
    <w:p w14:paraId="1E6F824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6E668EA" w14:textId="4212C1B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fingolimodot atenolollal és diltiazemmel kombinációban vizsgálták. Amikor a fingolimodot egy egészséges önkénteseken végzett interakciós vizsgálatban atenolollal együtt alkalmazták, a </w:t>
      </w:r>
      <w:r w:rsidR="00F714F4">
        <w:rPr>
          <w:rFonts w:cs="Times New Roman"/>
        </w:rPr>
        <w:t>szívfrekvencia</w:t>
      </w:r>
      <w:r w:rsidR="00F714F4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további, 15%-os csökkenése lépett fel, de ezt a hatást a diltiazem esetén nem észlelték. A béta-blokkolókat vagy a </w:t>
      </w:r>
      <w:r w:rsidR="00F714F4">
        <w:rPr>
          <w:rFonts w:cs="Times New Roman"/>
        </w:rPr>
        <w:t>szívfrekvenciát</w:t>
      </w:r>
      <w:r w:rsidR="00F714F4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esetleg csökkentő, egyéb hatóanyagokat, például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Ia és a</w:t>
      </w:r>
      <w:r w:rsidR="00FB32E3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III. </w:t>
      </w:r>
      <w:proofErr w:type="gramStart"/>
      <w:r w:rsidRPr="001A762B">
        <w:rPr>
          <w:rFonts w:cs="Times New Roman"/>
        </w:rPr>
        <w:t>osztályba</w:t>
      </w:r>
      <w:proofErr w:type="gramEnd"/>
      <w:r w:rsidRPr="001A762B">
        <w:rPr>
          <w:rFonts w:cs="Times New Roman"/>
        </w:rPr>
        <w:t xml:space="preserve"> tartozó antiarrhythmiás gyógyszereket, kalciumcsatorna-blokkolókat (például verapamilt vagy diltiazemet), ivabradint, digoxint, antikolinészteráz szereket vagy pilokarpint kapó betegeknél a </w:t>
      </w:r>
      <w:r w:rsidR="00F714F4">
        <w:rPr>
          <w:rFonts w:cs="Times New Roman"/>
        </w:rPr>
        <w:t>szívfrekvenciára</w:t>
      </w:r>
      <w:r w:rsidR="00F714F4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gyakorolt potenciális additív hatások miatt a </w:t>
      </w:r>
      <w:r w:rsidR="00E4273C">
        <w:rPr>
          <w:rFonts w:cs="Times New Roman"/>
        </w:rPr>
        <w:t>Chantico</w:t>
      </w:r>
      <w:r w:rsidRPr="001A762B">
        <w:rPr>
          <w:rFonts w:cs="Times New Roman"/>
        </w:rPr>
        <w:t>-kezelést nem szabad elkezdeni (lásd 4.4 és 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A </w:t>
      </w:r>
      <w:r w:rsidR="00E4273C">
        <w:rPr>
          <w:rFonts w:cs="Times New Roman"/>
        </w:rPr>
        <w:t>Chantico</w:t>
      </w:r>
      <w:r w:rsidRPr="001A762B">
        <w:rPr>
          <w:rFonts w:cs="Times New Roman"/>
        </w:rPr>
        <w:t xml:space="preserve">-kezelés ilyen betegeknél történő mérlegelésekor kardiológus tanácsát kell kérni egy, a </w:t>
      </w:r>
      <w:r w:rsidR="00F714F4">
        <w:rPr>
          <w:rFonts w:cs="Times New Roman"/>
        </w:rPr>
        <w:t>szívfrekvenciát</w:t>
      </w:r>
      <w:r w:rsidR="00F714F4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nem csökkentő gyógyszerre történő átállítást vagy a kezelés elkezdésének megfelelő monitorozását illetően, ha a </w:t>
      </w:r>
      <w:r w:rsidR="00F714F4">
        <w:rPr>
          <w:rFonts w:cs="Times New Roman"/>
        </w:rPr>
        <w:t>szívfrekvenciát</w:t>
      </w:r>
      <w:r w:rsidR="00F714F4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csökkentő gyógyszert nem lehet abbahagyni, akkor legalább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egész éjszakán át tartó monitorozás javasolt.</w:t>
      </w:r>
    </w:p>
    <w:p w14:paraId="4053A18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368FE60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Más hatóanyagoknak a fingolimodra gyakorolt farmakokinetikai kölcsönhatásai</w:t>
      </w:r>
    </w:p>
    <w:p w14:paraId="4DF3A18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687E301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elsősorban a CYP4F2-n keresztül metabolizálódik. Más enzimek, például a CYP3A4 is részt vehetnek a metabolizmusában, különösképpen erős CYP3A4-indukció esetén. A transzportproteinek potens inhibitorai várhatóan nem befolyásolják a fingolimod eloszlását. A fingolimod ketokonazollal történő együttes alkalmazása a CYP4F2 gátlásán keresztül a fingolimod és a fingolimod-foszfát-expozíció (AUC) 1</w:t>
      </w:r>
      <w:proofErr w:type="gramStart"/>
      <w:r w:rsidRPr="001A762B">
        <w:rPr>
          <w:rFonts w:cs="Times New Roman"/>
        </w:rPr>
        <w:t>,7</w:t>
      </w:r>
      <w:proofErr w:type="gramEnd"/>
      <w:r w:rsidRPr="001A762B">
        <w:rPr>
          <w:rFonts w:cs="Times New Roman"/>
        </w:rPr>
        <w:t xml:space="preserve">-szeres emelkedését eredményezte.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olyan hatóanyagokkal, amelyek gátolhatják a CYP3A4-et (proteáz inhibitorok, azol-típusú gombaellenes szerek, néhány makrolid, mint például a klaritromicin vagy a telitromicin) elővigyázatosság szükséges.</w:t>
      </w:r>
    </w:p>
    <w:p w14:paraId="761C4A9E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C536BD5" w14:textId="2F51848D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Dinamikus egyensúlyi állapotban naponta kétszer 600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karbamazepin és a fingolimod egyszeri, 2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adagjának együttes adása a fingolimod és metabolitja AUC-jét megközelítőleg 40%-kal csökkentette. Más erős CYP3A4 enziminduktorok, például a rifampicin, fenobarbitál, fenitoin,</w:t>
      </w:r>
      <w:r w:rsidR="00F714F4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efavirenz és </w:t>
      </w:r>
      <w:r w:rsidR="00341A87">
        <w:rPr>
          <w:rFonts w:cs="Times New Roman"/>
        </w:rPr>
        <w:t>közönséges</w:t>
      </w:r>
      <w:r w:rsidR="00341A8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orbáncfű legalább ilyen mértékben csökkentheti a fingolimod és metabolitja AUC-jét. Mivel ez potenciálisan ronthatja a hatásosságot, kombinációjukat óvatosan kell alkalmazni. Ugyanakkor </w:t>
      </w:r>
      <w:r w:rsidR="00F714F4">
        <w:rPr>
          <w:rFonts w:cs="Times New Roman"/>
        </w:rPr>
        <w:t>közönséges</w:t>
      </w:r>
      <w:r w:rsidR="00F714F4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orbáncfűvel való egyidejű alkalmazása nem javasolt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675CA6D7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879657D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A fingolimodnak más hatóanyagokra gyakorolt farmakokinetikai kölcsönhatásai</w:t>
      </w:r>
    </w:p>
    <w:p w14:paraId="14374F05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8DF27C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Nem valószínű, hogy a fingolimod kölcsönhatásba lép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elsősorban a CYP450 enzim által</w:t>
      </w:r>
      <w:r w:rsidR="00FB32E3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metabolizált hatóanyagokkal vagy a fő transzportproteinek szubsztrátjaival.</w:t>
      </w:r>
    </w:p>
    <w:p w14:paraId="14065A56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2C44293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ciklosporinnal történő egyidejű alkalmazása nem okozott semmilyen változást a ciklosporin- vagy a fingolimod-expozícióban. Ezért a fingolimod várhatóan nem változtatja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 xml:space="preserve"> a CYP3A4-szubsztrát gyógyszerek farmakokinetikáját.</w:t>
      </w:r>
    </w:p>
    <w:p w14:paraId="4E3AD71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25B924F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orális fogamzásgátlókkal (etinilösztradiollal és levonorgesztrellel) történő egyidejű alkalmazása nem okozott semmilyen változást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orális fogamzásgátló expozíciójában.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egyéb progesztagéneket tartalmazó orális fogamzásgátlókkal interakciós vizsgálatokat nem végeztek, azonban nem várható, hogy a fingolimod hatással lenne azok expozíciójára.</w:t>
      </w:r>
    </w:p>
    <w:p w14:paraId="4E08B691" w14:textId="77777777" w:rsidR="001F30F8" w:rsidRPr="001A762B" w:rsidRDefault="001F30F8" w:rsidP="00225D6A">
      <w:pPr>
        <w:pStyle w:val="Cmsor1"/>
        <w:tabs>
          <w:tab w:val="left" w:pos="685"/>
        </w:tabs>
        <w:ind w:left="0"/>
        <w:rPr>
          <w:rFonts w:cs="Times New Roman"/>
        </w:rPr>
      </w:pPr>
    </w:p>
    <w:p w14:paraId="3F50B8A9" w14:textId="77777777" w:rsidR="004C0305" w:rsidRPr="001A762B" w:rsidRDefault="001F30F8" w:rsidP="00225D6A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4.6</w:t>
      </w:r>
      <w:r w:rsidRPr="001A762B">
        <w:rPr>
          <w:rFonts w:cs="Times New Roman"/>
        </w:rPr>
        <w:tab/>
        <w:t>Termékenység, terhesség és szoptatás</w:t>
      </w:r>
    </w:p>
    <w:p w14:paraId="16C8F906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3706158D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Fogamzóképes nők / Fogamzásgátlás nők esetében</w:t>
      </w:r>
    </w:p>
    <w:p w14:paraId="7F7588C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B0E24B8" w14:textId="6556E971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ellenjavallt olyan fogamzóképes nőknél, akik nem alkalmaznak hatékony fogamzásgátlást. Ezért a kezelés megkezdése előtt a fogamzóképes nők esetén negatív terhességi teszteredménynek kell rendelkezésre állnia, és felvilágosítást kell adni a magzatra gyakorolt súlyos kockázatokat illetően. A fogamzóképes nőknek hatékony fogamzásgátlást kell alkalmazniuk a </w:t>
      </w:r>
      <w:r w:rsidR="00102EDD">
        <w:rPr>
          <w:rFonts w:cs="Times New Roman"/>
        </w:rPr>
        <w:t>Chantico</w:t>
      </w:r>
      <w:r w:rsidRPr="001A762B">
        <w:rPr>
          <w:rFonts w:cs="Times New Roman"/>
        </w:rPr>
        <w:t>-kezelés ideje alatt és a kezelés leállítását követően 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on keresztül, mivel a kezelés leállításától számítva megközelítőleg két</w:t>
      </w:r>
      <w:r w:rsidR="00F714F4">
        <w:rPr>
          <w:rFonts w:cs="Times New Roman"/>
        </w:rPr>
        <w:t xml:space="preserve"> </w:t>
      </w:r>
      <w:r w:rsidR="00607A97">
        <w:rPr>
          <w:rFonts w:cs="Times New Roman"/>
        </w:rPr>
        <w:t>hónap</w:t>
      </w:r>
      <w:r w:rsidRPr="001A762B">
        <w:rPr>
          <w:rFonts w:cs="Times New Roman"/>
        </w:rPr>
        <w:t>ig tart, amíg a fingolimod kiürül a szervezetből (lásd</w:t>
      </w:r>
      <w:r w:rsidR="00BA721C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46FC23AC" w14:textId="0E78E7B5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</w:t>
      </w:r>
      <w:r w:rsidR="00F714F4">
        <w:rPr>
          <w:rFonts w:cs="Times New Roman"/>
        </w:rPr>
        <w:t>o</w:t>
      </w:r>
      <w:r w:rsidRPr="001A762B">
        <w:rPr>
          <w:rFonts w:cs="Times New Roman"/>
        </w:rPr>
        <w:t xml:space="preserve">rvosoknak szóló </w:t>
      </w:r>
      <w:r w:rsidR="00F714F4">
        <w:rPr>
          <w:rFonts w:cs="Times New Roman"/>
        </w:rPr>
        <w:t>i</w:t>
      </w:r>
      <w:r w:rsidRPr="001A762B">
        <w:rPr>
          <w:rFonts w:cs="Times New Roman"/>
        </w:rPr>
        <w:t xml:space="preserve">nformációs </w:t>
      </w:r>
      <w:r w:rsidR="00F714F4">
        <w:rPr>
          <w:rFonts w:cs="Times New Roman"/>
        </w:rPr>
        <w:t>c</w:t>
      </w:r>
      <w:r w:rsidRPr="001A762B">
        <w:rPr>
          <w:rFonts w:cs="Times New Roman"/>
        </w:rPr>
        <w:t xml:space="preserve">somag specifikus intézkedéseket is tartalmaz. Ezeket végre kell hajtani, mielőtt nőknek fingolimodot írnak fel, </w:t>
      </w:r>
      <w:proofErr w:type="gramStart"/>
      <w:r w:rsidRPr="001A762B">
        <w:rPr>
          <w:rFonts w:cs="Times New Roman"/>
        </w:rPr>
        <w:t>valamint</w:t>
      </w:r>
      <w:proofErr w:type="gramEnd"/>
      <w:r w:rsidRPr="001A762B">
        <w:rPr>
          <w:rFonts w:cs="Times New Roman"/>
        </w:rPr>
        <w:t xml:space="preserve"> a kezelés során is.</w:t>
      </w:r>
    </w:p>
    <w:p w14:paraId="335C5511" w14:textId="555DE50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fingolimod-terápia terhesség tervezése céljából történő leállítása esetén számolni kell a betegségaktivitás kiújulásának lehetőségével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0211C8A1" w14:textId="77777777" w:rsidR="00904C84" w:rsidRDefault="00904C84" w:rsidP="00225D6A">
      <w:pPr>
        <w:rPr>
          <w:rFonts w:ascii="Times New Roman" w:eastAsia="Times New Roman" w:hAnsi="Times New Roman" w:cs="Times New Roman"/>
        </w:rPr>
      </w:pPr>
    </w:p>
    <w:p w14:paraId="1F68946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Terhesség</w:t>
      </w:r>
    </w:p>
    <w:p w14:paraId="0A11789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B4C6F3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Humán tapasztalatok alapján, a forgalomba hozatalt követően megismert adatok értelmében a terhesség során alkalmazott fingolimod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általános populációban megfigyelt arány (2-3%; EUROCAT) 2-szeresére növelte a jelentős fejlődési rendellenességek kockázatát.</w:t>
      </w:r>
    </w:p>
    <w:p w14:paraId="1E54089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8DB7B9A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következő jelentős malformációkról számoltak be a leggyakrabban:</w:t>
      </w:r>
    </w:p>
    <w:p w14:paraId="3721937E" w14:textId="77777777" w:rsidR="004C0305" w:rsidRPr="001A762B" w:rsidRDefault="001F30F8" w:rsidP="00225D6A">
      <w:pPr>
        <w:pStyle w:val="Szvegtrzs"/>
        <w:numPr>
          <w:ilvl w:val="0"/>
          <w:numId w:val="21"/>
        </w:numPr>
        <w:tabs>
          <w:tab w:val="left" w:pos="567"/>
        </w:tabs>
        <w:ind w:left="0" w:firstLine="0"/>
        <w:rPr>
          <w:rFonts w:cs="Times New Roman"/>
        </w:rPr>
      </w:pPr>
      <w:r w:rsidRPr="001A762B">
        <w:rPr>
          <w:rFonts w:cs="Times New Roman"/>
        </w:rPr>
        <w:t>Veleszületett szívbetegség, mint például pitvari és kamrai sövénydefektus, Fallot-tetralógia</w:t>
      </w:r>
    </w:p>
    <w:p w14:paraId="1E242CBB" w14:textId="03628932" w:rsidR="004C0305" w:rsidRPr="001A762B" w:rsidRDefault="001F30F8" w:rsidP="00225D6A">
      <w:pPr>
        <w:pStyle w:val="Szvegtrzs"/>
        <w:numPr>
          <w:ilvl w:val="0"/>
          <w:numId w:val="21"/>
        </w:numPr>
        <w:tabs>
          <w:tab w:val="left" w:pos="567"/>
        </w:tabs>
        <w:ind w:left="0" w:firstLine="0"/>
        <w:rPr>
          <w:rFonts w:cs="Times New Roman"/>
        </w:rPr>
      </w:pPr>
      <w:r w:rsidRPr="001A762B">
        <w:rPr>
          <w:rFonts w:cs="Times New Roman"/>
        </w:rPr>
        <w:t>Veserendellenességek</w:t>
      </w:r>
    </w:p>
    <w:p w14:paraId="6CD4C13F" w14:textId="77777777" w:rsidR="004C0305" w:rsidRPr="001A762B" w:rsidRDefault="001F30F8" w:rsidP="00225D6A">
      <w:pPr>
        <w:pStyle w:val="Szvegtrzs"/>
        <w:numPr>
          <w:ilvl w:val="0"/>
          <w:numId w:val="21"/>
        </w:numPr>
        <w:tabs>
          <w:tab w:val="left" w:pos="567"/>
        </w:tabs>
        <w:ind w:left="0" w:firstLine="0"/>
        <w:rPr>
          <w:rFonts w:cs="Times New Roman"/>
        </w:rPr>
      </w:pPr>
      <w:r w:rsidRPr="001A762B">
        <w:rPr>
          <w:rFonts w:cs="Times New Roman"/>
        </w:rPr>
        <w:t>Mozgásszervi rendellenességek</w:t>
      </w:r>
    </w:p>
    <w:p w14:paraId="39067A6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891DC0A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vajúdásra és szülésre gyakorolt hatásait illetően nincs adat.</w:t>
      </w:r>
    </w:p>
    <w:p w14:paraId="1EB34EB1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FDE94B8" w14:textId="38C191F8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állatkísérletek reproduktív toxicitást, ezen belül magzati veszteséget és szervkárosodásokat</w:t>
      </w:r>
      <w:r w:rsidR="00BA721C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mutattak, elsősorban nyitott truncus arteriosus Botalli-t és ventricularis septum defectust (lásd</w:t>
      </w:r>
      <w:r w:rsidR="00BA721C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5.3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Ezen felül,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ismeretek szerint a fingolimod által érintett receptor (szfingozin 1-foszfát-receptor) az embryogenesis alatt részt vesz az érképződésben.</w:t>
      </w:r>
    </w:p>
    <w:p w14:paraId="78FC4E6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259A7E8" w14:textId="35B8275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Következésképpen a fingolimod ellenjavallt terhesség során (lásd 4.3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 A fingolimod alkalmazását terhesség tervezése előtt 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pal le kell állítani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Ha egy nő a kezelés alatt esik teherbe, a fingolimod-kezelést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 xml:space="preserve"> kell szakítani. A beteget fel kell világosítani a kezelés magzatra gyakorolt ártalmas hatásainak kockázatáról, és ultrahangvizsgálatot kell végezni.</w:t>
      </w:r>
    </w:p>
    <w:p w14:paraId="448B2FF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ABB276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Szoptatás</w:t>
      </w:r>
    </w:p>
    <w:p w14:paraId="68E2F4F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5DC155F" w14:textId="713FE41A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a szoptatás alatt kiválasztódik a kezelt állatok tejébe (lásd 5.3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Annak lehetősége miatt, hogy a fingolimod a szoptatott csecsemőknél súlyos mellékhatásokat okozhat, a </w:t>
      </w:r>
      <w:r w:rsidR="00102EDD">
        <w:rPr>
          <w:rFonts w:cs="Times New Roman"/>
        </w:rPr>
        <w:t>Chantico</w:t>
      </w:r>
      <w:r w:rsidRPr="001A762B">
        <w:rPr>
          <w:rFonts w:cs="Times New Roman"/>
        </w:rPr>
        <w:t>-t kapó nők nem szoptathatnak.</w:t>
      </w:r>
    </w:p>
    <w:p w14:paraId="472CCA75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C5FC86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Termékenység</w:t>
      </w:r>
    </w:p>
    <w:p w14:paraId="21976EA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97D0410" w14:textId="24912962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preklinikai vizsgálatokból származó adatok nem utalnak arra, hogy a fingolimod a termékenység csökkenésének magasabb kockázatával járna (lásd 5.3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5C11BC4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F707078" w14:textId="77777777" w:rsidR="004C0305" w:rsidRPr="001A762B" w:rsidRDefault="001F30F8" w:rsidP="00225D6A">
      <w:pPr>
        <w:pStyle w:val="Cmsor1"/>
        <w:numPr>
          <w:ilvl w:val="1"/>
          <w:numId w:val="20"/>
        </w:numPr>
        <w:ind w:left="567" w:hanging="567"/>
        <w:rPr>
          <w:rFonts w:cs="Times New Roman"/>
          <w:b w:val="0"/>
          <w:bCs w:val="0"/>
        </w:rPr>
      </w:pPr>
      <w:r w:rsidRPr="001A762B">
        <w:rPr>
          <w:rFonts w:cs="Times New Roman"/>
        </w:rPr>
        <w:t>A készítmény hatásai a gépjárművezetéshez és a gépek kezeléséhez szükséges képességekre</w:t>
      </w:r>
    </w:p>
    <w:p w14:paraId="0797776D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58CD3D2E" w14:textId="37B659F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102EDD">
        <w:rPr>
          <w:rFonts w:cs="Times New Roman"/>
        </w:rPr>
        <w:t>Chantico</w:t>
      </w:r>
      <w:r w:rsidRPr="001A762B">
        <w:rPr>
          <w:rFonts w:cs="Times New Roman"/>
        </w:rPr>
        <w:t xml:space="preserve"> nem vagy csak elhanyagolható mértékben befolyásolja a gépjárművezetéshez és a gépek kezeléséhez szükséges képességeket.</w:t>
      </w:r>
    </w:p>
    <w:p w14:paraId="54B0EA79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221FF8DA" w14:textId="4142484C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Ugyanakkor a kezelés elkezdésekor esetenként szédülés vagy álmosság fordulhat elő. A kezelés megkezdésekor a betegek 6 órán át tartó megfigyelése javasolt (lásd 4.4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, Bradyarrhythmia).</w:t>
      </w:r>
    </w:p>
    <w:p w14:paraId="3F9A9551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85F2144" w14:textId="77777777" w:rsidR="004C0305" w:rsidRPr="001A762B" w:rsidRDefault="001F30F8" w:rsidP="00225D6A">
      <w:pPr>
        <w:pStyle w:val="Cmsor1"/>
        <w:numPr>
          <w:ilvl w:val="1"/>
          <w:numId w:val="20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Nemkívánatos hatások, mellékhatások</w:t>
      </w:r>
    </w:p>
    <w:p w14:paraId="648BE333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65980FE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A biztonságossági profil összefoglalása</w:t>
      </w:r>
    </w:p>
    <w:p w14:paraId="15A67B0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ABD4FFB" w14:textId="77777777" w:rsidR="00322EBD" w:rsidRDefault="00322EBD" w:rsidP="00225D6A">
      <w:pPr>
        <w:pStyle w:val="Szvegtrzs"/>
        <w:ind w:left="0"/>
      </w:pPr>
      <w:r>
        <w:t xml:space="preserve">A 0,5 mg dózis esetén a leggyakoribb mellékhatások (előfordulási gyakoriság ≥ 10%) a fejfájás (24,5%), az emelkedett májenzimszintek (15,2%), a hasmenés (12,6%), a köhögés (12,3%), az influenza (11,4), a sinusitis (10,9%) és a hátfájás (10,0%) voltak. </w:t>
      </w:r>
    </w:p>
    <w:p w14:paraId="6023E6BE" w14:textId="77777777" w:rsidR="00722BA5" w:rsidRPr="001A762B" w:rsidRDefault="00722BA5" w:rsidP="00225D6A">
      <w:pPr>
        <w:rPr>
          <w:rFonts w:ascii="Times New Roman" w:eastAsia="Times New Roman" w:hAnsi="Times New Roman" w:cs="Times New Roman"/>
        </w:rPr>
      </w:pPr>
    </w:p>
    <w:p w14:paraId="0A464311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A mellékhatások táblázatos felsorolása</w:t>
      </w:r>
    </w:p>
    <w:p w14:paraId="4487A9E8" w14:textId="126CA54D" w:rsidR="004C0305" w:rsidRDefault="004C0305" w:rsidP="0087685B">
      <w:pPr>
        <w:jc w:val="both"/>
        <w:rPr>
          <w:rFonts w:ascii="Times New Roman" w:eastAsia="Times New Roman" w:hAnsi="Times New Roman" w:cs="Times New Roman"/>
        </w:rPr>
      </w:pPr>
    </w:p>
    <w:p w14:paraId="57FB56B4" w14:textId="12004925" w:rsidR="00322EBD" w:rsidRPr="001A762B" w:rsidRDefault="00322EBD" w:rsidP="00322EBD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>
        <w:rPr>
          <w:rFonts w:cs="Times New Roman"/>
        </w:rPr>
        <w:t xml:space="preserve">klinikai </w:t>
      </w:r>
      <w:r w:rsidRPr="001A762B">
        <w:rPr>
          <w:rFonts w:cs="Times New Roman"/>
        </w:rPr>
        <w:t>vizsgálatokban jelentett</w:t>
      </w:r>
      <w:r>
        <w:rPr>
          <w:rFonts w:cs="Times New Roman"/>
        </w:rPr>
        <w:t xml:space="preserve">, </w:t>
      </w:r>
      <w:r>
        <w:t>valamint a forgalomba hozatalt követően spontán bejelentésekből vagy szakirodalmi esetekből származó</w:t>
      </w:r>
      <w:r w:rsidRPr="001A762B">
        <w:rPr>
          <w:rFonts w:cs="Times New Roman"/>
        </w:rPr>
        <w:t xml:space="preserve"> mellékhatások alább kerülnek bemutatásra. A gyakorisági kategóriák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alábbi megegyezés szerint kerültek megadásra: nagyon gyakori (≥ 1/10), gyakori (≥1/100 </w:t>
      </w:r>
      <w:r>
        <w:rPr>
          <w:rFonts w:cs="Times New Roman"/>
        </w:rPr>
        <w:t>–</w:t>
      </w:r>
      <w:r w:rsidRPr="001A762B">
        <w:rPr>
          <w:rFonts w:cs="Times New Roman"/>
        </w:rPr>
        <w:t xml:space="preserve"> &lt;1/10), nem gyakori (≥1/1000 </w:t>
      </w:r>
      <w:r>
        <w:rPr>
          <w:rFonts w:cs="Times New Roman"/>
        </w:rPr>
        <w:t>–</w:t>
      </w:r>
      <w:r w:rsidRPr="001A762B">
        <w:rPr>
          <w:rFonts w:cs="Times New Roman"/>
        </w:rPr>
        <w:t xml:space="preserve"> &lt;1/100), ritka (≥1/10</w:t>
      </w:r>
      <w:r>
        <w:rPr>
          <w:rFonts w:cs="Times New Roman"/>
        </w:rPr>
        <w:t> </w:t>
      </w:r>
      <w:r w:rsidRPr="001A762B">
        <w:rPr>
          <w:rFonts w:cs="Times New Roman"/>
        </w:rPr>
        <w:t xml:space="preserve">000 </w:t>
      </w:r>
      <w:r>
        <w:rPr>
          <w:rFonts w:cs="Times New Roman"/>
        </w:rPr>
        <w:t>–</w:t>
      </w:r>
      <w:r w:rsidRPr="001A762B">
        <w:rPr>
          <w:rFonts w:cs="Times New Roman"/>
        </w:rPr>
        <w:t xml:space="preserve"> &lt; 1/1000) és nagyon ritka (&lt;1/10</w:t>
      </w:r>
      <w:r>
        <w:rPr>
          <w:rFonts w:cs="Times New Roman"/>
        </w:rPr>
        <w:t> </w:t>
      </w:r>
      <w:r w:rsidRPr="001A762B">
        <w:rPr>
          <w:rFonts w:cs="Times New Roman"/>
        </w:rPr>
        <w:t>000), nem ismert (</w:t>
      </w:r>
      <w:r>
        <w:rPr>
          <w:rFonts w:cs="Times New Roman"/>
        </w:rPr>
        <w:t xml:space="preserve">a gyakoriság </w:t>
      </w:r>
      <w:r w:rsidRPr="001A762B">
        <w:rPr>
          <w:rFonts w:cs="Times New Roman"/>
        </w:rPr>
        <w:t>a rendelkezésre álló adatokból nem állapítható meg).</w:t>
      </w:r>
      <w:r>
        <w:rPr>
          <w:rFonts w:cs="Times New Roman"/>
        </w:rPr>
        <w:t xml:space="preserve"> </w:t>
      </w:r>
      <w:proofErr w:type="gramStart"/>
      <w:r>
        <w:t>Az</w:t>
      </w:r>
      <w:proofErr w:type="gramEnd"/>
      <w:r>
        <w:t xml:space="preserve"> egyes gyakorisági kategóriákon belül a mellékhatások csökkenő súlyosság szerint kerülnek feltüntetésre.</w:t>
      </w:r>
    </w:p>
    <w:p w14:paraId="6D0E485F" w14:textId="77777777" w:rsidR="00322EBD" w:rsidRPr="001A762B" w:rsidRDefault="00322EBD" w:rsidP="0087685B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9781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2784"/>
        <w:gridCol w:w="6997"/>
      </w:tblGrid>
      <w:tr w:rsidR="004C0305" w:rsidRPr="001A762B" w14:paraId="1CCC6EE6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238E151B" w14:textId="77777777" w:rsidR="004C0305" w:rsidRPr="001A762B" w:rsidRDefault="001F30F8" w:rsidP="0087685B">
            <w:pPr>
              <w:pStyle w:val="TableParagraph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Fertőző betegségek és parazitafertőzések</w:t>
            </w:r>
          </w:p>
        </w:tc>
      </w:tr>
      <w:tr w:rsidR="004C0305" w:rsidRPr="001A762B" w14:paraId="5CB03C90" w14:textId="77777777" w:rsidTr="0089258C">
        <w:trPr>
          <w:trHeight w:hRule="exact" w:val="516"/>
        </w:trPr>
        <w:tc>
          <w:tcPr>
            <w:tcW w:w="2784" w:type="dxa"/>
          </w:tcPr>
          <w:p w14:paraId="69C728F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gyakori:</w:t>
            </w:r>
          </w:p>
        </w:tc>
        <w:tc>
          <w:tcPr>
            <w:tcW w:w="6997" w:type="dxa"/>
          </w:tcPr>
          <w:p w14:paraId="3526BEDB" w14:textId="77777777" w:rsidR="00904C84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 xml:space="preserve">Influenza </w:t>
            </w:r>
          </w:p>
          <w:p w14:paraId="187BB3DF" w14:textId="2A74A7A9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Sinusitis</w:t>
            </w:r>
          </w:p>
        </w:tc>
      </w:tr>
      <w:tr w:rsidR="004C0305" w:rsidRPr="001A762B" w14:paraId="4ADE3245" w14:textId="77777777" w:rsidTr="0089258C">
        <w:trPr>
          <w:trHeight w:hRule="exact" w:val="778"/>
        </w:trPr>
        <w:tc>
          <w:tcPr>
            <w:tcW w:w="2784" w:type="dxa"/>
          </w:tcPr>
          <w:p w14:paraId="7010563F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3DC9AB5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Herpes vírus okozta fertőzés</w:t>
            </w:r>
          </w:p>
          <w:p w14:paraId="5B83159C" w14:textId="77777777" w:rsidR="000D4AB0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Bronchitis</w:t>
            </w:r>
          </w:p>
          <w:p w14:paraId="7CBF1D91" w14:textId="358FB60E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Tinea versicolor</w:t>
            </w:r>
          </w:p>
        </w:tc>
      </w:tr>
      <w:tr w:rsidR="004C0305" w:rsidRPr="001A762B" w14:paraId="68F1B758" w14:textId="77777777" w:rsidTr="0089258C">
        <w:trPr>
          <w:trHeight w:hRule="exact" w:val="263"/>
        </w:trPr>
        <w:tc>
          <w:tcPr>
            <w:tcW w:w="2784" w:type="dxa"/>
          </w:tcPr>
          <w:p w14:paraId="493B5ECD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05B0C13B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Pneumonia</w:t>
            </w:r>
          </w:p>
        </w:tc>
      </w:tr>
      <w:tr w:rsidR="004C0305" w:rsidRPr="001A762B" w14:paraId="273A70EF" w14:textId="77777777" w:rsidTr="0089258C">
        <w:trPr>
          <w:trHeight w:hRule="exact" w:val="516"/>
        </w:trPr>
        <w:tc>
          <w:tcPr>
            <w:tcW w:w="2784" w:type="dxa"/>
          </w:tcPr>
          <w:p w14:paraId="1C138CAE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ismert:</w:t>
            </w:r>
          </w:p>
        </w:tc>
        <w:tc>
          <w:tcPr>
            <w:tcW w:w="6997" w:type="dxa"/>
          </w:tcPr>
          <w:p w14:paraId="35089D4B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Progresszív multifokális leukoencephalopathia (PML)**</w:t>
            </w:r>
          </w:p>
          <w:p w14:paraId="268714EC" w14:textId="56810145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Cryptococcus</w:t>
            </w:r>
            <w:r w:rsidR="00F714F4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fertőzések**</w:t>
            </w:r>
          </w:p>
        </w:tc>
      </w:tr>
      <w:tr w:rsidR="004C0305" w:rsidRPr="001A762B" w14:paraId="36995DD2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080B5A7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Jó-, rosszindulatú és nem meghatározott daganatok (beleértve a cisztákat és polipokat is)</w:t>
            </w:r>
          </w:p>
        </w:tc>
      </w:tr>
      <w:tr w:rsidR="004C0305" w:rsidRPr="001A762B" w14:paraId="49713361" w14:textId="77777777" w:rsidTr="0089258C">
        <w:trPr>
          <w:trHeight w:hRule="exact" w:val="263"/>
        </w:trPr>
        <w:tc>
          <w:tcPr>
            <w:tcW w:w="2784" w:type="dxa"/>
          </w:tcPr>
          <w:p w14:paraId="34B100AE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0573E05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Basalsejtes carcinoma</w:t>
            </w:r>
          </w:p>
        </w:tc>
      </w:tr>
      <w:tr w:rsidR="004C0305" w:rsidRPr="001A762B" w14:paraId="31AA0C95" w14:textId="77777777" w:rsidTr="0089258C">
        <w:trPr>
          <w:trHeight w:hRule="exact" w:val="263"/>
        </w:trPr>
        <w:tc>
          <w:tcPr>
            <w:tcW w:w="2784" w:type="dxa"/>
          </w:tcPr>
          <w:p w14:paraId="16CCF3AC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4FACC262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Malignus melanoma****</w:t>
            </w:r>
          </w:p>
        </w:tc>
      </w:tr>
      <w:tr w:rsidR="004C0305" w:rsidRPr="001A762B" w14:paraId="7ACA37F7" w14:textId="77777777" w:rsidTr="0089258C">
        <w:trPr>
          <w:trHeight w:hRule="exact" w:val="595"/>
        </w:trPr>
        <w:tc>
          <w:tcPr>
            <w:tcW w:w="2784" w:type="dxa"/>
          </w:tcPr>
          <w:p w14:paraId="63B187F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Ritka:</w:t>
            </w:r>
          </w:p>
        </w:tc>
        <w:tc>
          <w:tcPr>
            <w:tcW w:w="6997" w:type="dxa"/>
          </w:tcPr>
          <w:p w14:paraId="2CB92442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Lymphoma***</w:t>
            </w:r>
          </w:p>
          <w:p w14:paraId="55B0CD8B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Laphámsejtes carcinoma****</w:t>
            </w:r>
          </w:p>
        </w:tc>
      </w:tr>
      <w:tr w:rsidR="004C0305" w:rsidRPr="001A762B" w14:paraId="7AEABD4A" w14:textId="77777777" w:rsidTr="0089258C">
        <w:trPr>
          <w:trHeight w:hRule="exact" w:val="264"/>
        </w:trPr>
        <w:tc>
          <w:tcPr>
            <w:tcW w:w="2784" w:type="dxa"/>
          </w:tcPr>
          <w:p w14:paraId="3AD2033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ritka:</w:t>
            </w:r>
          </w:p>
        </w:tc>
        <w:tc>
          <w:tcPr>
            <w:tcW w:w="6997" w:type="dxa"/>
          </w:tcPr>
          <w:p w14:paraId="25D1C120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Kaposi-sarcoma****</w:t>
            </w:r>
          </w:p>
        </w:tc>
      </w:tr>
      <w:tr w:rsidR="004C0305" w:rsidRPr="001A762B" w14:paraId="1D3641CE" w14:textId="77777777" w:rsidTr="0089258C">
        <w:trPr>
          <w:trHeight w:hRule="exact" w:val="263"/>
        </w:trPr>
        <w:tc>
          <w:tcPr>
            <w:tcW w:w="2784" w:type="dxa"/>
          </w:tcPr>
          <w:p w14:paraId="1A6CC9D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ismert:</w:t>
            </w:r>
          </w:p>
        </w:tc>
        <w:tc>
          <w:tcPr>
            <w:tcW w:w="6997" w:type="dxa"/>
          </w:tcPr>
          <w:p w14:paraId="5A878CED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Merkel-sejtes carcinoma***</w:t>
            </w:r>
          </w:p>
        </w:tc>
      </w:tr>
      <w:tr w:rsidR="004C0305" w:rsidRPr="001A762B" w14:paraId="731FA8D4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4587504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Vérképzőszervi és nyirokrendszeri betegségek és tünetek</w:t>
            </w:r>
          </w:p>
        </w:tc>
      </w:tr>
      <w:tr w:rsidR="004C0305" w:rsidRPr="001A762B" w14:paraId="3E30293D" w14:textId="77777777" w:rsidTr="0089258C">
        <w:trPr>
          <w:trHeight w:hRule="exact" w:val="589"/>
        </w:trPr>
        <w:tc>
          <w:tcPr>
            <w:tcW w:w="2784" w:type="dxa"/>
          </w:tcPr>
          <w:p w14:paraId="209CC29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658058C7" w14:textId="77777777" w:rsidR="000D4AB0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Lymphopenia</w:t>
            </w:r>
          </w:p>
          <w:p w14:paraId="38E18175" w14:textId="65481951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Leukopenia</w:t>
            </w:r>
          </w:p>
        </w:tc>
      </w:tr>
      <w:tr w:rsidR="004C0305" w:rsidRPr="001A762B" w14:paraId="4732CC81" w14:textId="77777777" w:rsidTr="0089258C">
        <w:trPr>
          <w:trHeight w:hRule="exact" w:val="263"/>
        </w:trPr>
        <w:tc>
          <w:tcPr>
            <w:tcW w:w="2784" w:type="dxa"/>
          </w:tcPr>
          <w:p w14:paraId="58AAEACA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2FFE3B39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Thrombocytopenia</w:t>
            </w:r>
          </w:p>
        </w:tc>
      </w:tr>
      <w:tr w:rsidR="004C0305" w:rsidRPr="001A762B" w14:paraId="1C615A51" w14:textId="77777777" w:rsidTr="0089258C">
        <w:trPr>
          <w:trHeight w:hRule="exact" w:val="581"/>
        </w:trPr>
        <w:tc>
          <w:tcPr>
            <w:tcW w:w="2784" w:type="dxa"/>
          </w:tcPr>
          <w:p w14:paraId="02DC3FB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ismert:</w:t>
            </w:r>
          </w:p>
        </w:tc>
        <w:tc>
          <w:tcPr>
            <w:tcW w:w="6997" w:type="dxa"/>
          </w:tcPr>
          <w:p w14:paraId="56842013" w14:textId="77777777" w:rsidR="00BA721C" w:rsidRPr="001A762B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 xml:space="preserve">Autoimmun haemolyticus anaemia*** </w:t>
            </w:r>
          </w:p>
          <w:p w14:paraId="25CF4A47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Perifériás oedema***</w:t>
            </w:r>
          </w:p>
        </w:tc>
      </w:tr>
      <w:tr w:rsidR="004C0305" w:rsidRPr="001A762B" w14:paraId="7039DED4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5DD284B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Immunrendszeri betegségek és tünetek</w:t>
            </w:r>
          </w:p>
        </w:tc>
      </w:tr>
      <w:tr w:rsidR="004C0305" w:rsidRPr="001A762B" w14:paraId="21BAFDDD" w14:textId="77777777" w:rsidTr="00046133">
        <w:trPr>
          <w:trHeight w:hRule="exact" w:val="795"/>
        </w:trPr>
        <w:tc>
          <w:tcPr>
            <w:tcW w:w="2784" w:type="dxa"/>
          </w:tcPr>
          <w:p w14:paraId="77266B5D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ismert:</w:t>
            </w:r>
          </w:p>
        </w:tc>
        <w:tc>
          <w:tcPr>
            <w:tcW w:w="6997" w:type="dxa"/>
          </w:tcPr>
          <w:p w14:paraId="0A4BFA13" w14:textId="77777777" w:rsidR="000C54F4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Túlérzékenységi reakciók, beleértve a bőrkiütést, urticariát és</w:t>
            </w:r>
            <w:r w:rsidR="00F714F4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>angiooedemát is a kezelés megkezdésekor***</w:t>
            </w:r>
          </w:p>
          <w:p w14:paraId="2AA6285D" w14:textId="29F679B7" w:rsidR="004C0305" w:rsidRDefault="000C54F4" w:rsidP="00225D6A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hu-HU"/>
              </w:rPr>
              <w:t>I</w:t>
            </w:r>
            <w:r w:rsidRPr="000C54F4">
              <w:rPr>
                <w:rFonts w:ascii="Times New Roman" w:hAnsi="Times New Roman" w:cs="Times New Roman"/>
                <w:lang w:val="hu-HU"/>
              </w:rPr>
              <w:t xml:space="preserve">mmunrekonstitúciós gyulladásos </w:t>
            </w:r>
            <w:proofErr w:type="gramStart"/>
            <w:r w:rsidRPr="000C54F4">
              <w:rPr>
                <w:rFonts w:ascii="Times New Roman" w:hAnsi="Times New Roman" w:cs="Times New Roman"/>
                <w:lang w:val="hu-HU"/>
              </w:rPr>
              <w:t>szindróma</w:t>
            </w:r>
            <w:proofErr w:type="gramEnd"/>
            <w:r w:rsidRPr="000C54F4">
              <w:rPr>
                <w:rFonts w:ascii="Times New Roman" w:hAnsi="Times New Roman" w:cs="Times New Roman"/>
                <w:lang w:val="hu-HU"/>
              </w:rPr>
              <w:t xml:space="preserve"> (IRIS)**</w:t>
            </w:r>
          </w:p>
          <w:p w14:paraId="337EC792" w14:textId="2E1AA057" w:rsidR="000C54F4" w:rsidRPr="001A762B" w:rsidRDefault="000C54F4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</w:tc>
      </w:tr>
      <w:tr w:rsidR="004C0305" w:rsidRPr="001A762B" w14:paraId="1574053C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1DA9C840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Pszichiátriai kórképek</w:t>
            </w:r>
          </w:p>
        </w:tc>
      </w:tr>
      <w:tr w:rsidR="004C0305" w:rsidRPr="001A762B" w14:paraId="4D01AB51" w14:textId="77777777" w:rsidTr="0089258C">
        <w:trPr>
          <w:trHeight w:hRule="exact" w:val="263"/>
        </w:trPr>
        <w:tc>
          <w:tcPr>
            <w:tcW w:w="2784" w:type="dxa"/>
          </w:tcPr>
          <w:p w14:paraId="1EF99B4D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68C79DE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Depresszió</w:t>
            </w:r>
          </w:p>
        </w:tc>
      </w:tr>
      <w:tr w:rsidR="004C0305" w:rsidRPr="001A762B" w14:paraId="0D044290" w14:textId="77777777" w:rsidTr="0089258C">
        <w:trPr>
          <w:trHeight w:hRule="exact" w:val="264"/>
        </w:trPr>
        <w:tc>
          <w:tcPr>
            <w:tcW w:w="2784" w:type="dxa"/>
          </w:tcPr>
          <w:p w14:paraId="54161AB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6F0AD117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Depressziós hangulat</w:t>
            </w:r>
          </w:p>
        </w:tc>
      </w:tr>
      <w:tr w:rsidR="004C0305" w:rsidRPr="001A762B" w14:paraId="2B0F1377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777A54AB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Idegrendszeri betegségek és tünetek</w:t>
            </w:r>
          </w:p>
        </w:tc>
      </w:tr>
      <w:tr w:rsidR="004C0305" w:rsidRPr="001A762B" w14:paraId="4CBD1F88" w14:textId="77777777" w:rsidTr="0089258C">
        <w:trPr>
          <w:trHeight w:hRule="exact" w:val="263"/>
        </w:trPr>
        <w:tc>
          <w:tcPr>
            <w:tcW w:w="2784" w:type="dxa"/>
          </w:tcPr>
          <w:p w14:paraId="7C6A9312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gyakori:</w:t>
            </w:r>
          </w:p>
        </w:tc>
        <w:tc>
          <w:tcPr>
            <w:tcW w:w="6997" w:type="dxa"/>
          </w:tcPr>
          <w:p w14:paraId="1F990763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Fejfájás</w:t>
            </w:r>
          </w:p>
        </w:tc>
      </w:tr>
      <w:tr w:rsidR="004C0305" w:rsidRPr="001A762B" w14:paraId="1B1847D2" w14:textId="77777777" w:rsidTr="0089258C">
        <w:trPr>
          <w:trHeight w:hRule="exact" w:val="611"/>
        </w:trPr>
        <w:tc>
          <w:tcPr>
            <w:tcW w:w="2784" w:type="dxa"/>
          </w:tcPr>
          <w:p w14:paraId="0E6F7196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lastRenderedPageBreak/>
              <w:t>Gyakori:</w:t>
            </w:r>
          </w:p>
        </w:tc>
        <w:tc>
          <w:tcPr>
            <w:tcW w:w="6997" w:type="dxa"/>
          </w:tcPr>
          <w:p w14:paraId="26612403" w14:textId="77777777" w:rsidR="000D4AB0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Szédülés</w:t>
            </w:r>
          </w:p>
          <w:p w14:paraId="64653E6A" w14:textId="4E85EF23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Migr</w:t>
            </w:r>
            <w:r w:rsidR="00F714F4">
              <w:rPr>
                <w:rFonts w:ascii="Times New Roman" w:hAnsi="Times New Roman" w:cs="Times New Roman"/>
              </w:rPr>
              <w:t>én</w:t>
            </w:r>
          </w:p>
        </w:tc>
      </w:tr>
      <w:tr w:rsidR="004C0305" w:rsidRPr="001A762B" w14:paraId="1D99EE25" w14:textId="77777777" w:rsidTr="0089258C">
        <w:trPr>
          <w:trHeight w:hRule="exact" w:val="263"/>
        </w:trPr>
        <w:tc>
          <w:tcPr>
            <w:tcW w:w="2784" w:type="dxa"/>
          </w:tcPr>
          <w:p w14:paraId="0D87F89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34578BC6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Görcsroham</w:t>
            </w:r>
          </w:p>
        </w:tc>
      </w:tr>
      <w:tr w:rsidR="004C0305" w:rsidRPr="001A762B" w14:paraId="04419E37" w14:textId="77777777" w:rsidTr="0089258C">
        <w:trPr>
          <w:trHeight w:hRule="exact" w:val="263"/>
        </w:trPr>
        <w:tc>
          <w:tcPr>
            <w:tcW w:w="2784" w:type="dxa"/>
          </w:tcPr>
          <w:p w14:paraId="3551B24C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Ritka:</w:t>
            </w:r>
          </w:p>
        </w:tc>
        <w:tc>
          <w:tcPr>
            <w:tcW w:w="6997" w:type="dxa"/>
          </w:tcPr>
          <w:p w14:paraId="1A31D192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Posterior reverzíbilis encephalopathia szindróma (PRES)*</w:t>
            </w:r>
          </w:p>
        </w:tc>
      </w:tr>
      <w:tr w:rsidR="004C0305" w:rsidRPr="001A762B" w14:paraId="779BE0D6" w14:textId="77777777" w:rsidTr="0089258C">
        <w:trPr>
          <w:trHeight w:hRule="exact" w:val="263"/>
        </w:trPr>
        <w:tc>
          <w:tcPr>
            <w:tcW w:w="2784" w:type="dxa"/>
          </w:tcPr>
          <w:p w14:paraId="645F6517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ismert:</w:t>
            </w:r>
          </w:p>
        </w:tc>
        <w:tc>
          <w:tcPr>
            <w:tcW w:w="6997" w:type="dxa"/>
          </w:tcPr>
          <w:p w14:paraId="3AB61DA4" w14:textId="6854F1EF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 xml:space="preserve">A betegség súlyos exacerbációja a </w:t>
            </w:r>
            <w:r w:rsidR="00E11783">
              <w:rPr>
                <w:rFonts w:ascii="Times New Roman" w:hAnsi="Times New Roman" w:cs="Times New Roman"/>
              </w:rPr>
              <w:t>f</w:t>
            </w:r>
            <w:r w:rsidR="00430A9D">
              <w:rPr>
                <w:rFonts w:ascii="Times New Roman" w:hAnsi="Times New Roman" w:cs="Times New Roman"/>
              </w:rPr>
              <w:t>ingolimod</w:t>
            </w:r>
            <w:r w:rsidRPr="001A762B">
              <w:rPr>
                <w:rFonts w:ascii="Times New Roman" w:hAnsi="Times New Roman" w:cs="Times New Roman"/>
              </w:rPr>
              <w:t xml:space="preserve"> leállítása után***</w:t>
            </w:r>
          </w:p>
        </w:tc>
      </w:tr>
      <w:tr w:rsidR="004C0305" w:rsidRPr="001A762B" w14:paraId="45D3E586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320D5DCA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Szembetegségek és szemészeti tünetek</w:t>
            </w:r>
          </w:p>
        </w:tc>
      </w:tr>
      <w:tr w:rsidR="004C0305" w:rsidRPr="001A762B" w14:paraId="5CFD057D" w14:textId="77777777" w:rsidTr="0089258C">
        <w:trPr>
          <w:trHeight w:hRule="exact" w:val="264"/>
        </w:trPr>
        <w:tc>
          <w:tcPr>
            <w:tcW w:w="2784" w:type="dxa"/>
          </w:tcPr>
          <w:p w14:paraId="6D19290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79481290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Homályos látás</w:t>
            </w:r>
          </w:p>
        </w:tc>
      </w:tr>
      <w:tr w:rsidR="004C0305" w:rsidRPr="001A762B" w14:paraId="5E77BA58" w14:textId="77777777" w:rsidTr="0089258C">
        <w:trPr>
          <w:trHeight w:hRule="exact" w:val="263"/>
        </w:trPr>
        <w:tc>
          <w:tcPr>
            <w:tcW w:w="2784" w:type="dxa"/>
          </w:tcPr>
          <w:p w14:paraId="71C86AE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30B9AEE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Macula oedema</w:t>
            </w:r>
          </w:p>
        </w:tc>
      </w:tr>
      <w:tr w:rsidR="004C0305" w:rsidRPr="001A762B" w14:paraId="2907B1D4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3234A76C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Szívbetegségek és a szívvel kapcsolatos tünetek</w:t>
            </w:r>
          </w:p>
        </w:tc>
      </w:tr>
      <w:tr w:rsidR="004C0305" w:rsidRPr="001A762B" w14:paraId="14BA31E4" w14:textId="77777777" w:rsidTr="0089258C">
        <w:trPr>
          <w:trHeight w:hRule="exact" w:val="575"/>
        </w:trPr>
        <w:tc>
          <w:tcPr>
            <w:tcW w:w="2784" w:type="dxa"/>
          </w:tcPr>
          <w:p w14:paraId="273DD27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2C63BD3B" w14:textId="77777777" w:rsidR="000D4AB0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Bradycardia</w:t>
            </w:r>
          </w:p>
          <w:p w14:paraId="09BF8E13" w14:textId="03340123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 xml:space="preserve">Atrioventricularis </w:t>
            </w:r>
            <w:r w:rsidR="008649A9">
              <w:rPr>
                <w:rFonts w:ascii="Times New Roman" w:hAnsi="Times New Roman" w:cs="Times New Roman"/>
              </w:rPr>
              <w:t>blokk</w:t>
            </w:r>
          </w:p>
        </w:tc>
      </w:tr>
      <w:tr w:rsidR="004C0305" w:rsidRPr="001A762B" w14:paraId="35538978" w14:textId="77777777" w:rsidTr="0089258C">
        <w:trPr>
          <w:trHeight w:hRule="exact" w:val="263"/>
        </w:trPr>
        <w:tc>
          <w:tcPr>
            <w:tcW w:w="2784" w:type="dxa"/>
          </w:tcPr>
          <w:p w14:paraId="4618BA2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ritka:</w:t>
            </w:r>
          </w:p>
        </w:tc>
        <w:tc>
          <w:tcPr>
            <w:tcW w:w="6997" w:type="dxa"/>
          </w:tcPr>
          <w:p w14:paraId="3DA9C767" w14:textId="7D1C5302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T-hullám</w:t>
            </w:r>
            <w:r w:rsidR="008649A9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inverzió***</w:t>
            </w:r>
          </w:p>
        </w:tc>
      </w:tr>
      <w:tr w:rsidR="004C0305" w:rsidRPr="001A762B" w14:paraId="488B1E70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60CD8C4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Érbetegségek és tünetek</w:t>
            </w:r>
          </w:p>
        </w:tc>
      </w:tr>
      <w:tr w:rsidR="004C0305" w:rsidRPr="001A762B" w14:paraId="69F30B94" w14:textId="77777777" w:rsidTr="0089258C">
        <w:trPr>
          <w:trHeight w:hRule="exact" w:val="264"/>
        </w:trPr>
        <w:tc>
          <w:tcPr>
            <w:tcW w:w="2784" w:type="dxa"/>
          </w:tcPr>
          <w:p w14:paraId="1C1B93B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68FDC171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Hypertonia</w:t>
            </w:r>
          </w:p>
        </w:tc>
      </w:tr>
      <w:tr w:rsidR="004C0305" w:rsidRPr="001A762B" w14:paraId="7EBA6FE4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2C100C73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Légzőrendszeri, mellkasi és mediastinalis betegségek és tünetek</w:t>
            </w:r>
          </w:p>
        </w:tc>
      </w:tr>
      <w:tr w:rsidR="004C0305" w:rsidRPr="001A762B" w14:paraId="39F68EE5" w14:textId="77777777" w:rsidTr="0089258C">
        <w:trPr>
          <w:trHeight w:hRule="exact" w:val="263"/>
        </w:trPr>
        <w:tc>
          <w:tcPr>
            <w:tcW w:w="2784" w:type="dxa"/>
          </w:tcPr>
          <w:p w14:paraId="51636F0B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gyakori:</w:t>
            </w:r>
          </w:p>
        </w:tc>
        <w:tc>
          <w:tcPr>
            <w:tcW w:w="6997" w:type="dxa"/>
          </w:tcPr>
          <w:p w14:paraId="6EA7E48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Köhögés</w:t>
            </w:r>
          </w:p>
        </w:tc>
      </w:tr>
      <w:tr w:rsidR="004C0305" w:rsidRPr="001A762B" w14:paraId="4BBEE846" w14:textId="77777777" w:rsidTr="0089258C">
        <w:trPr>
          <w:trHeight w:hRule="exact" w:val="263"/>
        </w:trPr>
        <w:tc>
          <w:tcPr>
            <w:tcW w:w="2784" w:type="dxa"/>
          </w:tcPr>
          <w:p w14:paraId="42D4B33E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74ED395F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Dyspnoe</w:t>
            </w:r>
          </w:p>
        </w:tc>
      </w:tr>
      <w:tr w:rsidR="004C0305" w:rsidRPr="001A762B" w14:paraId="6B183234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75E19B8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Emésztőrendszeri betegségek és tünetek</w:t>
            </w:r>
          </w:p>
        </w:tc>
      </w:tr>
      <w:tr w:rsidR="004C0305" w:rsidRPr="001A762B" w14:paraId="5C54E873" w14:textId="77777777" w:rsidTr="0089258C">
        <w:trPr>
          <w:trHeight w:hRule="exact" w:val="263"/>
        </w:trPr>
        <w:tc>
          <w:tcPr>
            <w:tcW w:w="2784" w:type="dxa"/>
          </w:tcPr>
          <w:p w14:paraId="1A4ADC8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gyakori:</w:t>
            </w:r>
          </w:p>
        </w:tc>
        <w:tc>
          <w:tcPr>
            <w:tcW w:w="6997" w:type="dxa"/>
          </w:tcPr>
          <w:p w14:paraId="44FA95E2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Hasmenés</w:t>
            </w:r>
          </w:p>
        </w:tc>
      </w:tr>
      <w:tr w:rsidR="004C0305" w:rsidRPr="001A762B" w14:paraId="32A99A48" w14:textId="77777777" w:rsidTr="0089258C">
        <w:trPr>
          <w:trHeight w:hRule="exact" w:val="263"/>
        </w:trPr>
        <w:tc>
          <w:tcPr>
            <w:tcW w:w="2784" w:type="dxa"/>
          </w:tcPr>
          <w:p w14:paraId="40666C7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345B6E77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Hányinger***</w:t>
            </w:r>
          </w:p>
        </w:tc>
      </w:tr>
      <w:tr w:rsidR="00322EBD" w:rsidRPr="001A762B" w14:paraId="06A2A681" w14:textId="77777777" w:rsidTr="007317BF">
        <w:trPr>
          <w:trHeight w:hRule="exact" w:val="263"/>
        </w:trPr>
        <w:tc>
          <w:tcPr>
            <w:tcW w:w="9781" w:type="dxa"/>
            <w:gridSpan w:val="2"/>
          </w:tcPr>
          <w:p w14:paraId="1DCAC2DF" w14:textId="014339FB" w:rsidR="00322EBD" w:rsidRPr="001A762B" w:rsidRDefault="00322EBD" w:rsidP="005469B1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>Máj- és epebetegségek, illetve tünetek</w:t>
            </w:r>
          </w:p>
        </w:tc>
      </w:tr>
      <w:tr w:rsidR="00322EBD" w:rsidRPr="001A762B" w14:paraId="46499BF9" w14:textId="77777777" w:rsidTr="0089258C">
        <w:trPr>
          <w:trHeight w:hRule="exact" w:val="263"/>
        </w:trPr>
        <w:tc>
          <w:tcPr>
            <w:tcW w:w="2784" w:type="dxa"/>
          </w:tcPr>
          <w:p w14:paraId="28E503F6" w14:textId="05B3F741" w:rsidR="00322EBD" w:rsidRPr="001A762B" w:rsidRDefault="00322EBD" w:rsidP="00225D6A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 ismert:</w:t>
            </w:r>
          </w:p>
        </w:tc>
        <w:tc>
          <w:tcPr>
            <w:tcW w:w="6997" w:type="dxa"/>
          </w:tcPr>
          <w:p w14:paraId="74D5B9E6" w14:textId="4D15B7ED" w:rsidR="00322EBD" w:rsidRPr="001A762B" w:rsidRDefault="00322EBD" w:rsidP="00225D6A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Akut májelégtelenség***</w:t>
            </w:r>
          </w:p>
        </w:tc>
      </w:tr>
      <w:tr w:rsidR="004C0305" w:rsidRPr="001A762B" w14:paraId="56B7E1C0" w14:textId="77777777" w:rsidTr="0089258C">
        <w:trPr>
          <w:trHeight w:hRule="exact" w:val="264"/>
        </w:trPr>
        <w:tc>
          <w:tcPr>
            <w:tcW w:w="9781" w:type="dxa"/>
            <w:gridSpan w:val="2"/>
          </w:tcPr>
          <w:p w14:paraId="2F9087D6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A bőr és a bőr alatti szövet betegségei és tünetei</w:t>
            </w:r>
          </w:p>
        </w:tc>
      </w:tr>
      <w:tr w:rsidR="004C0305" w:rsidRPr="001A762B" w14:paraId="0DFA00F5" w14:textId="77777777" w:rsidTr="0089258C">
        <w:trPr>
          <w:trHeight w:hRule="exact" w:val="774"/>
        </w:trPr>
        <w:tc>
          <w:tcPr>
            <w:tcW w:w="2784" w:type="dxa"/>
          </w:tcPr>
          <w:p w14:paraId="675C67C0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5F052B42" w14:textId="77777777" w:rsidR="00BA721C" w:rsidRPr="001A762B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Eczema</w:t>
            </w:r>
          </w:p>
          <w:p w14:paraId="64595C24" w14:textId="77777777" w:rsidR="00BA721C" w:rsidRPr="001A762B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Alopecia</w:t>
            </w:r>
          </w:p>
          <w:p w14:paraId="5330B0C3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Pruritus</w:t>
            </w:r>
          </w:p>
        </w:tc>
      </w:tr>
      <w:tr w:rsidR="004C0305" w:rsidRPr="001A762B" w14:paraId="60999A01" w14:textId="77777777" w:rsidTr="0089258C">
        <w:trPr>
          <w:trHeight w:hRule="exact" w:val="264"/>
        </w:trPr>
        <w:tc>
          <w:tcPr>
            <w:tcW w:w="9781" w:type="dxa"/>
            <w:gridSpan w:val="2"/>
          </w:tcPr>
          <w:p w14:paraId="4B0381DB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A csont- és izomrendszer, valamint a kötőszövet betegségei és tünetei</w:t>
            </w:r>
          </w:p>
        </w:tc>
      </w:tr>
      <w:tr w:rsidR="004C0305" w:rsidRPr="001A762B" w14:paraId="66DC353E" w14:textId="77777777" w:rsidTr="0089258C">
        <w:trPr>
          <w:trHeight w:hRule="exact" w:val="263"/>
        </w:trPr>
        <w:tc>
          <w:tcPr>
            <w:tcW w:w="2784" w:type="dxa"/>
          </w:tcPr>
          <w:p w14:paraId="7FB6045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gyakori:</w:t>
            </w:r>
          </w:p>
        </w:tc>
        <w:tc>
          <w:tcPr>
            <w:tcW w:w="6997" w:type="dxa"/>
          </w:tcPr>
          <w:p w14:paraId="04D1274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Hátfájás</w:t>
            </w:r>
          </w:p>
        </w:tc>
      </w:tr>
      <w:tr w:rsidR="004C0305" w:rsidRPr="001A762B" w14:paraId="7AAE9E80" w14:textId="77777777" w:rsidTr="0089258C">
        <w:trPr>
          <w:trHeight w:hRule="exact" w:val="494"/>
        </w:trPr>
        <w:tc>
          <w:tcPr>
            <w:tcW w:w="2784" w:type="dxa"/>
          </w:tcPr>
          <w:p w14:paraId="28F367B0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2A6206CD" w14:textId="5F5E7909" w:rsidR="00D40E98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Myalgia</w:t>
            </w:r>
          </w:p>
          <w:p w14:paraId="1CDD8E73" w14:textId="195D4663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Arthralgia</w:t>
            </w:r>
          </w:p>
        </w:tc>
      </w:tr>
      <w:tr w:rsidR="004C0305" w:rsidRPr="001A762B" w14:paraId="5C6C8F23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180394B4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Általános tünetek, az alkalmazás helyén fellépő reakciók</w:t>
            </w:r>
          </w:p>
        </w:tc>
      </w:tr>
      <w:tr w:rsidR="004C0305" w:rsidRPr="001A762B" w14:paraId="7FE171DA" w14:textId="77777777" w:rsidTr="0089258C">
        <w:trPr>
          <w:trHeight w:hRule="exact" w:val="263"/>
        </w:trPr>
        <w:tc>
          <w:tcPr>
            <w:tcW w:w="2784" w:type="dxa"/>
          </w:tcPr>
          <w:p w14:paraId="4BBC1212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090E2D03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Gyengeség</w:t>
            </w:r>
          </w:p>
        </w:tc>
      </w:tr>
      <w:tr w:rsidR="004C0305" w:rsidRPr="001A762B" w14:paraId="66E910CE" w14:textId="77777777" w:rsidTr="0089258C">
        <w:trPr>
          <w:trHeight w:hRule="exact" w:val="263"/>
        </w:trPr>
        <w:tc>
          <w:tcPr>
            <w:tcW w:w="9781" w:type="dxa"/>
            <w:gridSpan w:val="2"/>
          </w:tcPr>
          <w:p w14:paraId="06D9A705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Laboratóriumi és egyéb vizsgálatok eredményei</w:t>
            </w:r>
          </w:p>
        </w:tc>
      </w:tr>
      <w:tr w:rsidR="004C0305" w:rsidRPr="001A762B" w14:paraId="3D9EC882" w14:textId="77777777" w:rsidTr="00225D6A">
        <w:trPr>
          <w:trHeight w:hRule="exact" w:val="805"/>
        </w:trPr>
        <w:tc>
          <w:tcPr>
            <w:tcW w:w="2784" w:type="dxa"/>
          </w:tcPr>
          <w:p w14:paraId="16368C33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Nagyon gyakori:</w:t>
            </w:r>
          </w:p>
        </w:tc>
        <w:tc>
          <w:tcPr>
            <w:tcW w:w="6997" w:type="dxa"/>
          </w:tcPr>
          <w:p w14:paraId="228E0692" w14:textId="31A6A452" w:rsidR="004C0305" w:rsidRPr="001A762B" w:rsidRDefault="001F30F8" w:rsidP="005469B1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Emelkedett májenzimszintek (emelkedett</w:t>
            </w:r>
            <w:r w:rsidR="005469B1" w:rsidRPr="005469B1">
              <w:rPr>
                <w:rFonts w:ascii="Times New Roman" w:hAnsi="Times New Roman" w:cs="Times New Roman"/>
              </w:rPr>
              <w:t>alanin-transzamináz-</w:t>
            </w:r>
            <w:r w:rsidRPr="001A762B">
              <w:rPr>
                <w:rFonts w:ascii="Times New Roman" w:hAnsi="Times New Roman" w:cs="Times New Roman"/>
              </w:rPr>
              <w:t>,</w:t>
            </w:r>
            <w:r w:rsidR="005469B1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 xml:space="preserve">gamma-glutamiltranszferáz-, illetve </w:t>
            </w:r>
            <w:r w:rsidR="005469B1" w:rsidRPr="005469B1">
              <w:rPr>
                <w:rFonts w:ascii="Times New Roman" w:hAnsi="Times New Roman" w:cs="Times New Roman"/>
              </w:rPr>
              <w:t>aszpartát-transzaminázszint</w:t>
            </w:r>
            <w:r w:rsidRPr="001A762B">
              <w:rPr>
                <w:rFonts w:ascii="Times New Roman" w:hAnsi="Times New Roman" w:cs="Times New Roman"/>
              </w:rPr>
              <w:t>)</w:t>
            </w:r>
          </w:p>
        </w:tc>
      </w:tr>
      <w:tr w:rsidR="004C0305" w:rsidRPr="001A762B" w14:paraId="53F785FB" w14:textId="77777777" w:rsidTr="0089258C">
        <w:trPr>
          <w:trHeight w:hRule="exact" w:val="559"/>
        </w:trPr>
        <w:tc>
          <w:tcPr>
            <w:tcW w:w="2784" w:type="dxa"/>
          </w:tcPr>
          <w:p w14:paraId="0F7F0948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Gyakori:</w:t>
            </w:r>
          </w:p>
        </w:tc>
        <w:tc>
          <w:tcPr>
            <w:tcW w:w="6997" w:type="dxa"/>
          </w:tcPr>
          <w:p w14:paraId="1793D1C5" w14:textId="77777777" w:rsidR="00011103" w:rsidRPr="001A762B" w:rsidRDefault="001F30F8" w:rsidP="00225D6A">
            <w:pPr>
              <w:pStyle w:val="TableParagraph"/>
              <w:rPr>
                <w:rFonts w:ascii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Testtömegcsökkenés***</w:t>
            </w:r>
          </w:p>
          <w:p w14:paraId="1CE33867" w14:textId="22A28233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Emelkedett triglicerid</w:t>
            </w:r>
            <w:r w:rsidR="00F714F4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vérszint</w:t>
            </w:r>
          </w:p>
        </w:tc>
      </w:tr>
      <w:tr w:rsidR="004C0305" w:rsidRPr="001A762B" w14:paraId="40E2E815" w14:textId="77777777" w:rsidTr="0089258C">
        <w:trPr>
          <w:trHeight w:hRule="exact" w:val="263"/>
        </w:trPr>
        <w:tc>
          <w:tcPr>
            <w:tcW w:w="2784" w:type="dxa"/>
          </w:tcPr>
          <w:p w14:paraId="59DBE1B9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Nem gyakori:</w:t>
            </w:r>
          </w:p>
        </w:tc>
        <w:tc>
          <w:tcPr>
            <w:tcW w:w="6997" w:type="dxa"/>
          </w:tcPr>
          <w:p w14:paraId="636F537E" w14:textId="77777777" w:rsidR="004C0305" w:rsidRPr="001A762B" w:rsidRDefault="001F30F8" w:rsidP="00225D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Csökkent neutrophil-szám</w:t>
            </w:r>
          </w:p>
        </w:tc>
      </w:tr>
    </w:tbl>
    <w:p w14:paraId="6A024867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</w:rPr>
      </w:pPr>
    </w:p>
    <w:p w14:paraId="1ECCD1A4" w14:textId="60FA9D8D" w:rsidR="0089258C" w:rsidRPr="001A762B" w:rsidRDefault="0089258C" w:rsidP="00225D6A">
      <w:pPr>
        <w:pStyle w:val="TableParagraph"/>
        <w:ind w:left="567" w:hanging="567"/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</w:rPr>
        <w:t>*</w:t>
      </w:r>
      <w:r w:rsidRPr="001A762B">
        <w:rPr>
          <w:rFonts w:ascii="Times New Roman" w:hAnsi="Times New Roman" w:cs="Times New Roman"/>
        </w:rPr>
        <w:tab/>
        <w:t xml:space="preserve">A gyakorisági kategória </w:t>
      </w:r>
      <w:proofErr w:type="gramStart"/>
      <w:r w:rsidRPr="001A762B">
        <w:rPr>
          <w:rFonts w:ascii="Times New Roman" w:hAnsi="Times New Roman" w:cs="Times New Roman"/>
        </w:rPr>
        <w:t>az</w:t>
      </w:r>
      <w:proofErr w:type="gramEnd"/>
      <w:r w:rsidRPr="001A762B">
        <w:rPr>
          <w:rFonts w:ascii="Times New Roman" w:hAnsi="Times New Roman" w:cs="Times New Roman"/>
        </w:rPr>
        <w:t xml:space="preserve"> összes klinikai vizsgálatban résztvevő, kb. 10</w:t>
      </w:r>
      <w:r w:rsidR="00F714F4">
        <w:rPr>
          <w:rFonts w:ascii="Times New Roman" w:hAnsi="Times New Roman" w:cs="Times New Roman"/>
        </w:rPr>
        <w:t> </w:t>
      </w:r>
      <w:r w:rsidRPr="001A762B">
        <w:rPr>
          <w:rFonts w:ascii="Times New Roman" w:hAnsi="Times New Roman" w:cs="Times New Roman"/>
        </w:rPr>
        <w:t>000 beteg becsült expozíciós adatán alapul.</w:t>
      </w:r>
    </w:p>
    <w:p w14:paraId="54634D34" w14:textId="6FA83A91" w:rsidR="0089258C" w:rsidRPr="00431150" w:rsidRDefault="0089258C" w:rsidP="00225D6A">
      <w:pPr>
        <w:pStyle w:val="TableParagraph"/>
        <w:ind w:left="567" w:hanging="567"/>
        <w:rPr>
          <w:rFonts w:ascii="Times New Roman" w:eastAsia="Times New Roman" w:hAnsi="Times New Roman" w:cs="Times New Roman"/>
          <w:lang w:val="de-DE"/>
        </w:rPr>
      </w:pPr>
      <w:r w:rsidRPr="001A762B">
        <w:rPr>
          <w:rFonts w:ascii="Times New Roman" w:hAnsi="Times New Roman" w:cs="Times New Roman"/>
        </w:rPr>
        <w:t>**</w:t>
      </w:r>
      <w:r w:rsidRPr="001A762B">
        <w:rPr>
          <w:rFonts w:ascii="Times New Roman" w:hAnsi="Times New Roman" w:cs="Times New Roman"/>
        </w:rPr>
        <w:tab/>
        <w:t>A forgalomba hozatalt követően PML</w:t>
      </w:r>
      <w:r w:rsidR="009A5ABB">
        <w:rPr>
          <w:rFonts w:ascii="Times New Roman" w:hAnsi="Times New Roman" w:cs="Times New Roman"/>
        </w:rPr>
        <w:t>-t, IRIS-t</w:t>
      </w:r>
      <w:r w:rsidRPr="001A762B">
        <w:rPr>
          <w:rFonts w:ascii="Times New Roman" w:hAnsi="Times New Roman" w:cs="Times New Roman"/>
        </w:rPr>
        <w:t xml:space="preserve"> és cryptococcus fertőzéseket (köztük cryptococcus</w:t>
      </w:r>
      <w:r w:rsidR="00F714F4">
        <w:rPr>
          <w:rFonts w:ascii="Times New Roman" w:hAnsi="Times New Roman" w:cs="Times New Roman"/>
        </w:rPr>
        <w:t>-</w:t>
      </w:r>
      <w:r w:rsidRPr="00431150">
        <w:rPr>
          <w:rFonts w:ascii="Times New Roman" w:hAnsi="Times New Roman" w:cs="Times New Roman"/>
          <w:lang w:val="de-DE"/>
        </w:rPr>
        <w:t>meningitis eseteit) jelentették (lásd 4.4 pont).</w:t>
      </w:r>
    </w:p>
    <w:p w14:paraId="0095B88F" w14:textId="77777777" w:rsidR="0089258C" w:rsidRPr="00431150" w:rsidRDefault="0089258C" w:rsidP="00225D6A">
      <w:pPr>
        <w:pStyle w:val="TableParagraph"/>
        <w:ind w:left="567" w:hanging="567"/>
        <w:rPr>
          <w:rFonts w:ascii="Times New Roman" w:eastAsia="Times New Roman" w:hAnsi="Times New Roman" w:cs="Times New Roman"/>
          <w:lang w:val="de-DE"/>
        </w:rPr>
      </w:pPr>
      <w:r w:rsidRPr="00431150">
        <w:rPr>
          <w:rFonts w:ascii="Times New Roman" w:hAnsi="Times New Roman" w:cs="Times New Roman"/>
          <w:lang w:val="de-DE"/>
        </w:rPr>
        <w:t>***</w:t>
      </w:r>
      <w:r w:rsidRPr="00431150">
        <w:rPr>
          <w:rFonts w:ascii="Times New Roman" w:hAnsi="Times New Roman" w:cs="Times New Roman"/>
          <w:lang w:val="de-DE"/>
        </w:rPr>
        <w:tab/>
        <w:t>Spontán jelentésekből és a szakirodalomból származó, gyógyszer okozta mellékhatások</w:t>
      </w:r>
    </w:p>
    <w:p w14:paraId="0AD5F24F" w14:textId="1086F520" w:rsidR="0089258C" w:rsidRPr="00431150" w:rsidRDefault="0089258C" w:rsidP="00225D6A">
      <w:pPr>
        <w:pStyle w:val="TableParagraph"/>
        <w:ind w:left="567" w:hanging="567"/>
        <w:rPr>
          <w:rFonts w:ascii="Times New Roman" w:hAnsi="Times New Roman" w:cs="Times New Roman"/>
          <w:lang w:val="de-DE"/>
        </w:rPr>
      </w:pPr>
      <w:r w:rsidRPr="00431150">
        <w:rPr>
          <w:rFonts w:ascii="Times New Roman" w:hAnsi="Times New Roman" w:cs="Times New Roman"/>
          <w:lang w:val="de-DE"/>
        </w:rPr>
        <w:t>****</w:t>
      </w:r>
      <w:r w:rsidR="00572908" w:rsidRPr="00431150">
        <w:rPr>
          <w:rFonts w:ascii="Times New Roman" w:hAnsi="Times New Roman" w:cs="Times New Roman"/>
          <w:lang w:val="de-DE"/>
        </w:rPr>
        <w:tab/>
      </w:r>
      <w:r w:rsidRPr="00431150">
        <w:rPr>
          <w:rFonts w:ascii="Times New Roman" w:hAnsi="Times New Roman" w:cs="Times New Roman"/>
          <w:lang w:val="de-DE"/>
        </w:rPr>
        <w:t>A gyakorisági kategória és a kockázatfelmérés az összes klinikai vizsgálat több mint 24 000,</w:t>
      </w:r>
    </w:p>
    <w:p w14:paraId="2D0DA987" w14:textId="3076BB94" w:rsidR="0089258C" w:rsidRPr="00431150" w:rsidRDefault="0089258C" w:rsidP="00225D6A">
      <w:pPr>
        <w:pStyle w:val="Szvegtrzs"/>
        <w:ind w:left="567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0,5 mg fingolimodot kapó betegének becsült expozícióján alapul.</w:t>
      </w:r>
    </w:p>
    <w:p w14:paraId="5606EDE9" w14:textId="77777777" w:rsidR="0089258C" w:rsidRPr="00431150" w:rsidRDefault="0089258C" w:rsidP="00225D6A">
      <w:pPr>
        <w:pStyle w:val="Szvegtrzs"/>
        <w:ind w:left="0"/>
        <w:rPr>
          <w:rFonts w:cs="Times New Roman"/>
          <w:u w:val="single" w:color="000000"/>
          <w:lang w:val="de-DE"/>
        </w:rPr>
      </w:pPr>
    </w:p>
    <w:p w14:paraId="74A0820A" w14:textId="091CB30D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u w:val="single" w:color="000000"/>
          <w:lang w:val="de-DE"/>
        </w:rPr>
        <w:t>Kiválasztott mellékhatások leírása</w:t>
      </w:r>
    </w:p>
    <w:p w14:paraId="4CA9A5AE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345DB5B" w14:textId="77777777" w:rsidR="004C0305" w:rsidRPr="00431150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431150">
        <w:rPr>
          <w:rFonts w:ascii="Times New Roman" w:hAnsi="Times New Roman" w:cs="Times New Roman"/>
          <w:i/>
          <w:u w:val="single" w:color="000000"/>
          <w:lang w:val="de-DE"/>
        </w:rPr>
        <w:t xml:space="preserve">Fertőzések </w:t>
      </w:r>
    </w:p>
    <w:p w14:paraId="1A378908" w14:textId="06E13BBC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 sclerosis multiplex miatt végzett klinikai vizsgálatokban a 0,5</w:t>
      </w:r>
      <w:r w:rsidR="007D2011" w:rsidRPr="00431150">
        <w:rPr>
          <w:rFonts w:cs="Times New Roman"/>
          <w:lang w:val="de-DE"/>
        </w:rPr>
        <w:t> mg</w:t>
      </w:r>
      <w:r w:rsidRPr="00431150">
        <w:rPr>
          <w:rFonts w:cs="Times New Roman"/>
          <w:lang w:val="de-DE"/>
        </w:rPr>
        <w:t>-os dózis mellett a fertőzések összesített aránya (65,1%) a placebo mellett észlelthez hasonló volt. Ugyanakkor az alsó légúti fertőzések, elsősorban a bronchitis, és kisebb mértékben a herpes simplex</w:t>
      </w:r>
      <w:r w:rsidR="00F714F4">
        <w:rPr>
          <w:rFonts w:cs="Times New Roman"/>
          <w:lang w:val="de-DE"/>
        </w:rPr>
        <w:t>-</w:t>
      </w:r>
      <w:r w:rsidRPr="00431150">
        <w:rPr>
          <w:rFonts w:cs="Times New Roman"/>
          <w:lang w:val="de-DE"/>
        </w:rPr>
        <w:t xml:space="preserve">fertőzés, valamint a pneumonia gyakoribb volt a </w:t>
      </w:r>
      <w:r w:rsidR="005469B1">
        <w:rPr>
          <w:rFonts w:cs="Times New Roman"/>
          <w:lang w:val="de-DE"/>
        </w:rPr>
        <w:t>fingolimoddal</w:t>
      </w:r>
      <w:r w:rsidR="00E4273C" w:rsidRPr="00431150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kezelt betegeknél.</w:t>
      </w:r>
      <w:r w:rsidR="00032FEF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 xml:space="preserve">Disszeminált herpes fertőzés néhány </w:t>
      </w:r>
      <w:r w:rsidRPr="00431150">
        <w:rPr>
          <w:rFonts w:cs="Times New Roman"/>
          <w:lang w:val="de-DE"/>
        </w:rPr>
        <w:lastRenderedPageBreak/>
        <w:t>esetét, köztük végzetes kimenetelű eseteket is jelentettek, már</w:t>
      </w:r>
      <w:r w:rsidR="006520B1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0,5</w:t>
      </w:r>
      <w:r w:rsidR="007D2011" w:rsidRPr="00431150">
        <w:rPr>
          <w:rFonts w:cs="Times New Roman"/>
          <w:lang w:val="de-DE"/>
        </w:rPr>
        <w:t> mg</w:t>
      </w:r>
      <w:r w:rsidRPr="00431150">
        <w:rPr>
          <w:rFonts w:cs="Times New Roman"/>
          <w:lang w:val="de-DE"/>
        </w:rPr>
        <w:t>-os dózis mellett is.</w:t>
      </w:r>
    </w:p>
    <w:p w14:paraId="5F90AA68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4BE641F4" w14:textId="3D4CF3CE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 forgalomba hozatalt követően opportunista kórokozókkal, például vírusok (pl. varicella zoster vírus [VZV], progresszív multifokális leukoencephalopathiát okozó John Cunningham vírus [JCV], herpes simplex vírus [HSV]), gombák (pl. cryptococcusok, a cryptococcalis meningitist is beleértve) vagy baktériumok (pl. atípusos mycobacterium) okozta fertőzésekről számoltak be, melyek némelyike végzetes kimenetelű volt (lásd 4.4</w:t>
      </w:r>
      <w:r w:rsidR="00B377B0" w:rsidRPr="00431150">
        <w:rPr>
          <w:rFonts w:cs="Times New Roman"/>
          <w:lang w:val="de-DE"/>
        </w:rPr>
        <w:t> pont</w:t>
      </w:r>
      <w:r w:rsidRPr="00431150">
        <w:rPr>
          <w:rFonts w:cs="Times New Roman"/>
          <w:lang w:val="de-DE"/>
        </w:rPr>
        <w:t>).</w:t>
      </w:r>
    </w:p>
    <w:p w14:paraId="5B7D163D" w14:textId="77777777" w:rsidR="001F30F8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</w:p>
    <w:p w14:paraId="68CB11E0" w14:textId="5374183F" w:rsidR="004C0305" w:rsidRPr="00431150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 xml:space="preserve">A forgalomba hozatalt követően a fingolimod-kezeléssel összefüggésben </w:t>
      </w:r>
      <w:bookmarkStart w:id="3" w:name="_Hlk43975551"/>
      <w:r w:rsidRPr="00431150">
        <w:rPr>
          <w:rFonts w:cs="Times New Roman"/>
          <w:lang w:val="de-DE"/>
        </w:rPr>
        <w:t>humán papillomavírus</w:t>
      </w:r>
      <w:r w:rsidR="00931681">
        <w:rPr>
          <w:rFonts w:cs="Times New Roman"/>
          <w:lang w:val="de-DE"/>
        </w:rPr>
        <w:t>-</w:t>
      </w:r>
      <w:r w:rsidRPr="00431150">
        <w:rPr>
          <w:rFonts w:cs="Times New Roman"/>
          <w:lang w:val="de-DE"/>
        </w:rPr>
        <w:t>(HPV) fertőzésről</w:t>
      </w:r>
      <w:bookmarkEnd w:id="3"/>
      <w:r w:rsidRPr="00431150">
        <w:rPr>
          <w:rFonts w:cs="Times New Roman"/>
          <w:lang w:val="de-DE"/>
        </w:rPr>
        <w:t xml:space="preserve">, ezen belül papilloma, dysplasia, szemölcsök és HPV-vel összefüggő </w:t>
      </w:r>
      <w:r w:rsidR="008A2535">
        <w:rPr>
          <w:rFonts w:cs="Times New Roman"/>
          <w:lang w:val="de-DE"/>
        </w:rPr>
        <w:t>daganat</w:t>
      </w:r>
      <w:r w:rsidR="008A2535" w:rsidRPr="00431150">
        <w:rPr>
          <w:rFonts w:cs="Times New Roman"/>
          <w:lang w:val="de-DE"/>
        </w:rPr>
        <w:t xml:space="preserve"> </w:t>
      </w:r>
      <w:r w:rsidRPr="00431150">
        <w:rPr>
          <w:rFonts w:cs="Times New Roman"/>
          <w:lang w:val="de-DE"/>
        </w:rPr>
        <w:t>kialakulásáról számoltak be</w:t>
      </w:r>
      <w:r w:rsidR="005469B1">
        <w:rPr>
          <w:rFonts w:cs="Times New Roman"/>
          <w:lang w:val="de-DE"/>
        </w:rPr>
        <w:t xml:space="preserve"> (lásd 4.4 pont)</w:t>
      </w:r>
      <w:r w:rsidRPr="00431150">
        <w:rPr>
          <w:rFonts w:cs="Times New Roman"/>
          <w:lang w:val="de-DE"/>
        </w:rPr>
        <w:t>. A fingolimod immunszuppresszív tulajdonságai miatt mérlegelni kell a HPV elleni oltás beadását a fingolimod-kezelés megkezdése előtt, az oltással kapcsolatos ajánlásokat figyelembe véve. A szokásos gyakorlatnak megfelelő rákszűrés, így Papanicolau-teszt elvégzése javasolt.</w:t>
      </w:r>
    </w:p>
    <w:p w14:paraId="5179B7E8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459130F3" w14:textId="77777777" w:rsidR="004C0305" w:rsidRPr="00431150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431150">
        <w:rPr>
          <w:rFonts w:ascii="Times New Roman" w:hAnsi="Times New Roman" w:cs="Times New Roman"/>
          <w:i/>
          <w:u w:val="single" w:color="000000"/>
          <w:lang w:val="de-DE"/>
        </w:rPr>
        <w:t>Macula oedema</w:t>
      </w:r>
    </w:p>
    <w:p w14:paraId="6E0FA2CE" w14:textId="3BF19138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431150">
        <w:rPr>
          <w:rFonts w:cs="Times New Roman"/>
          <w:lang w:val="de-DE"/>
        </w:rPr>
        <w:t>A sclerosis multiplex miatt végzett klinikai vizsgálatokban macula oedema a 0,5</w:t>
      </w:r>
      <w:r w:rsidR="007D2011" w:rsidRPr="00431150">
        <w:rPr>
          <w:rFonts w:cs="Times New Roman"/>
          <w:lang w:val="de-DE"/>
        </w:rPr>
        <w:t> mg</w:t>
      </w:r>
      <w:r w:rsidRPr="00431150">
        <w:rPr>
          <w:rFonts w:cs="Times New Roman"/>
          <w:lang w:val="de-DE"/>
        </w:rPr>
        <w:t>-os javasolt dózissal kezelt betegek 0,5%-ánál, és a magasabb, 1,25</w:t>
      </w:r>
      <w:r w:rsidR="007D2011" w:rsidRPr="00431150">
        <w:rPr>
          <w:rFonts w:cs="Times New Roman"/>
          <w:lang w:val="de-DE"/>
        </w:rPr>
        <w:t> mg</w:t>
      </w:r>
      <w:r w:rsidRPr="00431150">
        <w:rPr>
          <w:rFonts w:cs="Times New Roman"/>
          <w:lang w:val="de-DE"/>
        </w:rPr>
        <w:t>-os adaggal kezelt betegek 1,1%-ánál fordult elő. Az esetek többsége a kezelés első 3-4</w:t>
      </w:r>
      <w:r w:rsidR="00607A97" w:rsidRPr="00431150">
        <w:rPr>
          <w:rFonts w:cs="Times New Roman"/>
          <w:lang w:val="de-DE"/>
        </w:rPr>
        <w:t> hónap</w:t>
      </w:r>
      <w:r w:rsidRPr="00431150">
        <w:rPr>
          <w:rFonts w:cs="Times New Roman"/>
          <w:lang w:val="de-DE"/>
        </w:rPr>
        <w:t xml:space="preserve">ja alatt alakult ki. Néhány betegnél homályos látás vagy látásélesség-csökkenés jelentkezett, de mások tünetmentesek voltak, és a betegség rutin szemészeti vizsgálaton került diagnosztizálásra. </w:t>
      </w:r>
      <w:r w:rsidRPr="006C526F">
        <w:rPr>
          <w:rFonts w:cs="Times New Roman"/>
          <w:lang w:val="de-DE"/>
        </w:rPr>
        <w:t xml:space="preserve">A macula oedema a </w:t>
      </w:r>
      <w:r w:rsidR="00032FEF" w:rsidRPr="006C526F">
        <w:rPr>
          <w:rFonts w:cs="Times New Roman"/>
          <w:lang w:val="de-DE"/>
        </w:rPr>
        <w:t xml:space="preserve">kezelés </w:t>
      </w:r>
      <w:r w:rsidRPr="006C526F">
        <w:rPr>
          <w:rFonts w:cs="Times New Roman"/>
          <w:lang w:val="de-DE"/>
        </w:rPr>
        <w:t>elhagyása után rendszerint spontán javult vagy megszűnt. Az ismételt adást követő recidíva kockázatát nem állapították meg.</w:t>
      </w:r>
    </w:p>
    <w:p w14:paraId="68E5B271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4EFB91C2" w14:textId="3D5CDB60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macula oedema előfordulási gyakorisága magasabb volt azoknál a sclerosis multiplexes betegeknél, akiknek az anamnézisében uveitis szerepel (17% azoknál, akiknek az anamnézisében szerepelt uveitis, míg 0,6% volt azoknál, akiknél nem). A </w:t>
      </w:r>
      <w:r w:rsidR="006520B1" w:rsidRPr="006C526F">
        <w:rPr>
          <w:rFonts w:cs="Times New Roman"/>
          <w:lang w:val="de-DE"/>
        </w:rPr>
        <w:t>fingolimodo</w:t>
      </w:r>
      <w:r w:rsidR="00A11A1C" w:rsidRPr="006C526F">
        <w:rPr>
          <w:rFonts w:cs="Times New Roman"/>
          <w:lang w:val="de-DE"/>
        </w:rPr>
        <w:t xml:space="preserve">t </w:t>
      </w:r>
      <w:r w:rsidRPr="006C526F">
        <w:rPr>
          <w:rFonts w:cs="Times New Roman"/>
          <w:lang w:val="de-DE"/>
        </w:rPr>
        <w:t>a macula oedema fokozott kockázatával járó betegségben, a diabetes mellitusban szenvedő, sclerosis multiplexes betegeknél nem vizsgálták (lásd</w:t>
      </w:r>
      <w:r w:rsidR="00152215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4.4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). A veseátültet</w:t>
      </w:r>
      <w:r w:rsidR="008A2535" w:rsidRPr="006C526F">
        <w:rPr>
          <w:rFonts w:cs="Times New Roman"/>
          <w:lang w:val="de-DE"/>
        </w:rPr>
        <w:t xml:space="preserve">ett betegekkel </w:t>
      </w:r>
      <w:r w:rsidRPr="006C526F">
        <w:rPr>
          <w:rFonts w:cs="Times New Roman"/>
          <w:lang w:val="de-DE"/>
        </w:rPr>
        <w:t>végzett klinikai vizsgálatokban, amelyben diabetes mellitusban szenvedő betegek is részt vettek, a 2,5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>-os és 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>-os fingolimod-kezelés a macula oedema előfordulási gyakoriságának 2-szeres emelkedését okozta.</w:t>
      </w:r>
    </w:p>
    <w:p w14:paraId="2413B138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28280D8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Bradyarrhythmia</w:t>
      </w:r>
    </w:p>
    <w:p w14:paraId="0395AD99" w14:textId="05C10E43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kezelés elkezdése a </w:t>
      </w:r>
      <w:r w:rsidR="008A2535" w:rsidRPr="006C526F">
        <w:rPr>
          <w:rFonts w:cs="Times New Roman"/>
          <w:lang w:val="de-DE"/>
        </w:rPr>
        <w:t xml:space="preserve">szívfrekvencia </w:t>
      </w:r>
      <w:r w:rsidRPr="006C526F">
        <w:rPr>
          <w:rFonts w:cs="Times New Roman"/>
          <w:lang w:val="de-DE"/>
        </w:rPr>
        <w:t xml:space="preserve">átmeneti csökkenését eredményezi, és lassult atrioventricularis átvezetéssel is társulhat. A sclerosis multiplex miatt végzett klinikai vizsgálatokban a </w:t>
      </w:r>
      <w:r w:rsidR="008A2535" w:rsidRPr="006C526F">
        <w:rPr>
          <w:rFonts w:cs="Times New Roman"/>
          <w:lang w:val="de-DE"/>
        </w:rPr>
        <w:t xml:space="preserve">szívfrekvencia </w:t>
      </w:r>
      <w:r w:rsidRPr="006C526F">
        <w:rPr>
          <w:rFonts w:cs="Times New Roman"/>
          <w:lang w:val="de-DE"/>
        </w:rPr>
        <w:t>maximális csökkenését a kezelés megkezdését követő 6</w:t>
      </w:r>
      <w:r w:rsidR="00141FD3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órán belül észlelték, és a csökkenés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6520B1" w:rsidRPr="006C526F">
        <w:rPr>
          <w:rFonts w:cs="Times New Roman"/>
          <w:lang w:val="de-DE"/>
        </w:rPr>
        <w:t xml:space="preserve">fingolimod </w:t>
      </w:r>
      <w:r w:rsidRPr="006C526F">
        <w:rPr>
          <w:rFonts w:cs="Times New Roman"/>
          <w:lang w:val="de-DE"/>
        </w:rPr>
        <w:t>mellett átlagosan 12-13 szívverés volt percenként. Felnőtteknél negyven, gyermek</w:t>
      </w:r>
      <w:r w:rsidR="008A2535" w:rsidRPr="006C526F">
        <w:rPr>
          <w:rFonts w:cs="Times New Roman"/>
          <w:lang w:val="de-DE"/>
        </w:rPr>
        <w:t>eknél és serdülőknél</w:t>
      </w:r>
      <w:r w:rsidRPr="006C526F">
        <w:rPr>
          <w:rFonts w:cs="Times New Roman"/>
          <w:lang w:val="de-DE"/>
        </w:rPr>
        <w:t xml:space="preserve"> ötven ütés per perc alatti </w:t>
      </w:r>
      <w:r w:rsidR="008A2535" w:rsidRPr="006C526F">
        <w:rPr>
          <w:rFonts w:cs="Times New Roman"/>
          <w:lang w:val="de-DE"/>
        </w:rPr>
        <w:t xml:space="preserve">szívfrekvenciát </w:t>
      </w:r>
      <w:r w:rsidRPr="006C526F">
        <w:rPr>
          <w:rFonts w:cs="Times New Roman"/>
          <w:lang w:val="de-DE"/>
        </w:rPr>
        <w:t>ritkán észleltek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6520B1" w:rsidRPr="006C526F">
        <w:rPr>
          <w:rFonts w:cs="Times New Roman"/>
          <w:lang w:val="de-DE"/>
        </w:rPr>
        <w:t>fingolimodo</w:t>
      </w:r>
      <w:r w:rsidR="00A11A1C" w:rsidRPr="006C526F">
        <w:rPr>
          <w:rFonts w:cs="Times New Roman"/>
          <w:lang w:val="de-DE"/>
        </w:rPr>
        <w:t xml:space="preserve">t </w:t>
      </w:r>
      <w:r w:rsidRPr="006C526F">
        <w:rPr>
          <w:rFonts w:cs="Times New Roman"/>
          <w:lang w:val="de-DE"/>
        </w:rPr>
        <w:t xml:space="preserve">kapó betegeknél. Az átlagos </w:t>
      </w:r>
      <w:r w:rsidR="008A2535" w:rsidRPr="006C526F">
        <w:rPr>
          <w:rFonts w:cs="Times New Roman"/>
          <w:lang w:val="de-DE"/>
        </w:rPr>
        <w:t xml:space="preserve">szívfrekvencia </w:t>
      </w:r>
      <w:r w:rsidRPr="006C526F">
        <w:rPr>
          <w:rFonts w:cs="Times New Roman"/>
          <w:lang w:val="de-DE"/>
        </w:rPr>
        <w:t>a tartós adagolás mellett 1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>on belül visszatért a kiindulási szintre. A bradycardia rendszerint tünetmentes volt, de néhány beteg enyhe, közepesen súlyos tüneteket észlelt, köztük hypotensiót, szédülést, fáradtságot és/vagy palpitációkat, amelyek a kezelés megkezdését követő első 24 órán belül megszűntek (lásd még 4.4 és 5.1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).</w:t>
      </w:r>
    </w:p>
    <w:p w14:paraId="203172DE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4106F8A" w14:textId="373C8A50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A sclerosis multiplex klinikai vizsgálat</w:t>
      </w:r>
      <w:r w:rsidR="00DF6361" w:rsidRPr="006C526F">
        <w:rPr>
          <w:rFonts w:cs="Times New Roman"/>
          <w:lang w:val="de-DE"/>
        </w:rPr>
        <w:t>ai</w:t>
      </w:r>
      <w:r w:rsidRPr="006C526F">
        <w:rPr>
          <w:rFonts w:cs="Times New Roman"/>
          <w:lang w:val="de-DE"/>
        </w:rPr>
        <w:t xml:space="preserve">ban a kezelés megkezdését követően elsőfokú atrioventricularis </w:t>
      </w:r>
      <w:r w:rsidR="008649A9" w:rsidRPr="006C526F">
        <w:rPr>
          <w:rFonts w:cs="Times New Roman"/>
          <w:lang w:val="de-DE"/>
        </w:rPr>
        <w:t>blokk</w:t>
      </w:r>
      <w:r w:rsidRPr="006C526F">
        <w:rPr>
          <w:rFonts w:cs="Times New Roman"/>
          <w:lang w:val="de-DE"/>
        </w:rPr>
        <w:t>ot (a PR-távolság megnyúlását az EKG-n) figyeltek meg felnőtt</w:t>
      </w:r>
      <w:r w:rsidR="00A039F0" w:rsidRPr="006C526F">
        <w:rPr>
          <w:rFonts w:cs="Times New Roman"/>
          <w:lang w:val="de-DE"/>
        </w:rPr>
        <w:t>eknél,</w:t>
      </w:r>
      <w:r w:rsidRPr="006C526F">
        <w:rPr>
          <w:rFonts w:cs="Times New Roman"/>
          <w:lang w:val="de-DE"/>
        </w:rPr>
        <w:t xml:space="preserve"> </w:t>
      </w:r>
      <w:r w:rsidR="00A039F0" w:rsidRPr="006C526F">
        <w:rPr>
          <w:rFonts w:cs="Times New Roman"/>
          <w:lang w:val="de-DE"/>
        </w:rPr>
        <w:t xml:space="preserve">valamint </w:t>
      </w:r>
      <w:r w:rsidR="008A2535" w:rsidRPr="006C526F">
        <w:rPr>
          <w:rFonts w:cs="Times New Roman"/>
          <w:lang w:val="de-DE"/>
        </w:rPr>
        <w:t>gyermekeknél és serdülőknél</w:t>
      </w:r>
      <w:r w:rsidRPr="006C526F">
        <w:rPr>
          <w:rFonts w:cs="Times New Roman"/>
          <w:lang w:val="de-DE"/>
        </w:rPr>
        <w:t>. A felnőttekkel végzett klinikai vizsgálatokban ezt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6520B1" w:rsidRPr="006C526F">
        <w:rPr>
          <w:rFonts w:cs="Times New Roman"/>
          <w:lang w:val="de-DE"/>
        </w:rPr>
        <w:t>fingolimodo</w:t>
      </w:r>
      <w:r w:rsidR="00A11A1C" w:rsidRPr="006C526F">
        <w:rPr>
          <w:rFonts w:cs="Times New Roman"/>
          <w:lang w:val="de-DE"/>
        </w:rPr>
        <w:t xml:space="preserve">t </w:t>
      </w:r>
      <w:r w:rsidRPr="006C526F">
        <w:rPr>
          <w:rFonts w:cs="Times New Roman"/>
          <w:lang w:val="de-DE"/>
        </w:rPr>
        <w:t xml:space="preserve">kapó betegek 4,7%-ánál, az intramuscularis interferon béta-1a-t kapó betegek 2,8%-ánál, és a placebót kapó betegek 1,6%-ánál észlelték. Másodfokú atrioventricularis </w:t>
      </w:r>
      <w:r w:rsidR="008649A9" w:rsidRPr="006C526F">
        <w:rPr>
          <w:rFonts w:cs="Times New Roman"/>
          <w:lang w:val="de-DE"/>
        </w:rPr>
        <w:t>blokk</w:t>
      </w:r>
      <w:r w:rsidRPr="006C526F">
        <w:rPr>
          <w:rFonts w:cs="Times New Roman"/>
          <w:lang w:val="de-DE"/>
        </w:rPr>
        <w:t>ot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287CB5" w:rsidRPr="006C526F">
        <w:rPr>
          <w:rFonts w:cs="Times New Roman"/>
          <w:lang w:val="de-DE"/>
        </w:rPr>
        <w:t>f</w:t>
      </w:r>
      <w:r w:rsidR="00430A9D" w:rsidRPr="006C526F">
        <w:rPr>
          <w:rFonts w:cs="Times New Roman"/>
          <w:lang w:val="de-DE"/>
        </w:rPr>
        <w:t>ingolimod</w:t>
      </w:r>
      <w:r w:rsidR="00287CB5" w:rsidRPr="006C526F">
        <w:rPr>
          <w:rFonts w:cs="Times New Roman"/>
          <w:lang w:val="de-DE"/>
        </w:rPr>
        <w:t>o</w:t>
      </w:r>
      <w:r w:rsidRPr="006C526F">
        <w:rPr>
          <w:rFonts w:cs="Times New Roman"/>
          <w:lang w:val="de-DE"/>
        </w:rPr>
        <w:t xml:space="preserve">t kapó felnőtt betegek kevesebb mint 0,2%-ánál mutattak ki. A forgalomba hozatalt követően a </w:t>
      </w:r>
      <w:r w:rsidR="00EF4B65" w:rsidRPr="006C526F">
        <w:rPr>
          <w:rFonts w:cs="Times New Roman"/>
          <w:lang w:val="de-DE"/>
        </w:rPr>
        <w:t xml:space="preserve">fingolimod </w:t>
      </w:r>
      <w:r w:rsidRPr="006C526F">
        <w:rPr>
          <w:rFonts w:cs="Times New Roman"/>
          <w:lang w:val="de-DE"/>
        </w:rPr>
        <w:t>első dózisának beadása utáni hatórás monitorozási periódus alatt átmeneti, spontán megszűnő teljes AV-</w:t>
      </w:r>
      <w:r w:rsidR="008649A9" w:rsidRPr="006C526F">
        <w:rPr>
          <w:rFonts w:cs="Times New Roman"/>
          <w:lang w:val="de-DE"/>
        </w:rPr>
        <w:t>blokk</w:t>
      </w:r>
      <w:r w:rsidRPr="006C526F">
        <w:rPr>
          <w:rFonts w:cs="Times New Roman"/>
          <w:lang w:val="de-DE"/>
        </w:rPr>
        <w:t>ról szóló izolált eseteket észleltek. A betegek állapota spontán rendeződött. A klinikai vizsgálatokat és a forgalomba hozatalt követően egyaránt megfigyelt vezetési zavarok jellemző módon átmeneti jellegűek és tünetmentesek voltak, és a kezelés megkezdését követő első</w:t>
      </w:r>
      <w:r w:rsidR="00415E5F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24 órán belül megszűntek. Bár a legtöbb betegnek nem volt szüksége orvosi beavatkozásra, egy,</w:t>
      </w:r>
      <w:r w:rsidR="00415E5F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EF4B65" w:rsidRPr="006C526F">
        <w:rPr>
          <w:rFonts w:cs="Times New Roman"/>
          <w:lang w:val="de-DE"/>
        </w:rPr>
        <w:t>fingolimodo</w:t>
      </w:r>
      <w:r w:rsidR="00A11A1C" w:rsidRPr="006C526F">
        <w:rPr>
          <w:rFonts w:cs="Times New Roman"/>
          <w:lang w:val="de-DE"/>
        </w:rPr>
        <w:t xml:space="preserve">t </w:t>
      </w:r>
      <w:r w:rsidRPr="006C526F">
        <w:rPr>
          <w:rFonts w:cs="Times New Roman"/>
          <w:lang w:val="de-DE"/>
        </w:rPr>
        <w:t xml:space="preserve">kapó beteg a tünetmentes másodfokú Mobitz I atrioventricularis </w:t>
      </w:r>
      <w:r w:rsidR="008649A9" w:rsidRPr="006C526F">
        <w:rPr>
          <w:rFonts w:cs="Times New Roman"/>
          <w:lang w:val="de-DE"/>
        </w:rPr>
        <w:t>blokk</w:t>
      </w:r>
      <w:r w:rsidRPr="006C526F">
        <w:rPr>
          <w:rFonts w:cs="Times New Roman"/>
          <w:lang w:val="de-DE"/>
        </w:rPr>
        <w:t>ra izoprenalint kapott.</w:t>
      </w:r>
    </w:p>
    <w:p w14:paraId="2593C026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303F426E" w14:textId="2AB99834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lastRenderedPageBreak/>
        <w:t xml:space="preserve">A forgalomba hozatalt követően izolált, késői megjelenésű események, köztük tranziens asystolia és tisztázatlan eredetű halál fordultak elő az első dózis után 24 órán belül. Ezeknek az eseteknek a megítélését egyidejűleg alkalmazott gyógyszerek és/vagy már meglévő betegségek zavarták. Az ilyen események és a </w:t>
      </w:r>
      <w:r w:rsidR="00EF4B65" w:rsidRPr="006C526F">
        <w:rPr>
          <w:rFonts w:cs="Times New Roman"/>
          <w:lang w:val="de-DE"/>
        </w:rPr>
        <w:t xml:space="preserve">fingolimod </w:t>
      </w:r>
      <w:r w:rsidRPr="006C526F">
        <w:rPr>
          <w:rFonts w:cs="Times New Roman"/>
          <w:lang w:val="de-DE"/>
        </w:rPr>
        <w:t>közti összefüggés bizonytalan.</w:t>
      </w:r>
    </w:p>
    <w:p w14:paraId="05E43A86" w14:textId="77777777" w:rsidR="001F30F8" w:rsidRPr="006C526F" w:rsidRDefault="001F30F8" w:rsidP="00225D6A">
      <w:pPr>
        <w:rPr>
          <w:rFonts w:ascii="Times New Roman" w:hAnsi="Times New Roman" w:cs="Times New Roman"/>
          <w:i/>
          <w:u w:val="single" w:color="000000"/>
          <w:lang w:val="de-DE"/>
        </w:rPr>
      </w:pPr>
    </w:p>
    <w:p w14:paraId="1FA5E1E0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Vérnyomás</w:t>
      </w:r>
    </w:p>
    <w:p w14:paraId="39D714E2" w14:textId="765ED83D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A sclerosis multiplex miatt végzett klinikai vizsgálatokban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287CB5" w:rsidRPr="006C526F">
        <w:rPr>
          <w:rFonts w:cs="Times New Roman"/>
          <w:lang w:val="de-DE"/>
        </w:rPr>
        <w:t>f</w:t>
      </w:r>
      <w:r w:rsidR="00430A9D" w:rsidRPr="006C526F">
        <w:rPr>
          <w:rFonts w:cs="Times New Roman"/>
          <w:lang w:val="de-DE"/>
        </w:rPr>
        <w:t>ingolimod</w:t>
      </w:r>
      <w:r w:rsidRPr="006C526F">
        <w:rPr>
          <w:rFonts w:cs="Times New Roman"/>
          <w:lang w:val="de-DE"/>
        </w:rPr>
        <w:t>-kezelés a szisztolés vérnyomás mintegy 3</w:t>
      </w:r>
      <w:r w:rsidR="00615847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Hgmm-es és a diasztolés vérnyomás megközelítőleg 1</w:t>
      </w:r>
      <w:r w:rsidR="00615847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Hgmm-es átlagos emelkedésével járt, ami mintegy 1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>pal a kezelés megkezdését követően manifesztálódott. Ez az emelkedés a kezelés folytatásakor megmaradt. Magas vérnyomásról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fingolimodot kapó betegek 6,5%-ánál és a placebót kapó betegek 3,3%-ánál számoltak be. A forgalomba hozatal után a kezelés elkezdését követő első</w:t>
      </w:r>
      <w:r w:rsidR="008A2535" w:rsidRPr="006C526F">
        <w:rPr>
          <w:rFonts w:cs="Times New Roman"/>
          <w:lang w:val="de-DE"/>
        </w:rPr>
        <w:t xml:space="preserve"> </w:t>
      </w:r>
      <w:r w:rsidR="00607A97" w:rsidRPr="006C526F">
        <w:rPr>
          <w:rFonts w:cs="Times New Roman"/>
          <w:lang w:val="de-DE"/>
        </w:rPr>
        <w:t>hónap</w:t>
      </w:r>
      <w:r w:rsidRPr="006C526F">
        <w:rPr>
          <w:rFonts w:cs="Times New Roman"/>
          <w:lang w:val="de-DE"/>
        </w:rPr>
        <w:t>ban és a kezelés első napján kialakuló hypertoniás esetekről számoltak be, ez vérnyomáscsökkentő</w:t>
      </w:r>
      <w:r w:rsidR="008A2535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 xml:space="preserve">kezelést vagy a </w:t>
      </w:r>
      <w:r w:rsidR="00025FC8" w:rsidRPr="006C526F">
        <w:rPr>
          <w:rFonts w:cs="Times New Roman"/>
          <w:lang w:val="de-DE"/>
        </w:rPr>
        <w:t xml:space="preserve">fingolimod </w:t>
      </w:r>
      <w:r w:rsidRPr="006C526F">
        <w:rPr>
          <w:rFonts w:cs="Times New Roman"/>
          <w:lang w:val="de-DE"/>
        </w:rPr>
        <w:t>abbahagyását teheti szükségessé (lásd még 4.4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, A vérnyomásra gyakorolt hatások).</w:t>
      </w:r>
    </w:p>
    <w:p w14:paraId="0B48F906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09860345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Májfunkció</w:t>
      </w:r>
    </w:p>
    <w:p w14:paraId="7538285C" w14:textId="59982CE2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</w:t>
      </w:r>
      <w:r w:rsidR="00025FC8" w:rsidRPr="006C526F">
        <w:rPr>
          <w:rFonts w:cs="Times New Roman"/>
          <w:lang w:val="de-DE"/>
        </w:rPr>
        <w:t xml:space="preserve">fingolimoddal </w:t>
      </w:r>
      <w:r w:rsidRPr="006C526F">
        <w:rPr>
          <w:rFonts w:cs="Times New Roman"/>
          <w:lang w:val="de-DE"/>
        </w:rPr>
        <w:t>kezelt sclerosis multiplexben szenvedő felnőtt és gyermekgyógyászati betegeknél emelkedett májenzimszint értékeket jelentettek. A klinikai vizsgálatokban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</w:t>
      </w:r>
      <w:r w:rsidR="00025FC8" w:rsidRPr="006C526F">
        <w:rPr>
          <w:rFonts w:cs="Times New Roman"/>
          <w:lang w:val="de-DE"/>
        </w:rPr>
        <w:t xml:space="preserve">fingolimoddal </w:t>
      </w:r>
      <w:r w:rsidRPr="006C526F">
        <w:rPr>
          <w:rFonts w:cs="Times New Roman"/>
          <w:lang w:val="de-DE"/>
        </w:rPr>
        <w:t xml:space="preserve">kezelt felnőtt betegek 8,0%-ánál észlelték </w:t>
      </w:r>
      <w:r w:rsidR="00427E1F" w:rsidRPr="006C526F">
        <w:rPr>
          <w:rFonts w:cs="Times New Roman"/>
          <w:lang w:val="de-DE"/>
        </w:rPr>
        <w:t>a G</w:t>
      </w:r>
      <w:r w:rsidR="00DF6361" w:rsidRPr="006C526F">
        <w:rPr>
          <w:rFonts w:cs="Times New Roman"/>
          <w:lang w:val="de-DE"/>
        </w:rPr>
        <w:t>P</w:t>
      </w:r>
      <w:r w:rsidR="00427E1F" w:rsidRPr="006C526F">
        <w:rPr>
          <w:rFonts w:cs="Times New Roman"/>
          <w:lang w:val="de-DE"/>
        </w:rPr>
        <w:t>T</w:t>
      </w:r>
      <w:r w:rsidR="00DF6361" w:rsidRPr="006C526F">
        <w:rPr>
          <w:rFonts w:cs="Times New Roman"/>
          <w:lang w:val="de-DE"/>
        </w:rPr>
        <w:t xml:space="preserve">- (ALAT) </w:t>
      </w:r>
      <w:r w:rsidRPr="006C526F">
        <w:rPr>
          <w:rFonts w:cs="Times New Roman"/>
          <w:lang w:val="de-DE"/>
        </w:rPr>
        <w:t>szérumszint normálérték felső határának ≥</w:t>
      </w:r>
      <w:r w:rsidR="008A2535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3-szorosára, és 1,8%-ánál észlelték annak ≥ 5-szörösére történő emelkedését. A hepaticus transzaminázok szintjének ismételt emelkedése a kezelés újbóli elkezdésekor a betegek egy részénél ismét kialakult, ami alátámasztja a gyógyszerrel való összefüggést. Klinikai vizsgálatok során a transzaminázok szintjének emelkedése a kezelés alatt bármikor előfordult, bár a legtöbbször ez az első 12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 xml:space="preserve">on belül történt. </w:t>
      </w:r>
      <w:r w:rsidR="00427E1F" w:rsidRPr="006C526F">
        <w:rPr>
          <w:rFonts w:cs="Times New Roman"/>
          <w:lang w:val="de-DE"/>
        </w:rPr>
        <w:t>A GPT</w:t>
      </w:r>
      <w:r w:rsidR="00DF6361" w:rsidRPr="006C526F">
        <w:rPr>
          <w:rFonts w:cs="Times New Roman"/>
          <w:lang w:val="de-DE"/>
        </w:rPr>
        <w:t xml:space="preserve">- (ALAT) </w:t>
      </w:r>
      <w:r w:rsidRPr="006C526F">
        <w:rPr>
          <w:rFonts w:cs="Times New Roman"/>
          <w:lang w:val="de-DE"/>
        </w:rPr>
        <w:t xml:space="preserve">szintek a </w:t>
      </w:r>
      <w:r w:rsidR="00025FC8" w:rsidRPr="006C526F">
        <w:rPr>
          <w:rFonts w:cs="Times New Roman"/>
          <w:lang w:val="de-DE"/>
        </w:rPr>
        <w:t xml:space="preserve">kezelés </w:t>
      </w:r>
      <w:r w:rsidRPr="006C526F">
        <w:rPr>
          <w:rFonts w:cs="Times New Roman"/>
          <w:lang w:val="de-DE"/>
        </w:rPr>
        <w:t>abbahagyását követően kb. 2</w:t>
      </w:r>
      <w:r w:rsidR="00607A97" w:rsidRPr="006C526F">
        <w:rPr>
          <w:rFonts w:cs="Times New Roman"/>
          <w:lang w:val="de-DE"/>
        </w:rPr>
        <w:t> hónap</w:t>
      </w:r>
      <w:r w:rsidR="00EF5FDE" w:rsidRPr="006C526F">
        <w:rPr>
          <w:rFonts w:cs="Times New Roman"/>
          <w:lang w:val="de-DE"/>
        </w:rPr>
        <w:t xml:space="preserve"> elteltével</w:t>
      </w:r>
      <w:r w:rsidRPr="006C526F">
        <w:rPr>
          <w:rFonts w:cs="Times New Roman"/>
          <w:lang w:val="de-DE"/>
        </w:rPr>
        <w:t xml:space="preserve"> normalizálódtak.</w:t>
      </w:r>
    </w:p>
    <w:p w14:paraId="06713767" w14:textId="3DFEAED9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Kis számú (az 1,25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>-ot kapóknál N = 10,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-ot kapóknál N = 2) olyan betegnél, akinél </w:t>
      </w:r>
      <w:r w:rsidR="00427E1F" w:rsidRPr="006C526F">
        <w:rPr>
          <w:rFonts w:cs="Times New Roman"/>
          <w:lang w:val="de-DE"/>
        </w:rPr>
        <w:t>a GPT</w:t>
      </w:r>
      <w:r w:rsidRPr="006C526F">
        <w:rPr>
          <w:rFonts w:cs="Times New Roman"/>
          <w:lang w:val="de-DE"/>
        </w:rPr>
        <w:t>-</w:t>
      </w:r>
      <w:r w:rsidR="00DF6361" w:rsidRPr="006C526F">
        <w:rPr>
          <w:rFonts w:cs="Times New Roman"/>
          <w:lang w:val="de-DE"/>
        </w:rPr>
        <w:t xml:space="preserve"> (ALAT) </w:t>
      </w:r>
      <w:r w:rsidRPr="006C526F">
        <w:rPr>
          <w:rFonts w:cs="Times New Roman"/>
          <w:lang w:val="de-DE"/>
        </w:rPr>
        <w:t xml:space="preserve">szint normálérték felső határának ≥ 5-szörösére történő emelkedését észlelték, és akik folytatták a </w:t>
      </w:r>
      <w:r w:rsidR="00025FC8" w:rsidRPr="006C526F">
        <w:rPr>
          <w:rFonts w:cs="Times New Roman"/>
          <w:lang w:val="de-DE"/>
        </w:rPr>
        <w:t>fingolimod</w:t>
      </w:r>
      <w:r w:rsidRPr="006C526F">
        <w:rPr>
          <w:rFonts w:cs="Times New Roman"/>
          <w:lang w:val="de-DE"/>
        </w:rPr>
        <w:t xml:space="preserve">-kezelést, </w:t>
      </w:r>
      <w:r w:rsidR="00427E1F" w:rsidRPr="006C526F">
        <w:rPr>
          <w:rFonts w:cs="Times New Roman"/>
          <w:lang w:val="de-DE"/>
        </w:rPr>
        <w:t>a GPT</w:t>
      </w:r>
      <w:r w:rsidRPr="006C526F">
        <w:rPr>
          <w:rFonts w:cs="Times New Roman"/>
          <w:lang w:val="de-DE"/>
        </w:rPr>
        <w:t>-</w:t>
      </w:r>
      <w:r w:rsidR="00DF6361" w:rsidRPr="006C526F">
        <w:rPr>
          <w:rFonts w:cs="Times New Roman"/>
          <w:lang w:val="de-DE"/>
        </w:rPr>
        <w:t xml:space="preserve"> (ALAT) </w:t>
      </w:r>
      <w:r w:rsidRPr="006C526F">
        <w:rPr>
          <w:rFonts w:cs="Times New Roman"/>
          <w:lang w:val="de-DE"/>
        </w:rPr>
        <w:t>szint megközelítőleg 5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>on belül normalizálódott (lásd még 4.4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, Májfunkció).</w:t>
      </w:r>
    </w:p>
    <w:p w14:paraId="40672623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502EDDA3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Idegrendszeri betegségek és tünetek</w:t>
      </w:r>
    </w:p>
    <w:p w14:paraId="30F996A6" w14:textId="4FBA61DD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A klinikai vizsgálatokban a magasabb fingolimod adagokkal (1,25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vagy 5,0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) kezelt betegeknél ritka, idegrendszert érintő események fordultak elő, közéjük tartozott az ischaemiás és haemorrhagiás stroke és az atípusos neurológiai kórképek, mint például az </w:t>
      </w:r>
      <w:bookmarkStart w:id="4" w:name="_Hlk43976464"/>
      <w:r w:rsidRPr="006C526F">
        <w:rPr>
          <w:rFonts w:cs="Times New Roman"/>
          <w:lang w:val="de-DE"/>
        </w:rPr>
        <w:t>akut disszeminált encephalomyelitis (ADEM)</w:t>
      </w:r>
      <w:r w:rsidR="00DF6361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-szerű események</w:t>
      </w:r>
      <w:bookmarkEnd w:id="4"/>
      <w:r w:rsidRPr="006C526F">
        <w:rPr>
          <w:rFonts w:cs="Times New Roman"/>
          <w:lang w:val="de-DE"/>
        </w:rPr>
        <w:t>.</w:t>
      </w:r>
    </w:p>
    <w:p w14:paraId="72152F60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31C7643F" w14:textId="4418B998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Klinikai vizsgálatokban és a forgalomba hozatalt követően görcsrohamok, így status epilepticus, előfordulásáról számoltak be a </w:t>
      </w:r>
      <w:r w:rsidR="00CF689A" w:rsidRPr="006C526F">
        <w:rPr>
          <w:rFonts w:cs="Times New Roman"/>
          <w:lang w:val="de-DE"/>
        </w:rPr>
        <w:t xml:space="preserve">fingolimod </w:t>
      </w:r>
      <w:r w:rsidRPr="006C526F">
        <w:rPr>
          <w:rFonts w:cs="Times New Roman"/>
          <w:lang w:val="de-DE"/>
        </w:rPr>
        <w:t>alkalmazásával összefüggésben.</w:t>
      </w:r>
    </w:p>
    <w:p w14:paraId="495D8DCB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5157479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Érbetegségek és tünetek</w:t>
      </w:r>
    </w:p>
    <w:p w14:paraId="432203A0" w14:textId="2809195D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</w:t>
      </w:r>
      <w:r w:rsidR="00DF6361" w:rsidRPr="006C526F">
        <w:rPr>
          <w:rFonts w:cs="Times New Roman"/>
          <w:lang w:val="de-DE"/>
        </w:rPr>
        <w:t xml:space="preserve">nagyobb </w:t>
      </w:r>
      <w:r w:rsidRPr="006C526F">
        <w:rPr>
          <w:rFonts w:cs="Times New Roman"/>
          <w:lang w:val="de-DE"/>
        </w:rPr>
        <w:t>fingolimod</w:t>
      </w:r>
      <w:r w:rsidR="00DF6361" w:rsidRPr="006C526F">
        <w:rPr>
          <w:rFonts w:cs="Times New Roman"/>
          <w:lang w:val="de-DE"/>
        </w:rPr>
        <w:t>-</w:t>
      </w:r>
      <w:r w:rsidRPr="006C526F">
        <w:rPr>
          <w:rFonts w:cs="Times New Roman"/>
          <w:lang w:val="de-DE"/>
        </w:rPr>
        <w:t>dózisokkal (1,25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>) kezelt betegeknél ritka esetben perifériás verőérszűkület</w:t>
      </w:r>
      <w:r w:rsidR="00415E5F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alakult ki.</w:t>
      </w:r>
    </w:p>
    <w:p w14:paraId="0AF1D769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7AE19927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 xml:space="preserve">Légzőrendszer </w:t>
      </w:r>
    </w:p>
    <w:p w14:paraId="3BBD6E58" w14:textId="0394D83C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</w:t>
      </w:r>
      <w:r w:rsidR="007927F8" w:rsidRPr="006C526F">
        <w:rPr>
          <w:rFonts w:cs="Times New Roman"/>
          <w:lang w:val="de-DE"/>
        </w:rPr>
        <w:t>fingolimod</w:t>
      </w:r>
      <w:r w:rsidRPr="006C526F">
        <w:rPr>
          <w:rFonts w:cs="Times New Roman"/>
          <w:lang w:val="de-DE"/>
        </w:rPr>
        <w:t>-kezelés mellett a forszírozott exspirációs volumen (FEV</w:t>
      </w:r>
      <w:r w:rsidR="007D34AD" w:rsidRPr="006C526F">
        <w:rPr>
          <w:rFonts w:cs="Times New Roman"/>
          <w:vertAlign w:val="subscript"/>
          <w:lang w:val="de-DE"/>
        </w:rPr>
        <w:t>1</w:t>
      </w:r>
      <w:r w:rsidRPr="006C526F">
        <w:rPr>
          <w:rFonts w:cs="Times New Roman"/>
          <w:lang w:val="de-DE"/>
        </w:rPr>
        <w:t>) és a szén-monoxid diffúziós kapacitás értékekben észlelt csekély, dózisfüggő csökkenés az első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>ban kezdődött, majd azt követően nem változott. A 24.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>ban a százalékos előrejelzett FEV</w:t>
      </w:r>
      <w:r w:rsidR="007D34AD" w:rsidRPr="006C526F">
        <w:rPr>
          <w:rFonts w:cs="Times New Roman"/>
          <w:vertAlign w:val="subscript"/>
          <w:lang w:val="de-DE"/>
        </w:rPr>
        <w:t>1</w:t>
      </w:r>
      <w:r w:rsidR="00DF6361" w:rsidRPr="006C526F">
        <w:rPr>
          <w:rFonts w:cs="Times New Roman"/>
          <w:position w:val="-1"/>
          <w:lang w:val="de-DE"/>
        </w:rPr>
        <w:t>-</w:t>
      </w:r>
      <w:r w:rsidRPr="006C526F">
        <w:rPr>
          <w:rFonts w:cs="Times New Roman"/>
          <w:lang w:val="de-DE"/>
        </w:rPr>
        <w:t>értékben bekövetkezett, a kiindulási értékhez viszonyított csökkenés 2,7% volt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fingolimod, és 1,2% volt a placebo esetén, és ez a különbség a kezelés abbahagyását követően eltűnt. A </w:t>
      </w:r>
      <w:bookmarkStart w:id="5" w:name="_Hlk43976721"/>
      <w:r w:rsidRPr="006C526F">
        <w:rPr>
          <w:rFonts w:cs="Times New Roman"/>
          <w:lang w:val="de-DE"/>
        </w:rPr>
        <w:t>szén-monoxid</w:t>
      </w:r>
      <w:r w:rsidR="00DF6361" w:rsidRPr="006C526F">
        <w:rPr>
          <w:rFonts w:cs="Times New Roman"/>
          <w:lang w:val="de-DE"/>
        </w:rPr>
        <w:t>-</w:t>
      </w:r>
      <w:r w:rsidRPr="006C526F">
        <w:rPr>
          <w:rFonts w:cs="Times New Roman"/>
          <w:lang w:val="de-DE"/>
        </w:rPr>
        <w:t xml:space="preserve">diffúziós kapacitás </w:t>
      </w:r>
      <w:bookmarkEnd w:id="5"/>
      <w:r w:rsidRPr="006C526F">
        <w:rPr>
          <w:rFonts w:cs="Times New Roman"/>
          <w:lang w:val="de-DE"/>
        </w:rPr>
        <w:t>csökkenése a 24.</w:t>
      </w:r>
      <w:r w:rsidR="00607A97" w:rsidRPr="006C526F">
        <w:rPr>
          <w:rFonts w:cs="Times New Roman"/>
          <w:lang w:val="de-DE"/>
        </w:rPr>
        <w:t> hónap</w:t>
      </w:r>
      <w:r w:rsidRPr="006C526F">
        <w:rPr>
          <w:rFonts w:cs="Times New Roman"/>
          <w:lang w:val="de-DE"/>
        </w:rPr>
        <w:t>ban 3,3% volt a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fingolimod, és 2,7% volt a placebo esetén</w:t>
      </w:r>
      <w:r w:rsidR="007927F8" w:rsidRPr="006C526F">
        <w:rPr>
          <w:rFonts w:cs="Times New Roman"/>
          <w:lang w:val="de-DE"/>
        </w:rPr>
        <w:t xml:space="preserve"> </w:t>
      </w:r>
      <w:r w:rsidR="007927F8" w:rsidRPr="007927F8">
        <w:rPr>
          <w:rFonts w:cs="Times New Roman"/>
          <w:lang w:val="hu-HU"/>
        </w:rPr>
        <w:t>(lásd még 4.4</w:t>
      </w:r>
      <w:r w:rsidR="007927F8">
        <w:rPr>
          <w:rFonts w:cs="Times New Roman"/>
          <w:lang w:val="hu-HU"/>
        </w:rPr>
        <w:t> </w:t>
      </w:r>
      <w:r w:rsidR="007927F8" w:rsidRPr="007927F8">
        <w:rPr>
          <w:rFonts w:cs="Times New Roman"/>
          <w:lang w:val="hu-HU"/>
        </w:rPr>
        <w:t>pont, Légzőrendszeri hatások)</w:t>
      </w:r>
      <w:r w:rsidRPr="006C526F">
        <w:rPr>
          <w:rFonts w:cs="Times New Roman"/>
          <w:lang w:val="de-DE"/>
        </w:rPr>
        <w:t>.</w:t>
      </w:r>
    </w:p>
    <w:p w14:paraId="6D3F0580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5C2F00B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Lymphomák</w:t>
      </w:r>
    </w:p>
    <w:p w14:paraId="427FA93E" w14:textId="3F827940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Mind a klinikai vizsgálatokban, mind a forgalomba hozatalt követően előfordultak különböző fajta lymphoma esetek, beleértve egy halálos kimenetelű Epstein-Barr vírus (EBV) pozitív, B-sejtes lymphoma esetet is. A </w:t>
      </w:r>
      <w:bookmarkStart w:id="6" w:name="_Hlk43976795"/>
      <w:r w:rsidRPr="006C526F">
        <w:rPr>
          <w:rFonts w:cs="Times New Roman"/>
          <w:lang w:val="de-DE"/>
        </w:rPr>
        <w:t>non-Hodgkin</w:t>
      </w:r>
      <w:r w:rsidR="00DF6361" w:rsidRPr="006C526F">
        <w:rPr>
          <w:rFonts w:cs="Times New Roman"/>
          <w:lang w:val="de-DE"/>
        </w:rPr>
        <w:t>-</w:t>
      </w:r>
      <w:r w:rsidRPr="006C526F">
        <w:rPr>
          <w:rFonts w:cs="Times New Roman"/>
          <w:lang w:val="de-DE"/>
        </w:rPr>
        <w:t xml:space="preserve">lymphoma </w:t>
      </w:r>
      <w:bookmarkEnd w:id="6"/>
      <w:r w:rsidRPr="006C526F">
        <w:rPr>
          <w:rFonts w:cs="Times New Roman"/>
          <w:lang w:val="de-DE"/>
        </w:rPr>
        <w:t xml:space="preserve">(B-sejtes és T-sejtes) előfordulási gyakorisága magasabb volt a klinikai vizsgálatokban, mint ahogy az az átlagpopulációban várható. A forgalomba </w:t>
      </w:r>
      <w:r w:rsidRPr="006C526F">
        <w:rPr>
          <w:rFonts w:cs="Times New Roman"/>
          <w:lang w:val="de-DE"/>
        </w:rPr>
        <w:lastRenderedPageBreak/>
        <w:t>hozatalt követően néhány T-sejtes lymphoma, így cutan T-sejtes lymphoma (mycosis fungoides) esetet is jelentettek</w:t>
      </w:r>
      <w:r w:rsidR="007927F8" w:rsidRPr="006C526F">
        <w:rPr>
          <w:rFonts w:cs="Times New Roman"/>
          <w:lang w:val="de-DE"/>
        </w:rPr>
        <w:t xml:space="preserve"> </w:t>
      </w:r>
      <w:r w:rsidR="007927F8" w:rsidRPr="007927F8">
        <w:rPr>
          <w:rFonts w:cs="Times New Roman"/>
          <w:lang w:val="hu-HU"/>
        </w:rPr>
        <w:t>(lásd még 4.4</w:t>
      </w:r>
      <w:r w:rsidR="007927F8">
        <w:rPr>
          <w:rFonts w:cs="Times New Roman"/>
          <w:lang w:val="hu-HU"/>
        </w:rPr>
        <w:t> </w:t>
      </w:r>
      <w:r w:rsidR="007927F8" w:rsidRPr="007927F8">
        <w:rPr>
          <w:rFonts w:cs="Times New Roman"/>
          <w:lang w:val="hu-HU"/>
        </w:rPr>
        <w:t>pont, Malignitások</w:t>
      </w:r>
      <w:r w:rsidR="007927F8">
        <w:rPr>
          <w:rFonts w:cs="Times New Roman"/>
          <w:lang w:val="hu-HU"/>
        </w:rPr>
        <w:t>)</w:t>
      </w:r>
      <w:r w:rsidRPr="006C526F">
        <w:rPr>
          <w:rFonts w:cs="Times New Roman"/>
          <w:lang w:val="de-DE"/>
        </w:rPr>
        <w:t>.</w:t>
      </w:r>
    </w:p>
    <w:p w14:paraId="368C81CC" w14:textId="77777777" w:rsidR="001F30F8" w:rsidRPr="006C526F" w:rsidRDefault="001F30F8" w:rsidP="00225D6A">
      <w:pPr>
        <w:rPr>
          <w:rFonts w:ascii="Times New Roman" w:hAnsi="Times New Roman" w:cs="Times New Roman"/>
          <w:i/>
          <w:u w:val="single" w:color="000000"/>
          <w:lang w:val="de-DE"/>
        </w:rPr>
      </w:pPr>
    </w:p>
    <w:p w14:paraId="475C3385" w14:textId="77777777" w:rsidR="004C0305" w:rsidRPr="006C526F" w:rsidRDefault="001F30F8" w:rsidP="00225D6A">
      <w:pPr>
        <w:rPr>
          <w:rFonts w:ascii="Times New Roman" w:eastAsia="Times New Roman" w:hAnsi="Times New Roman" w:cs="Times New Roman"/>
          <w:lang w:val="de-DE"/>
        </w:rPr>
      </w:pPr>
      <w:r w:rsidRPr="006C526F">
        <w:rPr>
          <w:rFonts w:ascii="Times New Roman" w:hAnsi="Times New Roman" w:cs="Times New Roman"/>
          <w:i/>
          <w:u w:val="single" w:color="000000"/>
          <w:lang w:val="de-DE"/>
        </w:rPr>
        <w:t>Haemophagocytás szindróma</w:t>
      </w:r>
    </w:p>
    <w:p w14:paraId="373148F0" w14:textId="4B877EC2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A fingolimoddal kezelt betegeknél fertőzéssel összefüggő haemophagocytás szindróma (HPS) nagyon ritka eseteit jelentették, végzetes kimenetellel.</w:t>
      </w:r>
      <w:r w:rsidR="00A7026D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A</w:t>
      </w:r>
      <w:r w:rsidR="00A7026D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HPS egy ritka betegség, amit fertőzésekkel immunszuppresszióval és különböző autoimmun betegségekkel összefüggésben írtak le.</w:t>
      </w:r>
    </w:p>
    <w:p w14:paraId="78C7EDEF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8FFE65B" w14:textId="77777777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u w:val="single" w:color="000000"/>
          <w:lang w:val="de-DE"/>
        </w:rPr>
        <w:t>Gyermekek és serdülők</w:t>
      </w:r>
    </w:p>
    <w:p w14:paraId="7C3506B3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194EF279" w14:textId="48AB39B6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D2311 jelzésű, kontrollos, </w:t>
      </w:r>
      <w:r w:rsidR="00CE6D3C" w:rsidRPr="006C526F">
        <w:rPr>
          <w:rFonts w:cs="Times New Roman"/>
          <w:lang w:val="de-DE"/>
        </w:rPr>
        <w:t xml:space="preserve">gyermekek és serdülők körében végzett </w:t>
      </w:r>
      <w:r w:rsidRPr="006C526F">
        <w:rPr>
          <w:rFonts w:cs="Times New Roman"/>
          <w:lang w:val="de-DE"/>
        </w:rPr>
        <w:t>vizsgálatban (lásd 5.1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) a biztonságossági profil (10 és legfeljebb 18</w:t>
      </w:r>
      <w:r w:rsidR="00607A97" w:rsidRPr="006C526F">
        <w:rPr>
          <w:rFonts w:cs="Times New Roman"/>
          <w:lang w:val="de-DE"/>
        </w:rPr>
        <w:t> év</w:t>
      </w:r>
      <w:r w:rsidRPr="006C526F">
        <w:rPr>
          <w:rFonts w:cs="Times New Roman"/>
          <w:lang w:val="de-DE"/>
        </w:rPr>
        <w:t xml:space="preserve"> közötti </w:t>
      </w:r>
      <w:r w:rsidR="00901E5E" w:rsidRPr="006C526F">
        <w:rPr>
          <w:rFonts w:cs="Times New Roman"/>
          <w:lang w:val="de-DE"/>
        </w:rPr>
        <w:t>beteg</w:t>
      </w:r>
      <w:r w:rsidRPr="006C526F">
        <w:rPr>
          <w:rFonts w:cs="Times New Roman"/>
          <w:lang w:val="de-DE"/>
        </w:rPr>
        <w:t>), naponta 0,25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vagy 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 xml:space="preserve"> fingolimodot kapó gyermekgyógyászati betegeknél általánosan hasonló volt a felnőtt betegeknél megfigyeltekhez.</w:t>
      </w:r>
    </w:p>
    <w:p w14:paraId="04B8BFBD" w14:textId="77777777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Ugyanakkor a vizsgálatban több neurológiai és pszichiátriai zavar fordult elő. A klinikai vizsgálatból származó korlátozott ismeretek miatt ebben az alcsoportban elővigyázatosság szükséges.</w:t>
      </w:r>
    </w:p>
    <w:p w14:paraId="3EA0567B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8227597" w14:textId="6BD1CAEA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</w:t>
      </w:r>
      <w:r w:rsidR="00CE6D3C" w:rsidRPr="006C526F">
        <w:rPr>
          <w:rFonts w:cs="Times New Roman"/>
          <w:lang w:val="de-DE"/>
        </w:rPr>
        <w:t xml:space="preserve">gyermekek és serdülők körében végzett </w:t>
      </w:r>
      <w:r w:rsidRPr="006C526F">
        <w:rPr>
          <w:rFonts w:cs="Times New Roman"/>
          <w:lang w:val="de-DE"/>
        </w:rPr>
        <w:t>vizsgálatban görcsrohamokról számoltak be a fingolimoddal kezelt betegek 5,6%-ánál és az interferon béta-1a-val kezelt betegek 0,9%-ánál.</w:t>
      </w:r>
    </w:p>
    <w:p w14:paraId="4D05F194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78119ECB" w14:textId="6A627502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Ismert tény, hogy a sclerosis multiplex-ben szenvedő betegeknél nagyobb gyakorisággal fordul elő depresszió és szorongás. A fingolimoddal kezelt </w:t>
      </w:r>
      <w:r w:rsidR="00CE6D3C" w:rsidRPr="006C526F">
        <w:rPr>
          <w:rFonts w:cs="Times New Roman"/>
          <w:lang w:val="de-DE"/>
        </w:rPr>
        <w:t>gyermekeknél és serdülőknél</w:t>
      </w:r>
      <w:r w:rsidRPr="006C526F">
        <w:rPr>
          <w:rFonts w:cs="Times New Roman"/>
          <w:lang w:val="de-DE"/>
        </w:rPr>
        <w:t xml:space="preserve"> is beszámoltak depresszió és szorongás kialakulásáról.</w:t>
      </w:r>
    </w:p>
    <w:p w14:paraId="5705BE64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1265EADB" w14:textId="6616AD84" w:rsidR="00F1294D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A bilirubinszint enyhe növekedését figyelték meg a fingolimod</w:t>
      </w:r>
      <w:r w:rsidR="00901E5E" w:rsidRPr="006C526F">
        <w:rPr>
          <w:rFonts w:cs="Times New Roman"/>
          <w:lang w:val="de-DE"/>
        </w:rPr>
        <w:t>dal kezelt</w:t>
      </w:r>
      <w:r w:rsidR="004914D2" w:rsidRPr="006C526F">
        <w:rPr>
          <w:rFonts w:cs="Times New Roman"/>
          <w:lang w:val="de-DE"/>
        </w:rPr>
        <w:t xml:space="preserve"> gyermek</w:t>
      </w:r>
      <w:r w:rsidR="00CE6D3C" w:rsidRPr="006C526F">
        <w:rPr>
          <w:rFonts w:cs="Times New Roman"/>
          <w:lang w:val="de-DE"/>
        </w:rPr>
        <w:t>eknél és serdülőknél</w:t>
      </w:r>
      <w:r w:rsidRPr="006C526F">
        <w:rPr>
          <w:rFonts w:cs="Times New Roman"/>
          <w:lang w:val="de-DE"/>
        </w:rPr>
        <w:t>.</w:t>
      </w:r>
    </w:p>
    <w:p w14:paraId="31F8CDE2" w14:textId="77777777" w:rsidR="009437FD" w:rsidRPr="006C526F" w:rsidRDefault="009437FD" w:rsidP="00225D6A">
      <w:pPr>
        <w:pStyle w:val="Szvegtrzs"/>
        <w:ind w:left="0"/>
        <w:rPr>
          <w:rFonts w:cs="Times New Roman"/>
          <w:lang w:val="de-DE"/>
        </w:rPr>
      </w:pPr>
    </w:p>
    <w:p w14:paraId="6AEF95F1" w14:textId="0E4ECCD1" w:rsidR="004C0305" w:rsidRPr="006C526F" w:rsidRDefault="001F30F8" w:rsidP="00225D6A">
      <w:pPr>
        <w:pStyle w:val="Szvegtrzs"/>
        <w:ind w:left="0"/>
        <w:rPr>
          <w:rFonts w:cs="Times New Roman"/>
          <w:u w:val="single" w:color="000000"/>
          <w:lang w:val="de-DE"/>
        </w:rPr>
      </w:pPr>
      <w:r w:rsidRPr="006C526F">
        <w:rPr>
          <w:rFonts w:cs="Times New Roman"/>
          <w:u w:val="single" w:color="000000"/>
          <w:lang w:val="de-DE"/>
        </w:rPr>
        <w:t>Feltételezett mellékhatások bejelentése</w:t>
      </w:r>
    </w:p>
    <w:p w14:paraId="00142168" w14:textId="77777777" w:rsidR="005F7D92" w:rsidRPr="006C526F" w:rsidRDefault="005F7D92" w:rsidP="00225D6A">
      <w:pPr>
        <w:pStyle w:val="Szvegtrzs"/>
        <w:ind w:left="0"/>
        <w:rPr>
          <w:rFonts w:cs="Times New Roman"/>
          <w:lang w:val="de-DE"/>
        </w:rPr>
      </w:pPr>
    </w:p>
    <w:p w14:paraId="04583C36" w14:textId="4224875A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>
        <w:r w:rsidRPr="006C526F">
          <w:rPr>
            <w:rFonts w:cs="Times New Roman"/>
            <w:color w:val="0000FF"/>
            <w:shd w:val="clear" w:color="auto" w:fill="BFBFBF" w:themeFill="background1" w:themeFillShade="BF"/>
            <w:lang w:val="de-DE"/>
          </w:rPr>
          <w:t>V. függelékben</w:t>
        </w:r>
      </w:hyperlink>
      <w:r w:rsidRPr="006C526F">
        <w:rPr>
          <w:rFonts w:cs="Times New Roman"/>
          <w:color w:val="0000FF"/>
          <w:shd w:val="clear" w:color="auto" w:fill="BFBFBF" w:themeFill="background1" w:themeFillShade="BF"/>
          <w:lang w:val="de-DE"/>
        </w:rPr>
        <w:t xml:space="preserve"> </w:t>
      </w:r>
      <w:r w:rsidRPr="006C526F">
        <w:rPr>
          <w:rFonts w:cs="Times New Roman"/>
          <w:shd w:val="clear" w:color="auto" w:fill="BFBFBF" w:themeFill="background1" w:themeFillShade="BF"/>
          <w:lang w:val="de-DE"/>
        </w:rPr>
        <w:t>található elérhetőségek valamelyikén keresztül.</w:t>
      </w:r>
    </w:p>
    <w:p w14:paraId="480A8842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571A1EFF" w14:textId="77777777" w:rsidR="004C0305" w:rsidRPr="006C526F" w:rsidRDefault="001F30F8" w:rsidP="00225D6A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de-DE"/>
        </w:rPr>
      </w:pPr>
      <w:r w:rsidRPr="006C526F">
        <w:rPr>
          <w:rFonts w:cs="Times New Roman"/>
          <w:lang w:val="de-DE"/>
        </w:rPr>
        <w:t>4.9</w:t>
      </w:r>
      <w:r w:rsidRPr="006C526F">
        <w:rPr>
          <w:rFonts w:cs="Times New Roman"/>
          <w:lang w:val="de-DE"/>
        </w:rPr>
        <w:tab/>
        <w:t>Túladagolás</w:t>
      </w:r>
    </w:p>
    <w:p w14:paraId="2024005E" w14:textId="77777777" w:rsidR="004C0305" w:rsidRPr="006C526F" w:rsidRDefault="004C0305" w:rsidP="00225D6A">
      <w:pPr>
        <w:rPr>
          <w:rFonts w:ascii="Times New Roman" w:eastAsia="Times New Roman" w:hAnsi="Times New Roman" w:cs="Times New Roman"/>
          <w:b/>
          <w:bCs/>
          <w:lang w:val="de-DE"/>
        </w:rPr>
      </w:pPr>
    </w:p>
    <w:p w14:paraId="202EE6EC" w14:textId="094F8143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>Egészséges felnőtt önkéntesek az ajánlott (0,5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>-os) adag akár 80-szorosát is jól tolerálták. A</w:t>
      </w:r>
      <w:r w:rsidR="004E6886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40</w:t>
      </w:r>
      <w:r w:rsidR="007D2011" w:rsidRPr="006C526F">
        <w:rPr>
          <w:rFonts w:cs="Times New Roman"/>
          <w:lang w:val="de-DE"/>
        </w:rPr>
        <w:t> mg</w:t>
      </w:r>
      <w:r w:rsidRPr="006C526F">
        <w:rPr>
          <w:rFonts w:cs="Times New Roman"/>
          <w:lang w:val="de-DE"/>
        </w:rPr>
        <w:t>-os adag mellett 6 alany közül 5 számolt be mellkasi szorító érzésről vagy diszkomfortról, ami</w:t>
      </w:r>
      <w:r w:rsidR="003F2BF6" w:rsidRPr="006C526F">
        <w:rPr>
          <w:rFonts w:cs="Times New Roman"/>
          <w:lang w:val="de-DE"/>
        </w:rPr>
        <w:t xml:space="preserve"> </w:t>
      </w:r>
      <w:r w:rsidRPr="006C526F">
        <w:rPr>
          <w:rFonts w:cs="Times New Roman"/>
          <w:lang w:val="de-DE"/>
        </w:rPr>
        <w:t>klinikailag a kis légutak reaktivitásával volt összefüggésben.</w:t>
      </w:r>
    </w:p>
    <w:p w14:paraId="425DBE3B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2157B6C0" w14:textId="05E4B07C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A fingolimod a kezelés elkezdésekor bradycardiát válthat ki. A </w:t>
      </w:r>
      <w:r w:rsidR="00CE6D3C" w:rsidRPr="006C526F">
        <w:rPr>
          <w:rFonts w:cs="Times New Roman"/>
          <w:lang w:val="de-DE"/>
        </w:rPr>
        <w:t>szívfrekvencia</w:t>
      </w:r>
      <w:r w:rsidRPr="006C526F">
        <w:rPr>
          <w:rFonts w:cs="Times New Roman"/>
          <w:lang w:val="de-DE"/>
        </w:rPr>
        <w:t xml:space="preserve"> csökkenése rendszerint az első adag után egy órán belül elkezdődik, és 6</w:t>
      </w:r>
      <w:r w:rsidR="00674CD9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 xml:space="preserve">órán belül a legkifejezettebb. A </w:t>
      </w:r>
      <w:r w:rsidR="00F2379A" w:rsidRPr="006C526F">
        <w:rPr>
          <w:rFonts w:cs="Times New Roman"/>
          <w:lang w:val="de-DE"/>
        </w:rPr>
        <w:t xml:space="preserve">fingolimod </w:t>
      </w:r>
      <w:r w:rsidRPr="006C526F">
        <w:rPr>
          <w:rFonts w:cs="Times New Roman"/>
          <w:lang w:val="de-DE"/>
        </w:rPr>
        <w:t>negatív chronotrop hatása 6</w:t>
      </w:r>
      <w:r w:rsidR="00674CD9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órán túl is fennmarad, és a kezelés következő napjain progresszíven gyengül (a részletekért lásd 4.4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). Vannak lassú atrioventricularis átvezetésről szóló beszámolók, és átmeneti, spontán megszűnő, teljes AV-</w:t>
      </w:r>
      <w:r w:rsidR="008649A9" w:rsidRPr="006C526F">
        <w:rPr>
          <w:rFonts w:cs="Times New Roman"/>
          <w:lang w:val="de-DE"/>
        </w:rPr>
        <w:t>blokk</w:t>
      </w:r>
      <w:r w:rsidRPr="006C526F">
        <w:rPr>
          <w:rFonts w:cs="Times New Roman"/>
          <w:lang w:val="de-DE"/>
        </w:rPr>
        <w:t>ról szóló, izolált beszámolók (lásd 4.4 és 4.8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).</w:t>
      </w:r>
    </w:p>
    <w:p w14:paraId="3D0AAB02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5D4F3B99" w14:textId="42726F22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Ha a túladagolás a </w:t>
      </w:r>
      <w:r w:rsidR="00282CDE" w:rsidRPr="006C526F">
        <w:rPr>
          <w:rFonts w:cs="Times New Roman"/>
          <w:lang w:val="de-DE"/>
        </w:rPr>
        <w:t xml:space="preserve">Chantico </w:t>
      </w:r>
      <w:r w:rsidRPr="006C526F">
        <w:rPr>
          <w:rFonts w:cs="Times New Roman"/>
          <w:lang w:val="de-DE"/>
        </w:rPr>
        <w:t>első expozíciója, akkor fontos a betegek folyamatos (valós idejű) EKG-monitorozása, valamint a pulzusszám és a vérnyomás óránkénti mérése, legalább az első 6 óra alatt (lásd 4.4</w:t>
      </w:r>
      <w:r w:rsidR="00B377B0" w:rsidRPr="006C526F">
        <w:rPr>
          <w:rFonts w:cs="Times New Roman"/>
          <w:lang w:val="de-DE"/>
        </w:rPr>
        <w:t> pont</w:t>
      </w:r>
      <w:r w:rsidRPr="006C526F">
        <w:rPr>
          <w:rFonts w:cs="Times New Roman"/>
          <w:lang w:val="de-DE"/>
        </w:rPr>
        <w:t>).</w:t>
      </w:r>
    </w:p>
    <w:p w14:paraId="43AE4E8C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11083544" w14:textId="309FF2C1" w:rsidR="004C0305" w:rsidRPr="006C526F" w:rsidRDefault="001F30F8" w:rsidP="00225D6A">
      <w:pPr>
        <w:pStyle w:val="Szvegtrzs"/>
        <w:ind w:left="0"/>
        <w:rPr>
          <w:rFonts w:cs="Times New Roman"/>
          <w:lang w:val="de-DE"/>
        </w:rPr>
      </w:pPr>
      <w:r w:rsidRPr="006C526F">
        <w:rPr>
          <w:rFonts w:cs="Times New Roman"/>
          <w:lang w:val="de-DE"/>
        </w:rPr>
        <w:t xml:space="preserve">Ezen kívül, ha 6 óra múlva a percenkénti </w:t>
      </w:r>
      <w:r w:rsidR="00CE6D3C" w:rsidRPr="006C526F">
        <w:rPr>
          <w:rFonts w:cs="Times New Roman"/>
          <w:lang w:val="de-DE"/>
        </w:rPr>
        <w:t>szívfrekvencia</w:t>
      </w:r>
      <w:r w:rsidRPr="006C526F">
        <w:rPr>
          <w:rFonts w:cs="Times New Roman"/>
          <w:lang w:val="de-DE"/>
        </w:rPr>
        <w:t xml:space="preserve"> &lt;</w:t>
      </w:r>
      <w:r w:rsidR="00CE6D3C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45 felnőtteknél, &lt;</w:t>
      </w:r>
      <w:r w:rsidR="00CE6D3C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55 tizenkét</w:t>
      </w:r>
      <w:r w:rsidR="00CE6D3C" w:rsidRPr="006C526F">
        <w:rPr>
          <w:rFonts w:cs="Times New Roman"/>
          <w:lang w:val="de-DE"/>
        </w:rPr>
        <w:t xml:space="preserve"> </w:t>
      </w:r>
      <w:r w:rsidR="00607A97" w:rsidRPr="006C526F">
        <w:rPr>
          <w:rFonts w:cs="Times New Roman"/>
          <w:lang w:val="de-DE"/>
        </w:rPr>
        <w:t>év</w:t>
      </w:r>
      <w:r w:rsidRPr="006C526F">
        <w:rPr>
          <w:rFonts w:cs="Times New Roman"/>
          <w:lang w:val="de-DE"/>
        </w:rPr>
        <w:t xml:space="preserve"> feletti gyermekeknél, illetve &lt;</w:t>
      </w:r>
      <w:r w:rsidR="008649A9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60 tíz és tizenkét</w:t>
      </w:r>
      <w:r w:rsidR="008649A9" w:rsidRPr="006C526F">
        <w:rPr>
          <w:rFonts w:cs="Times New Roman"/>
          <w:lang w:val="de-DE"/>
        </w:rPr>
        <w:t xml:space="preserve"> </w:t>
      </w:r>
      <w:r w:rsidR="00607A97" w:rsidRPr="006C526F">
        <w:rPr>
          <w:rFonts w:cs="Times New Roman"/>
          <w:lang w:val="de-DE"/>
        </w:rPr>
        <w:t>év</w:t>
      </w:r>
      <w:r w:rsidRPr="006C526F">
        <w:rPr>
          <w:rFonts w:cs="Times New Roman"/>
          <w:lang w:val="de-DE"/>
        </w:rPr>
        <w:t>es kor közötti gyermekeknél, vagy ha 6 órával az első dózis után az EKG másodfokú vagy magasabb fokú AV-blo</w:t>
      </w:r>
      <w:r w:rsidR="008649A9" w:rsidRPr="006C526F">
        <w:rPr>
          <w:rFonts w:cs="Times New Roman"/>
          <w:lang w:val="de-DE"/>
        </w:rPr>
        <w:t>k</w:t>
      </w:r>
      <w:r w:rsidRPr="006C526F">
        <w:rPr>
          <w:rFonts w:cs="Times New Roman"/>
          <w:lang w:val="de-DE"/>
        </w:rPr>
        <w:t>kot vagy ≥</w:t>
      </w:r>
      <w:r w:rsidR="008649A9" w:rsidRPr="006C526F">
        <w:rPr>
          <w:rFonts w:cs="Times New Roman"/>
          <w:lang w:val="de-DE"/>
        </w:rPr>
        <w:t> </w:t>
      </w:r>
      <w:r w:rsidRPr="006C526F">
        <w:rPr>
          <w:rFonts w:cs="Times New Roman"/>
          <w:lang w:val="de-DE"/>
        </w:rPr>
        <w:t>500</w:t>
      </w:r>
      <w:r w:rsidR="00A9239C" w:rsidRPr="006C526F">
        <w:rPr>
          <w:rFonts w:cs="Times New Roman"/>
          <w:lang w:val="de-DE"/>
        </w:rPr>
        <w:t> ms</w:t>
      </w:r>
      <w:r w:rsidRPr="006C526F">
        <w:rPr>
          <w:rFonts w:cs="Times New Roman"/>
          <w:lang w:val="de-DE"/>
        </w:rPr>
        <w:t>-os QTc-távolságot mutat, akkor a monitorozást hosszabb ideig kell végezni, legalább egész éjszakán át, mindaddig, amíg ezek az eltérések meg nem szűnnek. Bármikor megjelenő harmadfokú AV-</w:t>
      </w:r>
      <w:r w:rsidR="008649A9" w:rsidRPr="006C526F">
        <w:rPr>
          <w:rFonts w:cs="Times New Roman"/>
          <w:lang w:val="de-DE"/>
        </w:rPr>
        <w:t>blokk</w:t>
      </w:r>
      <w:r w:rsidRPr="006C526F">
        <w:rPr>
          <w:rFonts w:cs="Times New Roman"/>
          <w:lang w:val="de-DE"/>
        </w:rPr>
        <w:t xml:space="preserve"> szintén meghosszabbított monitorozást kell hogy eredményezzen, beleértve az egész éjszakán át tartó monitorozást is.</w:t>
      </w:r>
    </w:p>
    <w:p w14:paraId="02F03478" w14:textId="77777777" w:rsidR="004C0305" w:rsidRPr="006C526F" w:rsidRDefault="004C0305" w:rsidP="00225D6A">
      <w:pPr>
        <w:rPr>
          <w:rFonts w:ascii="Times New Roman" w:eastAsia="Times New Roman" w:hAnsi="Times New Roman" w:cs="Times New Roman"/>
          <w:lang w:val="de-DE"/>
        </w:rPr>
      </w:pPr>
    </w:p>
    <w:p w14:paraId="54198D00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proofErr w:type="gramStart"/>
      <w:r w:rsidRPr="001A762B">
        <w:rPr>
          <w:rFonts w:cs="Times New Roman"/>
        </w:rPr>
        <w:t>Sem</w:t>
      </w:r>
      <w:proofErr w:type="gramEnd"/>
      <w:r w:rsidRPr="001A762B">
        <w:rPr>
          <w:rFonts w:cs="Times New Roman"/>
        </w:rPr>
        <w:t xml:space="preserve"> a dialízis, sem a plazmacsere nem távolítja el a fingolimodot a szervezetből.</w:t>
      </w:r>
    </w:p>
    <w:p w14:paraId="734315B0" w14:textId="77777777" w:rsidR="001F30F8" w:rsidRPr="001A762B" w:rsidRDefault="001F30F8" w:rsidP="00225D6A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</w:rPr>
      </w:pPr>
    </w:p>
    <w:p w14:paraId="6FA3E5DD" w14:textId="77777777" w:rsidR="001F30F8" w:rsidRPr="001A762B" w:rsidRDefault="001F30F8" w:rsidP="00225D6A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</w:rPr>
      </w:pPr>
    </w:p>
    <w:p w14:paraId="7DB642E5" w14:textId="77777777" w:rsidR="004C0305" w:rsidRPr="001A762B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FARMAKOLÓGIAI TULAJDONSÁGOK</w:t>
      </w:r>
    </w:p>
    <w:p w14:paraId="543155E2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03B8A156" w14:textId="77777777" w:rsidR="004C0305" w:rsidRPr="001A762B" w:rsidRDefault="001F30F8" w:rsidP="00225D6A">
      <w:pPr>
        <w:numPr>
          <w:ilvl w:val="1"/>
          <w:numId w:val="2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b/>
        </w:rPr>
        <w:t>Farmakodinámiás tulajdonságok</w:t>
      </w:r>
    </w:p>
    <w:p w14:paraId="5D1218BD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1A4BE2DA" w14:textId="3F30E64E" w:rsidR="004E6886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Farmakoterápiás csoport: Immunsuppressans</w:t>
      </w:r>
      <w:r w:rsidR="00B50D4F">
        <w:rPr>
          <w:rFonts w:cs="Times New Roman"/>
        </w:rPr>
        <w:t>ok</w:t>
      </w:r>
      <w:r w:rsidRPr="001A762B">
        <w:rPr>
          <w:rFonts w:cs="Times New Roman"/>
        </w:rPr>
        <w:t xml:space="preserve">, szelektív immunsuppressansok, ATC kód: </w:t>
      </w:r>
      <w:r w:rsidR="00E82FC3" w:rsidRPr="004D36F9">
        <w:rPr>
          <w:color w:val="000000"/>
          <w:lang w:val="en-GB" w:bidi="en-US"/>
        </w:rPr>
        <w:t>L04AE01</w:t>
      </w:r>
    </w:p>
    <w:p w14:paraId="6C4A9704" w14:textId="77777777" w:rsidR="004E6886" w:rsidRPr="001A762B" w:rsidRDefault="004E6886" w:rsidP="00225D6A">
      <w:pPr>
        <w:pStyle w:val="Szvegtrzs"/>
        <w:ind w:left="0"/>
        <w:rPr>
          <w:rFonts w:cs="Times New Roman"/>
        </w:rPr>
      </w:pPr>
    </w:p>
    <w:p w14:paraId="04905BC8" w14:textId="77777777" w:rsidR="004C0305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  <w:r w:rsidRPr="001A762B">
        <w:rPr>
          <w:rFonts w:cs="Times New Roman"/>
          <w:u w:val="single" w:color="000000"/>
        </w:rPr>
        <w:t>Hatásmechanizmus</w:t>
      </w:r>
    </w:p>
    <w:p w14:paraId="311DCDB7" w14:textId="77777777" w:rsidR="004E6886" w:rsidRPr="001A762B" w:rsidRDefault="004E6886" w:rsidP="00225D6A">
      <w:pPr>
        <w:pStyle w:val="Szvegtrzs"/>
        <w:ind w:left="0"/>
        <w:rPr>
          <w:rFonts w:cs="Times New Roman"/>
        </w:rPr>
      </w:pPr>
    </w:p>
    <w:p w14:paraId="5F69B8F3" w14:textId="0330ACE2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egy szfingozin 1-foszfát-receptor modulátor. A fingolimod a szfingozin-kináz révén metabolizálódik aktív metabolittá, fingolimod-foszfáttá. A fingolimod-foszfát alacsony, nanomoláris koncentrációban kötődik a lymphocytákon található szfingozin 1-foszfát-receptor 1-hez</w:t>
      </w:r>
      <w:r w:rsidR="00134741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(S1P-receptor</w:t>
      </w:r>
      <w:r w:rsidR="00CE6D3C">
        <w:rPr>
          <w:rFonts w:cs="Times New Roman"/>
        </w:rPr>
        <w:t> </w:t>
      </w:r>
      <w:r w:rsidRPr="001A762B">
        <w:rPr>
          <w:rFonts w:cs="Times New Roman"/>
        </w:rPr>
        <w:t xml:space="preserve">1), és könnyen átjutva a vér-agy gáton, kötődik a központi idegrendszer idegsejtjein lévő S1P-receptor 1-hez is. A lymphocytákon lévő S1P-receptorok funkcionális agonistájaként hatva, a fingolimod-foszfát gátolja a lymphocytáknak </w:t>
      </w:r>
      <w:proofErr w:type="gramStart"/>
      <w:r w:rsidRPr="001A762B">
        <w:rPr>
          <w:rFonts w:cs="Times New Roman"/>
        </w:rPr>
        <w:t>azt</w:t>
      </w:r>
      <w:proofErr w:type="gramEnd"/>
      <w:r w:rsidRPr="001A762B">
        <w:rPr>
          <w:rFonts w:cs="Times New Roman"/>
        </w:rPr>
        <w:t xml:space="preserve"> a képességét, hogy kilépjenek a nyirokcsomókból, ami lymphocyta-depléció helyett inkább azok redisztribúcióját eredményezi. Állatkísérletek azt mutatták, hogy ez a redisztribúció csökkenti a központi idegrendszer patogén lymphocytákkal történő</w:t>
      </w:r>
      <w:r w:rsidR="00134741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infiltrációját, beleértve a proinflammatórikus Th17-es sejteket is, ahol azok az idegek gyulladásában és az idegszövet károsításában vennének részt. Állatkísérletek és </w:t>
      </w:r>
      <w:r w:rsidRPr="001A762B">
        <w:rPr>
          <w:rFonts w:cs="Times New Roman"/>
          <w:i/>
        </w:rPr>
        <w:t xml:space="preserve">in vitro </w:t>
      </w:r>
      <w:r w:rsidRPr="001A762B">
        <w:rPr>
          <w:rFonts w:cs="Times New Roman"/>
        </w:rPr>
        <w:t xml:space="preserve">kísérletek arra utalnak, hogy a fingolimod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idegsejteken lévő S1P-receptorokra gyakorolt kölcsönhatás révén is hathat.</w:t>
      </w:r>
    </w:p>
    <w:p w14:paraId="75E9297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CE8258E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Farmakodinámiás hatások</w:t>
      </w:r>
    </w:p>
    <w:p w14:paraId="40F566F8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17BFC48" w14:textId="7D651A9D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Az első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adag fingolimod után 4-6</w:t>
      </w:r>
      <w:r w:rsidR="00674CD9">
        <w:rPr>
          <w:rFonts w:cs="Times New Roman"/>
        </w:rPr>
        <w:t> </w:t>
      </w:r>
      <w:r w:rsidRPr="001A762B">
        <w:rPr>
          <w:rFonts w:cs="Times New Roman"/>
        </w:rPr>
        <w:t>órán belül a lymphocyta-szám a perifériás vérben a kiindulási érték kb. 75%-ára csökken. A napi adagolás folytatása mellett a lymphocyta-szám egy kéthetes időszak alatt tovább csökken, és egy megközelítőleg 500</w:t>
      </w:r>
      <w:r w:rsidR="00CE6D3C">
        <w:rPr>
          <w:rFonts w:cs="Times New Roman"/>
        </w:rPr>
        <w:t> </w:t>
      </w:r>
      <w:r w:rsidRPr="001A762B">
        <w:rPr>
          <w:rFonts w:cs="Times New Roman"/>
        </w:rPr>
        <w:t>sejt/mikroliteres minimális számot vagy a kiindulási érték kb. 30%-át éri el. A betegek 18%-</w:t>
      </w:r>
      <w:proofErr w:type="gramStart"/>
      <w:r w:rsidRPr="001A762B">
        <w:rPr>
          <w:rFonts w:cs="Times New Roman"/>
        </w:rPr>
        <w:t>a</w:t>
      </w:r>
      <w:proofErr w:type="gramEnd"/>
      <w:r w:rsidRPr="001A762B">
        <w:rPr>
          <w:rFonts w:cs="Times New Roman"/>
        </w:rPr>
        <w:t xml:space="preserve"> ért el legalább egy alkalommal</w:t>
      </w:r>
      <w:r w:rsidR="009063E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200 sejt/mikroliter alatti minimális számot. A tartós naponkénti adagolással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alacsony lymphocyta-szám fennmarad. A T- és B-lymphocyták többsége rendszeresen áthalad a nyirokszerveken, a fingolimod elsősorban ezekre a sejtekre hat. A T-lymphocyták kb. 15-20%-a effektor memória fenotípusú, ezek fontos szerepet töltenek be a perifériás immunrendszerben</w:t>
      </w:r>
      <w:r w:rsidR="009063E0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(surveillance). Mivel a lymphocytáknak ez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altípusa jellemző módon nem halad át a nyirokszerven, ezért ezekre nem hat a fingolimod. A perifériás lymphocyta-szám emelkedése a fingolimod-kezelés leállítása után napokon belül nyilvánvalóvá válik, és a normális szám jellemző módon egy-két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on belül visszatér. A fingolimod tartós adagolása a neutrophil-szám enyhe, a kiindulási érték kb. 80%-áig tartó csökkenéséhez vezet. A fingolimod nem hat a monocytákra.</w:t>
      </w:r>
    </w:p>
    <w:p w14:paraId="2C8A14D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84F8A20" w14:textId="25CC2F32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a kezelés megkezdésekor a </w:t>
      </w:r>
      <w:r w:rsidR="00CE6D3C">
        <w:rPr>
          <w:rFonts w:cs="Times New Roman"/>
        </w:rPr>
        <w:t>szívfrekvencia</w:t>
      </w:r>
      <w:r w:rsidRPr="001A762B">
        <w:rPr>
          <w:rFonts w:cs="Times New Roman"/>
        </w:rPr>
        <w:t xml:space="preserve"> átmeneti csökkenését és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atrioventricularis átvezetés lassulását idézi elő (lásd 4.4 és 4.8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A </w:t>
      </w:r>
      <w:r w:rsidR="00CE6D3C">
        <w:rPr>
          <w:rFonts w:cs="Times New Roman"/>
        </w:rPr>
        <w:t>szívfrekvencia</w:t>
      </w:r>
      <w:r w:rsidRPr="001A762B">
        <w:rPr>
          <w:rFonts w:cs="Times New Roman"/>
        </w:rPr>
        <w:t xml:space="preserve"> maximális csökkenését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adagolás megkezdése utáni 6</w:t>
      </w:r>
      <w:r w:rsidR="00FC0E11">
        <w:rPr>
          <w:rFonts w:cs="Times New Roman"/>
        </w:rPr>
        <w:t> </w:t>
      </w:r>
      <w:r w:rsidRPr="001A762B">
        <w:rPr>
          <w:rFonts w:cs="Times New Roman"/>
        </w:rPr>
        <w:t xml:space="preserve">órán belül észlelték, és a negatív chronotrop hatás 70%-a az első napon kialakult.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adagolás folytatása mellett a </w:t>
      </w:r>
      <w:r w:rsidR="00CE6D3C">
        <w:rPr>
          <w:rFonts w:cs="Times New Roman"/>
        </w:rPr>
        <w:t>szívfrekvencia</w:t>
      </w:r>
      <w:r w:rsidRPr="001A762B">
        <w:rPr>
          <w:rFonts w:cs="Times New Roman"/>
        </w:rPr>
        <w:t xml:space="preserve"> egy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on belül visszatér a kiindulási szintre. A </w:t>
      </w:r>
      <w:r w:rsidR="00CE6D3C">
        <w:rPr>
          <w:rFonts w:cs="Times New Roman"/>
        </w:rPr>
        <w:t>szívfrekvencia</w:t>
      </w:r>
      <w:r w:rsidRPr="001A762B">
        <w:rPr>
          <w:rFonts w:cs="Times New Roman"/>
        </w:rPr>
        <w:t xml:space="preserve"> fingolimod által kiváltott csökkenése atropin vagy izoprenalin parenterális adagolásával visszafordítható.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inhalált szalmeterolról is kimutatták, hogy mérsékelten pozitív chronotrop hatása van. A fingolimod-kezelés elkezdésével szaporodnak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idő előtti pitvari kontrakciók, de nem nő a pitvarfibrilláció vagy pitvari flattern, a ventricularis arrhythmiák vagy az ectopiás ütések aránya. A fingolimod-kezelés nem jár a perctérfogat csökkenésével. A</w:t>
      </w:r>
      <w:r w:rsidR="00134741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fingolimod-kezelés nem befolyásolja a szív autonóm válaszát, beleértve a </w:t>
      </w:r>
      <w:r w:rsidR="00CE6D3C">
        <w:rPr>
          <w:rFonts w:cs="Times New Roman"/>
        </w:rPr>
        <w:t>szívfrekvencia</w:t>
      </w:r>
      <w:r w:rsidRPr="001A762B">
        <w:rPr>
          <w:rFonts w:cs="Times New Roman"/>
        </w:rPr>
        <w:t xml:space="preserve"> diurnális változását, és a terhelésre adott választ is.</w:t>
      </w:r>
    </w:p>
    <w:p w14:paraId="2E72C2A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3A2FA2F" w14:textId="701AFE59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Az S1P4 részben hozzájárulhatott a hatáshoz, de nem ez volt a lymphoid deplécióért felelős </w:t>
      </w:r>
      <w:proofErr w:type="gramStart"/>
      <w:r w:rsidRPr="001A762B">
        <w:rPr>
          <w:rFonts w:cs="Times New Roman"/>
        </w:rPr>
        <w:t>fő</w:t>
      </w:r>
      <w:proofErr w:type="gramEnd"/>
      <w:r w:rsidRPr="001A762B">
        <w:rPr>
          <w:rFonts w:cs="Times New Roman"/>
        </w:rPr>
        <w:t xml:space="preserve"> receptor. A bradycardia és a vasoconstrictio kialakulásának mechanizmusát </w:t>
      </w:r>
      <w:r w:rsidRPr="001A762B">
        <w:rPr>
          <w:rFonts w:cs="Times New Roman"/>
          <w:i/>
        </w:rPr>
        <w:t xml:space="preserve">in vitro </w:t>
      </w:r>
      <w:r w:rsidRPr="001A762B">
        <w:rPr>
          <w:rFonts w:cs="Times New Roman"/>
        </w:rPr>
        <w:t>vizsgálatokban is értékelték tengerimalacokon, valamint nyúl aorta- és koszorúér-izolátumokon. Azt a következtetést vonták le, hogy a bradycardia elsősorban a befelé irányuló (ún. inward-rectifying) káliumcsatorna vagy G-protein által aktivált befelé irányuló K</w:t>
      </w:r>
      <w:r w:rsidR="00F501C2" w:rsidRPr="001A762B">
        <w:rPr>
          <w:rFonts w:cs="Times New Roman"/>
          <w:vertAlign w:val="superscript"/>
        </w:rPr>
        <w:t>+</w:t>
      </w:r>
      <w:r w:rsidR="00427E1F">
        <w:rPr>
          <w:rFonts w:cs="Times New Roman"/>
        </w:rPr>
        <w:t>-c</w:t>
      </w:r>
      <w:r w:rsidRPr="001A762B">
        <w:rPr>
          <w:rFonts w:cs="Times New Roman"/>
        </w:rPr>
        <w:t xml:space="preserve">satorna (IKACh/GIRK) aktiválódása következtében </w:t>
      </w:r>
      <w:r w:rsidRPr="001A762B">
        <w:rPr>
          <w:rFonts w:cs="Times New Roman"/>
        </w:rPr>
        <w:lastRenderedPageBreak/>
        <w:t>alakul ki, a vasoconstrictiót pedig úgy tűnik, hogy egy Rho-kináz és kalciumfüggő mechanizmus mediálja.</w:t>
      </w:r>
    </w:p>
    <w:p w14:paraId="1E648B4F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12410BF3" w14:textId="31B07E4D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Egyszeri vagy többszöri 0,5 és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adagokkal 2</w:t>
      </w:r>
      <w:r w:rsidR="00D53069">
        <w:rPr>
          <w:rFonts w:cs="Times New Roman"/>
        </w:rPr>
        <w:t> </w:t>
      </w:r>
      <w:r w:rsidRPr="001A762B">
        <w:rPr>
          <w:rFonts w:cs="Times New Roman"/>
        </w:rPr>
        <w:t>héten át végzett fingolimod-kezelés nem járt a légúti ellenállás FEV</w:t>
      </w:r>
      <w:r w:rsidRPr="001A762B">
        <w:rPr>
          <w:rFonts w:cs="Times New Roman"/>
          <w:position w:val="-1"/>
        </w:rPr>
        <w:t>1</w:t>
      </w:r>
      <w:r w:rsidRPr="001A762B">
        <w:rPr>
          <w:rFonts w:cs="Times New Roman"/>
        </w:rPr>
        <w:t xml:space="preserve">-gyel vagy az erőltetett kilégzési légáramlási sebességgel (FEF 25-75) mért, kimutatható növekedésével. Ugyanakkor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egyszeri, ≥ 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(az ajánlott adag 10-szerese) fingolimod dózisok a légúti ellenállás dózisfüggő növekedésével járt. A többszöri, a 0,5, az 1,25 vagy az 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-os adagokkal végzett fingolimod-kezelés nem jár az oxigenizáció vagy az oxigén-szaturáció terhelésre jelentkező csökkenésével vagy a légutak metakolinra adott fokozott reaktivitásával. A fingolimoddal kezelt betegek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inhalált béta-agonistákra normális bronchodilatációval reagálnak.</w:t>
      </w:r>
    </w:p>
    <w:p w14:paraId="6474303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86B4829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Klinikai hatásosság és biztonságosság</w:t>
      </w:r>
    </w:p>
    <w:p w14:paraId="26BC28F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B7D0817" w14:textId="569C8EE5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</w:t>
      </w:r>
      <w:r w:rsidR="0007388D">
        <w:rPr>
          <w:rFonts w:cs="Times New Roman"/>
        </w:rPr>
        <w:t>f</w:t>
      </w:r>
      <w:r w:rsidR="00430A9D">
        <w:rPr>
          <w:rFonts w:cs="Times New Roman"/>
        </w:rPr>
        <w:t>ingolimod</w:t>
      </w:r>
      <w:r w:rsidRPr="001A762B">
        <w:rPr>
          <w:rFonts w:cs="Times New Roman"/>
        </w:rPr>
        <w:t xml:space="preserve"> hatásosságát két olyan vizsgálatban igazolták, amely a napi egyszeri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és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fingolimod adagokat vizsgálta a relapszáló-remittáló sclerosis multiplexben (RRSM) szenvedő felnőtt betegeknél. Mindkét vizsgálatban olyan felnőtt betegek vettek részt, akiknek a</w:t>
      </w:r>
      <w:r w:rsidR="00321538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megelőző 2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ben legalább 2, vagy a megelőző 1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ben legalább 1 relapszusa volt, és a kiterjesztett rokkantsági skála (Expanded Disability Status Score, EDSS)</w:t>
      </w:r>
      <w:r w:rsidR="00CE6D3C">
        <w:rPr>
          <w:rFonts w:cs="Times New Roman"/>
        </w:rPr>
        <w:t xml:space="preserve"> </w:t>
      </w:r>
      <w:r w:rsidR="00B377B0">
        <w:rPr>
          <w:rFonts w:cs="Times New Roman"/>
        </w:rPr>
        <w:t>pont</w:t>
      </w:r>
      <w:r w:rsidRPr="001A762B">
        <w:rPr>
          <w:rFonts w:cs="Times New Roman"/>
        </w:rPr>
        <w:t xml:space="preserve">száma 0 és 5,5 között volt. Egy harmadik, ugyanezen felnőtt betegpopulációban végzett klinikai vizsgálatot a </w:t>
      </w:r>
      <w:r w:rsidR="0007388D">
        <w:rPr>
          <w:rFonts w:cs="Times New Roman"/>
        </w:rPr>
        <w:t>f</w:t>
      </w:r>
      <w:r w:rsidR="00430A9D">
        <w:rPr>
          <w:rFonts w:cs="Times New Roman"/>
        </w:rPr>
        <w:t>ingolimod</w:t>
      </w:r>
      <w:r w:rsidRPr="001A762B">
        <w:rPr>
          <w:rFonts w:cs="Times New Roman"/>
        </w:rPr>
        <w:t xml:space="preserve"> engedélyezését követően fejeztek be.</w:t>
      </w:r>
    </w:p>
    <w:p w14:paraId="26AC2B3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FDECF41" w14:textId="4F22DD0E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D2301 jelzésű (FREEDOMS) vizsgálat egy 2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ig tartó, randomizált, kettős</w:t>
      </w:r>
      <w:r w:rsidR="001B4E3F">
        <w:rPr>
          <w:rFonts w:cs="Times New Roman"/>
        </w:rPr>
        <w:t xml:space="preserve"> </w:t>
      </w:r>
      <w:r w:rsidRPr="001A762B">
        <w:rPr>
          <w:rFonts w:cs="Times New Roman"/>
        </w:rPr>
        <w:t>vak, placebokontrollos III</w:t>
      </w:r>
      <w:r w:rsidR="001B4E3F">
        <w:rPr>
          <w:rFonts w:cs="Times New Roman"/>
        </w:rPr>
        <w:t>. </w:t>
      </w:r>
      <w:proofErr w:type="gramStart"/>
      <w:r w:rsidR="001B4E3F">
        <w:rPr>
          <w:rFonts w:cs="Times New Roman"/>
        </w:rPr>
        <w:t>fázisú</w:t>
      </w:r>
      <w:proofErr w:type="gramEnd"/>
      <w:r w:rsidRPr="001A762B">
        <w:rPr>
          <w:rFonts w:cs="Times New Roman"/>
        </w:rPr>
        <w:t xml:space="preserve"> vizsgálat volt, amit 1272 beteggel végeztek (közülük n = 425 kapott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, 429 kapott</w:t>
      </w:r>
      <w:r w:rsidR="00CE6D3C">
        <w:rPr>
          <w:rFonts w:cs="Times New Roman"/>
        </w:rPr>
        <w:t xml:space="preserve"> </w:t>
      </w:r>
      <w:r w:rsidRPr="001A762B">
        <w:rPr>
          <w:rFonts w:cs="Times New Roman"/>
        </w:rPr>
        <w:t>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fingolimodot és 418 kapott placebót). A kiindulási jellemzők medián értékei a következők voltak: életkor 37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, a betegség fennállásának időtartama 6</w:t>
      </w:r>
      <w:proofErr w:type="gramStart"/>
      <w:r w:rsidRPr="001A762B">
        <w:rPr>
          <w:rFonts w:cs="Times New Roman"/>
        </w:rPr>
        <w:t>,7</w:t>
      </w:r>
      <w:proofErr w:type="gramEnd"/>
      <w:r w:rsidR="00607A97">
        <w:rPr>
          <w:rFonts w:cs="Times New Roman"/>
        </w:rPr>
        <w:t> év</w:t>
      </w:r>
      <w:r w:rsidRPr="001A762B">
        <w:rPr>
          <w:rFonts w:cs="Times New Roman"/>
        </w:rPr>
        <w:t xml:space="preserve"> és az EDSS-pontszám 2,0. A vizsgálat eredményeit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1.</w:t>
      </w:r>
      <w:r w:rsidR="00D53069">
        <w:rPr>
          <w:rFonts w:cs="Times New Roman"/>
        </w:rPr>
        <w:t> </w:t>
      </w:r>
      <w:proofErr w:type="gramStart"/>
      <w:r w:rsidRPr="001A762B">
        <w:rPr>
          <w:rFonts w:cs="Times New Roman"/>
        </w:rPr>
        <w:t>táblázat</w:t>
      </w:r>
      <w:proofErr w:type="gramEnd"/>
      <w:r w:rsidRPr="001A762B">
        <w:rPr>
          <w:rFonts w:cs="Times New Roman"/>
        </w:rPr>
        <w:t xml:space="preserve"> mutatja. A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és az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dózisok között egyik végpont tekintetében sem volt lényeges különbség.</w:t>
      </w:r>
    </w:p>
    <w:p w14:paraId="71C1B83E" w14:textId="77777777" w:rsidR="004C0305" w:rsidRDefault="004C0305" w:rsidP="00225D6A">
      <w:pPr>
        <w:rPr>
          <w:rFonts w:ascii="Times New Roman" w:eastAsia="Times New Roman" w:hAnsi="Times New Roman" w:cs="Times New Roman"/>
        </w:rPr>
      </w:pPr>
    </w:p>
    <w:p w14:paraId="2FC6153D" w14:textId="6C8F683F" w:rsidR="004C0305" w:rsidRPr="001A762B" w:rsidRDefault="001F30F8" w:rsidP="00225D6A">
      <w:pPr>
        <w:pStyle w:val="Cmsor1"/>
        <w:numPr>
          <w:ilvl w:val="0"/>
          <w:numId w:val="19"/>
        </w:numPr>
        <w:tabs>
          <w:tab w:val="left" w:pos="340"/>
        </w:tabs>
        <w:ind w:left="0" w:firstLine="0"/>
        <w:rPr>
          <w:rFonts w:cs="Times New Roman"/>
          <w:b w:val="0"/>
          <w:bCs w:val="0"/>
        </w:rPr>
      </w:pPr>
      <w:proofErr w:type="gramStart"/>
      <w:r w:rsidRPr="001A762B">
        <w:rPr>
          <w:rFonts w:cs="Times New Roman"/>
        </w:rPr>
        <w:t>táblázat</w:t>
      </w:r>
      <w:proofErr w:type="gramEnd"/>
      <w:r w:rsidR="005F7D92">
        <w:rPr>
          <w:rFonts w:cs="Times New Roman"/>
        </w:rPr>
        <w:tab/>
      </w:r>
      <w:r w:rsidRPr="001A762B">
        <w:rPr>
          <w:rFonts w:cs="Times New Roman"/>
        </w:rPr>
        <w:t>D2301 jelzésű (FREEDOMS) vizsgálat: a legfontosabb eredmények</w:t>
      </w:r>
    </w:p>
    <w:p w14:paraId="5D29A298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1"/>
        <w:tblW w:w="0" w:type="auto"/>
        <w:tblInd w:w="-6" w:type="dxa"/>
        <w:tblLayout w:type="fixed"/>
        <w:tblLook w:val="01E0" w:firstRow="1" w:lastRow="1" w:firstColumn="1" w:lastColumn="1" w:noHBand="0" w:noVBand="0"/>
      </w:tblPr>
      <w:tblGrid>
        <w:gridCol w:w="4767"/>
        <w:gridCol w:w="1844"/>
        <w:gridCol w:w="1843"/>
      </w:tblGrid>
      <w:tr w:rsidR="004C0305" w:rsidRPr="001A762B" w14:paraId="52D4B383" w14:textId="77777777" w:rsidTr="00321538">
        <w:trPr>
          <w:trHeight w:hRule="exact" w:val="529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F8E77" w14:textId="77777777" w:rsidR="004C0305" w:rsidRPr="001A762B" w:rsidRDefault="004C0305" w:rsidP="004A2C8F">
            <w:pPr>
              <w:ind w:left="142" w:right="7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46055" w14:textId="58FA7EC9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Fingolimod 0,5</w:t>
            </w:r>
            <w:r w:rsidR="007D2011">
              <w:rPr>
                <w:rFonts w:ascii="Times New Roman" w:hAnsi="Times New Roman" w:cs="Times New Roman"/>
                <w:b/>
              </w:rPr>
              <w:t> mg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07F6A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Placebo</w:t>
            </w:r>
          </w:p>
        </w:tc>
      </w:tr>
      <w:tr w:rsidR="004C0305" w:rsidRPr="001A762B" w14:paraId="300F4E7F" w14:textId="77777777" w:rsidTr="00321538">
        <w:trPr>
          <w:trHeight w:hRule="exact" w:val="27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796A9" w14:textId="7777777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Klinikai végpontok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BA4B6" w14:textId="77777777" w:rsidR="004C0305" w:rsidRPr="001A762B" w:rsidRDefault="004C0305" w:rsidP="0045452F">
            <w:pPr>
              <w:ind w:left="19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AD9B7" w14:textId="77777777" w:rsidR="004C0305" w:rsidRPr="001A762B" w:rsidRDefault="004C0305" w:rsidP="0045452F">
            <w:pPr>
              <w:ind w:left="193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699ED425" w14:textId="77777777" w:rsidTr="00321538">
        <w:trPr>
          <w:trHeight w:hRule="exact" w:val="27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33248" w14:textId="7777777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Évenkénti relapszus ráta (elsődleges végpont)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CCD52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0,18**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DA27A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0,40</w:t>
            </w:r>
          </w:p>
        </w:tc>
      </w:tr>
      <w:tr w:rsidR="004C0305" w:rsidRPr="001A762B" w14:paraId="70B36C20" w14:textId="77777777" w:rsidTr="00321538">
        <w:trPr>
          <w:trHeight w:hRule="exact" w:val="53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D87A1" w14:textId="0787313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 relapszusmentesen maradó betegek százalék</w:t>
            </w:r>
            <w:r w:rsidR="00427E1F">
              <w:rPr>
                <w:rFonts w:ascii="Times New Roman" w:hAnsi="Times New Roman" w:cs="Times New Roman"/>
              </w:rPr>
              <w:t xml:space="preserve">os </w:t>
            </w:r>
            <w:r w:rsidRPr="001A762B">
              <w:rPr>
                <w:rFonts w:ascii="Times New Roman" w:hAnsi="Times New Roman" w:cs="Times New Roman"/>
              </w:rPr>
              <w:t>aránya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8EC74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70%**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3E41F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46%</w:t>
            </w:r>
          </w:p>
        </w:tc>
      </w:tr>
      <w:tr w:rsidR="004C0305" w:rsidRPr="001A762B" w14:paraId="796B6E65" w14:textId="77777777" w:rsidTr="00321538">
        <w:trPr>
          <w:trHeight w:hRule="exact" w:val="531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94205B8" w14:textId="6877B743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3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ja tartó, funkcióromláshoz vezető,</w:t>
            </w:r>
            <w:r w:rsidR="00427E1F">
              <w:rPr>
                <w:rFonts w:ascii="Times New Roman" w:eastAsia="Times New Roman" w:hAnsi="Times New Roman" w:cs="Times New Roman"/>
              </w:rPr>
              <w:t xml:space="preserve"> </w:t>
            </w:r>
            <w:r w:rsidRPr="001A762B">
              <w:rPr>
                <w:rFonts w:ascii="Times New Roman" w:eastAsia="Times New Roman" w:hAnsi="Times New Roman" w:cs="Times New Roman"/>
              </w:rPr>
              <w:t>igazolt progresszió aránya†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4E21899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0D65443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24%</w:t>
            </w:r>
          </w:p>
        </w:tc>
      </w:tr>
      <w:tr w:rsidR="004C0305" w:rsidRPr="001A762B" w14:paraId="791B1BC4" w14:textId="77777777" w:rsidTr="00321538">
        <w:trPr>
          <w:trHeight w:hRule="exact" w:val="259"/>
        </w:trPr>
        <w:tc>
          <w:tcPr>
            <w:tcW w:w="47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713A7" w14:textId="7777777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Relatív hazárd (95%-os CI)</w:t>
            </w:r>
          </w:p>
        </w:tc>
        <w:tc>
          <w:tcPr>
            <w:tcW w:w="184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9A3FD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0,70 (0,52; 0,96)*</w:t>
            </w:r>
          </w:p>
        </w:tc>
        <w:tc>
          <w:tcPr>
            <w:tcW w:w="184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51533" w14:textId="77777777" w:rsidR="004C0305" w:rsidRPr="001A762B" w:rsidRDefault="004C0305" w:rsidP="0045452F">
            <w:pPr>
              <w:ind w:left="193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723C2E82" w14:textId="77777777" w:rsidTr="00321538">
        <w:trPr>
          <w:trHeight w:hRule="exact" w:val="27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53108" w14:textId="53BE6C9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MR</w:t>
            </w:r>
            <w:r w:rsidR="00427E1F">
              <w:rPr>
                <w:rFonts w:ascii="Times New Roman" w:hAnsi="Times New Roman" w:cs="Times New Roman"/>
                <w:b/>
              </w:rPr>
              <w:t>-</w:t>
            </w:r>
            <w:r w:rsidRPr="001A762B">
              <w:rPr>
                <w:rFonts w:ascii="Times New Roman" w:hAnsi="Times New Roman" w:cs="Times New Roman"/>
                <w:b/>
              </w:rPr>
              <w:t>végpontok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6B915" w14:textId="77777777" w:rsidR="004C0305" w:rsidRPr="001A762B" w:rsidRDefault="004C0305" w:rsidP="0045452F">
            <w:pPr>
              <w:ind w:left="19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6FE73" w14:textId="77777777" w:rsidR="004C0305" w:rsidRPr="001A762B" w:rsidRDefault="004C0305" w:rsidP="0045452F">
            <w:pPr>
              <w:ind w:left="193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1203DEF7" w14:textId="77777777" w:rsidTr="00321538">
        <w:trPr>
          <w:trHeight w:hRule="exact" w:val="53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132EC" w14:textId="4B58C23C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új vagy növekvő T2</w:t>
            </w:r>
            <w:r w:rsidR="00427E1F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léziók medián (átlagos) száma 24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alatt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B3C1C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(2,5)**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DD6BD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5,0 (9,8)</w:t>
            </w:r>
          </w:p>
        </w:tc>
      </w:tr>
      <w:tr w:rsidR="004C0305" w:rsidRPr="001A762B" w14:paraId="7C1EB285" w14:textId="77777777" w:rsidTr="00321538">
        <w:trPr>
          <w:trHeight w:hRule="exact" w:val="53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D5617" w14:textId="6C32BBB6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gadolíniumot halmozó léziók medián (átlagos) száma 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C7835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(0,2)**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C90E1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(1,1)</w:t>
            </w:r>
          </w:p>
        </w:tc>
      </w:tr>
      <w:tr w:rsidR="004C0305" w:rsidRPr="001A762B" w14:paraId="58C98494" w14:textId="77777777" w:rsidTr="00321538">
        <w:trPr>
          <w:trHeight w:hRule="exact" w:val="529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38DA8" w14:textId="5F3C1C76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agytérfogat medián (átlagos) %-os változása 24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alatt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E2AE4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-0,7 (-0,8)**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043E6" w14:textId="77777777" w:rsidR="004C0305" w:rsidRPr="001A762B" w:rsidRDefault="001F30F8" w:rsidP="0045452F">
            <w:pPr>
              <w:pStyle w:val="TableParagraph"/>
              <w:ind w:left="193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-1,0 (-1,3)</w:t>
            </w:r>
          </w:p>
        </w:tc>
      </w:tr>
      <w:tr w:rsidR="004C0305" w:rsidRPr="001A762B" w14:paraId="126C194F" w14:textId="77777777" w:rsidTr="00321538">
        <w:trPr>
          <w:trHeight w:hRule="exact" w:val="1311"/>
        </w:trPr>
        <w:tc>
          <w:tcPr>
            <w:tcW w:w="84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FFA2E" w14:textId="2720486C" w:rsidR="004C0305" w:rsidRPr="001A762B" w:rsidRDefault="001F30F8" w:rsidP="00225D6A">
            <w:pPr>
              <w:pStyle w:val="TableParagraph"/>
              <w:tabs>
                <w:tab w:val="left" w:pos="555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eastAsia="Times New Roman" w:hAnsi="Times New Roman" w:cs="Times New Roman"/>
              </w:rPr>
              <w:t>†A funkcióromláshoz vezető progresszió meghatározása az EDSS 3</w:t>
            </w:r>
            <w:r w:rsidR="00607A97">
              <w:rPr>
                <w:rFonts w:ascii="Times New Roman" w:eastAsia="Times New Roman" w:hAnsi="Times New Roman" w:cs="Times New Roman"/>
              </w:rPr>
              <w:t> hónap</w:t>
            </w:r>
            <w:r w:rsidRPr="001A762B">
              <w:rPr>
                <w:rFonts w:ascii="Times New Roman" w:eastAsia="Times New Roman" w:hAnsi="Times New Roman" w:cs="Times New Roman"/>
              </w:rPr>
              <w:t>pal későbbi,</w:t>
            </w:r>
          </w:p>
          <w:p w14:paraId="225D9D71" w14:textId="70100438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1</w:t>
            </w:r>
            <w:r w:rsidR="00B377B0">
              <w:rPr>
                <w:rFonts w:ascii="Times New Roman" w:hAnsi="Times New Roman" w:cs="Times New Roman"/>
              </w:rPr>
              <w:t> pont</w:t>
            </w:r>
            <w:r w:rsidRPr="001A762B">
              <w:rPr>
                <w:rFonts w:ascii="Times New Roman" w:hAnsi="Times New Roman" w:cs="Times New Roman"/>
              </w:rPr>
              <w:t>tal történő, igazolt emelkedése.</w:t>
            </w:r>
          </w:p>
          <w:p w14:paraId="7C6DACA6" w14:textId="1C871BCC" w:rsidR="004C0305" w:rsidRPr="001A762B" w:rsidRDefault="001F30F8" w:rsidP="00225D6A">
            <w:pPr>
              <w:pStyle w:val="TableParagraph"/>
              <w:tabs>
                <w:tab w:val="left" w:pos="567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**p&lt; 0,001, *p&lt; 0,05 a placebóhoz képest</w:t>
            </w:r>
          </w:p>
          <w:p w14:paraId="168549C7" w14:textId="06421C4E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klinikai végpontok összes analízise a beválogatás szerinti populáción (intent-to-treat) történt. Az MR</w:t>
            </w:r>
            <w:r w:rsidR="00427E1F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analízisekhez értékelhető adatállományokat használtak.</w:t>
            </w:r>
          </w:p>
        </w:tc>
      </w:tr>
    </w:tbl>
    <w:p w14:paraId="5813A026" w14:textId="77777777" w:rsidR="001F30F8" w:rsidRPr="001A762B" w:rsidRDefault="001F30F8" w:rsidP="0087685B">
      <w:pPr>
        <w:pStyle w:val="Szvegtrzs"/>
        <w:ind w:left="0"/>
        <w:jc w:val="both"/>
        <w:rPr>
          <w:rFonts w:cs="Times New Roman"/>
        </w:rPr>
      </w:pPr>
    </w:p>
    <w:p w14:paraId="03F3B158" w14:textId="58D0B980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Azok a betegek, akik befejezték a 24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os FREEDOMS fő vizsgálatot, beléphettek egy, a dózis tekintetében vak, kiterjesztett vizsgálatba (D2301E1), és fingolimodot kaptak. Összesen 920 beteg lépett be (n = 331 kapta tovább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-ot, 289 kapta tovább az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-ot, 155-öt állítottak át placebóról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-ra és 145-öt állítottak át placebóról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-ra). Tizenkét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 után (36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) </w:t>
      </w:r>
      <w:r w:rsidRPr="001A762B">
        <w:rPr>
          <w:rFonts w:cs="Times New Roman"/>
        </w:rPr>
        <w:lastRenderedPageBreak/>
        <w:t xml:space="preserve">856 beteg (93%) vett még mindig részt a vizsgálatban. A 24. </w:t>
      </w:r>
      <w:proofErr w:type="gramStart"/>
      <w:r w:rsidRPr="001A762B">
        <w:rPr>
          <w:rFonts w:cs="Times New Roman"/>
        </w:rPr>
        <w:t>és</w:t>
      </w:r>
      <w:proofErr w:type="gramEnd"/>
      <w:r w:rsidRPr="001A762B">
        <w:rPr>
          <w:rFonts w:cs="Times New Roman"/>
        </w:rPr>
        <w:t xml:space="preserve"> 36.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 között a fő vizsgálatban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fingolimodot kapó betegek közül azoknál, akik továbbra is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 kaptak, az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enkénti relapszus-ráta (ARR) 0,17 volt (0,21 a fő vizsgálatban). A placebóról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fingolimodra átállított betegeknél az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enkénti relapszus-ráta 0,22 volt (0,42 a fő vizsgálatban).</w:t>
      </w:r>
    </w:p>
    <w:p w14:paraId="5A693732" w14:textId="77777777" w:rsidR="00B50D4F" w:rsidRPr="001A762B" w:rsidRDefault="00B50D4F" w:rsidP="00225D6A">
      <w:pPr>
        <w:pStyle w:val="Szvegtrzs"/>
        <w:ind w:left="0"/>
        <w:rPr>
          <w:rFonts w:cs="Times New Roman"/>
        </w:rPr>
      </w:pPr>
    </w:p>
    <w:p w14:paraId="5BE1921D" w14:textId="2816AFC5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Hasonló eredményeket mutattak egy 2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es, randomizált kettős</w:t>
      </w:r>
      <w:r w:rsidR="0033375C">
        <w:rPr>
          <w:rFonts w:cs="Times New Roman"/>
        </w:rPr>
        <w:t xml:space="preserve"> </w:t>
      </w:r>
      <w:r w:rsidRPr="001A762B">
        <w:rPr>
          <w:rFonts w:cs="Times New Roman"/>
        </w:rPr>
        <w:t>vak, placebokontrollos, fingolimoddal végzett III</w:t>
      </w:r>
      <w:r w:rsidR="0033375C">
        <w:rPr>
          <w:rFonts w:cs="Times New Roman"/>
        </w:rPr>
        <w:t xml:space="preserve">. fázisú </w:t>
      </w:r>
      <w:r w:rsidRPr="001A762B">
        <w:rPr>
          <w:rFonts w:cs="Times New Roman"/>
        </w:rPr>
        <w:t xml:space="preserve">replika vizsgálatban, amelyben 1083, RRMS-ben szenvedő beteg </w:t>
      </w:r>
      <w:r w:rsidR="00321538" w:rsidRPr="001A762B">
        <w:rPr>
          <w:rFonts w:cs="Times New Roman"/>
        </w:rPr>
        <w:t>ve</w:t>
      </w:r>
      <w:r w:rsidR="0033375C">
        <w:rPr>
          <w:rFonts w:cs="Times New Roman"/>
        </w:rPr>
        <w:t>t</w:t>
      </w:r>
      <w:r w:rsidR="00321538" w:rsidRPr="001A762B">
        <w:rPr>
          <w:rFonts w:cs="Times New Roman"/>
        </w:rPr>
        <w:t xml:space="preserve">t </w:t>
      </w:r>
      <w:r w:rsidRPr="001A762B">
        <w:rPr>
          <w:rFonts w:cs="Times New Roman"/>
        </w:rPr>
        <w:t>részt (n = 358 kapott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-ot, 370 kapott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-ot, 355 kapott placebót) (D2309; FREEDOMS 2). A kiindulási jellemzők medián értékei a következők voltak: életkor 41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, a betegség fennállásának időtartama 8</w:t>
      </w:r>
      <w:proofErr w:type="gramStart"/>
      <w:r w:rsidRPr="001A762B">
        <w:rPr>
          <w:rFonts w:cs="Times New Roman"/>
        </w:rPr>
        <w:t>,9</w:t>
      </w:r>
      <w:proofErr w:type="gramEnd"/>
      <w:r w:rsidR="00607A97">
        <w:rPr>
          <w:rFonts w:cs="Times New Roman"/>
        </w:rPr>
        <w:t> év</w:t>
      </w:r>
      <w:r w:rsidRPr="001A762B">
        <w:rPr>
          <w:rFonts w:cs="Times New Roman"/>
        </w:rPr>
        <w:t>, az EDSS-pontszám 2,5.</w:t>
      </w:r>
    </w:p>
    <w:p w14:paraId="77AF4D3B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</w:rPr>
      </w:pPr>
    </w:p>
    <w:p w14:paraId="1B32C373" w14:textId="4FB4E014" w:rsidR="004C0305" w:rsidRPr="001A762B" w:rsidRDefault="001F30F8" w:rsidP="0087685B">
      <w:pPr>
        <w:pStyle w:val="Cmsor1"/>
        <w:numPr>
          <w:ilvl w:val="0"/>
          <w:numId w:val="19"/>
        </w:numPr>
        <w:tabs>
          <w:tab w:val="left" w:pos="340"/>
        </w:tabs>
        <w:ind w:left="0" w:firstLine="0"/>
        <w:jc w:val="both"/>
        <w:rPr>
          <w:rFonts w:cs="Times New Roman"/>
          <w:b w:val="0"/>
          <w:bCs w:val="0"/>
        </w:rPr>
      </w:pPr>
      <w:proofErr w:type="gramStart"/>
      <w:r w:rsidRPr="001A762B">
        <w:rPr>
          <w:rFonts w:cs="Times New Roman"/>
        </w:rPr>
        <w:t>táblázat</w:t>
      </w:r>
      <w:proofErr w:type="gramEnd"/>
      <w:r w:rsidR="005F7D92">
        <w:rPr>
          <w:rFonts w:cs="Times New Roman"/>
        </w:rPr>
        <w:tab/>
      </w:r>
      <w:r w:rsidRPr="001A762B">
        <w:rPr>
          <w:rFonts w:cs="Times New Roman"/>
        </w:rPr>
        <w:t>D2309 jelzésű (FREEDOMS 2) vizsgálat: a legfontosabb eredmények</w:t>
      </w:r>
    </w:p>
    <w:p w14:paraId="0580E5BA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1"/>
        <w:tblW w:w="0" w:type="auto"/>
        <w:tblLayout w:type="fixed"/>
        <w:tblLook w:val="01E0" w:firstRow="1" w:lastRow="1" w:firstColumn="1" w:lastColumn="1" w:noHBand="0" w:noVBand="0"/>
      </w:tblPr>
      <w:tblGrid>
        <w:gridCol w:w="4731"/>
        <w:gridCol w:w="1890"/>
        <w:gridCol w:w="1940"/>
      </w:tblGrid>
      <w:tr w:rsidR="004C0305" w:rsidRPr="001A762B" w14:paraId="101EFFE4" w14:textId="77777777" w:rsidTr="00225D6A">
        <w:trPr>
          <w:trHeight w:hRule="exact" w:val="283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9C6F8" w14:textId="77777777" w:rsidR="004C0305" w:rsidRPr="001A762B" w:rsidRDefault="004C0305" w:rsidP="00225D6A">
            <w:pPr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A7808" w14:textId="5CA1AD28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Fingolimod</w:t>
            </w:r>
            <w:r w:rsidR="007B613E">
              <w:rPr>
                <w:rFonts w:ascii="Times New Roman" w:hAnsi="Times New Roman" w:cs="Times New Roman"/>
                <w:b/>
              </w:rPr>
              <w:t xml:space="preserve"> </w:t>
            </w:r>
            <w:r w:rsidRPr="001A762B">
              <w:rPr>
                <w:rFonts w:ascii="Times New Roman" w:hAnsi="Times New Roman" w:cs="Times New Roman"/>
                <w:b/>
              </w:rPr>
              <w:t>0,5</w:t>
            </w:r>
            <w:r w:rsidR="007D2011">
              <w:rPr>
                <w:rFonts w:ascii="Times New Roman" w:hAnsi="Times New Roman" w:cs="Times New Roman"/>
                <w:b/>
              </w:rPr>
              <w:t> mg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BA7BE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Placebo</w:t>
            </w:r>
          </w:p>
        </w:tc>
      </w:tr>
      <w:tr w:rsidR="004C0305" w:rsidRPr="001A762B" w14:paraId="56DC3216" w14:textId="77777777" w:rsidTr="00225D6A">
        <w:trPr>
          <w:trHeight w:hRule="exact" w:val="27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B7578" w14:textId="77777777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Klinikai végpontok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63371" w14:textId="77777777" w:rsidR="004C0305" w:rsidRPr="001A762B" w:rsidRDefault="004C0305" w:rsidP="001D526D">
            <w:pPr>
              <w:ind w:left="9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04E64" w14:textId="77777777" w:rsidR="004C0305" w:rsidRPr="001A762B" w:rsidRDefault="004C0305" w:rsidP="001D526D">
            <w:pPr>
              <w:ind w:left="95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4E5C20F4" w14:textId="77777777" w:rsidTr="00225D6A">
        <w:trPr>
          <w:trHeight w:hRule="exact" w:val="27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A5513" w14:textId="77777777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Évenkénti relapszus ráta (elsődleges végpont)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EA6FF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0,21**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97075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0,40</w:t>
            </w:r>
          </w:p>
        </w:tc>
      </w:tr>
      <w:tr w:rsidR="004C0305" w:rsidRPr="001A762B" w14:paraId="6EFD5DE6" w14:textId="77777777" w:rsidTr="00225D6A">
        <w:trPr>
          <w:trHeight w:hRule="exact" w:val="53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91292" w14:textId="3144A2D8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 relapszusmentesen maradó betegek százalék</w:t>
            </w:r>
            <w:r w:rsidR="00427E1F">
              <w:rPr>
                <w:rFonts w:ascii="Times New Roman" w:hAnsi="Times New Roman" w:cs="Times New Roman"/>
              </w:rPr>
              <w:t xml:space="preserve">os </w:t>
            </w:r>
            <w:r w:rsidRPr="001A762B">
              <w:rPr>
                <w:rFonts w:ascii="Times New Roman" w:hAnsi="Times New Roman" w:cs="Times New Roman"/>
              </w:rPr>
              <w:t>aránya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A5464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71,5%**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442A3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52,7%</w:t>
            </w:r>
          </w:p>
        </w:tc>
      </w:tr>
      <w:tr w:rsidR="004C0305" w:rsidRPr="001A762B" w14:paraId="012D5C16" w14:textId="77777777" w:rsidTr="00225D6A">
        <w:trPr>
          <w:trHeight w:hRule="exact" w:val="53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90835F9" w14:textId="7A97C0A5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eastAsia="Times New Roman" w:hAnsi="Times New Roman" w:cs="Times New Roman"/>
              </w:rPr>
              <w:t>A 3</w:t>
            </w:r>
            <w:r w:rsidR="00607A97">
              <w:rPr>
                <w:rFonts w:ascii="Times New Roman" w:eastAsia="Times New Roman" w:hAnsi="Times New Roman" w:cs="Times New Roman"/>
              </w:rPr>
              <w:t> hónap</w:t>
            </w:r>
            <w:r w:rsidRPr="001A762B">
              <w:rPr>
                <w:rFonts w:ascii="Times New Roman" w:eastAsia="Times New Roman" w:hAnsi="Times New Roman" w:cs="Times New Roman"/>
              </w:rPr>
              <w:t>ja tartó, funkcióromláshoz vezető, igazolt progresszió aránya †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B0B36D9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843EED0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29%</w:t>
            </w:r>
          </w:p>
        </w:tc>
      </w:tr>
      <w:tr w:rsidR="004C0305" w:rsidRPr="001A762B" w14:paraId="5A94A2C2" w14:textId="77777777" w:rsidTr="00225D6A">
        <w:trPr>
          <w:trHeight w:hRule="exact" w:val="259"/>
        </w:trPr>
        <w:tc>
          <w:tcPr>
            <w:tcW w:w="473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26626" w14:textId="77777777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Relatív hazárd (95%-os CI)</w:t>
            </w:r>
          </w:p>
        </w:tc>
        <w:tc>
          <w:tcPr>
            <w:tcW w:w="189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59573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0,83 (0,61; 1,12)</w:t>
            </w:r>
          </w:p>
        </w:tc>
        <w:tc>
          <w:tcPr>
            <w:tcW w:w="19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33353" w14:textId="77777777" w:rsidR="004C0305" w:rsidRPr="001A762B" w:rsidRDefault="004C0305" w:rsidP="001D526D">
            <w:pPr>
              <w:ind w:left="95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69020D78" w14:textId="77777777" w:rsidTr="00225D6A">
        <w:trPr>
          <w:trHeight w:hRule="exact" w:val="27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4E1BE" w14:textId="31280F63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MR</w:t>
            </w:r>
            <w:r w:rsidR="00427E1F">
              <w:rPr>
                <w:rFonts w:ascii="Times New Roman" w:hAnsi="Times New Roman" w:cs="Times New Roman"/>
                <w:b/>
              </w:rPr>
              <w:t>-</w:t>
            </w:r>
            <w:r w:rsidRPr="001A762B">
              <w:rPr>
                <w:rFonts w:ascii="Times New Roman" w:hAnsi="Times New Roman" w:cs="Times New Roman"/>
                <w:b/>
              </w:rPr>
              <w:t>végpontok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4F3C3" w14:textId="77777777" w:rsidR="004C0305" w:rsidRPr="001A762B" w:rsidRDefault="004C0305" w:rsidP="001D526D">
            <w:pPr>
              <w:ind w:left="9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87375" w14:textId="77777777" w:rsidR="004C0305" w:rsidRPr="001A762B" w:rsidRDefault="004C0305" w:rsidP="001D526D">
            <w:pPr>
              <w:ind w:left="95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67EFA25A" w14:textId="77777777" w:rsidTr="00225D6A">
        <w:trPr>
          <w:trHeight w:hRule="exact" w:val="53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31BA4" w14:textId="6B061E2A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új vagy növekvő T2</w:t>
            </w:r>
            <w:r w:rsidR="00427E1F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léziók medián (átlagos)</w:t>
            </w:r>
            <w:r w:rsidR="00427E1F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>száma 24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alatt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83EE3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(2,3)**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18247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4,0 (8,9)</w:t>
            </w:r>
          </w:p>
        </w:tc>
      </w:tr>
      <w:tr w:rsidR="004C0305" w:rsidRPr="001A762B" w14:paraId="08BF5B09" w14:textId="77777777" w:rsidTr="00225D6A">
        <w:trPr>
          <w:trHeight w:hRule="exact" w:val="529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43840" w14:textId="1A44391A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gadolíniumot halmozó léziók medián (átlagos) száma 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EDC1F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(0,4)**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F6840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(1,2)</w:t>
            </w:r>
          </w:p>
        </w:tc>
      </w:tr>
      <w:tr w:rsidR="004C0305" w:rsidRPr="001A762B" w14:paraId="456745A1" w14:textId="77777777" w:rsidTr="00225D6A">
        <w:trPr>
          <w:trHeight w:hRule="exact" w:val="530"/>
        </w:trPr>
        <w:tc>
          <w:tcPr>
            <w:tcW w:w="47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41E72" w14:textId="6C0B414A" w:rsidR="004C0305" w:rsidRPr="001A762B" w:rsidRDefault="001F30F8" w:rsidP="00225D6A">
            <w:pPr>
              <w:pStyle w:val="TableParagraph"/>
              <w:ind w:left="142" w:right="4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agytérfogat medián (átlagos) %-os változása 24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alatt</w:t>
            </w:r>
          </w:p>
        </w:tc>
        <w:tc>
          <w:tcPr>
            <w:tcW w:w="1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0BB68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-0,71 (-0,86)**</w:t>
            </w:r>
          </w:p>
        </w:tc>
        <w:tc>
          <w:tcPr>
            <w:tcW w:w="19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23CE7" w14:textId="77777777" w:rsidR="004C0305" w:rsidRPr="001A762B" w:rsidRDefault="001F30F8" w:rsidP="001D526D">
            <w:pPr>
              <w:pStyle w:val="TableParagraph"/>
              <w:ind w:left="95"/>
              <w:jc w:val="both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-1,02 (-1,28)</w:t>
            </w:r>
          </w:p>
        </w:tc>
      </w:tr>
      <w:tr w:rsidR="004C0305" w:rsidRPr="001A762B" w14:paraId="5590B044" w14:textId="77777777" w:rsidTr="00225D6A">
        <w:trPr>
          <w:trHeight w:hRule="exact" w:val="1310"/>
        </w:trPr>
        <w:tc>
          <w:tcPr>
            <w:tcW w:w="856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717EB" w14:textId="46079AA9" w:rsidR="004C0305" w:rsidRPr="001A762B" w:rsidRDefault="001F30F8" w:rsidP="00225D6A">
            <w:pPr>
              <w:pStyle w:val="TableParagraph"/>
              <w:ind w:left="142" w:hanging="56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eastAsia="Times New Roman" w:hAnsi="Times New Roman" w:cs="Times New Roman"/>
              </w:rPr>
              <w:t>†</w:t>
            </w:r>
            <w:r w:rsidRPr="001A762B">
              <w:rPr>
                <w:rFonts w:ascii="Times New Roman" w:eastAsia="Times New Roman" w:hAnsi="Times New Roman" w:cs="Times New Roman"/>
              </w:rPr>
              <w:tab/>
            </w:r>
            <w:r w:rsidR="00E134AF" w:rsidRPr="001A762B">
              <w:rPr>
                <w:rFonts w:ascii="Times New Roman" w:eastAsia="Times New Roman" w:hAnsi="Times New Roman" w:cs="Times New Roman"/>
              </w:rPr>
              <w:t>†</w:t>
            </w:r>
            <w:r w:rsidRPr="001A762B">
              <w:rPr>
                <w:rFonts w:ascii="Times New Roman" w:eastAsia="Times New Roman" w:hAnsi="Times New Roman" w:cs="Times New Roman"/>
              </w:rPr>
              <w:t>A funkcióromláshoz vezető progresszió meghatározása az EDSS 3</w:t>
            </w:r>
            <w:r w:rsidR="00607A97">
              <w:rPr>
                <w:rFonts w:ascii="Times New Roman" w:eastAsia="Times New Roman" w:hAnsi="Times New Roman" w:cs="Times New Roman"/>
              </w:rPr>
              <w:t> hónap</w:t>
            </w:r>
            <w:r w:rsidRPr="001A762B">
              <w:rPr>
                <w:rFonts w:ascii="Times New Roman" w:eastAsia="Times New Roman" w:hAnsi="Times New Roman" w:cs="Times New Roman"/>
              </w:rPr>
              <w:t>pal későbbi,</w:t>
            </w:r>
          </w:p>
          <w:p w14:paraId="2D8D5176" w14:textId="69D62993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1</w:t>
            </w:r>
            <w:r w:rsidR="00B377B0">
              <w:rPr>
                <w:rFonts w:ascii="Times New Roman" w:hAnsi="Times New Roman" w:cs="Times New Roman"/>
              </w:rPr>
              <w:t> pont</w:t>
            </w:r>
            <w:r w:rsidRPr="001A762B">
              <w:rPr>
                <w:rFonts w:ascii="Times New Roman" w:hAnsi="Times New Roman" w:cs="Times New Roman"/>
              </w:rPr>
              <w:t>tal történő, igazolt emelkedése.</w:t>
            </w:r>
          </w:p>
          <w:p w14:paraId="217AF376" w14:textId="22490717" w:rsidR="004C0305" w:rsidRPr="001A762B" w:rsidRDefault="001F30F8" w:rsidP="00225D6A">
            <w:pPr>
              <w:pStyle w:val="TableParagraph"/>
              <w:tabs>
                <w:tab w:val="left" w:pos="624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**p&lt;</w:t>
            </w:r>
            <w:r w:rsidR="00427E1F">
              <w:rPr>
                <w:rFonts w:ascii="Times New Roman" w:hAnsi="Times New Roman" w:cs="Times New Roman"/>
              </w:rPr>
              <w:t> </w:t>
            </w:r>
            <w:r w:rsidRPr="001A762B">
              <w:rPr>
                <w:rFonts w:ascii="Times New Roman" w:hAnsi="Times New Roman" w:cs="Times New Roman"/>
              </w:rPr>
              <w:t>0,001 a placebóhoz képest</w:t>
            </w:r>
          </w:p>
          <w:p w14:paraId="04DAB64F" w14:textId="699DFB27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klinikai végpontok összes analízise a bevál</w:t>
            </w:r>
            <w:r w:rsidR="00843F27">
              <w:rPr>
                <w:rFonts w:ascii="Times New Roman" w:hAnsi="Times New Roman" w:cs="Times New Roman"/>
              </w:rPr>
              <w:t>a</w:t>
            </w:r>
            <w:r w:rsidR="00427E1F">
              <w:rPr>
                <w:rFonts w:ascii="Times New Roman" w:hAnsi="Times New Roman" w:cs="Times New Roman"/>
              </w:rPr>
              <w:t>sz</w:t>
            </w:r>
            <w:r w:rsidRPr="001A762B">
              <w:rPr>
                <w:rFonts w:ascii="Times New Roman" w:hAnsi="Times New Roman" w:cs="Times New Roman"/>
              </w:rPr>
              <w:t>tás szerinti (intent-to-treat)</w:t>
            </w:r>
            <w:r w:rsidR="003F0673" w:rsidRPr="001A762B">
              <w:rPr>
                <w:rFonts w:ascii="Times New Roman" w:hAnsi="Times New Roman" w:cs="Times New Roman"/>
              </w:rPr>
              <w:t xml:space="preserve"> </w:t>
            </w:r>
            <w:r w:rsidR="00427E1F" w:rsidRPr="001A762B">
              <w:rPr>
                <w:rFonts w:ascii="Times New Roman" w:hAnsi="Times New Roman" w:cs="Times New Roman"/>
              </w:rPr>
              <w:t>populáció</w:t>
            </w:r>
            <w:r w:rsidR="00427E1F">
              <w:rPr>
                <w:rFonts w:ascii="Times New Roman" w:hAnsi="Times New Roman" w:cs="Times New Roman"/>
              </w:rPr>
              <w:t>val</w:t>
            </w:r>
            <w:r w:rsidR="00427E1F" w:rsidRPr="001A762B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>történt. Az MR</w:t>
            </w:r>
            <w:r w:rsidR="00427E1F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analízisekhez értékelhető adatállományokat használtak.</w:t>
            </w:r>
          </w:p>
        </w:tc>
      </w:tr>
    </w:tbl>
    <w:p w14:paraId="2AC70A0E" w14:textId="77777777" w:rsidR="004C0305" w:rsidRPr="001A762B" w:rsidRDefault="004C0305" w:rsidP="0087685B">
      <w:pPr>
        <w:jc w:val="both"/>
        <w:rPr>
          <w:rFonts w:ascii="Times New Roman" w:eastAsia="Times New Roman" w:hAnsi="Times New Roman" w:cs="Times New Roman"/>
          <w:b/>
          <w:bCs/>
        </w:rPr>
      </w:pPr>
    </w:p>
    <w:p w14:paraId="30D97D66" w14:textId="34C0CA43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D2302 jelzésű (TRANSFORMS) egy 1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ig tartó, randomizált, kettős</w:t>
      </w:r>
      <w:r w:rsidR="001B4E3F">
        <w:rPr>
          <w:rFonts w:cs="Times New Roman"/>
        </w:rPr>
        <w:t xml:space="preserve"> </w:t>
      </w:r>
      <w:r w:rsidRPr="001A762B">
        <w:rPr>
          <w:rFonts w:cs="Times New Roman"/>
        </w:rPr>
        <w:t>vak, dupla-placebós (double-dummy), aktív</w:t>
      </w:r>
      <w:r w:rsidR="00607A97">
        <w:rPr>
          <w:rFonts w:cs="Times New Roman"/>
        </w:rPr>
        <w:t xml:space="preserve"> </w:t>
      </w:r>
      <w:r w:rsidRPr="001A762B">
        <w:rPr>
          <w:rFonts w:cs="Times New Roman"/>
        </w:rPr>
        <w:t>kontrollos (interferon béta-1a), III</w:t>
      </w:r>
      <w:r w:rsidR="001B4E3F">
        <w:rPr>
          <w:rFonts w:cs="Times New Roman"/>
        </w:rPr>
        <w:t>. fázisú</w:t>
      </w:r>
      <w:r w:rsidRPr="001A762B">
        <w:rPr>
          <w:rFonts w:cs="Times New Roman"/>
        </w:rPr>
        <w:t xml:space="preserve"> vizsgálat volt, amit 1280 beteggel végeztek (közülük n = 429 kapott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, 420 kapott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fingolimodot, 431 kapott hetente</w:t>
      </w:r>
      <w:r w:rsidR="00321538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egyszer 30</w:t>
      </w:r>
      <w:r w:rsidR="006673A6">
        <w:rPr>
          <w:rFonts w:cs="Times New Roman"/>
        </w:rPr>
        <w:t> mikrogramm</w:t>
      </w:r>
      <w:r w:rsidRPr="001A762B">
        <w:rPr>
          <w:rFonts w:cs="Times New Roman"/>
        </w:rPr>
        <w:t xml:space="preserve"> interferon béta-1a-t intramusculáris injekcióban). A kiindulási jellemzők medián értékei a következők voltak: életkor 36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, a betegség fennállásának időtartama 5</w:t>
      </w:r>
      <w:proofErr w:type="gramStart"/>
      <w:r w:rsidRPr="001A762B">
        <w:rPr>
          <w:rFonts w:cs="Times New Roman"/>
        </w:rPr>
        <w:t>,9</w:t>
      </w:r>
      <w:proofErr w:type="gramEnd"/>
      <w:r w:rsidR="00607A97">
        <w:rPr>
          <w:rFonts w:cs="Times New Roman"/>
        </w:rPr>
        <w:t> év</w:t>
      </w:r>
      <w:r w:rsidRPr="001A762B">
        <w:rPr>
          <w:rFonts w:cs="Times New Roman"/>
        </w:rPr>
        <w:t xml:space="preserve"> és EDSS-pontszám 2,0. A vizsgálat eredményeit a 3. </w:t>
      </w:r>
      <w:proofErr w:type="gramStart"/>
      <w:r w:rsidRPr="001A762B">
        <w:rPr>
          <w:rFonts w:cs="Times New Roman"/>
        </w:rPr>
        <w:t>táblázat</w:t>
      </w:r>
      <w:proofErr w:type="gramEnd"/>
      <w:r w:rsidRPr="001A762B">
        <w:rPr>
          <w:rFonts w:cs="Times New Roman"/>
        </w:rPr>
        <w:t xml:space="preserve"> mutatja. A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és az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dózisok között egyik végpont tekintetében sem volt lényeges különbség.</w:t>
      </w:r>
    </w:p>
    <w:p w14:paraId="22AC8261" w14:textId="77777777" w:rsidR="001F30F8" w:rsidRPr="001A762B" w:rsidRDefault="001F30F8" w:rsidP="00225D6A">
      <w:pPr>
        <w:pStyle w:val="Cmsor1"/>
        <w:tabs>
          <w:tab w:val="left" w:pos="340"/>
        </w:tabs>
        <w:ind w:left="0"/>
        <w:rPr>
          <w:rFonts w:cs="Times New Roman"/>
          <w:b w:val="0"/>
          <w:bCs w:val="0"/>
        </w:rPr>
      </w:pPr>
    </w:p>
    <w:p w14:paraId="4F129249" w14:textId="4DEB7747" w:rsidR="004C0305" w:rsidRPr="001A762B" w:rsidRDefault="001F30F8" w:rsidP="00225D6A">
      <w:pPr>
        <w:pStyle w:val="Cmsor1"/>
        <w:numPr>
          <w:ilvl w:val="0"/>
          <w:numId w:val="19"/>
        </w:numPr>
        <w:tabs>
          <w:tab w:val="left" w:pos="340"/>
        </w:tabs>
        <w:ind w:left="0" w:firstLine="0"/>
        <w:rPr>
          <w:rFonts w:cs="Times New Roman"/>
          <w:b w:val="0"/>
          <w:bCs w:val="0"/>
        </w:rPr>
      </w:pPr>
      <w:proofErr w:type="gramStart"/>
      <w:r w:rsidRPr="001A762B">
        <w:rPr>
          <w:rFonts w:cs="Times New Roman"/>
        </w:rPr>
        <w:t>táblázat</w:t>
      </w:r>
      <w:proofErr w:type="gramEnd"/>
      <w:r w:rsidR="00834D75">
        <w:rPr>
          <w:rFonts w:cs="Times New Roman"/>
        </w:rPr>
        <w:tab/>
      </w:r>
      <w:r w:rsidRPr="001A762B">
        <w:rPr>
          <w:rFonts w:cs="Times New Roman"/>
        </w:rPr>
        <w:t>D2302 jelű vizsgálat (TRANSFORMS): a legfontosabb eredmények</w:t>
      </w:r>
    </w:p>
    <w:p w14:paraId="1682EC90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1"/>
        <w:tblW w:w="0" w:type="auto"/>
        <w:tblInd w:w="-6" w:type="dxa"/>
        <w:tblLayout w:type="fixed"/>
        <w:tblLook w:val="01E0" w:firstRow="1" w:lastRow="1" w:firstColumn="1" w:lastColumn="1" w:noHBand="0" w:noVBand="0"/>
      </w:tblPr>
      <w:tblGrid>
        <w:gridCol w:w="4767"/>
        <w:gridCol w:w="1844"/>
        <w:gridCol w:w="1843"/>
      </w:tblGrid>
      <w:tr w:rsidR="004C0305" w:rsidRPr="001A762B" w14:paraId="086840E2" w14:textId="77777777" w:rsidTr="00321538">
        <w:trPr>
          <w:trHeight w:hRule="exact" w:val="529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A1553" w14:textId="77777777" w:rsidR="004C0305" w:rsidRPr="001A762B" w:rsidRDefault="004C0305" w:rsidP="00225D6A">
            <w:pPr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072E3" w14:textId="3AEEA7EF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Fingolimod</w:t>
            </w:r>
            <w:r w:rsidR="00834D75">
              <w:rPr>
                <w:rFonts w:ascii="Times New Roman" w:hAnsi="Times New Roman" w:cs="Times New Roman"/>
                <w:b/>
              </w:rPr>
              <w:t xml:space="preserve"> </w:t>
            </w:r>
            <w:r w:rsidRPr="001A762B">
              <w:rPr>
                <w:rFonts w:ascii="Times New Roman" w:hAnsi="Times New Roman" w:cs="Times New Roman"/>
                <w:b/>
              </w:rPr>
              <w:t>0,5</w:t>
            </w:r>
            <w:r w:rsidR="007D2011">
              <w:rPr>
                <w:rFonts w:ascii="Times New Roman" w:hAnsi="Times New Roman" w:cs="Times New Roman"/>
                <w:b/>
              </w:rPr>
              <w:t> mg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F68E7" w14:textId="6CB8EF51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Interferon béta-1a 30</w:t>
            </w:r>
            <w:r w:rsidR="001D526D">
              <w:rPr>
                <w:rFonts w:ascii="Times New Roman" w:hAnsi="Times New Roman" w:cs="Times New Roman"/>
                <w:b/>
              </w:rPr>
              <w:t> mikrogramm</w:t>
            </w:r>
          </w:p>
        </w:tc>
      </w:tr>
      <w:tr w:rsidR="004C0305" w:rsidRPr="001A762B" w14:paraId="5BC4089D" w14:textId="77777777" w:rsidTr="00321538">
        <w:trPr>
          <w:trHeight w:hRule="exact" w:val="27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DE536" w14:textId="7777777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Klinikai végpontok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F0A8E" w14:textId="77777777" w:rsidR="004C0305" w:rsidRPr="001A762B" w:rsidRDefault="004C0305" w:rsidP="00225D6A">
            <w:pPr>
              <w:ind w:left="19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4BD6E" w14:textId="77777777" w:rsidR="004C0305" w:rsidRPr="001A762B" w:rsidRDefault="004C0305" w:rsidP="00225D6A">
            <w:pPr>
              <w:ind w:left="190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434A0466" w14:textId="77777777" w:rsidTr="00321538">
        <w:trPr>
          <w:trHeight w:hRule="exact" w:val="27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B5F35" w14:textId="0DC1E2B3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Évenkénti relapszusráta (elsődleges végpont)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02483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0,16**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5682B" w14:textId="77777777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0,33</w:t>
            </w:r>
          </w:p>
        </w:tc>
      </w:tr>
      <w:tr w:rsidR="004C0305" w:rsidRPr="001A762B" w14:paraId="631992DD" w14:textId="77777777" w:rsidTr="00321538">
        <w:trPr>
          <w:trHeight w:hRule="exact" w:val="53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7A18A" w14:textId="6222B2A2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12.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 relapszusmentesen maradó betegek százalék</w:t>
            </w:r>
            <w:r w:rsidR="007D46E6">
              <w:rPr>
                <w:rFonts w:ascii="Times New Roman" w:hAnsi="Times New Roman" w:cs="Times New Roman"/>
              </w:rPr>
              <w:t xml:space="preserve">os </w:t>
            </w:r>
            <w:r w:rsidRPr="001A762B">
              <w:rPr>
                <w:rFonts w:ascii="Times New Roman" w:hAnsi="Times New Roman" w:cs="Times New Roman"/>
              </w:rPr>
              <w:t>aránya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CCE80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83%**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AD427" w14:textId="77777777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71%</w:t>
            </w:r>
          </w:p>
        </w:tc>
      </w:tr>
      <w:tr w:rsidR="004C0305" w:rsidRPr="001A762B" w14:paraId="0A7248D6" w14:textId="77777777" w:rsidTr="00321538">
        <w:trPr>
          <w:trHeight w:hRule="exact" w:val="531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EE1FB2F" w14:textId="682BE73C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3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ja tartó, funkcióromláshoz vezető,</w:t>
            </w:r>
            <w:r w:rsidR="007D46E6">
              <w:rPr>
                <w:rFonts w:ascii="Times New Roman" w:eastAsia="Times New Roman" w:hAnsi="Times New Roman" w:cs="Times New Roman"/>
              </w:rPr>
              <w:t xml:space="preserve"> </w:t>
            </w:r>
            <w:r w:rsidRPr="001A762B">
              <w:rPr>
                <w:rFonts w:ascii="Times New Roman" w:eastAsia="Times New Roman" w:hAnsi="Times New Roman" w:cs="Times New Roman"/>
              </w:rPr>
              <w:t>igazolt progresszió aránya†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E6E36C1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5376D8C" w14:textId="77777777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8%</w:t>
            </w:r>
          </w:p>
        </w:tc>
      </w:tr>
      <w:tr w:rsidR="004C0305" w:rsidRPr="001A762B" w14:paraId="4CA4F94A" w14:textId="77777777" w:rsidTr="00321538">
        <w:trPr>
          <w:trHeight w:hRule="exact" w:val="259"/>
        </w:trPr>
        <w:tc>
          <w:tcPr>
            <w:tcW w:w="47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0FD53" w14:textId="77777777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Relatív hazárd (95%-os CI)</w:t>
            </w:r>
          </w:p>
        </w:tc>
        <w:tc>
          <w:tcPr>
            <w:tcW w:w="184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35335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0,71 (0,42; 1,21)</w:t>
            </w:r>
          </w:p>
        </w:tc>
        <w:tc>
          <w:tcPr>
            <w:tcW w:w="184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C1455" w14:textId="77777777" w:rsidR="004C0305" w:rsidRPr="001A762B" w:rsidRDefault="004C0305" w:rsidP="00225D6A">
            <w:pPr>
              <w:ind w:left="190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0A450557" w14:textId="77777777" w:rsidTr="00321538">
        <w:trPr>
          <w:trHeight w:hRule="exact" w:val="27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C61BF" w14:textId="7752E8B2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MR</w:t>
            </w:r>
            <w:r w:rsidR="007D46E6">
              <w:rPr>
                <w:rFonts w:ascii="Times New Roman" w:hAnsi="Times New Roman" w:cs="Times New Roman"/>
                <w:b/>
              </w:rPr>
              <w:t>-</w:t>
            </w:r>
            <w:r w:rsidRPr="001A762B">
              <w:rPr>
                <w:rFonts w:ascii="Times New Roman" w:hAnsi="Times New Roman" w:cs="Times New Roman"/>
                <w:b/>
              </w:rPr>
              <w:t>végpontok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EE2BC" w14:textId="77777777" w:rsidR="004C0305" w:rsidRPr="001A762B" w:rsidRDefault="004C0305" w:rsidP="00225D6A">
            <w:pPr>
              <w:ind w:left="19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D13FF" w14:textId="77777777" w:rsidR="004C0305" w:rsidRPr="001A762B" w:rsidRDefault="004C0305" w:rsidP="00225D6A">
            <w:pPr>
              <w:ind w:left="190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05C502A5" w14:textId="77777777" w:rsidTr="00321538">
        <w:trPr>
          <w:trHeight w:hRule="exact" w:val="53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87370" w14:textId="59D8D676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lastRenderedPageBreak/>
              <w:t>Az új vagy növekvő T2</w:t>
            </w:r>
            <w:r w:rsidR="007D46E6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léziók medián (átlagos)</w:t>
            </w:r>
            <w:r w:rsidR="007D46E6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>száma 12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alatt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1567E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(1,7)*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01291" w14:textId="77777777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1,0 (2,6)</w:t>
            </w:r>
          </w:p>
        </w:tc>
      </w:tr>
      <w:tr w:rsidR="004C0305" w:rsidRPr="001A762B" w14:paraId="76533F24" w14:textId="77777777" w:rsidTr="00321538">
        <w:trPr>
          <w:trHeight w:hRule="exact" w:val="530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32FBB" w14:textId="3222ACE0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gadolíniumot halmozó léziók medián (átlagos) száma a 12.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B172F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(0,2)**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568D2" w14:textId="77777777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0,0 (0,5)</w:t>
            </w:r>
          </w:p>
        </w:tc>
      </w:tr>
      <w:tr w:rsidR="004C0305" w:rsidRPr="001A762B" w14:paraId="52451CE3" w14:textId="77777777" w:rsidTr="00321538">
        <w:trPr>
          <w:trHeight w:hRule="exact" w:val="529"/>
        </w:trPr>
        <w:tc>
          <w:tcPr>
            <w:tcW w:w="4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A35D8" w14:textId="2770CD05" w:rsidR="004C0305" w:rsidRPr="001A762B" w:rsidRDefault="001F30F8" w:rsidP="00225D6A">
            <w:pPr>
              <w:pStyle w:val="TableParagraph"/>
              <w:ind w:left="142" w:right="7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agytérfogat medián (átlagos) %-os változása 12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alatt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0A3B9" w14:textId="77777777" w:rsidR="004C0305" w:rsidRPr="001A762B" w:rsidRDefault="001F30F8" w:rsidP="00225D6A">
            <w:pPr>
              <w:pStyle w:val="TableParagraph"/>
              <w:ind w:left="193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-0,2 (-0,3)**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5943F" w14:textId="77777777" w:rsidR="004C0305" w:rsidRPr="001A762B" w:rsidRDefault="001F30F8" w:rsidP="00225D6A">
            <w:pPr>
              <w:pStyle w:val="TableParagraph"/>
              <w:ind w:left="190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-0,4 (-0,5)</w:t>
            </w:r>
          </w:p>
        </w:tc>
      </w:tr>
      <w:tr w:rsidR="004C0305" w:rsidRPr="001A762B" w14:paraId="6E097463" w14:textId="77777777" w:rsidTr="00321538">
        <w:trPr>
          <w:trHeight w:hRule="exact" w:val="1364"/>
        </w:trPr>
        <w:tc>
          <w:tcPr>
            <w:tcW w:w="84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20ECD" w14:textId="6EA84787" w:rsidR="004C0305" w:rsidRPr="001A762B" w:rsidRDefault="001F30F8" w:rsidP="00225D6A">
            <w:pPr>
              <w:pStyle w:val="TableParagraph"/>
              <w:ind w:left="142" w:hanging="56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eastAsia="Times New Roman" w:hAnsi="Times New Roman" w:cs="Times New Roman"/>
              </w:rPr>
              <w:t>†</w:t>
            </w:r>
            <w:r w:rsidRPr="001A762B">
              <w:rPr>
                <w:rFonts w:ascii="Times New Roman" w:eastAsia="Times New Roman" w:hAnsi="Times New Roman" w:cs="Times New Roman"/>
              </w:rPr>
              <w:tab/>
            </w:r>
            <w:r w:rsidR="00FA2B89" w:rsidRPr="001A762B">
              <w:rPr>
                <w:rFonts w:ascii="Times New Roman" w:eastAsia="Times New Roman" w:hAnsi="Times New Roman" w:cs="Times New Roman"/>
              </w:rPr>
              <w:t>†</w:t>
            </w:r>
            <w:r w:rsidRPr="001A762B">
              <w:rPr>
                <w:rFonts w:ascii="Times New Roman" w:eastAsia="Times New Roman" w:hAnsi="Times New Roman" w:cs="Times New Roman"/>
              </w:rPr>
              <w:t>A funkcióromláshoz vezető progresszió meghatározása az EDSS 3</w:t>
            </w:r>
            <w:r w:rsidR="00607A97">
              <w:rPr>
                <w:rFonts w:ascii="Times New Roman" w:eastAsia="Times New Roman" w:hAnsi="Times New Roman" w:cs="Times New Roman"/>
              </w:rPr>
              <w:t> hónap</w:t>
            </w:r>
            <w:r w:rsidRPr="001A762B">
              <w:rPr>
                <w:rFonts w:ascii="Times New Roman" w:eastAsia="Times New Roman" w:hAnsi="Times New Roman" w:cs="Times New Roman"/>
              </w:rPr>
              <w:t>pal későbbi,</w:t>
            </w:r>
          </w:p>
          <w:p w14:paraId="72AE9C3F" w14:textId="71989E6D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1</w:t>
            </w:r>
            <w:r w:rsidR="00B377B0">
              <w:rPr>
                <w:rFonts w:ascii="Times New Roman" w:hAnsi="Times New Roman" w:cs="Times New Roman"/>
              </w:rPr>
              <w:t> pont</w:t>
            </w:r>
            <w:r w:rsidRPr="001A762B">
              <w:rPr>
                <w:rFonts w:ascii="Times New Roman" w:hAnsi="Times New Roman" w:cs="Times New Roman"/>
              </w:rPr>
              <w:t>tal történő, igazolt emelkedése.</w:t>
            </w:r>
          </w:p>
          <w:p w14:paraId="2FAD0B8F" w14:textId="5E2D573C" w:rsidR="004C0305" w:rsidRPr="001A762B" w:rsidRDefault="001F30F8" w:rsidP="00225D6A">
            <w:pPr>
              <w:pStyle w:val="TableParagraph"/>
              <w:tabs>
                <w:tab w:val="left" w:pos="669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*p&lt;</w:t>
            </w:r>
            <w:r w:rsidR="007D46E6">
              <w:rPr>
                <w:rFonts w:ascii="Times New Roman" w:hAnsi="Times New Roman" w:cs="Times New Roman"/>
              </w:rPr>
              <w:t> </w:t>
            </w:r>
            <w:r w:rsidRPr="001A762B">
              <w:rPr>
                <w:rFonts w:ascii="Times New Roman" w:hAnsi="Times New Roman" w:cs="Times New Roman"/>
              </w:rPr>
              <w:t>0,01, *</w:t>
            </w:r>
            <w:r w:rsidR="00A566BB" w:rsidRPr="001A762B">
              <w:rPr>
                <w:rFonts w:ascii="Times New Roman" w:hAnsi="Times New Roman" w:cs="Times New Roman"/>
              </w:rPr>
              <w:t>*</w:t>
            </w:r>
            <w:r w:rsidRPr="001A762B">
              <w:rPr>
                <w:rFonts w:ascii="Times New Roman" w:hAnsi="Times New Roman" w:cs="Times New Roman"/>
              </w:rPr>
              <w:t>p&lt;</w:t>
            </w:r>
            <w:r w:rsidR="007D46E6">
              <w:rPr>
                <w:rFonts w:ascii="Times New Roman" w:hAnsi="Times New Roman" w:cs="Times New Roman"/>
              </w:rPr>
              <w:t> </w:t>
            </w:r>
            <w:r w:rsidRPr="001A762B">
              <w:rPr>
                <w:rFonts w:ascii="Times New Roman" w:hAnsi="Times New Roman" w:cs="Times New Roman"/>
              </w:rPr>
              <w:t>0,0</w:t>
            </w:r>
            <w:r w:rsidR="00A566BB">
              <w:rPr>
                <w:rFonts w:ascii="Times New Roman" w:hAnsi="Times New Roman" w:cs="Times New Roman"/>
              </w:rPr>
              <w:t>0</w:t>
            </w:r>
            <w:r w:rsidRPr="001A762B">
              <w:rPr>
                <w:rFonts w:ascii="Times New Roman" w:hAnsi="Times New Roman" w:cs="Times New Roman"/>
              </w:rPr>
              <w:t>1 az interferon béta-1a-hoz képest</w:t>
            </w:r>
          </w:p>
          <w:p w14:paraId="1CA12B5E" w14:textId="77777777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klinikai végpontok összes analízise a beválogatás szerinti populáción (intent-to-treat)</w:t>
            </w:r>
            <w:r w:rsidR="003F0673" w:rsidRPr="001A762B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>történt. Az MRI analízisekhez értékelhető adatállományokat használtak.</w:t>
            </w:r>
          </w:p>
        </w:tc>
      </w:tr>
    </w:tbl>
    <w:p w14:paraId="7BC2DF7D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7E04C368" w14:textId="06C986C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Azok a betegek, akik befejezték a 12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os TRANSFORMS fő vizsgálatot, beléphettek egy, a dózis tekintetében </w:t>
      </w:r>
      <w:r w:rsidR="00CE6D3C">
        <w:rPr>
          <w:rFonts w:cs="Times New Roman"/>
        </w:rPr>
        <w:t>ismeretlen besorolású</w:t>
      </w:r>
      <w:r w:rsidRPr="001A762B">
        <w:rPr>
          <w:rFonts w:cs="Times New Roman"/>
        </w:rPr>
        <w:t>, kiterjesztett vizsgálatba (D2302E1), és fingolimodot kaptak. Összesen 1030 beteget vontak be, ugyanakkor közülük 3 beteg nem kapott kezelést (n = 356 kapta tovább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-ot, 330 kapta tovább az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-ot, 167 lett átállítva interferon béta-1a-ról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-ra, és 174 lett átállítva interferon béta-1a-ról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-ra). Tizenkét</w:t>
      </w:r>
      <w:r w:rsidR="00CE6D3C">
        <w:rPr>
          <w:rFonts w:cs="Times New Roman"/>
        </w:rPr>
        <w:t xml:space="preserve"> </w:t>
      </w:r>
      <w:r w:rsidR="00607A97">
        <w:rPr>
          <w:rFonts w:cs="Times New Roman"/>
        </w:rPr>
        <w:t>hónap</w:t>
      </w:r>
      <w:r w:rsidRPr="001A762B">
        <w:rPr>
          <w:rFonts w:cs="Times New Roman"/>
        </w:rPr>
        <w:t xml:space="preserve"> után (24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) 882 beteg (86%) vett még mindig részt a vizsgálatban. A 12. </w:t>
      </w:r>
      <w:proofErr w:type="gramStart"/>
      <w:r w:rsidRPr="001A762B">
        <w:rPr>
          <w:rFonts w:cs="Times New Roman"/>
        </w:rPr>
        <w:t>és</w:t>
      </w:r>
      <w:proofErr w:type="gramEnd"/>
      <w:r w:rsidRPr="001A762B">
        <w:rPr>
          <w:rFonts w:cs="Times New Roman"/>
        </w:rPr>
        <w:t xml:space="preserve"> 24.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 xml:space="preserve"> között a fő vizsgálatban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fingolimodot kapó betegek közül azoknál, akik továbbra is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-ot kaptak, az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enkénti relapszus-ráta 0,20 volt (0,19 a fő vizsgálatban). Az interferon béta-1a-ról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fingolimodra átállított betegeknél az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enkénti relapszus-ráta 0,33 volt (0,48 a fő vizsgálatban).</w:t>
      </w:r>
    </w:p>
    <w:p w14:paraId="17C95682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2087818" w14:textId="35228651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D2301 és D2302 jelzésű vizsgálatok összesített eredményei </w:t>
      </w:r>
      <w:proofErr w:type="gramStart"/>
      <w:r w:rsidRPr="001A762B">
        <w:rPr>
          <w:rFonts w:cs="Times New Roman"/>
        </w:rPr>
        <w:t>az</w:t>
      </w:r>
      <w:proofErr w:type="gramEnd"/>
      <w:r w:rsidR="00CE6D3C">
        <w:rPr>
          <w:rFonts w:cs="Times New Roman"/>
        </w:rPr>
        <w:t xml:space="preserve"> </w:t>
      </w:r>
      <w:r w:rsidR="00607A97">
        <w:rPr>
          <w:rFonts w:cs="Times New Roman"/>
        </w:rPr>
        <w:t>év</w:t>
      </w:r>
      <w:r w:rsidRPr="001A762B">
        <w:rPr>
          <w:rFonts w:cs="Times New Roman"/>
        </w:rPr>
        <w:t>enkénti relapszusráta komparátorhoz viszonyított konzisztens és statisztikailag szignifikáns csökkenését mutatták az alábbi alcsoportok esetén: nem, életkor, sclerosis multiplex korábbi kezelése, betegség kiindulási aktivitása, vagy kiindulási mozgáskorlátozottság.</w:t>
      </w:r>
    </w:p>
    <w:p w14:paraId="39F3F368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ECDA995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klinikai vizsgálati adatok további elemzése a relapszáló-remittáló sclerosis multiplexben szenvedő</w:t>
      </w:r>
      <w:r w:rsidR="007F54DD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betegek nagyon aktív alcsoportjában konzisztens terápiás hatásokat igazolt.</w:t>
      </w:r>
    </w:p>
    <w:p w14:paraId="12EF99F0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CF159BE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Gyermekek és serdülők</w:t>
      </w:r>
    </w:p>
    <w:p w14:paraId="220C816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4CDFD4D" w14:textId="544CC935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0</w:t>
      </w:r>
      <w:proofErr w:type="gramStart"/>
      <w:r w:rsidRPr="001A762B">
        <w:rPr>
          <w:rFonts w:cs="Times New Roman"/>
        </w:rPr>
        <w:t>,25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vagy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naponta egyszeri adagjainak (a test</w:t>
      </w:r>
      <w:r w:rsidR="007D46E6">
        <w:rPr>
          <w:rFonts w:cs="Times New Roman"/>
        </w:rPr>
        <w:t>tömeg</w:t>
      </w:r>
      <w:r w:rsidRPr="001A762B">
        <w:rPr>
          <w:rFonts w:cs="Times New Roman"/>
        </w:rPr>
        <w:t xml:space="preserve"> és az expozíciómérés alapján kiválasztott adag) hatásosságát és biztonságosságát 10 és &lt;</w:t>
      </w:r>
      <w:r w:rsidR="007D46E6">
        <w:rPr>
          <w:rFonts w:cs="Times New Roman"/>
        </w:rPr>
        <w:t> </w:t>
      </w:r>
      <w:r w:rsidRPr="001A762B">
        <w:rPr>
          <w:rFonts w:cs="Times New Roman"/>
        </w:rPr>
        <w:t>18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 xml:space="preserve"> közötti életkorú,</w:t>
      </w:r>
      <w:r w:rsidR="007F54DD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relapszáló-remittáló sclerosis multiplexben szenvedő, gyermekgyógyászati betegek esetében igazolták.</w:t>
      </w:r>
    </w:p>
    <w:p w14:paraId="7D7B507B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ECB72E5" w14:textId="220F29BF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D2311 (PARADIGMS) egy kettős</w:t>
      </w:r>
      <w:r w:rsidR="00607A97">
        <w:rPr>
          <w:rFonts w:cs="Times New Roman"/>
        </w:rPr>
        <w:t xml:space="preserve"> </w:t>
      </w:r>
      <w:r w:rsidRPr="001A762B">
        <w:rPr>
          <w:rFonts w:cs="Times New Roman"/>
        </w:rPr>
        <w:t>vak, dupla</w:t>
      </w:r>
      <w:r w:rsidR="00CE6D3C">
        <w:rPr>
          <w:rFonts w:cs="Times New Roman"/>
        </w:rPr>
        <w:t xml:space="preserve"> </w:t>
      </w:r>
      <w:r w:rsidRPr="001A762B">
        <w:rPr>
          <w:rFonts w:cs="Times New Roman"/>
        </w:rPr>
        <w:t>placebós (double-dummy), aktív</w:t>
      </w:r>
      <w:r w:rsidR="00607A97">
        <w:rPr>
          <w:rFonts w:cs="Times New Roman"/>
        </w:rPr>
        <w:t xml:space="preserve"> </w:t>
      </w:r>
      <w:r w:rsidRPr="001A762B">
        <w:rPr>
          <w:rFonts w:cs="Times New Roman"/>
        </w:rPr>
        <w:t>kontrollos, rugalmas időtartamú, legfeljebb 24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os vizsgálat volt, amelyben 215, 10 és &lt;</w:t>
      </w:r>
      <w:r w:rsidR="007D46E6">
        <w:rPr>
          <w:rFonts w:cs="Times New Roman"/>
        </w:rPr>
        <w:t> </w:t>
      </w:r>
      <w:r w:rsidRPr="001A762B">
        <w:rPr>
          <w:rFonts w:cs="Times New Roman"/>
        </w:rPr>
        <w:t>18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 xml:space="preserve"> közötti életkorú beteg vett részt (n=107 a fingolimodot kapott, n=108 pedig hetente egyszer 30</w:t>
      </w:r>
      <w:r w:rsidR="00607A97">
        <w:rPr>
          <w:rFonts w:cs="Times New Roman"/>
        </w:rPr>
        <w:t xml:space="preserve"> mikrogramm </w:t>
      </w:r>
      <w:r w:rsidRPr="001A762B">
        <w:rPr>
          <w:rFonts w:cs="Times New Roman"/>
        </w:rPr>
        <w:t>interferon béta-1a-t kapott intramuscularis injekcióban).</w:t>
      </w:r>
    </w:p>
    <w:p w14:paraId="5E03B0E7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4EA6758B" w14:textId="49BF500A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kiindulási jellemzők medián értékei a következők voltak: 16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, a betegség medián időtartama</w:t>
      </w:r>
      <w:r w:rsidR="007F54DD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1</w:t>
      </w:r>
      <w:proofErr w:type="gramStart"/>
      <w:r w:rsidRPr="001A762B">
        <w:rPr>
          <w:rFonts w:cs="Times New Roman"/>
        </w:rPr>
        <w:t>,5</w:t>
      </w:r>
      <w:proofErr w:type="gramEnd"/>
      <w:r w:rsidR="00607A97">
        <w:rPr>
          <w:rFonts w:cs="Times New Roman"/>
        </w:rPr>
        <w:t> év</w:t>
      </w:r>
      <w:r w:rsidRPr="001A762B">
        <w:rPr>
          <w:rFonts w:cs="Times New Roman"/>
        </w:rPr>
        <w:t>, EDSS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szám: 1,5. A betegek többségénél a Tanner-stádium 2 vagy annál magasabb volt (94</w:t>
      </w:r>
      <w:proofErr w:type="gramStart"/>
      <w:r w:rsidRPr="001A762B">
        <w:rPr>
          <w:rFonts w:cs="Times New Roman"/>
        </w:rPr>
        <w:t>,4</w:t>
      </w:r>
      <w:proofErr w:type="gramEnd"/>
      <w:r w:rsidRPr="001A762B">
        <w:rPr>
          <w:rFonts w:cs="Times New Roman"/>
        </w:rPr>
        <w:t>%), a test</w:t>
      </w:r>
      <w:r w:rsidR="007D46E6">
        <w:rPr>
          <w:rFonts w:cs="Times New Roman"/>
        </w:rPr>
        <w:t>tömeg</w:t>
      </w:r>
      <w:r w:rsidRPr="001A762B">
        <w:rPr>
          <w:rFonts w:cs="Times New Roman"/>
        </w:rPr>
        <w:t xml:space="preserve"> pedig &gt;40</w:t>
      </w:r>
      <w:r w:rsidR="007D46E6">
        <w:rPr>
          <w:rFonts w:cs="Times New Roman"/>
        </w:rPr>
        <w:t> </w:t>
      </w:r>
      <w:r w:rsidRPr="001A762B">
        <w:rPr>
          <w:rFonts w:cs="Times New Roman"/>
        </w:rPr>
        <w:t>kg (95,3%). Összefoglalva, a betegek közül 180-an (84%) fejezték be a vizsgálat alapfázisát a vizsgálati készítmény alkalmazásával (n = 99 [92</w:t>
      </w:r>
      <w:proofErr w:type="gramStart"/>
      <w:r w:rsidRPr="001A762B">
        <w:rPr>
          <w:rFonts w:cs="Times New Roman"/>
        </w:rPr>
        <w:t>,5</w:t>
      </w:r>
      <w:proofErr w:type="gramEnd"/>
      <w:r w:rsidRPr="001A762B">
        <w:rPr>
          <w:rFonts w:cs="Times New Roman"/>
        </w:rPr>
        <w:t>%] a fingolimod</w:t>
      </w:r>
      <w:r w:rsidR="007D46E6">
        <w:rPr>
          <w:rFonts w:cs="Times New Roman"/>
        </w:rPr>
        <w:t>-</w:t>
      </w:r>
      <w:r w:rsidRPr="001A762B">
        <w:rPr>
          <w:rFonts w:cs="Times New Roman"/>
        </w:rPr>
        <w:t xml:space="preserve">csoportban, 81 [75%] az interferon béta-1a csoportban). A végpontokra vonatkozó eredményeket a 4. </w:t>
      </w:r>
      <w:proofErr w:type="gramStart"/>
      <w:r w:rsidRPr="001A762B">
        <w:rPr>
          <w:rFonts w:cs="Times New Roman"/>
        </w:rPr>
        <w:t>táblázat</w:t>
      </w:r>
      <w:proofErr w:type="gramEnd"/>
      <w:r w:rsidRPr="001A762B">
        <w:rPr>
          <w:rFonts w:cs="Times New Roman"/>
        </w:rPr>
        <w:t xml:space="preserve"> mutatja be.</w:t>
      </w:r>
    </w:p>
    <w:p w14:paraId="62F8375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7705A13" w14:textId="77777777" w:rsidR="004C0305" w:rsidRPr="001A762B" w:rsidRDefault="001F30F8" w:rsidP="00225D6A">
      <w:pPr>
        <w:pStyle w:val="Cmsor1"/>
        <w:numPr>
          <w:ilvl w:val="0"/>
          <w:numId w:val="19"/>
        </w:numPr>
        <w:tabs>
          <w:tab w:val="left" w:pos="340"/>
        </w:tabs>
        <w:ind w:left="0" w:firstLine="0"/>
        <w:rPr>
          <w:rFonts w:cs="Times New Roman"/>
          <w:b w:val="0"/>
          <w:bCs w:val="0"/>
        </w:rPr>
      </w:pPr>
      <w:proofErr w:type="gramStart"/>
      <w:r w:rsidRPr="001A762B">
        <w:rPr>
          <w:rFonts w:cs="Times New Roman"/>
        </w:rPr>
        <w:t>táblázat</w:t>
      </w:r>
      <w:proofErr w:type="gramEnd"/>
      <w:r w:rsidRPr="001A762B">
        <w:rPr>
          <w:rFonts w:cs="Times New Roman"/>
        </w:rPr>
        <w:t xml:space="preserve"> D2311 jelzésű (PARADIGMS) vizsgálat: a legfontosabb eredmények</w:t>
      </w:r>
    </w:p>
    <w:p w14:paraId="5C3C77B2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1"/>
        <w:tblW w:w="9185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5071"/>
        <w:gridCol w:w="2057"/>
        <w:gridCol w:w="2057"/>
      </w:tblGrid>
      <w:tr w:rsidR="004C0305" w:rsidRPr="001A762B" w14:paraId="0978F88A" w14:textId="77777777" w:rsidTr="002133C6">
        <w:trPr>
          <w:trHeight w:hRule="exact" w:val="625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8DDFB" w14:textId="77777777" w:rsidR="004C0305" w:rsidRPr="001A762B" w:rsidRDefault="004C0305" w:rsidP="00225D6A">
            <w:pPr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FD82D" w14:textId="0B56C7F2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Fingolimod</w:t>
            </w:r>
            <w:r w:rsidR="002133C6">
              <w:rPr>
                <w:rFonts w:ascii="Times New Roman" w:hAnsi="Times New Roman" w:cs="Times New Roman"/>
                <w:b/>
              </w:rPr>
              <w:t xml:space="preserve"> </w:t>
            </w:r>
            <w:r w:rsidRPr="001A762B">
              <w:rPr>
                <w:rFonts w:ascii="Times New Roman" w:hAnsi="Times New Roman" w:cs="Times New Roman"/>
                <w:b/>
              </w:rPr>
              <w:t>0,25</w:t>
            </w:r>
            <w:r w:rsidR="007D2011">
              <w:rPr>
                <w:rFonts w:ascii="Times New Roman" w:hAnsi="Times New Roman" w:cs="Times New Roman"/>
                <w:b/>
              </w:rPr>
              <w:t> mg</w:t>
            </w:r>
            <w:r w:rsidRPr="001A762B">
              <w:rPr>
                <w:rFonts w:ascii="Times New Roman" w:hAnsi="Times New Roman" w:cs="Times New Roman"/>
                <w:b/>
              </w:rPr>
              <w:t xml:space="preserve"> vagy</w:t>
            </w:r>
            <w:r w:rsidR="002133C6">
              <w:rPr>
                <w:rFonts w:ascii="Times New Roman" w:hAnsi="Times New Roman" w:cs="Times New Roman"/>
                <w:b/>
              </w:rPr>
              <w:t xml:space="preserve"> </w:t>
            </w:r>
            <w:r w:rsidRPr="001A762B">
              <w:rPr>
                <w:rFonts w:ascii="Times New Roman" w:hAnsi="Times New Roman" w:cs="Times New Roman"/>
                <w:b/>
              </w:rPr>
              <w:t>0,5</w:t>
            </w:r>
            <w:r w:rsidR="007D2011">
              <w:rPr>
                <w:rFonts w:ascii="Times New Roman" w:hAnsi="Times New Roman" w:cs="Times New Roman"/>
                <w:b/>
              </w:rPr>
              <w:t> mg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B25E1" w14:textId="6B20CA4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Interferon béta-1a</w:t>
            </w:r>
            <w:r w:rsidR="002133C6">
              <w:rPr>
                <w:rFonts w:ascii="Times New Roman" w:hAnsi="Times New Roman" w:cs="Times New Roman"/>
                <w:b/>
              </w:rPr>
              <w:t xml:space="preserve"> </w:t>
            </w:r>
            <w:r w:rsidRPr="001A762B">
              <w:rPr>
                <w:rFonts w:ascii="Times New Roman" w:hAnsi="Times New Roman" w:cs="Times New Roman"/>
                <w:b/>
              </w:rPr>
              <w:t>30</w:t>
            </w:r>
            <w:r w:rsidR="001D526D">
              <w:rPr>
                <w:rFonts w:ascii="Times New Roman" w:hAnsi="Times New Roman" w:cs="Times New Roman"/>
                <w:b/>
              </w:rPr>
              <w:t xml:space="preserve"> mikrogramm</w:t>
            </w:r>
          </w:p>
        </w:tc>
      </w:tr>
      <w:tr w:rsidR="004C0305" w:rsidRPr="001A762B" w14:paraId="10784596" w14:textId="77777777" w:rsidTr="007F54DD">
        <w:trPr>
          <w:trHeight w:hRule="exact" w:val="342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38AC5" w14:textId="77777777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Klinikai végpontok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F69BB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 = 107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7ED52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 = 107</w:t>
            </w:r>
            <w:r w:rsidR="007F54DD" w:rsidRPr="001A762B">
              <w:rPr>
                <w:rFonts w:ascii="Times New Roman" w:hAnsi="Times New Roman" w:cs="Times New Roman"/>
                <w:vertAlign w:val="superscript"/>
              </w:rPr>
              <w:t>#</w:t>
            </w:r>
          </w:p>
        </w:tc>
      </w:tr>
      <w:tr w:rsidR="004C0305" w:rsidRPr="001A762B" w14:paraId="494025B5" w14:textId="77777777" w:rsidTr="00321538">
        <w:trPr>
          <w:trHeight w:hRule="exact" w:val="263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23EBE" w14:textId="4B6E61D4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Évenkénti relapszusráta (elsődleges végpont)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DE227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0,122**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9D7FF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0,675</w:t>
            </w:r>
          </w:p>
        </w:tc>
      </w:tr>
      <w:tr w:rsidR="004C0305" w:rsidRPr="001A762B" w14:paraId="5D151BE3" w14:textId="77777777" w:rsidTr="00321538">
        <w:trPr>
          <w:trHeight w:hRule="exact" w:val="516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362F3" w14:textId="62BE5E5D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lastRenderedPageBreak/>
              <w:t>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ban relapszus mentesen maradó betegek százalékaránya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7E815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85,7**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F455E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38,8</w:t>
            </w:r>
          </w:p>
        </w:tc>
      </w:tr>
      <w:tr w:rsidR="004C0305" w:rsidRPr="001A762B" w14:paraId="3A268E20" w14:textId="77777777" w:rsidTr="00321538">
        <w:trPr>
          <w:trHeight w:hRule="exact" w:val="264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BAD4F" w14:textId="64ABE5D1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  <w:b/>
              </w:rPr>
              <w:t>MR</w:t>
            </w:r>
            <w:r w:rsidR="007D46E6">
              <w:rPr>
                <w:rFonts w:ascii="Times New Roman" w:hAnsi="Times New Roman" w:cs="Times New Roman"/>
                <w:b/>
              </w:rPr>
              <w:t>-</w:t>
            </w:r>
            <w:r w:rsidRPr="001A762B">
              <w:rPr>
                <w:rFonts w:ascii="Times New Roman" w:hAnsi="Times New Roman" w:cs="Times New Roman"/>
                <w:b/>
              </w:rPr>
              <w:t>végpontok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45B02" w14:textId="77777777" w:rsidR="004C0305" w:rsidRPr="001A762B" w:rsidRDefault="004C0305" w:rsidP="00225D6A">
            <w:pPr>
              <w:ind w:left="175"/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4351E" w14:textId="77777777" w:rsidR="004C0305" w:rsidRPr="001A762B" w:rsidRDefault="004C0305" w:rsidP="00225D6A">
            <w:pPr>
              <w:ind w:left="175"/>
              <w:rPr>
                <w:rFonts w:ascii="Times New Roman" w:hAnsi="Times New Roman" w:cs="Times New Roman"/>
              </w:rPr>
            </w:pPr>
          </w:p>
        </w:tc>
      </w:tr>
      <w:tr w:rsidR="004C0305" w:rsidRPr="001A762B" w14:paraId="6C76368B" w14:textId="77777777" w:rsidTr="00321538">
        <w:trPr>
          <w:trHeight w:hRule="exact" w:val="515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72D60" w14:textId="5C0EDE48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új vagy újonnan növekvő T2</w:t>
            </w:r>
            <w:r w:rsidR="007D46E6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léziók számának</w:t>
            </w:r>
            <w:r w:rsidR="007D46E6">
              <w:rPr>
                <w:rFonts w:ascii="Times New Roman" w:hAnsi="Times New Roman" w:cs="Times New Roman"/>
              </w:rPr>
              <w:t xml:space="preserve"> </w:t>
            </w:r>
            <w:r w:rsidR="00607A97">
              <w:rPr>
                <w:rFonts w:ascii="Times New Roman" w:hAnsi="Times New Roman" w:cs="Times New Roman"/>
              </w:rPr>
              <w:t>év</w:t>
            </w:r>
            <w:r w:rsidRPr="001A762B">
              <w:rPr>
                <w:rFonts w:ascii="Times New Roman" w:hAnsi="Times New Roman" w:cs="Times New Roman"/>
              </w:rPr>
              <w:t>enkénti rátája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4AE38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 = 106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C5503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 = 102</w:t>
            </w:r>
          </w:p>
        </w:tc>
      </w:tr>
      <w:tr w:rsidR="004C0305" w:rsidRPr="001A762B" w14:paraId="2691B954" w14:textId="77777777" w:rsidTr="00321538">
        <w:trPr>
          <w:trHeight w:hRule="exact" w:val="264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76644" w14:textId="77777777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Korrigált átlag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AE43E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4,393**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2F870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9,269</w:t>
            </w:r>
          </w:p>
        </w:tc>
      </w:tr>
      <w:tr w:rsidR="004C0305" w:rsidRPr="001A762B" w14:paraId="11AC7203" w14:textId="77777777" w:rsidTr="00321538">
        <w:trPr>
          <w:trHeight w:hRule="exact" w:val="516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FA0C9" w14:textId="417249D8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gadolíniumot halmozó T1</w:t>
            </w:r>
            <w:r w:rsidR="007D46E6">
              <w:rPr>
                <w:rFonts w:ascii="Times New Roman" w:hAnsi="Times New Roman" w:cs="Times New Roman"/>
              </w:rPr>
              <w:t>-</w:t>
            </w:r>
            <w:r w:rsidRPr="001A762B">
              <w:rPr>
                <w:rFonts w:ascii="Times New Roman" w:hAnsi="Times New Roman" w:cs="Times New Roman"/>
              </w:rPr>
              <w:t>léziók száma vizsgálatonként 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>ig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80D9F" w14:textId="315337C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 xml:space="preserve">n = </w:t>
            </w:r>
            <w:r w:rsidR="00BC773D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F54FE" w14:textId="608F8E04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 xml:space="preserve">n = </w:t>
            </w:r>
            <w:r w:rsidR="00BC773D">
              <w:rPr>
                <w:rFonts w:ascii="Times New Roman" w:hAnsi="Times New Roman" w:cs="Times New Roman"/>
              </w:rPr>
              <w:t>101</w:t>
            </w:r>
          </w:p>
        </w:tc>
      </w:tr>
      <w:tr w:rsidR="004C0305" w:rsidRPr="001A762B" w14:paraId="51339E90" w14:textId="77777777" w:rsidTr="00321538">
        <w:trPr>
          <w:trHeight w:hRule="exact" w:val="263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E997C" w14:textId="77777777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Korrigált átlag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2ECF6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0,436**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954B6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1,282</w:t>
            </w:r>
          </w:p>
        </w:tc>
      </w:tr>
      <w:tr w:rsidR="004C0305" w:rsidRPr="001A762B" w14:paraId="3F55D9A2" w14:textId="77777777" w:rsidTr="00321538">
        <w:trPr>
          <w:trHeight w:hRule="exact" w:val="516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9611C" w14:textId="6CE6154E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Az agyi atrophia</w:t>
            </w:r>
            <w:r w:rsidR="007D46E6">
              <w:rPr>
                <w:rFonts w:ascii="Times New Roman" w:hAnsi="Times New Roman" w:cs="Times New Roman"/>
              </w:rPr>
              <w:t xml:space="preserve"> </w:t>
            </w:r>
            <w:r w:rsidR="00607A97">
              <w:rPr>
                <w:rFonts w:ascii="Times New Roman" w:hAnsi="Times New Roman" w:cs="Times New Roman"/>
              </w:rPr>
              <w:t>év</w:t>
            </w:r>
            <w:r w:rsidRPr="001A762B">
              <w:rPr>
                <w:rFonts w:ascii="Times New Roman" w:hAnsi="Times New Roman" w:cs="Times New Roman"/>
              </w:rPr>
              <w:t>enkénti rátája a vizsgálat</w:t>
            </w:r>
            <w:r w:rsidR="007D46E6">
              <w:rPr>
                <w:rFonts w:ascii="Times New Roman" w:hAnsi="Times New Roman" w:cs="Times New Roman"/>
              </w:rPr>
              <w:t xml:space="preserve"> </w:t>
            </w:r>
            <w:r w:rsidRPr="001A762B">
              <w:rPr>
                <w:rFonts w:ascii="Times New Roman" w:hAnsi="Times New Roman" w:cs="Times New Roman"/>
              </w:rPr>
              <w:t>megkezdése és legfeljebb a 24.</w:t>
            </w:r>
            <w:r w:rsidR="00607A97">
              <w:rPr>
                <w:rFonts w:ascii="Times New Roman" w:hAnsi="Times New Roman" w:cs="Times New Roman"/>
              </w:rPr>
              <w:t> hónap</w:t>
            </w:r>
            <w:r w:rsidRPr="001A762B">
              <w:rPr>
                <w:rFonts w:ascii="Times New Roman" w:hAnsi="Times New Roman" w:cs="Times New Roman"/>
              </w:rPr>
              <w:t xml:space="preserve"> között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F48C8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 = 96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82A26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n = 89</w:t>
            </w:r>
          </w:p>
        </w:tc>
      </w:tr>
      <w:tr w:rsidR="004C0305" w:rsidRPr="001A762B" w14:paraId="7EC53071" w14:textId="77777777" w:rsidTr="007F54DD">
        <w:trPr>
          <w:trHeight w:hRule="exact" w:val="278"/>
        </w:trPr>
        <w:tc>
          <w:tcPr>
            <w:tcW w:w="5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AEFEB" w14:textId="77777777" w:rsidR="004C0305" w:rsidRPr="001A762B" w:rsidRDefault="001F30F8" w:rsidP="00225D6A">
            <w:pPr>
              <w:pStyle w:val="TableParagraph"/>
              <w:ind w:left="142" w:right="108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Legkisebb négyzetes átlag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302ED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-0,48*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44843" w14:textId="77777777" w:rsidR="004C0305" w:rsidRPr="001A762B" w:rsidRDefault="001F30F8" w:rsidP="00225D6A">
            <w:pPr>
              <w:pStyle w:val="TableParagraph"/>
              <w:ind w:left="175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-0,80</w:t>
            </w:r>
          </w:p>
        </w:tc>
      </w:tr>
      <w:tr w:rsidR="004C0305" w:rsidRPr="001A762B" w14:paraId="3880A480" w14:textId="77777777" w:rsidTr="00B77382">
        <w:trPr>
          <w:trHeight w:hRule="exact" w:val="1287"/>
        </w:trPr>
        <w:tc>
          <w:tcPr>
            <w:tcW w:w="918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053C9" w14:textId="51CC452D" w:rsidR="004C0305" w:rsidRPr="001A762B" w:rsidRDefault="001F30F8" w:rsidP="00225D6A">
            <w:pPr>
              <w:pStyle w:val="TableParagraph"/>
              <w:ind w:left="142" w:hanging="567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#</w:t>
            </w:r>
            <w:r w:rsidRPr="001A762B">
              <w:rPr>
                <w:rFonts w:ascii="Times New Roman" w:hAnsi="Times New Roman" w:cs="Times New Roman"/>
              </w:rPr>
              <w:tab/>
            </w:r>
            <w:r w:rsidR="00EE175D">
              <w:rPr>
                <w:rFonts w:ascii="Times New Roman" w:eastAsia="Times New Roman" w:hAnsi="Times New Roman" w:cs="Times New Roman"/>
              </w:rPr>
              <w:t>#</w:t>
            </w:r>
            <w:r w:rsidRPr="001A762B">
              <w:rPr>
                <w:rFonts w:ascii="Times New Roman" w:hAnsi="Times New Roman" w:cs="Times New Roman"/>
              </w:rPr>
              <w:t>Egy, interferon béta-1a intramuscularis injekciós kezelésre randomizált beteg nem tudta lenyelni a kétszeresen álcázott gyógyszert, és kizárásra került a vizsgálatból. A beteget kizárták a teljes analízis és a biztonságossági halmazból.</w:t>
            </w:r>
          </w:p>
          <w:p w14:paraId="51FB4639" w14:textId="441F36E2" w:rsidR="004C0305" w:rsidRPr="001A762B" w:rsidRDefault="001F30F8" w:rsidP="00225D6A">
            <w:pPr>
              <w:pStyle w:val="TableParagraph"/>
              <w:tabs>
                <w:tab w:val="left" w:pos="669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*p&lt;</w:t>
            </w:r>
            <w:r w:rsidR="007D46E6">
              <w:rPr>
                <w:rFonts w:ascii="Times New Roman" w:hAnsi="Times New Roman" w:cs="Times New Roman"/>
              </w:rPr>
              <w:t> </w:t>
            </w:r>
            <w:r w:rsidRPr="001A762B">
              <w:rPr>
                <w:rFonts w:ascii="Times New Roman" w:hAnsi="Times New Roman" w:cs="Times New Roman"/>
              </w:rPr>
              <w:t>0</w:t>
            </w:r>
            <w:proofErr w:type="gramStart"/>
            <w:r w:rsidRPr="001A762B">
              <w:rPr>
                <w:rFonts w:ascii="Times New Roman" w:hAnsi="Times New Roman" w:cs="Times New Roman"/>
              </w:rPr>
              <w:t>,05</w:t>
            </w:r>
            <w:proofErr w:type="gramEnd"/>
            <w:r w:rsidRPr="001A762B">
              <w:rPr>
                <w:rFonts w:ascii="Times New Roman" w:hAnsi="Times New Roman" w:cs="Times New Roman"/>
              </w:rPr>
              <w:t>, **p&lt;</w:t>
            </w:r>
            <w:r w:rsidR="007D46E6">
              <w:rPr>
                <w:rFonts w:ascii="Times New Roman" w:hAnsi="Times New Roman" w:cs="Times New Roman"/>
              </w:rPr>
              <w:t> </w:t>
            </w:r>
            <w:r w:rsidRPr="001A762B">
              <w:rPr>
                <w:rFonts w:ascii="Times New Roman" w:hAnsi="Times New Roman" w:cs="Times New Roman"/>
              </w:rPr>
              <w:t>0,001, az interferon béta-1a-hoz képest.</w:t>
            </w:r>
          </w:p>
          <w:p w14:paraId="2FC1CA75" w14:textId="77777777" w:rsidR="004C0305" w:rsidRPr="001A762B" w:rsidRDefault="001F30F8" w:rsidP="00225D6A">
            <w:pPr>
              <w:pStyle w:val="TableParagraph"/>
              <w:ind w:left="142"/>
              <w:rPr>
                <w:rFonts w:ascii="Times New Roman" w:eastAsia="Times New Roman" w:hAnsi="Times New Roman" w:cs="Times New Roman"/>
              </w:rPr>
            </w:pPr>
            <w:r w:rsidRPr="001A762B">
              <w:rPr>
                <w:rFonts w:ascii="Times New Roman" w:hAnsi="Times New Roman" w:cs="Times New Roman"/>
              </w:rPr>
              <w:t>A klinikai végpontok elemzését a teljes analízis halmazzal végezték.</w:t>
            </w:r>
          </w:p>
        </w:tc>
      </w:tr>
    </w:tbl>
    <w:p w14:paraId="3A338C9B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66A5E26F" w14:textId="77777777" w:rsidR="004C0305" w:rsidRPr="001A762B" w:rsidRDefault="001F30F8" w:rsidP="00225D6A">
      <w:pPr>
        <w:numPr>
          <w:ilvl w:val="1"/>
          <w:numId w:val="2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b/>
        </w:rPr>
        <w:t>Farmakokinetikai tulajdonságok</w:t>
      </w:r>
    </w:p>
    <w:p w14:paraId="04ECAB26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066E76B9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farmakokinetikai adatok egészséges felnőtt önkéntesektől, vesetranszplantált felnőtt betegektől és sclerosis multiplexben szenvedő felnőtt betegektől származnak.</w:t>
      </w:r>
    </w:p>
    <w:p w14:paraId="56CD473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C32B333" w14:textId="77777777" w:rsidR="00D9573E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hatásosságért felelős, farmakológiailag aktív metabolit a fingolimod-foszfát.</w:t>
      </w:r>
    </w:p>
    <w:p w14:paraId="60115C4E" w14:textId="77777777" w:rsidR="00D9573E" w:rsidRPr="001A762B" w:rsidRDefault="00D9573E" w:rsidP="00225D6A">
      <w:pPr>
        <w:pStyle w:val="Szvegtrzs"/>
        <w:ind w:left="0"/>
        <w:rPr>
          <w:rFonts w:cs="Times New Roman"/>
        </w:rPr>
      </w:pPr>
    </w:p>
    <w:p w14:paraId="150EFFB2" w14:textId="77777777" w:rsidR="004C0305" w:rsidRPr="001A762B" w:rsidRDefault="001F30F8" w:rsidP="00225D6A">
      <w:pPr>
        <w:pStyle w:val="Szvegtrzs"/>
        <w:ind w:left="0"/>
        <w:rPr>
          <w:rFonts w:cs="Times New Roman"/>
          <w:u w:val="single" w:color="000000"/>
        </w:rPr>
      </w:pPr>
      <w:r w:rsidRPr="001A762B">
        <w:rPr>
          <w:rFonts w:cs="Times New Roman"/>
          <w:u w:val="single" w:color="000000"/>
        </w:rPr>
        <w:t>Felszívódás</w:t>
      </w:r>
    </w:p>
    <w:p w14:paraId="7B73FD98" w14:textId="77777777" w:rsidR="00D9573E" w:rsidRPr="001A762B" w:rsidRDefault="00D9573E" w:rsidP="00225D6A">
      <w:pPr>
        <w:pStyle w:val="Szvegtrzs"/>
        <w:ind w:left="0"/>
        <w:rPr>
          <w:rFonts w:cs="Times New Roman"/>
        </w:rPr>
      </w:pPr>
    </w:p>
    <w:p w14:paraId="2BD49752" w14:textId="3C25CB0D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felszívódása lassú (12-16 órás t</w:t>
      </w:r>
      <w:r w:rsidRPr="001A762B">
        <w:rPr>
          <w:rFonts w:cs="Times New Roman"/>
          <w:position w:val="-1"/>
          <w:vertAlign w:val="subscript"/>
        </w:rPr>
        <w:t>max</w:t>
      </w:r>
      <w:r w:rsidRPr="001A762B">
        <w:rPr>
          <w:rFonts w:cs="Times New Roman"/>
        </w:rPr>
        <w:t>) és extenzív (≥</w:t>
      </w:r>
      <w:r w:rsidR="003C4BDF">
        <w:rPr>
          <w:rFonts w:cs="Times New Roman"/>
        </w:rPr>
        <w:t> </w:t>
      </w:r>
      <w:r w:rsidRPr="001A762B">
        <w:rPr>
          <w:rFonts w:cs="Times New Roman"/>
        </w:rPr>
        <w:t>85%). A látszólagos abszolút orális biohasznosulás 93% (95%-os konfidenciaintervallum: 79-111%). A dinamikus egyensúlyi állapotú vérkoncentráció napi egyszeri adagolást követően 1-2</w:t>
      </w:r>
      <w:r w:rsidR="00607A97">
        <w:rPr>
          <w:rFonts w:cs="Times New Roman"/>
        </w:rPr>
        <w:t> hónap</w:t>
      </w:r>
      <w:r w:rsidRPr="001A762B">
        <w:rPr>
          <w:rFonts w:cs="Times New Roman"/>
        </w:rPr>
        <w:t>on belül alakul ki, és a dinamikus egyensúlyi állapotú szint megközelítőleg 10-szer magasabb, mint a kezdő dózis esetén mért.</w:t>
      </w:r>
    </w:p>
    <w:p w14:paraId="15BDFC3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4823C4D" w14:textId="50C7CCE3" w:rsidR="00032F72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táplálkozás nem változtatja </w:t>
      </w:r>
      <w:proofErr w:type="gramStart"/>
      <w:r w:rsidRPr="001A762B">
        <w:rPr>
          <w:rFonts w:cs="Times New Roman"/>
        </w:rPr>
        <w:t>meg</w:t>
      </w:r>
      <w:proofErr w:type="gramEnd"/>
      <w:r w:rsidRPr="001A762B">
        <w:rPr>
          <w:rFonts w:cs="Times New Roman"/>
        </w:rPr>
        <w:t xml:space="preserve"> a fingolimod C</w:t>
      </w:r>
      <w:r w:rsidRPr="001A762B">
        <w:rPr>
          <w:rFonts w:cs="Times New Roman"/>
          <w:position w:val="-1"/>
          <w:vertAlign w:val="subscript"/>
        </w:rPr>
        <w:t>max</w:t>
      </w:r>
      <w:r w:rsidRPr="001A762B">
        <w:rPr>
          <w:rFonts w:cs="Times New Roman"/>
        </w:rPr>
        <w:t>-át vagy expozícióját (AUC). A</w:t>
      </w:r>
      <w:r w:rsidR="00032F72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fingolimod-foszfát C</w:t>
      </w:r>
      <w:r w:rsidRPr="001A762B">
        <w:rPr>
          <w:rFonts w:cs="Times New Roman"/>
          <w:position w:val="-1"/>
          <w:vertAlign w:val="subscript"/>
        </w:rPr>
        <w:t>max</w:t>
      </w:r>
      <w:r w:rsidRPr="001A762B">
        <w:rPr>
          <w:rFonts w:cs="Times New Roman"/>
        </w:rPr>
        <w:t xml:space="preserve">-a enyhén, 34%-kal csökkent, de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AUC változatlan volt. Ezért a </w:t>
      </w:r>
      <w:r w:rsidR="0007388D">
        <w:rPr>
          <w:rFonts w:cs="Times New Roman"/>
        </w:rPr>
        <w:t>f</w:t>
      </w:r>
      <w:r w:rsidR="00430A9D">
        <w:rPr>
          <w:rFonts w:cs="Times New Roman"/>
        </w:rPr>
        <w:t>ingolimod</w:t>
      </w:r>
      <w:r w:rsidR="00032F72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étkezéstől függetlenül is szedhető (lásd 4.2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035019C9" w14:textId="77777777" w:rsidR="00032F72" w:rsidRPr="001A762B" w:rsidRDefault="00032F72" w:rsidP="00225D6A">
      <w:pPr>
        <w:pStyle w:val="Szvegtrzs"/>
        <w:ind w:left="0"/>
        <w:rPr>
          <w:rFonts w:cs="Times New Roman"/>
        </w:rPr>
      </w:pPr>
    </w:p>
    <w:p w14:paraId="32F9F642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Eloszlás</w:t>
      </w:r>
    </w:p>
    <w:p w14:paraId="57B6633B" w14:textId="77777777" w:rsidR="00607A97" w:rsidRDefault="00607A97" w:rsidP="00225D6A">
      <w:pPr>
        <w:pStyle w:val="Szvegtrzs"/>
        <w:ind w:left="0"/>
        <w:rPr>
          <w:rFonts w:cs="Times New Roman"/>
        </w:rPr>
      </w:pPr>
    </w:p>
    <w:p w14:paraId="3A690B56" w14:textId="10EB7FE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eloszlása a vörösvértestekben magas, a vérsejt-frakcióban ez 86%. A fingolimod-foszfát vérsejtekbe történő felvétele alacsonyabb ez &lt;17%. A fingolimod és a fingolimod-foszfát nagymértékben (&gt;99%) kötődik a fehérjékhez.</w:t>
      </w:r>
    </w:p>
    <w:p w14:paraId="6AE4A60D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60C32952" w14:textId="7DD244DD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nagymértékben megoszlik a test szöveteiben, megoszlási térfogata mintegy 1200</w:t>
      </w:r>
      <w:r w:rsidR="00A454A8" w:rsidRPr="001A762B">
        <w:rPr>
          <w:rFonts w:cs="Times New Roman"/>
        </w:rPr>
        <w:t>±</w:t>
      </w:r>
      <w:r w:rsidRPr="001A762B">
        <w:rPr>
          <w:rFonts w:cs="Times New Roman"/>
        </w:rPr>
        <w:t>260</w:t>
      </w:r>
      <w:r w:rsidR="002133C6">
        <w:rPr>
          <w:rFonts w:cs="Times New Roman"/>
        </w:rPr>
        <w:t> </w:t>
      </w:r>
      <w:r w:rsidRPr="001A762B">
        <w:rPr>
          <w:rFonts w:cs="Times New Roman"/>
        </w:rPr>
        <w:t xml:space="preserve">liter. Egy vizsgálat, melynek során négy egészséges önkéntes egyszeri intravénás, jódizotóppal jelzett fingolimod analógot kapott, </w:t>
      </w:r>
      <w:proofErr w:type="gramStart"/>
      <w:r w:rsidRPr="001A762B">
        <w:rPr>
          <w:rFonts w:cs="Times New Roman"/>
        </w:rPr>
        <w:t>azt</w:t>
      </w:r>
      <w:proofErr w:type="gramEnd"/>
      <w:r w:rsidRPr="001A762B">
        <w:rPr>
          <w:rFonts w:cs="Times New Roman"/>
        </w:rPr>
        <w:t xml:space="preserve"> mutatta, hogy a fingolimod bejut az agyba.</w:t>
      </w:r>
    </w:p>
    <w:p w14:paraId="3A151E82" w14:textId="6E09FEF3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Tizenhárom, sclerosis multiplexben szenvedő,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/nap </w:t>
      </w:r>
      <w:r w:rsidR="0007388D">
        <w:rPr>
          <w:rFonts w:cs="Times New Roman"/>
        </w:rPr>
        <w:t>f</w:t>
      </w:r>
      <w:r w:rsidR="00430A9D">
        <w:rPr>
          <w:rFonts w:cs="Times New Roman"/>
        </w:rPr>
        <w:t>ingolimod</w:t>
      </w:r>
      <w:r w:rsidR="0007388D">
        <w:rPr>
          <w:rFonts w:cs="Times New Roman"/>
        </w:rPr>
        <w:t>o</w:t>
      </w:r>
      <w:r w:rsidRPr="001A762B">
        <w:rPr>
          <w:rFonts w:cs="Times New Roman"/>
        </w:rPr>
        <w:t>t kapó férfi beteggel végzett vizsgálatban a fingolimod (fingolimod-foszfát) átlagos mennyisége dinamikus egyensúlyi állapotban a szájon át beadott (0,5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) adagnál kb. 10</w:t>
      </w:r>
      <w:r w:rsidR="000B1359">
        <w:rPr>
          <w:rFonts w:cs="Times New Roman"/>
        </w:rPr>
        <w:t> </w:t>
      </w:r>
      <w:r w:rsidRPr="001A762B">
        <w:rPr>
          <w:rFonts w:cs="Times New Roman"/>
        </w:rPr>
        <w:t xml:space="preserve">000-szer alacsonyabb volt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ejakulátumban.</w:t>
      </w:r>
    </w:p>
    <w:p w14:paraId="57403465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526F85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Biotranszformáció</w:t>
      </w:r>
    </w:p>
    <w:p w14:paraId="5312A9F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E0EC8E4" w14:textId="0CA5F687" w:rsidR="004C0305" w:rsidRPr="001A762B" w:rsidRDefault="00607A97" w:rsidP="00225D6A">
      <w:pPr>
        <w:pStyle w:val="Szvegtrzs"/>
        <w:ind w:left="0"/>
        <w:rPr>
          <w:rFonts w:cs="Times New Roman"/>
        </w:rPr>
      </w:pPr>
      <w:r>
        <w:rPr>
          <w:rFonts w:cs="Times New Roman"/>
        </w:rPr>
        <w:t>Emberben</w:t>
      </w:r>
      <w:r w:rsidR="00F006BC" w:rsidRPr="001A762B">
        <w:rPr>
          <w:rFonts w:cs="Times New Roman"/>
        </w:rPr>
        <w:t xml:space="preserve"> </w:t>
      </w:r>
      <w:r w:rsidR="001F30F8" w:rsidRPr="001A762B">
        <w:rPr>
          <w:rFonts w:cs="Times New Roman"/>
        </w:rPr>
        <w:t xml:space="preserve">a fingolimod a fingolimod-foszfát farmakológiailag aktív (S)-enantiomerjévé reverzíbilis sztereoszelektív foszforiláció útján alakul át. A fingolimod eliminációja elsősorban a CYP 4F2 és esetleg más izoenzimek által katalizált oxidatív biotranszformáció, és </w:t>
      </w:r>
      <w:proofErr w:type="gramStart"/>
      <w:r w:rsidR="001F30F8" w:rsidRPr="001A762B">
        <w:rPr>
          <w:rFonts w:cs="Times New Roman"/>
        </w:rPr>
        <w:t>az</w:t>
      </w:r>
      <w:proofErr w:type="gramEnd"/>
      <w:r w:rsidR="001F30F8" w:rsidRPr="001A762B">
        <w:rPr>
          <w:rFonts w:cs="Times New Roman"/>
        </w:rPr>
        <w:t xml:space="preserve"> azt követő, inaktív metabolittá történő, zsírsavhoz hasonló lebomlás. Megfigyelték, hogy a fingolimod farmakológiailag inaktív, nem poláros ceramid-analógjainak képződése útján megy végbe. A fingolimod </w:t>
      </w:r>
      <w:r w:rsidR="001F30F8" w:rsidRPr="001A762B">
        <w:rPr>
          <w:rFonts w:cs="Times New Roman"/>
        </w:rPr>
        <w:lastRenderedPageBreak/>
        <w:t xml:space="preserve">metabolizmusában résztvevő legfontosabb enzimet részben azonosították, és </w:t>
      </w:r>
      <w:proofErr w:type="gramStart"/>
      <w:r w:rsidR="001F30F8" w:rsidRPr="001A762B">
        <w:rPr>
          <w:rFonts w:cs="Times New Roman"/>
        </w:rPr>
        <w:t>az</w:t>
      </w:r>
      <w:proofErr w:type="gramEnd"/>
      <w:r w:rsidR="001F30F8" w:rsidRPr="001A762B">
        <w:rPr>
          <w:rFonts w:cs="Times New Roman"/>
        </w:rPr>
        <w:t xml:space="preserve"> vagy a CYP4F2 vagy a CYP3A4 lehet.</w:t>
      </w:r>
    </w:p>
    <w:p w14:paraId="683D7EB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A33DD13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[</w:t>
      </w:r>
      <w:r w:rsidR="00327AAE" w:rsidRPr="001A762B">
        <w:rPr>
          <w:rFonts w:cs="Times New Roman"/>
          <w:vertAlign w:val="superscript"/>
        </w:rPr>
        <w:t>14</w:t>
      </w:r>
      <w:r w:rsidRPr="001A762B">
        <w:rPr>
          <w:rFonts w:cs="Times New Roman"/>
        </w:rPr>
        <w:t>C] fingolimod egyszeri, per os adását követően az összes, izotóppal jelölt összetevőnek az adagolást követően legfeljebb 34 nappal később, a vérben lévő, fő, a fingolimoddal összefüggésbe hozható komponensei, az AUC-ben való részvételük alapján következtetve: maga a fingolimod (23%), a fingolimod-foszfát (10%) és az inaktív metabolitok (M3 karboxilátsav metabolit (8%), M29 ceramid metabolit (9%) és M30 ceramid metabolit (7%)).</w:t>
      </w:r>
    </w:p>
    <w:p w14:paraId="52B4CF2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D7C26A4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Elimináció</w:t>
      </w:r>
    </w:p>
    <w:p w14:paraId="1EE35E1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39E2DD1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vérből történő clearance-e 6</w:t>
      </w:r>
      <w:proofErr w:type="gramStart"/>
      <w:r w:rsidRPr="001A762B">
        <w:rPr>
          <w:rFonts w:cs="Times New Roman"/>
        </w:rPr>
        <w:t>,3</w:t>
      </w:r>
      <w:proofErr w:type="gramEnd"/>
      <w:r w:rsidR="00A454A8" w:rsidRPr="001A762B">
        <w:rPr>
          <w:rFonts w:cs="Times New Roman"/>
        </w:rPr>
        <w:t>±</w:t>
      </w:r>
      <w:r w:rsidRPr="001A762B">
        <w:rPr>
          <w:rFonts w:cs="Times New Roman"/>
        </w:rPr>
        <w:t>2,3 l/h, és az átlagos látszólagos terminális felezési ideje (t</w:t>
      </w:r>
      <w:r w:rsidRPr="001A762B">
        <w:rPr>
          <w:rFonts w:cs="Times New Roman"/>
          <w:position w:val="-1"/>
          <w:vertAlign w:val="subscript"/>
        </w:rPr>
        <w:t>1/2</w:t>
      </w:r>
      <w:r w:rsidRPr="001A762B">
        <w:rPr>
          <w:rFonts w:cs="Times New Roman"/>
        </w:rPr>
        <w:t>) 6-9 nap. A fingolimod és a fingolimod-foszfát vérszintje a terminális fázisban párhuzamosan csökken, ami mindkettő esetén hasonló felezési időhöz vezet.</w:t>
      </w:r>
    </w:p>
    <w:p w14:paraId="36507601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7CBDE5A" w14:textId="5322D254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Szájon át történő adását követően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adag kb. 81%-a</w:t>
      </w:r>
      <w:r w:rsidR="003C1E98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lassan, inaktív metabolitok formájában választódik ki a vizeletbe. A fingolimod és a fingolimod-foszfát nem választódik ki változatlan formában a vizelettel, de ezek a fő komponensek a székletben, melyek mennyisége mindkét esetben kevesebb mint 2,5%. Harmincnégy nap után a visszanyerhető mennyiség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alkalmazott dózis 89%-a.</w:t>
      </w:r>
    </w:p>
    <w:p w14:paraId="731E024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14B3B7B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Linearitás</w:t>
      </w:r>
    </w:p>
    <w:p w14:paraId="1E35D31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1F031C3" w14:textId="29687A99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fingolimod- és a fingolimod-foszfát-koncentráció napi egyszeri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és 1,25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dózisok többszöri adása után látszólag a dózissal arányos módon növekszik.</w:t>
      </w:r>
    </w:p>
    <w:p w14:paraId="46B1CAD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DBFCBD6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Jellemzői speciális betegcsoportokban</w:t>
      </w:r>
    </w:p>
    <w:p w14:paraId="31FBA4E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D5A5A91" w14:textId="77777777" w:rsidR="00BC773D" w:rsidRDefault="00BC773D" w:rsidP="00225D6A">
      <w:pPr>
        <w:pStyle w:val="Szvegtrzs"/>
        <w:ind w:left="0"/>
        <w:rPr>
          <w:i/>
          <w:iCs/>
        </w:rPr>
      </w:pPr>
      <w:r>
        <w:rPr>
          <w:i/>
          <w:iCs/>
        </w:rPr>
        <w:t xml:space="preserve">Nemi/etnikai hovatartozás és vesekárosodás </w:t>
      </w:r>
    </w:p>
    <w:p w14:paraId="1DF171A2" w14:textId="3C9A7A80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és a fingolimod-foszfát farmakokinetikai tulajdonságai nem térnek el egymástól férfiaknál és nőknél, különböző etnikai eredetű betegeknél, vagy enyhén </w:t>
      </w:r>
      <w:r w:rsidR="00C475C5">
        <w:rPr>
          <w:rFonts w:cs="Times New Roman"/>
        </w:rPr>
        <w:t>–</w:t>
      </w:r>
      <w:r w:rsidRPr="001A762B">
        <w:rPr>
          <w:rFonts w:cs="Times New Roman"/>
        </w:rPr>
        <w:t xml:space="preserve"> súlyos</w:t>
      </w:r>
      <w:r w:rsidR="00C475C5">
        <w:rPr>
          <w:rFonts w:cs="Times New Roman"/>
        </w:rPr>
        <w:t xml:space="preserve"> </w:t>
      </w:r>
      <w:r w:rsidRPr="001A762B">
        <w:rPr>
          <w:rFonts w:cs="Times New Roman"/>
        </w:rPr>
        <w:t>vese</w:t>
      </w:r>
      <w:r w:rsidR="00C475C5">
        <w:rPr>
          <w:rFonts w:cs="Times New Roman"/>
        </w:rPr>
        <w:t xml:space="preserve">károsodásban szenvedő </w:t>
      </w:r>
      <w:r w:rsidRPr="001A762B">
        <w:rPr>
          <w:rFonts w:cs="Times New Roman"/>
        </w:rPr>
        <w:t>betegeknél.</w:t>
      </w:r>
    </w:p>
    <w:p w14:paraId="52A10D2C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5C43519" w14:textId="77777777" w:rsidR="00BC773D" w:rsidRDefault="00BC773D" w:rsidP="00225D6A">
      <w:pPr>
        <w:pStyle w:val="Szvegtrzs"/>
        <w:ind w:left="0"/>
        <w:rPr>
          <w:i/>
          <w:iCs/>
        </w:rPr>
      </w:pPr>
      <w:r>
        <w:rPr>
          <w:i/>
          <w:iCs/>
        </w:rPr>
        <w:t xml:space="preserve">Májkárosodás </w:t>
      </w:r>
    </w:p>
    <w:p w14:paraId="0C8F16D9" w14:textId="6BB12423" w:rsidR="00607A97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Az enyhe, közepesen súlyos vagy súlyos mértékben </w:t>
      </w:r>
      <w:r w:rsidR="00607A97">
        <w:rPr>
          <w:rFonts w:cs="Times New Roman"/>
        </w:rPr>
        <w:t>károsodott</w:t>
      </w:r>
      <w:r w:rsidR="00607A9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májműködésű betegeknél (Child</w:t>
      </w:r>
      <w:r w:rsidR="00E4208A">
        <w:rPr>
          <w:rFonts w:cs="Times New Roman"/>
        </w:rPr>
        <w:t>–</w:t>
      </w:r>
      <w:r w:rsidRPr="001A762B">
        <w:rPr>
          <w:rFonts w:cs="Times New Roman"/>
        </w:rPr>
        <w:t xml:space="preserve">Pugh A, B és C stádium) nem észlelték a fingolimod </w:t>
      </w:r>
      <w:r w:rsidR="00607A97" w:rsidRPr="001A762B">
        <w:rPr>
          <w:rFonts w:cs="Times New Roman"/>
        </w:rPr>
        <w:t>C</w:t>
      </w:r>
      <w:r w:rsidR="00607A97" w:rsidRPr="001A762B">
        <w:rPr>
          <w:rFonts w:cs="Times New Roman"/>
          <w:position w:val="-1"/>
          <w:vertAlign w:val="subscript"/>
        </w:rPr>
        <w:t>max</w:t>
      </w:r>
      <w:r w:rsidR="00607A9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változását, de a fingolimod AUC-je sorrendben 12%-kal, 44%-kal és 103%-kal emelkedett. A súlyosan </w:t>
      </w:r>
      <w:r w:rsidR="00607A97">
        <w:rPr>
          <w:rFonts w:cs="Times New Roman"/>
        </w:rPr>
        <w:t>károsodott</w:t>
      </w:r>
      <w:r w:rsidR="00607A9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májműködésű betegeknél</w:t>
      </w:r>
      <w:r w:rsidR="005C7E1D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(Child</w:t>
      </w:r>
      <w:r w:rsidR="00E4208A">
        <w:rPr>
          <w:rFonts w:cs="Times New Roman"/>
        </w:rPr>
        <w:t>–</w:t>
      </w:r>
      <w:r w:rsidRPr="001A762B">
        <w:rPr>
          <w:rFonts w:cs="Times New Roman"/>
        </w:rPr>
        <w:t>Pugh C stádium) a fingolimod-foszfát C</w:t>
      </w:r>
      <w:r w:rsidRPr="001A762B">
        <w:rPr>
          <w:rFonts w:cs="Times New Roman"/>
          <w:position w:val="-1"/>
          <w:vertAlign w:val="subscript"/>
        </w:rPr>
        <w:t>max</w:t>
      </w:r>
      <w:r w:rsidRPr="001A762B">
        <w:rPr>
          <w:rFonts w:cs="Times New Roman"/>
        </w:rPr>
        <w:t xml:space="preserve">-a 22%-kal csökkent, és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AUC nem változott lényegesen. A fingolimod-foszfát farmakokinetikáját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enyhe vagy közepesen súlyos mértékben beszűkült májműködésű betegeknél nem vizsgálták. </w:t>
      </w:r>
    </w:p>
    <w:p w14:paraId="191ED560" w14:textId="77777777" w:rsidR="00607A97" w:rsidRDefault="00607A97" w:rsidP="00225D6A">
      <w:pPr>
        <w:pStyle w:val="Szvegtrzs"/>
        <w:ind w:left="0"/>
        <w:rPr>
          <w:rFonts w:cs="Times New Roman"/>
        </w:rPr>
      </w:pPr>
    </w:p>
    <w:p w14:paraId="0783291B" w14:textId="3D1A76D4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látszólagos eliminációs felezési ideje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enyhén </w:t>
      </w:r>
      <w:r w:rsidR="00607A97">
        <w:rPr>
          <w:rFonts w:cs="Times New Roman"/>
        </w:rPr>
        <w:t>károsodott</w:t>
      </w:r>
      <w:r w:rsidR="00607A9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 xml:space="preserve">májműködésű betegeknél változatlan, de a közepesen súlyos vagy súlyos mértékben </w:t>
      </w:r>
      <w:r w:rsidR="00607A97">
        <w:rPr>
          <w:rFonts w:cs="Times New Roman"/>
        </w:rPr>
        <w:t>károsodott</w:t>
      </w:r>
      <w:r w:rsidR="00607A9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májműködésű betegeknél kb. 50%-kal megnyúlt.</w:t>
      </w:r>
    </w:p>
    <w:p w14:paraId="4DCC954C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3C88700F" w14:textId="4C1E601B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a súlyosan </w:t>
      </w:r>
      <w:r w:rsidR="00607A97">
        <w:rPr>
          <w:rFonts w:cs="Times New Roman"/>
        </w:rPr>
        <w:t>károsodott</w:t>
      </w:r>
      <w:r w:rsidRPr="001A762B">
        <w:rPr>
          <w:rFonts w:cs="Times New Roman"/>
        </w:rPr>
        <w:t xml:space="preserve"> májműködésű betegeknél (Child</w:t>
      </w:r>
      <w:r w:rsidR="004A2A80">
        <w:rPr>
          <w:rFonts w:cs="Times New Roman"/>
        </w:rPr>
        <w:t>–</w:t>
      </w:r>
      <w:r w:rsidRPr="001A762B">
        <w:rPr>
          <w:rFonts w:cs="Times New Roman"/>
        </w:rPr>
        <w:t>Pugh C stádium) nem alkalmazható (lásd 4.3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 xml:space="preserve">). A fingolimod adását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enyhén vagy közepesen súlyosan </w:t>
      </w:r>
      <w:r w:rsidR="00607A97">
        <w:rPr>
          <w:rFonts w:cs="Times New Roman"/>
        </w:rPr>
        <w:t>károsodott</w:t>
      </w:r>
      <w:r w:rsidR="00607A97" w:rsidRPr="001A762B">
        <w:rPr>
          <w:rFonts w:cs="Times New Roman"/>
        </w:rPr>
        <w:t xml:space="preserve"> </w:t>
      </w:r>
      <w:r w:rsidRPr="001A762B">
        <w:rPr>
          <w:rFonts w:cs="Times New Roman"/>
        </w:rPr>
        <w:t>májműködésű betegeknél óvatosan kell elkezdeni (lásd 4.2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593FB50E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59E565F" w14:textId="77777777" w:rsidR="00BC773D" w:rsidRDefault="00BC773D" w:rsidP="00225D6A">
      <w:pPr>
        <w:pStyle w:val="Szvegtrzs"/>
        <w:ind w:left="0"/>
        <w:rPr>
          <w:i/>
          <w:iCs/>
        </w:rPr>
      </w:pPr>
      <w:r>
        <w:rPr>
          <w:i/>
          <w:iCs/>
        </w:rPr>
        <w:t xml:space="preserve">Idősek </w:t>
      </w:r>
    </w:p>
    <w:p w14:paraId="7C11D078" w14:textId="5F601F51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65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 xml:space="preserve">nél idősebb betegekkel szerzett klinikai tapasztalat és farmakokinetikai információ korlátozott. A </w:t>
      </w:r>
      <w:r w:rsidR="0007388D">
        <w:rPr>
          <w:rFonts w:cs="Times New Roman"/>
        </w:rPr>
        <w:t>f</w:t>
      </w:r>
      <w:r w:rsidR="00430A9D">
        <w:rPr>
          <w:rFonts w:cs="Times New Roman"/>
        </w:rPr>
        <w:t>ingolimod</w:t>
      </w:r>
      <w:r w:rsidR="0007388D">
        <w:rPr>
          <w:rFonts w:cs="Times New Roman"/>
        </w:rPr>
        <w:t>o</w:t>
      </w:r>
      <w:r w:rsidRPr="001A762B">
        <w:rPr>
          <w:rFonts w:cs="Times New Roman"/>
        </w:rPr>
        <w:t>t a 65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és idősebb betegeknél óvatosan kell alkalmazni (lásd 4.2</w:t>
      </w:r>
      <w:r w:rsidR="00B377B0">
        <w:rPr>
          <w:rFonts w:cs="Times New Roman"/>
        </w:rPr>
        <w:t> pont</w:t>
      </w:r>
      <w:r w:rsidRPr="001A762B">
        <w:rPr>
          <w:rFonts w:cs="Times New Roman"/>
        </w:rPr>
        <w:t>).</w:t>
      </w:r>
    </w:p>
    <w:p w14:paraId="52778B7F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F2F635F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Gyermekek és serdülők</w:t>
      </w:r>
    </w:p>
    <w:p w14:paraId="6804245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01F37FAB" w14:textId="35957929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Gyermek</w:t>
      </w:r>
      <w:r w:rsidR="00722BA5">
        <w:rPr>
          <w:rFonts w:cs="Times New Roman"/>
        </w:rPr>
        <w:t>ek és serdülőknél</w:t>
      </w:r>
      <w:r w:rsidRPr="001A762B">
        <w:rPr>
          <w:rFonts w:cs="Times New Roman"/>
        </w:rPr>
        <w:t xml:space="preserve"> (10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vagy annál idősebb</w:t>
      </w:r>
      <w:r w:rsidR="006B3F17">
        <w:rPr>
          <w:rFonts w:cs="Times New Roman"/>
        </w:rPr>
        <w:t xml:space="preserve"> betegeknél</w:t>
      </w:r>
      <w:r w:rsidRPr="001A762B">
        <w:rPr>
          <w:rFonts w:cs="Times New Roman"/>
        </w:rPr>
        <w:t>) a fingolimod-foszfát koncentrációk nyilvánvalóan az adaggal arányosan növekednek a 0</w:t>
      </w:r>
      <w:proofErr w:type="gramStart"/>
      <w:r w:rsidRPr="001A762B">
        <w:rPr>
          <w:rFonts w:cs="Times New Roman"/>
        </w:rPr>
        <w:t>,25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és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adag között.</w:t>
      </w:r>
    </w:p>
    <w:p w14:paraId="757576F8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661FC9C" w14:textId="40B532DC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fingolimod-foszfát dinamikus egyensúlyi koncentrációja napi 0,25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vagy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 alkalmazása után körülbelül 25%-kal alacsonyabb gyermekgyógyászati (10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vagy annál idősebb) betegeknél, a naponta egyszer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 fingolimoddal kezelt felnőtteknél mérhető koncentrációhoz képest.</w:t>
      </w:r>
    </w:p>
    <w:p w14:paraId="6824C875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62B1DE6" w14:textId="2787F61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10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kor alatti gyermekgyógyászati betegekre vonatkozóan nem állnak rendelkezésre adatok.</w:t>
      </w:r>
    </w:p>
    <w:p w14:paraId="1F26E1E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31B4996F" w14:textId="77777777" w:rsidR="004C0305" w:rsidRPr="001A762B" w:rsidRDefault="001F30F8" w:rsidP="00225D6A">
      <w:pPr>
        <w:pStyle w:val="Cmsor1"/>
        <w:numPr>
          <w:ilvl w:val="1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A preklinikai biztonságossági vizsgálatok eredményei</w:t>
      </w:r>
    </w:p>
    <w:p w14:paraId="786EF43D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539CBBD9" w14:textId="714F33F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preklinikai biztonságossági profilját egereken, patkányokon, kutyákon és majmokon értékelték. Egy 2-éves vizsgálatban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napi dózis melletti humán szisztémás expozíció (AUC) megközelítőleg 4-szeres értékét képviselő 0,15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/kg-os és magasabb dózisok mellett a fő célszervek több fajnál is a nyirokrendszer (lymphopenia és lymphoid atrophia), a tüdők (szervtömeg-növekedés, sima izom hypertrophia a bronchio-alveolaris junctioban), valamint a szív (negatív chronotrop hatás, vérnyomás-emelkedés, perivascularis elváltozások és myocardium degeneratio); és csak patkányoknál az erek (angiopathia) voltak.</w:t>
      </w:r>
    </w:p>
    <w:p w14:paraId="3EDF5F0E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A4E7328" w14:textId="04D776A5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Egy patkányok</w:t>
      </w:r>
      <w:r w:rsidR="003C1E98">
        <w:rPr>
          <w:rFonts w:cs="Times New Roman"/>
        </w:rPr>
        <w:t>kal</w:t>
      </w:r>
      <w:r w:rsidRPr="001A762B">
        <w:rPr>
          <w:rFonts w:cs="Times New Roman"/>
        </w:rPr>
        <w:t xml:space="preserve"> végzett 2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es bioassay vizsgálatban a fingolimod 2,5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/kg-os maximális tolerált dózisáig nem észleltek karcinogenitásra utaló bizonyítékot, ami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dózis mellett észlelt humán szisztémás expozíciónál (AUC) mintegy 50-szer magasabb határértéket képvisel. Ugyanakkor egy egerekkel végzett, 2</w:t>
      </w:r>
      <w:r w:rsidR="00607A97">
        <w:rPr>
          <w:rFonts w:cs="Times New Roman"/>
        </w:rPr>
        <w:t> év</w:t>
      </w:r>
      <w:r w:rsidRPr="001A762B">
        <w:rPr>
          <w:rFonts w:cs="Times New Roman"/>
        </w:rPr>
        <w:t>ig tartó vizsgálatban 0,25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/kg-os és magasabb dózisok mellett a malignus lymphoma előfordulási gyakoriságának növekedését észlelték, ami a 0,5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-os napi dózis mellett észlelt humán szisztémás expozíciónál (AUC) mintegy 6szor magasabb határértéket képvisel.</w:t>
      </w:r>
    </w:p>
    <w:p w14:paraId="4EA47B8E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1724CF01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állatkísérletekben nem volt sem mutagén, sem klasztogén.</w:t>
      </w:r>
    </w:p>
    <w:p w14:paraId="7A2619B9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2B5CF89" w14:textId="675478E1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Hím és nőstény patkányoknál a legmagasabb vizsgált adagokig (10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/kg) a fingolimodnak nem volt hatása a spermiumszámra/motilitásra</w:t>
      </w:r>
      <w:r w:rsidR="00810CD7">
        <w:rPr>
          <w:rFonts w:cs="Times New Roman"/>
        </w:rPr>
        <w:t xml:space="preserve"> és a termékenységre</w:t>
      </w:r>
      <w:r w:rsidRPr="001A762B">
        <w:rPr>
          <w:rFonts w:cs="Times New Roman"/>
        </w:rPr>
        <w:t>, ami a 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-os napi dózis mellett észlelt humán szisztémás expozíciónál (AUC) mintegy 150-szer magasabb határértéket képvisel.</w:t>
      </w:r>
    </w:p>
    <w:p w14:paraId="33E78207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0E81322" w14:textId="77777777" w:rsidR="00546931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fingolimod patkányoknál 0</w:t>
      </w:r>
      <w:proofErr w:type="gramStart"/>
      <w:r w:rsidRPr="001A762B">
        <w:rPr>
          <w:rFonts w:cs="Times New Roman"/>
        </w:rPr>
        <w:t>,1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/kg-os vagy magasabb dózisokban teratogén volt. A patkányok gyógyszer-expozíciója ennél a dózisnál hasonló volt a terápiás dózissal (0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) kezelt betegekéhez. A leggyakoribb foetalis visceralis malformatiók közé tartozott a nyitott truncus arteriosus Botalli és a ventricularis septum defectus. </w:t>
      </w:r>
    </w:p>
    <w:p w14:paraId="5374166A" w14:textId="3FF263B6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A teratogén potenciált nyulaknál nem tudták teljes mértékben megállapítani, azonban 1</w:t>
      </w:r>
      <w:proofErr w:type="gramStart"/>
      <w:r w:rsidRPr="001A762B">
        <w:rPr>
          <w:rFonts w:cs="Times New Roman"/>
        </w:rPr>
        <w:t>,5</w:t>
      </w:r>
      <w:proofErr w:type="gramEnd"/>
      <w:r w:rsidR="007D2011">
        <w:rPr>
          <w:rFonts w:cs="Times New Roman"/>
        </w:rPr>
        <w:t> mg</w:t>
      </w:r>
      <w:r w:rsidRPr="001A762B">
        <w:rPr>
          <w:rFonts w:cs="Times New Roman"/>
        </w:rPr>
        <w:t>/kg-os és magasabb dózisokban fokozott embrio-foetális toxicitást tapasztaltak, és 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>/kg-os adagoknál az életképes foetusok számának csökkenését és a foetalis növekedés retardációját észlelték. A nyulak gyógyszer-expozíciója ezeknél a dózisoknál hasonló volt a betegekéhez.</w:t>
      </w:r>
    </w:p>
    <w:p w14:paraId="278CD27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073505C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Patkányoknál anyai toxicitást nem okozó dózisok mellett a korai postpartum időszakban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F1 generációba tartozó utódok túlélése lecsökkent. Ugyanakkor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F1 generációba tartozó utódok testsúlyát, fejlődését, viselkedését és fertilitását nem befolyásolta a fingolimod.</w:t>
      </w:r>
    </w:p>
    <w:p w14:paraId="42DEC28C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76DA48A0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fingolimod a laktáció alatt 2-szer - 3-szor magasabb koncentrációban választódott ki a kezelt állatok anyatejébe, mint ami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anyai plazmában volt észlelhető. A fingolimod és annak metabolitjai vemhes nyulaknál átjutnak a placentáris barrieren.</w:t>
      </w:r>
    </w:p>
    <w:p w14:paraId="2F21252D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59BFD5A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  <w:u w:val="single" w:color="000000"/>
        </w:rPr>
        <w:t>Fiatal állatokkal végzett vizsgálatok</w:t>
      </w:r>
    </w:p>
    <w:p w14:paraId="6C531C8A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B7AD8D6" w14:textId="3CFEBEB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Fiatal patkányokkal végzett két toxicitási vizsgálat eredményei szerint a készítmény kis mértékben hatással van a neurológiai-viselkedési válaszreakcióra, késleltette a nemi érést, és csökkentette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ismételt KLH (lyukas csigából nyert hemocianin) stimulálással kiváltott immunválaszt, amelyeket nem tekintettek nemkívánatosnak. Összefoglalva, a fingolimod fiatal állatoknál jelentkező, kezeléssel összefüggő hatásai megfeleltek a hasonló szintű adagokat kapó felnőtt patkányoknál megfigyelt hatásokkal, a 1,5</w:t>
      </w:r>
      <w:r w:rsidR="007D2011">
        <w:rPr>
          <w:rFonts w:cs="Times New Roman"/>
        </w:rPr>
        <w:t> mg</w:t>
      </w:r>
      <w:r w:rsidRPr="001A762B">
        <w:rPr>
          <w:rFonts w:cs="Times New Roman"/>
        </w:rPr>
        <w:t xml:space="preserve">/kg vagy annál nagyobb adagokat kapó fiatal állatokban megfigyelt csont ásványianyag-sűrűségi változások és a negatív neurológiai-viselkedési változások kivételével, </w:t>
      </w:r>
      <w:r w:rsidRPr="001A762B">
        <w:rPr>
          <w:rFonts w:cs="Times New Roman"/>
        </w:rPr>
        <w:lastRenderedPageBreak/>
        <w:t>valamint azzal az eltéréssel, hogy a fiatal patkányok tüdejében nem volt kimutatható simaizom atrophia.</w:t>
      </w:r>
    </w:p>
    <w:p w14:paraId="42DD6993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328127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7358D51D" w14:textId="77777777" w:rsidR="004C0305" w:rsidRPr="001A762B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GYÓGYSZERÉSZETI JELLEMZŐK</w:t>
      </w:r>
    </w:p>
    <w:p w14:paraId="31F4A5BC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1186DBDD" w14:textId="77777777" w:rsidR="004C0305" w:rsidRPr="001A762B" w:rsidRDefault="001F30F8" w:rsidP="00225D6A">
      <w:pPr>
        <w:numPr>
          <w:ilvl w:val="1"/>
          <w:numId w:val="2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b/>
        </w:rPr>
        <w:t>Segédanyagok felsorolása</w:t>
      </w:r>
    </w:p>
    <w:p w14:paraId="7DAD7A75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58C2C34F" w14:textId="2A9591B7" w:rsidR="004C0305" w:rsidRPr="00163ACB" w:rsidRDefault="001F30F8" w:rsidP="00225D6A">
      <w:pPr>
        <w:rPr>
          <w:rFonts w:ascii="Times New Roman" w:eastAsia="Times New Roman" w:hAnsi="Times New Roman" w:cs="Times New Roman"/>
        </w:rPr>
      </w:pPr>
      <w:r w:rsidRPr="00163ACB">
        <w:rPr>
          <w:rFonts w:ascii="Times New Roman" w:hAnsi="Times New Roman" w:cs="Times New Roman"/>
          <w:u w:val="single" w:color="000000"/>
        </w:rPr>
        <w:t>Kapszulatöltet</w:t>
      </w:r>
      <w:r w:rsidR="00010D6D">
        <w:rPr>
          <w:rFonts w:ascii="Times New Roman" w:hAnsi="Times New Roman" w:cs="Times New Roman"/>
          <w:u w:val="single" w:color="000000"/>
        </w:rPr>
        <w:t>:</w:t>
      </w:r>
    </w:p>
    <w:p w14:paraId="79D961D1" w14:textId="74FE95C7" w:rsidR="008D363A" w:rsidRPr="00163ACB" w:rsidRDefault="003E4330" w:rsidP="00225D6A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</w:t>
      </w:r>
      <w:r w:rsidR="00163ACB" w:rsidRPr="00163ACB">
        <w:rPr>
          <w:rFonts w:ascii="Times New Roman" w:hAnsi="Times New Roman" w:cs="Times New Roman"/>
        </w:rPr>
        <w:t>álium-citrát</w:t>
      </w:r>
      <w:proofErr w:type="gramEnd"/>
    </w:p>
    <w:p w14:paraId="0B855ED5" w14:textId="65C4F1B2" w:rsidR="004C0305" w:rsidRPr="00163ACB" w:rsidRDefault="003E4330" w:rsidP="00225D6A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v</w:t>
      </w:r>
      <w:r w:rsidR="00163ACB" w:rsidRPr="00163ACB">
        <w:rPr>
          <w:rFonts w:ascii="Times New Roman" w:eastAsia="Times New Roman" w:hAnsi="Times New Roman" w:cs="Times New Roman"/>
        </w:rPr>
        <w:t>ízmentes</w:t>
      </w:r>
      <w:proofErr w:type="gramEnd"/>
      <w:r w:rsidR="00163ACB" w:rsidRPr="00163ACB">
        <w:rPr>
          <w:rFonts w:ascii="Times New Roman" w:eastAsia="Times New Roman" w:hAnsi="Times New Roman" w:cs="Times New Roman"/>
        </w:rPr>
        <w:t xml:space="preserve"> kolloid szilícium-dioxid</w:t>
      </w:r>
    </w:p>
    <w:p w14:paraId="6614840D" w14:textId="4F7923FD" w:rsidR="00163ACB" w:rsidRDefault="003E4330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m</w:t>
      </w:r>
      <w:r w:rsidR="00163ACB" w:rsidRPr="00163ACB">
        <w:rPr>
          <w:rFonts w:ascii="Times New Roman" w:eastAsia="Times New Roman" w:hAnsi="Times New Roman" w:cs="Times New Roman"/>
        </w:rPr>
        <w:t>agnézium-sztearát</w:t>
      </w:r>
      <w:proofErr w:type="gramEnd"/>
    </w:p>
    <w:p w14:paraId="02C08A6F" w14:textId="77777777" w:rsidR="003E4330" w:rsidRPr="00163ACB" w:rsidRDefault="003E4330" w:rsidP="00225D6A">
      <w:pPr>
        <w:rPr>
          <w:rFonts w:ascii="Times New Roman" w:eastAsia="Times New Roman" w:hAnsi="Times New Roman" w:cs="Times New Roman"/>
        </w:rPr>
      </w:pPr>
    </w:p>
    <w:p w14:paraId="130F5C41" w14:textId="77777777" w:rsidR="003E4330" w:rsidRPr="00D13BE9" w:rsidRDefault="003E4330" w:rsidP="003E4330">
      <w:pPr>
        <w:keepNext/>
        <w:rPr>
          <w:rFonts w:ascii="Times New Roman" w:hAnsi="Times New Roman" w:cs="Times New Roman"/>
          <w:u w:val="single"/>
        </w:rPr>
      </w:pPr>
      <w:r w:rsidRPr="00D13BE9">
        <w:rPr>
          <w:rFonts w:ascii="Times New Roman" w:hAnsi="Times New Roman" w:cs="Times New Roman"/>
          <w:u w:val="single"/>
        </w:rPr>
        <w:t xml:space="preserve">Kapszula </w:t>
      </w:r>
      <w:bookmarkStart w:id="7" w:name="_Hlk43979191"/>
      <w:r w:rsidRPr="00D13BE9">
        <w:rPr>
          <w:rFonts w:ascii="Times New Roman" w:eastAsia="Times New Roman" w:hAnsi="Times New Roman" w:cs="Times New Roman"/>
          <w:szCs w:val="24"/>
          <w:u w:val="single"/>
          <w:lang w:eastAsia="hu-HU"/>
        </w:rPr>
        <w:t>felsőrész</w:t>
      </w:r>
      <w:bookmarkEnd w:id="7"/>
      <w:r>
        <w:rPr>
          <w:rFonts w:ascii="Times New Roman" w:eastAsia="Times New Roman" w:hAnsi="Times New Roman" w:cs="Times New Roman"/>
          <w:szCs w:val="24"/>
          <w:u w:val="single"/>
          <w:lang w:eastAsia="hu-HU"/>
        </w:rPr>
        <w:t>:</w:t>
      </w:r>
    </w:p>
    <w:p w14:paraId="4F52EFBF" w14:textId="2E02025A" w:rsidR="003E4330" w:rsidRPr="00163ACB" w:rsidRDefault="003E4330" w:rsidP="003E4330">
      <w:pPr>
        <w:keepNext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z</w:t>
      </w:r>
      <w:r w:rsidRPr="00163ACB">
        <w:rPr>
          <w:rFonts w:ascii="Times New Roman" w:hAnsi="Times New Roman" w:cs="Times New Roman"/>
        </w:rPr>
        <w:t>selatin</w:t>
      </w:r>
      <w:proofErr w:type="gramEnd"/>
      <w:r w:rsidRPr="00163ACB">
        <w:rPr>
          <w:rFonts w:ascii="Times New Roman" w:hAnsi="Times New Roman" w:cs="Times New Roman"/>
        </w:rPr>
        <w:t xml:space="preserve"> </w:t>
      </w:r>
    </w:p>
    <w:p w14:paraId="3BC44CD3" w14:textId="74B8129F" w:rsidR="003E4330" w:rsidRPr="00163ACB" w:rsidRDefault="003E4330" w:rsidP="003E4330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</w:t>
      </w:r>
      <w:r w:rsidRPr="00163ACB">
        <w:rPr>
          <w:rFonts w:ascii="Times New Roman" w:hAnsi="Times New Roman" w:cs="Times New Roman"/>
        </w:rPr>
        <w:t>it</w:t>
      </w:r>
      <w:r>
        <w:rPr>
          <w:rFonts w:ascii="Times New Roman" w:hAnsi="Times New Roman" w:cs="Times New Roman"/>
        </w:rPr>
        <w:t>á</w:t>
      </w:r>
      <w:r w:rsidRPr="00163ACB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-</w:t>
      </w:r>
      <w:r w:rsidRPr="00163ACB">
        <w:rPr>
          <w:rFonts w:ascii="Times New Roman" w:hAnsi="Times New Roman" w:cs="Times New Roman"/>
        </w:rPr>
        <w:t>dioxid</w:t>
      </w:r>
      <w:proofErr w:type="gramEnd"/>
      <w:r w:rsidRPr="00163ACB">
        <w:rPr>
          <w:rFonts w:ascii="Times New Roman" w:hAnsi="Times New Roman" w:cs="Times New Roman"/>
        </w:rPr>
        <w:t xml:space="preserve"> (E171)</w:t>
      </w:r>
    </w:p>
    <w:p w14:paraId="74C41DB4" w14:textId="647E5807" w:rsidR="003E4330" w:rsidRPr="00163ACB" w:rsidRDefault="003E4330" w:rsidP="003E4330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</w:t>
      </w:r>
      <w:r w:rsidRPr="00163ACB">
        <w:rPr>
          <w:rFonts w:ascii="Times New Roman" w:hAnsi="Times New Roman" w:cs="Times New Roman"/>
        </w:rPr>
        <w:t>árga</w:t>
      </w:r>
      <w:proofErr w:type="gramEnd"/>
      <w:r w:rsidRPr="00163ACB">
        <w:rPr>
          <w:rFonts w:ascii="Times New Roman" w:hAnsi="Times New Roman" w:cs="Times New Roman"/>
        </w:rPr>
        <w:t xml:space="preserve"> vas-oxid (E172)</w:t>
      </w:r>
    </w:p>
    <w:p w14:paraId="3C5ED84B" w14:textId="77777777" w:rsidR="00CA28DD" w:rsidRPr="00163ACB" w:rsidRDefault="00CA28DD" w:rsidP="00225D6A">
      <w:pPr>
        <w:rPr>
          <w:rFonts w:ascii="Times New Roman" w:hAnsi="Times New Roman" w:cs="Times New Roman"/>
        </w:rPr>
      </w:pPr>
    </w:p>
    <w:p w14:paraId="1D9C8353" w14:textId="1F0FC289" w:rsidR="00CA28DD" w:rsidRPr="00225D6A" w:rsidRDefault="00CA28DD" w:rsidP="00225D6A">
      <w:pPr>
        <w:rPr>
          <w:rFonts w:ascii="Times New Roman" w:hAnsi="Times New Roman" w:cs="Times New Roman"/>
          <w:u w:val="single"/>
          <w:lang w:val="de-DE"/>
        </w:rPr>
      </w:pPr>
      <w:r w:rsidRPr="00225D6A">
        <w:rPr>
          <w:rFonts w:ascii="Times New Roman" w:hAnsi="Times New Roman" w:cs="Times New Roman"/>
          <w:u w:val="single"/>
          <w:lang w:val="de-DE"/>
        </w:rPr>
        <w:t>Kapszula</w:t>
      </w:r>
      <w:r w:rsidR="003E4330" w:rsidRPr="00225D6A">
        <w:rPr>
          <w:rFonts w:ascii="Times New Roman" w:hAnsi="Times New Roman" w:cs="Times New Roman"/>
          <w:u w:val="single"/>
          <w:lang w:val="de-DE"/>
        </w:rPr>
        <w:t xml:space="preserve"> </w:t>
      </w:r>
      <w:bookmarkStart w:id="8" w:name="_Hlk43979203"/>
      <w:r w:rsidR="003E4330" w:rsidRPr="00225D6A">
        <w:rPr>
          <w:rFonts w:ascii="Times New Roman" w:eastAsia="Times New Roman" w:hAnsi="Times New Roman" w:cs="Times New Roman"/>
          <w:szCs w:val="24"/>
          <w:u w:val="single"/>
          <w:lang w:val="de-DE" w:eastAsia="hu-HU"/>
        </w:rPr>
        <w:t>alsórész</w:t>
      </w:r>
      <w:bookmarkEnd w:id="8"/>
      <w:r w:rsidR="003E4330" w:rsidRPr="00225D6A">
        <w:rPr>
          <w:rFonts w:ascii="Times New Roman" w:eastAsia="Times New Roman" w:hAnsi="Times New Roman" w:cs="Times New Roman"/>
          <w:szCs w:val="24"/>
          <w:u w:val="single"/>
          <w:lang w:val="de-DE" w:eastAsia="hu-HU"/>
        </w:rPr>
        <w:t>:</w:t>
      </w:r>
    </w:p>
    <w:p w14:paraId="1866C4F9" w14:textId="634AA69F" w:rsidR="00CA28DD" w:rsidRPr="00225D6A" w:rsidRDefault="003E4330" w:rsidP="00225D6A">
      <w:pPr>
        <w:rPr>
          <w:rFonts w:ascii="Times New Roman" w:hAnsi="Times New Roman" w:cs="Times New Roman"/>
          <w:lang w:val="de-DE"/>
        </w:rPr>
      </w:pPr>
      <w:r w:rsidRPr="00225D6A">
        <w:rPr>
          <w:rFonts w:ascii="Times New Roman" w:hAnsi="Times New Roman" w:cs="Times New Roman"/>
          <w:lang w:val="de-DE"/>
        </w:rPr>
        <w:t>z</w:t>
      </w:r>
      <w:r w:rsidR="00CA28DD" w:rsidRPr="00225D6A">
        <w:rPr>
          <w:rFonts w:ascii="Times New Roman" w:hAnsi="Times New Roman" w:cs="Times New Roman"/>
          <w:lang w:val="de-DE"/>
        </w:rPr>
        <w:t xml:space="preserve">selatin </w:t>
      </w:r>
    </w:p>
    <w:p w14:paraId="399F3250" w14:textId="584032BC" w:rsidR="00CA28DD" w:rsidRPr="00225D6A" w:rsidRDefault="003E4330" w:rsidP="00225D6A">
      <w:p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</w:t>
      </w:r>
      <w:r w:rsidR="00CA28DD" w:rsidRPr="00225D6A">
        <w:rPr>
          <w:rFonts w:ascii="Times New Roman" w:hAnsi="Times New Roman" w:cs="Times New Roman"/>
          <w:lang w:val="de-DE"/>
        </w:rPr>
        <w:t>it</w:t>
      </w:r>
      <w:r w:rsidRPr="00225D6A">
        <w:rPr>
          <w:rFonts w:ascii="Times New Roman" w:hAnsi="Times New Roman" w:cs="Times New Roman"/>
          <w:lang w:val="de-DE"/>
        </w:rPr>
        <w:t>á</w:t>
      </w:r>
      <w:r w:rsidR="00CA28DD" w:rsidRPr="00225D6A">
        <w:rPr>
          <w:rFonts w:ascii="Times New Roman" w:hAnsi="Times New Roman" w:cs="Times New Roman"/>
          <w:lang w:val="de-DE"/>
        </w:rPr>
        <w:t>n</w:t>
      </w:r>
      <w:r w:rsidR="00751A4E" w:rsidRPr="00225D6A">
        <w:rPr>
          <w:rFonts w:ascii="Times New Roman" w:hAnsi="Times New Roman" w:cs="Times New Roman"/>
          <w:lang w:val="de-DE"/>
        </w:rPr>
        <w:t>-</w:t>
      </w:r>
      <w:r w:rsidR="00CA28DD" w:rsidRPr="00225D6A">
        <w:rPr>
          <w:rFonts w:ascii="Times New Roman" w:hAnsi="Times New Roman" w:cs="Times New Roman"/>
          <w:lang w:val="de-DE"/>
        </w:rPr>
        <w:t>dioxid (E171)</w:t>
      </w:r>
    </w:p>
    <w:p w14:paraId="41906F45" w14:textId="77777777" w:rsidR="001F30F8" w:rsidRPr="00225D6A" w:rsidRDefault="001F30F8" w:rsidP="00225D6A">
      <w:pPr>
        <w:pStyle w:val="Szvegtrzs"/>
        <w:ind w:left="0"/>
        <w:rPr>
          <w:rFonts w:cs="Times New Roman"/>
          <w:u w:val="single" w:color="000000"/>
          <w:lang w:val="de-DE"/>
        </w:rPr>
      </w:pPr>
    </w:p>
    <w:p w14:paraId="0D8CCF1E" w14:textId="77777777" w:rsidR="004C0305" w:rsidRPr="001A762B" w:rsidRDefault="001F30F8" w:rsidP="00225D6A">
      <w:pPr>
        <w:pStyle w:val="Cmsor1"/>
        <w:numPr>
          <w:ilvl w:val="1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Inkompatibilitások</w:t>
      </w:r>
    </w:p>
    <w:p w14:paraId="6DF270B0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08D9F206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Nem értelmezhető.</w:t>
      </w:r>
    </w:p>
    <w:p w14:paraId="2C267AD1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5B4264F6" w14:textId="77777777" w:rsidR="004C0305" w:rsidRPr="001A762B" w:rsidRDefault="001F30F8" w:rsidP="00225D6A">
      <w:pPr>
        <w:pStyle w:val="Cmsor1"/>
        <w:numPr>
          <w:ilvl w:val="1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Felhasználhatósági időtartam</w:t>
      </w:r>
    </w:p>
    <w:p w14:paraId="6EC7B543" w14:textId="77777777" w:rsidR="00784B6E" w:rsidRDefault="00784B6E" w:rsidP="00225D6A">
      <w:pPr>
        <w:pStyle w:val="Szvegtrzs"/>
        <w:ind w:left="0"/>
        <w:rPr>
          <w:rFonts w:cs="Times New Roman"/>
        </w:rPr>
      </w:pPr>
    </w:p>
    <w:p w14:paraId="62001DAF" w14:textId="716BFFAD" w:rsidR="004C0305" w:rsidRPr="001A762B" w:rsidRDefault="00163ACB" w:rsidP="00225D6A">
      <w:pPr>
        <w:pStyle w:val="Szvegtrzs"/>
        <w:ind w:left="0"/>
        <w:rPr>
          <w:rFonts w:cs="Times New Roman"/>
        </w:rPr>
      </w:pPr>
      <w:r>
        <w:rPr>
          <w:rFonts w:cs="Times New Roman"/>
        </w:rPr>
        <w:t>3</w:t>
      </w:r>
      <w:r w:rsidR="00607A97">
        <w:rPr>
          <w:rFonts w:cs="Times New Roman"/>
        </w:rPr>
        <w:t> év</w:t>
      </w:r>
    </w:p>
    <w:p w14:paraId="397F9BE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6F8C4115" w14:textId="77777777" w:rsidR="004C0305" w:rsidRPr="001A762B" w:rsidRDefault="001F30F8" w:rsidP="00225D6A">
      <w:pPr>
        <w:pStyle w:val="Cmsor1"/>
        <w:numPr>
          <w:ilvl w:val="1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Különleges tárolási előírások</w:t>
      </w:r>
    </w:p>
    <w:p w14:paraId="72A9B8DD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7425E866" w14:textId="0683C9DA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Legfeljebb </w:t>
      </w:r>
      <w:r w:rsidR="00163ACB">
        <w:rPr>
          <w:rFonts w:cs="Times New Roman"/>
        </w:rPr>
        <w:t>30 </w:t>
      </w:r>
      <w:r w:rsidRPr="001A762B">
        <w:rPr>
          <w:rFonts w:cs="Times New Roman"/>
        </w:rPr>
        <w:t>°C-on tárolandó.</w:t>
      </w:r>
    </w:p>
    <w:p w14:paraId="6D518378" w14:textId="77777777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 xml:space="preserve">A nedvességtől való védelem érdekében </w:t>
      </w:r>
      <w:proofErr w:type="gramStart"/>
      <w:r w:rsidRPr="001A762B">
        <w:rPr>
          <w:rFonts w:cs="Times New Roman"/>
        </w:rPr>
        <w:t>az</w:t>
      </w:r>
      <w:proofErr w:type="gramEnd"/>
      <w:r w:rsidRPr="001A762B">
        <w:rPr>
          <w:rFonts w:cs="Times New Roman"/>
        </w:rPr>
        <w:t xml:space="preserve"> eredeti csomagolásban tárolandó.</w:t>
      </w:r>
    </w:p>
    <w:p w14:paraId="6B2D7A84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4AC217C2" w14:textId="77777777" w:rsidR="004C0305" w:rsidRPr="001A762B" w:rsidRDefault="001F30F8" w:rsidP="00225D6A">
      <w:pPr>
        <w:pStyle w:val="Cmsor1"/>
        <w:numPr>
          <w:ilvl w:val="1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Csomagolás típusa és kiszerelése</w:t>
      </w:r>
    </w:p>
    <w:p w14:paraId="1316466B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0EE11AB0" w14:textId="61AE0DDD" w:rsidR="00163ACB" w:rsidRDefault="00161F85" w:rsidP="00225D6A">
      <w:pPr>
        <w:pStyle w:val="Szvegtrzs"/>
        <w:ind w:left="0"/>
        <w:rPr>
          <w:rFonts w:cs="Times New Roman"/>
        </w:rPr>
      </w:pPr>
      <w:r w:rsidRPr="001F30F8">
        <w:rPr>
          <w:rFonts w:cs="Times New Roman"/>
        </w:rPr>
        <w:t>7</w:t>
      </w:r>
      <w:r>
        <w:rPr>
          <w:rFonts w:cs="Times New Roman"/>
        </w:rPr>
        <w:t> db</w:t>
      </w:r>
      <w:r w:rsidRPr="001F30F8">
        <w:rPr>
          <w:rFonts w:cs="Times New Roman"/>
        </w:rPr>
        <w:t xml:space="preserve">, </w:t>
      </w:r>
      <w:r w:rsidR="00163ACB">
        <w:rPr>
          <w:rFonts w:cs="Times New Roman"/>
        </w:rPr>
        <w:t xml:space="preserve">10 db, </w:t>
      </w:r>
      <w:r w:rsidRPr="001F30F8">
        <w:rPr>
          <w:rFonts w:cs="Times New Roman"/>
        </w:rPr>
        <w:t>28</w:t>
      </w:r>
      <w:r>
        <w:rPr>
          <w:rFonts w:cs="Times New Roman"/>
        </w:rPr>
        <w:t> db</w:t>
      </w:r>
      <w:r w:rsidR="00E86E34">
        <w:rPr>
          <w:rFonts w:cs="Times New Roman"/>
        </w:rPr>
        <w:t xml:space="preserve">, </w:t>
      </w:r>
      <w:r w:rsidR="00163ACB">
        <w:rPr>
          <w:rFonts w:cs="Times New Roman"/>
        </w:rPr>
        <w:t xml:space="preserve">30 db, 56 db, 60 db, </w:t>
      </w:r>
      <w:r w:rsidRPr="001F30F8">
        <w:rPr>
          <w:rFonts w:cs="Times New Roman"/>
        </w:rPr>
        <w:t>98</w:t>
      </w:r>
      <w:r>
        <w:rPr>
          <w:rFonts w:cs="Times New Roman"/>
        </w:rPr>
        <w:t> db</w:t>
      </w:r>
      <w:r w:rsidRPr="001F30F8">
        <w:rPr>
          <w:rFonts w:cs="Times New Roman"/>
        </w:rPr>
        <w:t xml:space="preserve"> </w:t>
      </w:r>
      <w:r w:rsidR="00163ACB">
        <w:rPr>
          <w:rFonts w:cs="Times New Roman"/>
        </w:rPr>
        <w:t xml:space="preserve">vagy 100 db </w:t>
      </w:r>
      <w:r w:rsidRPr="001A762B">
        <w:rPr>
          <w:rFonts w:cs="Times New Roman"/>
        </w:rPr>
        <w:t xml:space="preserve">kemény kapszulát tartalmazó </w:t>
      </w:r>
      <w:r w:rsidR="003E4330" w:rsidRPr="00FB6D00">
        <w:rPr>
          <w:rFonts w:cs="Times New Roman"/>
          <w:szCs w:val="24"/>
          <w:lang w:eastAsia="hu-HU"/>
        </w:rPr>
        <w:t>OPA/Al/PVC//Al buborékcsomagolásban és dobozban</w:t>
      </w:r>
      <w:r w:rsidR="00163ACB">
        <w:rPr>
          <w:rFonts w:cs="Times New Roman"/>
        </w:rPr>
        <w:t>.</w:t>
      </w:r>
    </w:p>
    <w:p w14:paraId="282C5D32" w14:textId="7939CE8B" w:rsidR="00161F85" w:rsidRDefault="00163ACB" w:rsidP="00225D6A">
      <w:pPr>
        <w:pStyle w:val="Szvegtrzs"/>
        <w:ind w:left="0"/>
        <w:rPr>
          <w:rFonts w:cs="Times New Roman"/>
        </w:rPr>
      </w:pPr>
      <w:r>
        <w:rPr>
          <w:rFonts w:cs="Times New Roman"/>
        </w:rPr>
        <w:t xml:space="preserve">7 db, 28 db vagy 98 db kemény kapszulát tartalmazó, adagonként perforált </w:t>
      </w:r>
      <w:r w:rsidR="003E4330" w:rsidRPr="00FB6D00">
        <w:rPr>
          <w:rFonts w:cs="Times New Roman"/>
          <w:szCs w:val="24"/>
          <w:lang w:eastAsia="hu-HU"/>
        </w:rPr>
        <w:t>OPA/Al/PVC//Al buborékcsomagolásban és dobozban</w:t>
      </w:r>
      <w:r w:rsidR="00161F85">
        <w:rPr>
          <w:rFonts w:cs="Times New Roman"/>
        </w:rPr>
        <w:t>.</w:t>
      </w:r>
    </w:p>
    <w:p w14:paraId="57317B31" w14:textId="77777777" w:rsidR="00161F85" w:rsidRDefault="00161F85" w:rsidP="00225D6A">
      <w:pPr>
        <w:pStyle w:val="Szvegtrzs"/>
        <w:ind w:left="0"/>
        <w:rPr>
          <w:rFonts w:cs="Times New Roman"/>
        </w:rPr>
      </w:pPr>
    </w:p>
    <w:p w14:paraId="2244A986" w14:textId="6D0D0958" w:rsidR="004C0305" w:rsidRPr="001A762B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Nem feltétlenül mindegyik kiszerelés kerül kereskedelmi forgalomba.</w:t>
      </w:r>
    </w:p>
    <w:p w14:paraId="3F2841FC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06784541" w14:textId="377AB5CE" w:rsidR="004C0305" w:rsidRPr="001A762B" w:rsidRDefault="001F30F8" w:rsidP="00225D6A">
      <w:pPr>
        <w:pStyle w:val="Cmsor1"/>
        <w:numPr>
          <w:ilvl w:val="1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A megsemmisítésre vonatkozó különleges óvintézkedések</w:t>
      </w:r>
      <w:r w:rsidR="0091096B">
        <w:rPr>
          <w:rFonts w:cs="Times New Roman"/>
        </w:rPr>
        <w:t xml:space="preserve"> és egyéb, a készítmény kezelésével kapcsolatos információk</w:t>
      </w:r>
    </w:p>
    <w:p w14:paraId="4F0586E2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05F624F0" w14:textId="39B5ACF2" w:rsidR="004C0305" w:rsidRDefault="001F30F8" w:rsidP="00225D6A">
      <w:pPr>
        <w:pStyle w:val="Szvegtrzs"/>
        <w:ind w:left="0"/>
        <w:rPr>
          <w:rFonts w:cs="Times New Roman"/>
        </w:rPr>
      </w:pPr>
      <w:r w:rsidRPr="001A762B">
        <w:rPr>
          <w:rFonts w:cs="Times New Roman"/>
        </w:rPr>
        <w:t>Bármilyen fel nem használt gyógyszer, illetve hulladékanyag megsemmisítését a gyógyszerekre</w:t>
      </w:r>
      <w:r w:rsidR="003E4330">
        <w:rPr>
          <w:rFonts w:cs="Times New Roman"/>
        </w:rPr>
        <w:t xml:space="preserve"> </w:t>
      </w:r>
      <w:r w:rsidRPr="001A762B">
        <w:rPr>
          <w:rFonts w:cs="Times New Roman"/>
        </w:rPr>
        <w:t>vonatkozó előírások szerint kell végrehajtani.</w:t>
      </w:r>
    </w:p>
    <w:p w14:paraId="68D7A310" w14:textId="4205A4F0" w:rsidR="00EF5FDE" w:rsidRDefault="00EF5FDE">
      <w:pPr>
        <w:pStyle w:val="Szvegtrzs"/>
        <w:ind w:left="0"/>
        <w:rPr>
          <w:rFonts w:cs="Times New Roman"/>
        </w:rPr>
      </w:pPr>
    </w:p>
    <w:p w14:paraId="1634FC05" w14:textId="77777777" w:rsidR="00423EA6" w:rsidRPr="00EF5FDE" w:rsidRDefault="00423EA6" w:rsidP="00423EA6">
      <w:pPr>
        <w:rPr>
          <w:rFonts w:ascii="Times New Roman" w:hAnsi="Times New Roman" w:cs="Times New Roman"/>
        </w:rPr>
      </w:pPr>
      <w:r w:rsidRPr="00EF5FDE">
        <w:rPr>
          <w:rFonts w:ascii="Times New Roman" w:hAnsi="Times New Roman" w:cs="Times New Roman"/>
        </w:rPr>
        <w:t xml:space="preserve">Megjegyzés: </w:t>
      </w:r>
      <w:r w:rsidRPr="00EF5FDE">
        <w:rPr>
          <w:rFonts w:ascii="Times New Roman" w:hAnsi="Times New Roman" w:cs="Times New Roman"/>
        </w:rPr>
        <w:sym w:font="Wingdings" w:char="F058"/>
      </w:r>
      <w:r w:rsidRPr="00EF5FDE">
        <w:rPr>
          <w:rFonts w:ascii="Times New Roman" w:hAnsi="Times New Roman" w:cs="Times New Roman"/>
        </w:rPr>
        <w:t xml:space="preserve"> (egy kereszt)</w:t>
      </w:r>
    </w:p>
    <w:p w14:paraId="09B51746" w14:textId="77777777" w:rsidR="00423EA6" w:rsidRPr="00EF5FDE" w:rsidRDefault="00423EA6" w:rsidP="00423EA6">
      <w:pPr>
        <w:pStyle w:val="Cmsor2"/>
        <w:rPr>
          <w:rFonts w:ascii="Times New Roman" w:hAnsi="Times New Roman" w:cs="Times New Roman"/>
          <w:color w:val="auto"/>
          <w:sz w:val="22"/>
          <w:szCs w:val="22"/>
        </w:rPr>
      </w:pPr>
      <w:r w:rsidRPr="00EF5FDE">
        <w:rPr>
          <w:rFonts w:ascii="Times New Roman" w:hAnsi="Times New Roman" w:cs="Times New Roman"/>
          <w:color w:val="auto"/>
          <w:sz w:val="22"/>
          <w:szCs w:val="22"/>
        </w:rPr>
        <w:t>Osztályozás: II</w:t>
      </w:r>
      <w:proofErr w:type="gramStart"/>
      <w:r w:rsidRPr="00EF5FDE">
        <w:rPr>
          <w:rFonts w:ascii="Times New Roman" w:hAnsi="Times New Roman" w:cs="Times New Roman"/>
          <w:color w:val="auto"/>
          <w:sz w:val="22"/>
          <w:szCs w:val="22"/>
        </w:rPr>
        <w:t>./</w:t>
      </w:r>
      <w:proofErr w:type="gramEnd"/>
      <w:r w:rsidRPr="00EF5FDE">
        <w:rPr>
          <w:rFonts w:ascii="Times New Roman" w:hAnsi="Times New Roman" w:cs="Times New Roman"/>
          <w:color w:val="auto"/>
          <w:sz w:val="22"/>
          <w:szCs w:val="22"/>
        </w:rPr>
        <w:t>2 csoport</w:t>
      </w:r>
    </w:p>
    <w:p w14:paraId="034A888A" w14:textId="77777777" w:rsidR="00423EA6" w:rsidRPr="00EF5FDE" w:rsidRDefault="00423EA6" w:rsidP="00423EA6">
      <w:r w:rsidRPr="00EF5FDE">
        <w:rPr>
          <w:rFonts w:ascii="Times New Roman" w:hAnsi="Times New Roman" w:cs="Times New Roman"/>
        </w:rPr>
        <w:t>Korlátozott érvényű orvosi rendelvényhez kötött, szakorvosi/kórházi diagnózist követően folyamatos szakorvosi ellenőrzés mellett alkalmazható gyógyszer (Sz).</w:t>
      </w:r>
    </w:p>
    <w:p w14:paraId="6D955D9B" w14:textId="77777777" w:rsidR="00423EA6" w:rsidRDefault="00423EA6" w:rsidP="00225D6A">
      <w:pPr>
        <w:pStyle w:val="Szvegtrzs"/>
        <w:ind w:left="0"/>
        <w:rPr>
          <w:rFonts w:cs="Times New Roman"/>
        </w:rPr>
      </w:pPr>
    </w:p>
    <w:p w14:paraId="79C09C16" w14:textId="77777777" w:rsidR="001F30F8" w:rsidRPr="001A762B" w:rsidRDefault="001F30F8" w:rsidP="00225D6A">
      <w:pPr>
        <w:pStyle w:val="Szvegtrzs"/>
        <w:ind w:left="0"/>
        <w:rPr>
          <w:rFonts w:cs="Times New Roman"/>
        </w:rPr>
      </w:pPr>
    </w:p>
    <w:p w14:paraId="6D31024F" w14:textId="77777777" w:rsidR="004C0305" w:rsidRPr="001A762B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>A FORGALOMBA HOZATALI ENGEDÉLY JOGOSULTJA</w:t>
      </w:r>
    </w:p>
    <w:p w14:paraId="0C327688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417C1A52" w14:textId="77777777" w:rsidR="004B1EE7" w:rsidRPr="00C05ED7" w:rsidRDefault="004B1EE7" w:rsidP="00ED6B0E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G.L. Pharma GmbH </w:t>
      </w:r>
    </w:p>
    <w:p w14:paraId="510A812C" w14:textId="77777777" w:rsidR="004B1EE7" w:rsidRPr="00C05ED7" w:rsidRDefault="004B1EE7" w:rsidP="0097063D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Schlossplatz 1 </w:t>
      </w:r>
    </w:p>
    <w:p w14:paraId="1B0A5678" w14:textId="77777777" w:rsidR="004B1EE7" w:rsidRPr="00C05ED7" w:rsidRDefault="004B1EE7" w:rsidP="0039628C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8502 Lannach </w:t>
      </w:r>
    </w:p>
    <w:p w14:paraId="76A3F921" w14:textId="77777777" w:rsidR="004B1EE7" w:rsidRPr="00C05ED7" w:rsidRDefault="004B1EE7" w:rsidP="0039077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Ausztria </w:t>
      </w:r>
    </w:p>
    <w:p w14:paraId="029A1814" w14:textId="6C9A64AB" w:rsidR="004C0168" w:rsidRDefault="004C0168" w:rsidP="00225D6A">
      <w:pPr>
        <w:rPr>
          <w:rFonts w:ascii="Times New Roman" w:eastAsia="Times New Roman" w:hAnsi="Times New Roman" w:cs="Times New Roman"/>
        </w:rPr>
      </w:pPr>
    </w:p>
    <w:p w14:paraId="7A14F72B" w14:textId="77777777" w:rsidR="004C0168" w:rsidRPr="001A762B" w:rsidRDefault="004C0168" w:rsidP="00225D6A">
      <w:pPr>
        <w:rPr>
          <w:rFonts w:ascii="Times New Roman" w:eastAsia="Times New Roman" w:hAnsi="Times New Roman" w:cs="Times New Roman"/>
        </w:rPr>
      </w:pPr>
    </w:p>
    <w:p w14:paraId="5A5FEB57" w14:textId="77777777" w:rsidR="004C0305" w:rsidRPr="001A762B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1A762B">
        <w:rPr>
          <w:rFonts w:cs="Times New Roman"/>
        </w:rPr>
        <w:t xml:space="preserve">A FORGALOMBA HOZATALI ENGEDÉLY </w:t>
      </w:r>
      <w:proofErr w:type="gramStart"/>
      <w:r w:rsidRPr="001A762B">
        <w:rPr>
          <w:rFonts w:cs="Times New Roman"/>
        </w:rPr>
        <w:t>SZÁMA(</w:t>
      </w:r>
      <w:proofErr w:type="gramEnd"/>
      <w:r w:rsidRPr="001A762B">
        <w:rPr>
          <w:rFonts w:cs="Times New Roman"/>
        </w:rPr>
        <w:t>I)</w:t>
      </w:r>
    </w:p>
    <w:p w14:paraId="4FA9CF83" w14:textId="77777777" w:rsidR="00714497" w:rsidRDefault="00714497" w:rsidP="00225D6A">
      <w:pPr>
        <w:pStyle w:val="NormlWeb"/>
        <w:rPr>
          <w:rFonts w:ascii="Calibri" w:hAnsi="Calibri"/>
          <w:color w:val="000000"/>
        </w:rPr>
      </w:pPr>
    </w:p>
    <w:p w14:paraId="72AE0EDF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OGYI-T-23706/01</w:t>
      </w:r>
      <w:r w:rsidRPr="00311F8E">
        <w:rPr>
          <w:rFonts w:ascii="Times New Roman" w:eastAsia="Times New Roman" w:hAnsi="Times New Roman" w:cs="Times New Roman"/>
          <w:lang w:val="hu-HU"/>
        </w:rPr>
        <w:tab/>
        <w:t>7×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OPA/Al/PVC//Al buborékcsomagolás</w:t>
      </w:r>
    </w:p>
    <w:p w14:paraId="1A7D7DB2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OGYI-T-23706/02</w:t>
      </w:r>
      <w:r w:rsidRPr="00311F8E">
        <w:rPr>
          <w:rFonts w:ascii="Times New Roman" w:eastAsia="Times New Roman" w:hAnsi="Times New Roman" w:cs="Times New Roman"/>
          <w:lang w:val="hu-HU"/>
        </w:rPr>
        <w:tab/>
        <w:t>7×</w:t>
      </w:r>
      <w:r w:rsidRPr="00311F8E">
        <w:rPr>
          <w:rFonts w:ascii="Times New Roman" w:eastAsia="Times New Roman" w:hAnsi="Times New Roman" w:cs="Times New Roman"/>
          <w:lang w:val="hu-HU"/>
        </w:rPr>
        <w:tab/>
        <w:t>adagonként perforált OPA/Al/PVC//Al buborékcsomagolás</w:t>
      </w:r>
    </w:p>
    <w:p w14:paraId="5B4BD2BB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OGYI-T-23706/03</w:t>
      </w:r>
      <w:r w:rsidRPr="00311F8E">
        <w:rPr>
          <w:rFonts w:ascii="Times New Roman" w:eastAsia="Times New Roman" w:hAnsi="Times New Roman" w:cs="Times New Roman"/>
          <w:lang w:val="hu-HU"/>
        </w:rPr>
        <w:tab/>
        <w:t>28×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OPA/Al/PVC//Al buborékcsomagolás</w:t>
      </w:r>
    </w:p>
    <w:p w14:paraId="06E02B33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OGYI-T-23706/04</w:t>
      </w:r>
      <w:r w:rsidRPr="00311F8E">
        <w:rPr>
          <w:rFonts w:ascii="Times New Roman" w:eastAsia="Times New Roman" w:hAnsi="Times New Roman" w:cs="Times New Roman"/>
          <w:lang w:val="hu-HU"/>
        </w:rPr>
        <w:tab/>
        <w:t>28×</w:t>
      </w:r>
      <w:r w:rsidRPr="00311F8E">
        <w:rPr>
          <w:rFonts w:ascii="Times New Roman" w:eastAsia="Times New Roman" w:hAnsi="Times New Roman" w:cs="Times New Roman"/>
          <w:lang w:val="hu-HU"/>
        </w:rPr>
        <w:tab/>
        <w:t>adagonként perforált OPA/Al/PVC//Al buborékcsomagolás</w:t>
      </w:r>
    </w:p>
    <w:p w14:paraId="60E60025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OGYI-T-23706/05</w:t>
      </w:r>
      <w:r w:rsidRPr="00311F8E">
        <w:rPr>
          <w:rFonts w:ascii="Times New Roman" w:eastAsia="Times New Roman" w:hAnsi="Times New Roman" w:cs="Times New Roman"/>
          <w:lang w:val="hu-HU"/>
        </w:rPr>
        <w:tab/>
        <w:t>30×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OPA/Al/PVC//Al buborékcsomagolás</w:t>
      </w:r>
    </w:p>
    <w:p w14:paraId="72A06341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OGYI-T-23706/06</w:t>
      </w:r>
      <w:r w:rsidRPr="00311F8E">
        <w:rPr>
          <w:rFonts w:ascii="Times New Roman" w:eastAsia="Times New Roman" w:hAnsi="Times New Roman" w:cs="Times New Roman"/>
          <w:lang w:val="hu-HU"/>
        </w:rPr>
        <w:tab/>
        <w:t>98×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OPA/Al/PVC//Al buborékcsomagolás</w:t>
      </w:r>
    </w:p>
    <w:p w14:paraId="0E0CB053" w14:textId="77777777" w:rsidR="00311F8E" w:rsidRPr="00311F8E" w:rsidRDefault="00311F8E" w:rsidP="00311F8E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OGYI-T-23706/07</w:t>
      </w:r>
      <w:r w:rsidRPr="00311F8E">
        <w:rPr>
          <w:rFonts w:ascii="Times New Roman" w:eastAsia="Times New Roman" w:hAnsi="Times New Roman" w:cs="Times New Roman"/>
          <w:lang w:val="hu-HU"/>
        </w:rPr>
        <w:tab/>
        <w:t>98×</w:t>
      </w:r>
      <w:r w:rsidRPr="00311F8E">
        <w:rPr>
          <w:rFonts w:ascii="Times New Roman" w:eastAsia="Times New Roman" w:hAnsi="Times New Roman" w:cs="Times New Roman"/>
          <w:lang w:val="hu-HU"/>
        </w:rPr>
        <w:tab/>
        <w:t>adagonként perforált OPA/Al/PVC//Al buborékcsomagolás</w:t>
      </w:r>
      <w:bookmarkStart w:id="9" w:name="_GoBack"/>
      <w:bookmarkEnd w:id="9"/>
    </w:p>
    <w:p w14:paraId="2C65C1A6" w14:textId="77777777" w:rsidR="004C0168" w:rsidRPr="00431150" w:rsidRDefault="004C0168" w:rsidP="00225D6A">
      <w:pPr>
        <w:rPr>
          <w:rFonts w:ascii="Times New Roman" w:eastAsia="Times New Roman" w:hAnsi="Times New Roman" w:cs="Times New Roman"/>
          <w:lang w:val="hu-HU"/>
        </w:rPr>
      </w:pPr>
    </w:p>
    <w:p w14:paraId="1163C178" w14:textId="77777777" w:rsidR="004C0305" w:rsidRPr="00431150" w:rsidRDefault="004C0305" w:rsidP="00225D6A">
      <w:pPr>
        <w:rPr>
          <w:rFonts w:ascii="Times New Roman" w:eastAsia="Times New Roman" w:hAnsi="Times New Roman" w:cs="Times New Roman"/>
          <w:lang w:val="hu-HU"/>
        </w:rPr>
      </w:pPr>
    </w:p>
    <w:p w14:paraId="3B01C4F4" w14:textId="77777777" w:rsidR="004C0305" w:rsidRPr="001A762B" w:rsidRDefault="001F30F8" w:rsidP="00225D6A">
      <w:pPr>
        <w:pStyle w:val="Cmsor1"/>
        <w:numPr>
          <w:ilvl w:val="0"/>
          <w:numId w:val="28"/>
        </w:numPr>
        <w:ind w:left="567" w:hanging="567"/>
        <w:rPr>
          <w:rFonts w:cs="Times New Roman"/>
          <w:b w:val="0"/>
          <w:bCs w:val="0"/>
        </w:rPr>
      </w:pPr>
      <w:r w:rsidRPr="001A762B">
        <w:rPr>
          <w:rFonts w:cs="Times New Roman"/>
        </w:rPr>
        <w:t>A FORGALOMBA HOZATALI ENGEDÉLY ELSŐ KIADÁSÁNAK/</w:t>
      </w:r>
    </w:p>
    <w:p w14:paraId="4DED8C7F" w14:textId="77777777" w:rsidR="004C0305" w:rsidRPr="001A762B" w:rsidRDefault="001F30F8" w:rsidP="00225D6A">
      <w:pPr>
        <w:ind w:left="567"/>
        <w:rPr>
          <w:rFonts w:ascii="Times New Roman" w:eastAsia="Times New Roman" w:hAnsi="Times New Roman" w:cs="Times New Roman"/>
        </w:rPr>
      </w:pPr>
      <w:r w:rsidRPr="001A762B">
        <w:rPr>
          <w:rFonts w:ascii="Times New Roman" w:hAnsi="Times New Roman" w:cs="Times New Roman"/>
          <w:b/>
        </w:rPr>
        <w:t>MEGÚJÍTÁSÁNAK DÁTUMA</w:t>
      </w:r>
    </w:p>
    <w:p w14:paraId="2D33C565" w14:textId="77777777" w:rsidR="004C0305" w:rsidRPr="001A762B" w:rsidRDefault="004C0305" w:rsidP="00225D6A">
      <w:pPr>
        <w:rPr>
          <w:rFonts w:ascii="Times New Roman" w:eastAsia="Times New Roman" w:hAnsi="Times New Roman" w:cs="Times New Roman"/>
          <w:b/>
          <w:bCs/>
        </w:rPr>
      </w:pPr>
    </w:p>
    <w:p w14:paraId="72C97CAF" w14:textId="52D110E6" w:rsidR="003E4330" w:rsidRPr="001A762B" w:rsidRDefault="0091096B" w:rsidP="003E433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forgalomba hozatali engedély első kiadásának dátuma: </w:t>
      </w:r>
      <w:r w:rsidR="003E4330">
        <w:rPr>
          <w:rFonts w:ascii="Times New Roman" w:eastAsia="Times New Roman" w:hAnsi="Times New Roman" w:cs="Times New Roman"/>
        </w:rPr>
        <w:t xml:space="preserve">2020. </w:t>
      </w:r>
      <w:proofErr w:type="gramStart"/>
      <w:r w:rsidR="003E4330">
        <w:rPr>
          <w:rFonts w:ascii="Times New Roman" w:eastAsia="Times New Roman" w:hAnsi="Times New Roman" w:cs="Times New Roman"/>
        </w:rPr>
        <w:t>július</w:t>
      </w:r>
      <w:proofErr w:type="gramEnd"/>
      <w:r w:rsidR="003E4330">
        <w:rPr>
          <w:rFonts w:ascii="Times New Roman" w:eastAsia="Times New Roman" w:hAnsi="Times New Roman" w:cs="Times New Roman"/>
        </w:rPr>
        <w:t xml:space="preserve"> </w:t>
      </w:r>
      <w:r w:rsidR="00311F8E">
        <w:rPr>
          <w:rFonts w:ascii="Times New Roman" w:eastAsia="Times New Roman" w:hAnsi="Times New Roman" w:cs="Times New Roman"/>
        </w:rPr>
        <w:t>14</w:t>
      </w:r>
      <w:r w:rsidR="003E4330">
        <w:rPr>
          <w:rFonts w:ascii="Times New Roman" w:eastAsia="Times New Roman" w:hAnsi="Times New Roman" w:cs="Times New Roman"/>
        </w:rPr>
        <w:t>.</w:t>
      </w:r>
    </w:p>
    <w:p w14:paraId="1A2A1C2C" w14:textId="77777777" w:rsidR="004C0168" w:rsidRPr="001A762B" w:rsidRDefault="004C0168" w:rsidP="00225D6A">
      <w:pPr>
        <w:rPr>
          <w:rFonts w:ascii="Times New Roman" w:eastAsia="Times New Roman" w:hAnsi="Times New Roman" w:cs="Times New Roman"/>
        </w:rPr>
      </w:pPr>
    </w:p>
    <w:p w14:paraId="15754755" w14:textId="77777777" w:rsidR="004C0305" w:rsidRPr="001A762B" w:rsidRDefault="004C0305" w:rsidP="00225D6A">
      <w:pPr>
        <w:rPr>
          <w:rFonts w:ascii="Times New Roman" w:eastAsia="Times New Roman" w:hAnsi="Times New Roman" w:cs="Times New Roman"/>
        </w:rPr>
      </w:pPr>
    </w:p>
    <w:p w14:paraId="242404F4" w14:textId="1E5793C8" w:rsidR="004C0305" w:rsidRPr="00F63764" w:rsidRDefault="001F30F8" w:rsidP="00225D6A">
      <w:pPr>
        <w:pStyle w:val="Cmsor1"/>
        <w:numPr>
          <w:ilvl w:val="0"/>
          <w:numId w:val="28"/>
        </w:numPr>
        <w:tabs>
          <w:tab w:val="left" w:pos="567"/>
        </w:tabs>
        <w:ind w:left="0" w:firstLine="0"/>
        <w:rPr>
          <w:rFonts w:cs="Times New Roman"/>
        </w:rPr>
      </w:pPr>
      <w:r w:rsidRPr="00F63764">
        <w:rPr>
          <w:rFonts w:cs="Times New Roman"/>
        </w:rPr>
        <w:t>A SZÖVEG ELLENŐRZÉSÉNEK DÁTUMA</w:t>
      </w:r>
    </w:p>
    <w:p w14:paraId="785DBA42" w14:textId="77777777" w:rsidR="00F63764" w:rsidRDefault="00F63764" w:rsidP="00225D6A">
      <w:pPr>
        <w:rPr>
          <w:rFonts w:ascii="Times New Roman" w:eastAsia="Times New Roman" w:hAnsi="Times New Roman" w:cs="Times New Roman"/>
        </w:rPr>
      </w:pPr>
    </w:p>
    <w:p w14:paraId="47557180" w14:textId="496E97E7" w:rsidR="004C0305" w:rsidRPr="001A762B" w:rsidRDefault="0091096B" w:rsidP="00225D6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2026. </w:t>
      </w:r>
      <w:proofErr w:type="gramStart"/>
      <w:r>
        <w:rPr>
          <w:rFonts w:ascii="Times New Roman" w:eastAsia="Times New Roman" w:hAnsi="Times New Roman" w:cs="Times New Roman"/>
        </w:rPr>
        <w:t>szeptember</w:t>
      </w:r>
      <w:proofErr w:type="gramEnd"/>
      <w:r>
        <w:rPr>
          <w:rFonts w:ascii="Times New Roman" w:eastAsia="Times New Roman" w:hAnsi="Times New Roman" w:cs="Times New Roman"/>
        </w:rPr>
        <w:t xml:space="preserve"> 8.</w:t>
      </w:r>
    </w:p>
    <w:sectPr w:rsidR="004C0305" w:rsidRPr="001A762B" w:rsidSect="004311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4E6F6" w14:textId="77777777" w:rsidR="007317BF" w:rsidRDefault="007317BF">
      <w:r>
        <w:separator/>
      </w:r>
    </w:p>
  </w:endnote>
  <w:endnote w:type="continuationSeparator" w:id="0">
    <w:p w14:paraId="3C94B8F8" w14:textId="77777777" w:rsidR="007317BF" w:rsidRDefault="00731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1DE18" w14:textId="77777777" w:rsidR="00B0187C" w:rsidRDefault="00B0187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B6FCF" w14:textId="77777777" w:rsidR="00B0187C" w:rsidRDefault="00B0187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6FF67" w14:textId="2FF17AA9" w:rsidR="007317BF" w:rsidRPr="00225D6A" w:rsidRDefault="00B0187C">
    <w:pPr>
      <w:pStyle w:val="llb"/>
      <w:rPr>
        <w:rFonts w:ascii="Times New Roman" w:hAnsi="Times New Roman" w:cs="Times New Roman"/>
        <w:sz w:val="18"/>
        <w:szCs w:val="18"/>
        <w:lang w:val="hu-HU"/>
      </w:rPr>
    </w:pPr>
    <w:r w:rsidRPr="00B0187C">
      <w:rPr>
        <w:rFonts w:ascii="Times New Roman" w:hAnsi="Times New Roman" w:cs="Times New Roman"/>
        <w:sz w:val="18"/>
        <w:szCs w:val="18"/>
        <w:lang w:val="hu-HU"/>
      </w:rPr>
      <w:t>NNGYK/ETGY/28271/2025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BDA79" w14:textId="77777777" w:rsidR="007317BF" w:rsidRDefault="007317BF">
      <w:r>
        <w:separator/>
      </w:r>
    </w:p>
  </w:footnote>
  <w:footnote w:type="continuationSeparator" w:id="0">
    <w:p w14:paraId="1D030763" w14:textId="77777777" w:rsidR="007317BF" w:rsidRDefault="00731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954B1" w14:textId="77777777" w:rsidR="00B0187C" w:rsidRDefault="00B0187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9427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A56FA25" w14:textId="4091B3C2" w:rsidR="007317BF" w:rsidRDefault="007317BF" w:rsidP="00046133">
        <w:pPr>
          <w:pStyle w:val="lfej"/>
          <w:jc w:val="center"/>
        </w:pPr>
        <w:r w:rsidRPr="001E36D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E36D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E36D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46133" w:rsidRPr="00046133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24</w:t>
        </w:r>
        <w:r w:rsidRPr="001E36D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5D879" w14:textId="77777777" w:rsidR="00B0187C" w:rsidRDefault="00B0187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0260"/>
    <w:multiLevelType w:val="multilevel"/>
    <w:tmpl w:val="5C5CC400"/>
    <w:lvl w:ilvl="0">
      <w:start w:val="4"/>
      <w:numFmt w:val="decimal"/>
      <w:lvlText w:val="%1"/>
      <w:lvlJc w:val="left"/>
      <w:pPr>
        <w:ind w:left="686" w:hanging="568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" w15:restartNumberingAfterBreak="0">
    <w:nsid w:val="06AD41BA"/>
    <w:multiLevelType w:val="hybridMultilevel"/>
    <w:tmpl w:val="8BA49320"/>
    <w:lvl w:ilvl="0" w:tplc="B2DE92E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884554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39A28F56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7500122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29CC0A0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69AA3246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050E6CBA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87D0984C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1A7C5D22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" w15:restartNumberingAfterBreak="0">
    <w:nsid w:val="08F72566"/>
    <w:multiLevelType w:val="hybridMultilevel"/>
    <w:tmpl w:val="DB563102"/>
    <w:lvl w:ilvl="0" w:tplc="6178A89A">
      <w:start w:val="1"/>
      <w:numFmt w:val="upperLetter"/>
      <w:lvlText w:val="%1.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C6180D60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5AE689C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06485446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71B23B6C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F80EB57C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D702113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A36270F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62A0F396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" w15:restartNumberingAfterBreak="0">
    <w:nsid w:val="0F7F24F9"/>
    <w:multiLevelType w:val="hybridMultilevel"/>
    <w:tmpl w:val="37845514"/>
    <w:lvl w:ilvl="0" w:tplc="3E3AA432">
      <w:start w:val="3"/>
      <w:numFmt w:val="decimal"/>
      <w:lvlText w:val="%1."/>
      <w:lvlJc w:val="left"/>
      <w:pPr>
        <w:ind w:left="118" w:hanging="568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B92EA718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B0986512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C6F66434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B642752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539ACFEA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D1CAABF0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8F6A3A58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D2F46A10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4" w15:restartNumberingAfterBreak="0">
    <w:nsid w:val="16415F6F"/>
    <w:multiLevelType w:val="hybridMultilevel"/>
    <w:tmpl w:val="FF70170A"/>
    <w:lvl w:ilvl="0" w:tplc="5C50C95A">
      <w:start w:val="1"/>
      <w:numFmt w:val="bullet"/>
      <w:lvlText w:val="-"/>
      <w:lvlJc w:val="left"/>
      <w:pPr>
        <w:ind w:left="118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5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6" w15:restartNumberingAfterBreak="0">
    <w:nsid w:val="1D3B0680"/>
    <w:multiLevelType w:val="hybridMultilevel"/>
    <w:tmpl w:val="083E8E40"/>
    <w:lvl w:ilvl="0" w:tplc="A782B752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DE903C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B38E02CA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7522009A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5944E83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5C6D190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2206A42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D86BBC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1916DEEA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7" w15:restartNumberingAfterBreak="0">
    <w:nsid w:val="1ECA55FB"/>
    <w:multiLevelType w:val="multilevel"/>
    <w:tmpl w:val="BE2AECFC"/>
    <w:lvl w:ilvl="0">
      <w:start w:val="1"/>
      <w:numFmt w:val="decimal"/>
      <w:lvlText w:val="%1.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8" w15:restartNumberingAfterBreak="0">
    <w:nsid w:val="20DB3822"/>
    <w:multiLevelType w:val="hybridMultilevel"/>
    <w:tmpl w:val="61C07CE6"/>
    <w:lvl w:ilvl="0" w:tplc="1852765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9960982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16BA30D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8548A60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E61EC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CCA0BBE8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5E2634E2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2820FE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640813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9" w15:restartNumberingAfterBreak="0">
    <w:nsid w:val="2175311E"/>
    <w:multiLevelType w:val="hybridMultilevel"/>
    <w:tmpl w:val="123CEC56"/>
    <w:lvl w:ilvl="0" w:tplc="54DAAC82">
      <w:start w:val="1"/>
      <w:numFmt w:val="decimal"/>
      <w:lvlText w:val="%1.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6D89AEE">
      <w:start w:val="1"/>
      <w:numFmt w:val="lowerLetter"/>
      <w:lvlText w:val="%2."/>
      <w:lvlJc w:val="left"/>
      <w:pPr>
        <w:ind w:left="2368" w:hanging="360"/>
        <w:jc w:val="left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2" w:tplc="0F9C5526">
      <w:start w:val="1"/>
      <w:numFmt w:val="upperLetter"/>
      <w:lvlText w:val="%3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 w:tplc="E4E487D0">
      <w:start w:val="1"/>
      <w:numFmt w:val="bullet"/>
      <w:lvlText w:val="•"/>
      <w:lvlJc w:val="left"/>
      <w:pPr>
        <w:ind w:left="4186" w:hanging="269"/>
      </w:pPr>
      <w:rPr>
        <w:rFonts w:hint="default"/>
      </w:rPr>
    </w:lvl>
    <w:lvl w:ilvl="4" w:tplc="D4D806AC">
      <w:start w:val="1"/>
      <w:numFmt w:val="bullet"/>
      <w:lvlText w:val="•"/>
      <w:lvlJc w:val="left"/>
      <w:pPr>
        <w:ind w:left="4809" w:hanging="269"/>
      </w:pPr>
      <w:rPr>
        <w:rFonts w:hint="default"/>
      </w:rPr>
    </w:lvl>
    <w:lvl w:ilvl="5" w:tplc="633C8BAC">
      <w:start w:val="1"/>
      <w:numFmt w:val="bullet"/>
      <w:lvlText w:val="•"/>
      <w:lvlJc w:val="left"/>
      <w:pPr>
        <w:ind w:left="5432" w:hanging="269"/>
      </w:pPr>
      <w:rPr>
        <w:rFonts w:hint="default"/>
      </w:rPr>
    </w:lvl>
    <w:lvl w:ilvl="6" w:tplc="B4A4A49C">
      <w:start w:val="1"/>
      <w:numFmt w:val="bullet"/>
      <w:lvlText w:val="•"/>
      <w:lvlJc w:val="left"/>
      <w:pPr>
        <w:ind w:left="6055" w:hanging="269"/>
      </w:pPr>
      <w:rPr>
        <w:rFonts w:hint="default"/>
      </w:rPr>
    </w:lvl>
    <w:lvl w:ilvl="7" w:tplc="8A2C6450">
      <w:start w:val="1"/>
      <w:numFmt w:val="bullet"/>
      <w:lvlText w:val="•"/>
      <w:lvlJc w:val="left"/>
      <w:pPr>
        <w:ind w:left="6678" w:hanging="269"/>
      </w:pPr>
      <w:rPr>
        <w:rFonts w:hint="default"/>
      </w:rPr>
    </w:lvl>
    <w:lvl w:ilvl="8" w:tplc="C9DC87CE">
      <w:start w:val="1"/>
      <w:numFmt w:val="bullet"/>
      <w:lvlText w:val="•"/>
      <w:lvlJc w:val="left"/>
      <w:pPr>
        <w:ind w:left="7301" w:hanging="269"/>
      </w:pPr>
      <w:rPr>
        <w:rFonts w:hint="default"/>
      </w:rPr>
    </w:lvl>
  </w:abstractNum>
  <w:abstractNum w:abstractNumId="10" w15:restartNumberingAfterBreak="0">
    <w:nsid w:val="28462F8F"/>
    <w:multiLevelType w:val="hybridMultilevel"/>
    <w:tmpl w:val="9B14DDE4"/>
    <w:lvl w:ilvl="0" w:tplc="32343D8E">
      <w:start w:val="1"/>
      <w:numFmt w:val="bullet"/>
      <w:lvlText w:val=""/>
      <w:lvlJc w:val="left"/>
      <w:pPr>
        <w:ind w:left="686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1" w15:restartNumberingAfterBreak="0">
    <w:nsid w:val="2EDB47A3"/>
    <w:multiLevelType w:val="hybridMultilevel"/>
    <w:tmpl w:val="E41E0706"/>
    <w:lvl w:ilvl="0" w:tplc="F482D94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FD6B24A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4058EAE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43C2DAB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4ADAF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B4EFA02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D3D057F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2B420234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CFACA8E6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2" w15:restartNumberingAfterBreak="0">
    <w:nsid w:val="36EA0019"/>
    <w:multiLevelType w:val="hybridMultilevel"/>
    <w:tmpl w:val="FE94F842"/>
    <w:lvl w:ilvl="0" w:tplc="9656E5E6">
      <w:start w:val="1"/>
      <w:numFmt w:val="upperLetter"/>
      <w:lvlText w:val="%1."/>
      <w:lvlJc w:val="left"/>
      <w:pPr>
        <w:ind w:left="1440" w:hanging="568"/>
        <w:jc w:val="left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36BC1378">
      <w:start w:val="1"/>
      <w:numFmt w:val="bullet"/>
      <w:lvlText w:val="•"/>
      <w:lvlJc w:val="left"/>
      <w:pPr>
        <w:ind w:left="2151" w:hanging="568"/>
      </w:pPr>
      <w:rPr>
        <w:rFonts w:hint="default"/>
      </w:rPr>
    </w:lvl>
    <w:lvl w:ilvl="2" w:tplc="3A507B04">
      <w:start w:val="1"/>
      <w:numFmt w:val="bullet"/>
      <w:lvlText w:val="•"/>
      <w:lvlJc w:val="left"/>
      <w:pPr>
        <w:ind w:left="2861" w:hanging="568"/>
      </w:pPr>
      <w:rPr>
        <w:rFonts w:hint="default"/>
      </w:rPr>
    </w:lvl>
    <w:lvl w:ilvl="3" w:tplc="D0863962">
      <w:start w:val="1"/>
      <w:numFmt w:val="bullet"/>
      <w:lvlText w:val="•"/>
      <w:lvlJc w:val="left"/>
      <w:pPr>
        <w:ind w:left="3572" w:hanging="568"/>
      </w:pPr>
      <w:rPr>
        <w:rFonts w:hint="default"/>
      </w:rPr>
    </w:lvl>
    <w:lvl w:ilvl="4" w:tplc="D1B00D06">
      <w:start w:val="1"/>
      <w:numFmt w:val="bullet"/>
      <w:lvlText w:val="•"/>
      <w:lvlJc w:val="left"/>
      <w:pPr>
        <w:ind w:left="4283" w:hanging="568"/>
      </w:pPr>
      <w:rPr>
        <w:rFonts w:hint="default"/>
      </w:rPr>
    </w:lvl>
    <w:lvl w:ilvl="5" w:tplc="DB526AC4">
      <w:start w:val="1"/>
      <w:numFmt w:val="bullet"/>
      <w:lvlText w:val="•"/>
      <w:lvlJc w:val="left"/>
      <w:pPr>
        <w:ind w:left="4994" w:hanging="568"/>
      </w:pPr>
      <w:rPr>
        <w:rFonts w:hint="default"/>
      </w:rPr>
    </w:lvl>
    <w:lvl w:ilvl="6" w:tplc="75688996">
      <w:start w:val="1"/>
      <w:numFmt w:val="bullet"/>
      <w:lvlText w:val="•"/>
      <w:lvlJc w:val="left"/>
      <w:pPr>
        <w:ind w:left="5704" w:hanging="568"/>
      </w:pPr>
      <w:rPr>
        <w:rFonts w:hint="default"/>
      </w:rPr>
    </w:lvl>
    <w:lvl w:ilvl="7" w:tplc="CC8E239E">
      <w:start w:val="1"/>
      <w:numFmt w:val="bullet"/>
      <w:lvlText w:val="•"/>
      <w:lvlJc w:val="left"/>
      <w:pPr>
        <w:ind w:left="6415" w:hanging="568"/>
      </w:pPr>
      <w:rPr>
        <w:rFonts w:hint="default"/>
      </w:rPr>
    </w:lvl>
    <w:lvl w:ilvl="8" w:tplc="D0ACCBA2">
      <w:start w:val="1"/>
      <w:numFmt w:val="bullet"/>
      <w:lvlText w:val="•"/>
      <w:lvlJc w:val="left"/>
      <w:pPr>
        <w:ind w:left="7126" w:hanging="568"/>
      </w:pPr>
      <w:rPr>
        <w:rFonts w:hint="default"/>
      </w:rPr>
    </w:lvl>
  </w:abstractNum>
  <w:abstractNum w:abstractNumId="13" w15:restartNumberingAfterBreak="0">
    <w:nsid w:val="3DF11902"/>
    <w:multiLevelType w:val="hybridMultilevel"/>
    <w:tmpl w:val="310C106E"/>
    <w:lvl w:ilvl="0" w:tplc="D132FD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8A41AC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E721AB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8F4B45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0B63CB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C38866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1BBA35EA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D3587A02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277AC44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4" w15:restartNumberingAfterBreak="0">
    <w:nsid w:val="49D12ADE"/>
    <w:multiLevelType w:val="hybridMultilevel"/>
    <w:tmpl w:val="8CE0EB84"/>
    <w:lvl w:ilvl="0" w:tplc="D09A5F34">
      <w:start w:val="2"/>
      <w:numFmt w:val="upperRoman"/>
      <w:lvlText w:val="%1."/>
      <w:lvlJc w:val="left"/>
      <w:pPr>
        <w:ind w:left="2024" w:hanging="281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A27263EE">
      <w:start w:val="1"/>
      <w:numFmt w:val="bullet"/>
      <w:lvlText w:val="•"/>
      <w:lvlJc w:val="left"/>
      <w:pPr>
        <w:ind w:left="2677" w:hanging="281"/>
      </w:pPr>
      <w:rPr>
        <w:rFonts w:hint="default"/>
      </w:rPr>
    </w:lvl>
    <w:lvl w:ilvl="2" w:tplc="09BCF4B0">
      <w:start w:val="1"/>
      <w:numFmt w:val="bullet"/>
      <w:lvlText w:val="•"/>
      <w:lvlJc w:val="left"/>
      <w:pPr>
        <w:ind w:left="3329" w:hanging="281"/>
      </w:pPr>
      <w:rPr>
        <w:rFonts w:hint="default"/>
      </w:rPr>
    </w:lvl>
    <w:lvl w:ilvl="3" w:tplc="B92C3B2E">
      <w:start w:val="1"/>
      <w:numFmt w:val="bullet"/>
      <w:lvlText w:val="•"/>
      <w:lvlJc w:val="left"/>
      <w:pPr>
        <w:ind w:left="3981" w:hanging="281"/>
      </w:pPr>
      <w:rPr>
        <w:rFonts w:hint="default"/>
      </w:rPr>
    </w:lvl>
    <w:lvl w:ilvl="4" w:tplc="DE84F572">
      <w:start w:val="1"/>
      <w:numFmt w:val="bullet"/>
      <w:lvlText w:val="•"/>
      <w:lvlJc w:val="left"/>
      <w:pPr>
        <w:ind w:left="4633" w:hanging="281"/>
      </w:pPr>
      <w:rPr>
        <w:rFonts w:hint="default"/>
      </w:rPr>
    </w:lvl>
    <w:lvl w:ilvl="5" w:tplc="A5F065D0">
      <w:start w:val="1"/>
      <w:numFmt w:val="bullet"/>
      <w:lvlText w:val="•"/>
      <w:lvlJc w:val="left"/>
      <w:pPr>
        <w:ind w:left="5286" w:hanging="281"/>
      </w:pPr>
      <w:rPr>
        <w:rFonts w:hint="default"/>
      </w:rPr>
    </w:lvl>
    <w:lvl w:ilvl="6" w:tplc="39EC94FA">
      <w:start w:val="1"/>
      <w:numFmt w:val="bullet"/>
      <w:lvlText w:val="•"/>
      <w:lvlJc w:val="left"/>
      <w:pPr>
        <w:ind w:left="5938" w:hanging="281"/>
      </w:pPr>
      <w:rPr>
        <w:rFonts w:hint="default"/>
      </w:rPr>
    </w:lvl>
    <w:lvl w:ilvl="7" w:tplc="C9069A88">
      <w:start w:val="1"/>
      <w:numFmt w:val="bullet"/>
      <w:lvlText w:val="•"/>
      <w:lvlJc w:val="left"/>
      <w:pPr>
        <w:ind w:left="6590" w:hanging="281"/>
      </w:pPr>
      <w:rPr>
        <w:rFonts w:hint="default"/>
      </w:rPr>
    </w:lvl>
    <w:lvl w:ilvl="8" w:tplc="D33A14F8">
      <w:start w:val="1"/>
      <w:numFmt w:val="bullet"/>
      <w:lvlText w:val="•"/>
      <w:lvlJc w:val="left"/>
      <w:pPr>
        <w:ind w:left="7243" w:hanging="281"/>
      </w:pPr>
      <w:rPr>
        <w:rFonts w:hint="default"/>
      </w:rPr>
    </w:lvl>
  </w:abstractNum>
  <w:abstractNum w:abstractNumId="15" w15:restartNumberingAfterBreak="0">
    <w:nsid w:val="4AC53939"/>
    <w:multiLevelType w:val="hybridMultilevel"/>
    <w:tmpl w:val="F0EAD42A"/>
    <w:lvl w:ilvl="0" w:tplc="FA82D1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16" w15:restartNumberingAfterBreak="0">
    <w:nsid w:val="4B5E1F4B"/>
    <w:multiLevelType w:val="hybridMultilevel"/>
    <w:tmpl w:val="63D09B7C"/>
    <w:lvl w:ilvl="0" w:tplc="6A9A180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94CF1DA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0CA4C8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C21895C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E87EC17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5EBA74C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0CA0A27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A204F2EC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F0FA68F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7" w15:restartNumberingAfterBreak="0">
    <w:nsid w:val="4D643A51"/>
    <w:multiLevelType w:val="hybridMultilevel"/>
    <w:tmpl w:val="04E4F7C0"/>
    <w:lvl w:ilvl="0" w:tplc="220ED48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AF45A5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F6B2CD6E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9378CFD4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E50DC9E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B8E0392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6FE40F7C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73FAB17E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E1260E40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8" w15:restartNumberingAfterBreak="0">
    <w:nsid w:val="5A5E0E31"/>
    <w:multiLevelType w:val="hybridMultilevel"/>
    <w:tmpl w:val="5866A4A6"/>
    <w:lvl w:ilvl="0" w:tplc="FB8CF4E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7160AC0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D42C1E9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6388CC60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17B4C2E0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934C74DC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A60513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14A457BA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064A8A9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9" w15:restartNumberingAfterBreak="0">
    <w:nsid w:val="5E24540B"/>
    <w:multiLevelType w:val="hybridMultilevel"/>
    <w:tmpl w:val="D6D2EBF4"/>
    <w:lvl w:ilvl="0" w:tplc="71F071B2">
      <w:start w:val="1"/>
      <w:numFmt w:val="bullet"/>
      <w:lvlText w:val="•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81AF6E8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DB96B5D4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C540BC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1DF6E58A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9CCA83DE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4E5EE3CE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ED0229F0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F9A1A20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20" w15:restartNumberingAfterBreak="0">
    <w:nsid w:val="607520FC"/>
    <w:multiLevelType w:val="hybridMultilevel"/>
    <w:tmpl w:val="34F05C22"/>
    <w:lvl w:ilvl="0" w:tplc="16B6972A">
      <w:start w:val="1"/>
      <w:numFmt w:val="decimal"/>
      <w:lvlText w:val="%1."/>
      <w:lvlJc w:val="left"/>
      <w:pPr>
        <w:ind w:left="118" w:hanging="568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90C0AB7C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1ED8BF20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E99C9332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89E0E1C8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3C7A5FD6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0FB85796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714868D2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C1509DD2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21" w15:restartNumberingAfterBreak="0">
    <w:nsid w:val="686C4BE8"/>
    <w:multiLevelType w:val="hybridMultilevel"/>
    <w:tmpl w:val="8E0A9878"/>
    <w:lvl w:ilvl="0" w:tplc="D69499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5101736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062A71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C2B2D50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03369D5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10665718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971A41F4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975885B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5F8E248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2" w15:restartNumberingAfterBreak="0">
    <w:nsid w:val="6FDD4266"/>
    <w:multiLevelType w:val="hybridMultilevel"/>
    <w:tmpl w:val="EB7ED8A0"/>
    <w:lvl w:ilvl="0" w:tplc="29E4793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3" w15:restartNumberingAfterBreak="0">
    <w:nsid w:val="70ED0960"/>
    <w:multiLevelType w:val="multilevel"/>
    <w:tmpl w:val="3B4A1118"/>
    <w:lvl w:ilvl="0">
      <w:start w:val="4"/>
      <w:numFmt w:val="decimal"/>
      <w:lvlText w:val="%1"/>
      <w:lvlJc w:val="left"/>
      <w:pPr>
        <w:ind w:left="686" w:hanging="56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24" w15:restartNumberingAfterBreak="0">
    <w:nsid w:val="74F51D27"/>
    <w:multiLevelType w:val="hybridMultilevel"/>
    <w:tmpl w:val="46826BAA"/>
    <w:lvl w:ilvl="0" w:tplc="B71653F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AD292F8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A0F67972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6B96F1B2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E25A59B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45D0BC84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B9160FCE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C324D078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4036E26E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25" w15:restartNumberingAfterBreak="0">
    <w:nsid w:val="770F53E5"/>
    <w:multiLevelType w:val="hybridMultilevel"/>
    <w:tmpl w:val="780610C6"/>
    <w:lvl w:ilvl="0" w:tplc="DDAE0158">
      <w:start w:val="1"/>
      <w:numFmt w:val="decimal"/>
      <w:lvlText w:val="%1."/>
      <w:lvlJc w:val="left"/>
      <w:pPr>
        <w:ind w:left="339" w:hanging="221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0E320032">
      <w:start w:val="1"/>
      <w:numFmt w:val="bullet"/>
      <w:lvlText w:val="•"/>
      <w:lvlJc w:val="left"/>
      <w:pPr>
        <w:ind w:left="1234" w:hanging="221"/>
      </w:pPr>
      <w:rPr>
        <w:rFonts w:hint="default"/>
      </w:rPr>
    </w:lvl>
    <w:lvl w:ilvl="2" w:tplc="EC2A8882">
      <w:start w:val="1"/>
      <w:numFmt w:val="bullet"/>
      <w:lvlText w:val="•"/>
      <w:lvlJc w:val="left"/>
      <w:pPr>
        <w:ind w:left="2128" w:hanging="221"/>
      </w:pPr>
      <w:rPr>
        <w:rFonts w:hint="default"/>
      </w:rPr>
    </w:lvl>
    <w:lvl w:ilvl="3" w:tplc="6526C308">
      <w:start w:val="1"/>
      <w:numFmt w:val="bullet"/>
      <w:lvlText w:val="•"/>
      <w:lvlJc w:val="left"/>
      <w:pPr>
        <w:ind w:left="3023" w:hanging="221"/>
      </w:pPr>
      <w:rPr>
        <w:rFonts w:hint="default"/>
      </w:rPr>
    </w:lvl>
    <w:lvl w:ilvl="4" w:tplc="A9EC3552">
      <w:start w:val="1"/>
      <w:numFmt w:val="bullet"/>
      <w:lvlText w:val="•"/>
      <w:lvlJc w:val="left"/>
      <w:pPr>
        <w:ind w:left="3918" w:hanging="221"/>
      </w:pPr>
      <w:rPr>
        <w:rFonts w:hint="default"/>
      </w:rPr>
    </w:lvl>
    <w:lvl w:ilvl="5" w:tplc="1BB2EE52">
      <w:start w:val="1"/>
      <w:numFmt w:val="bullet"/>
      <w:lvlText w:val="•"/>
      <w:lvlJc w:val="left"/>
      <w:pPr>
        <w:ind w:left="4813" w:hanging="221"/>
      </w:pPr>
      <w:rPr>
        <w:rFonts w:hint="default"/>
      </w:rPr>
    </w:lvl>
    <w:lvl w:ilvl="6" w:tplc="432656B4">
      <w:start w:val="1"/>
      <w:numFmt w:val="bullet"/>
      <w:lvlText w:val="•"/>
      <w:lvlJc w:val="left"/>
      <w:pPr>
        <w:ind w:left="5708" w:hanging="221"/>
      </w:pPr>
      <w:rPr>
        <w:rFonts w:hint="default"/>
      </w:rPr>
    </w:lvl>
    <w:lvl w:ilvl="7" w:tplc="90CA0032">
      <w:start w:val="1"/>
      <w:numFmt w:val="bullet"/>
      <w:lvlText w:val="•"/>
      <w:lvlJc w:val="left"/>
      <w:pPr>
        <w:ind w:left="6603" w:hanging="221"/>
      </w:pPr>
      <w:rPr>
        <w:rFonts w:hint="default"/>
      </w:rPr>
    </w:lvl>
    <w:lvl w:ilvl="8" w:tplc="C7D8233C">
      <w:start w:val="1"/>
      <w:numFmt w:val="bullet"/>
      <w:lvlText w:val="•"/>
      <w:lvlJc w:val="left"/>
      <w:pPr>
        <w:ind w:left="7497" w:hanging="221"/>
      </w:pPr>
      <w:rPr>
        <w:rFonts w:hint="default"/>
      </w:rPr>
    </w:lvl>
  </w:abstractNum>
  <w:abstractNum w:abstractNumId="26" w15:restartNumberingAfterBreak="0">
    <w:nsid w:val="78397533"/>
    <w:multiLevelType w:val="hybridMultilevel"/>
    <w:tmpl w:val="0C126624"/>
    <w:lvl w:ilvl="0" w:tplc="CAAE34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C6C4BBA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808C0CE6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2E7A5C70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B554F81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3CD6541C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05E0BECA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BE08CC94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CD468C78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27" w15:restartNumberingAfterBreak="0">
    <w:nsid w:val="7FF93836"/>
    <w:multiLevelType w:val="hybridMultilevel"/>
    <w:tmpl w:val="3EFE2870"/>
    <w:lvl w:ilvl="0" w:tplc="9CA291DE">
      <w:start w:val="1"/>
      <w:numFmt w:val="decimal"/>
      <w:lvlText w:val="%1."/>
      <w:lvlJc w:val="left"/>
      <w:pPr>
        <w:ind w:left="686" w:hanging="568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A7A414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6AAEFD7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DA8852EC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0B0F58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C5F82EA8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26891E4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6B7C07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1504967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num w:numId="1">
    <w:abstractNumId w:val="19"/>
  </w:num>
  <w:num w:numId="2">
    <w:abstractNumId w:val="18"/>
  </w:num>
  <w:num w:numId="3">
    <w:abstractNumId w:val="15"/>
  </w:num>
  <w:num w:numId="4">
    <w:abstractNumId w:val="22"/>
  </w:num>
  <w:num w:numId="5">
    <w:abstractNumId w:val="3"/>
  </w:num>
  <w:num w:numId="6">
    <w:abstractNumId w:val="13"/>
  </w:num>
  <w:num w:numId="7">
    <w:abstractNumId w:val="21"/>
  </w:num>
  <w:num w:numId="8">
    <w:abstractNumId w:val="26"/>
  </w:num>
  <w:num w:numId="9">
    <w:abstractNumId w:val="11"/>
  </w:num>
  <w:num w:numId="10">
    <w:abstractNumId w:val="4"/>
  </w:num>
  <w:num w:numId="11">
    <w:abstractNumId w:val="20"/>
  </w:num>
  <w:num w:numId="12">
    <w:abstractNumId w:val="27"/>
  </w:num>
  <w:num w:numId="13">
    <w:abstractNumId w:val="5"/>
  </w:num>
  <w:num w:numId="14">
    <w:abstractNumId w:val="9"/>
  </w:num>
  <w:num w:numId="15">
    <w:abstractNumId w:val="10"/>
  </w:num>
  <w:num w:numId="16">
    <w:abstractNumId w:val="2"/>
  </w:num>
  <w:num w:numId="17">
    <w:abstractNumId w:val="12"/>
  </w:num>
  <w:num w:numId="18">
    <w:abstractNumId w:val="14"/>
  </w:num>
  <w:num w:numId="19">
    <w:abstractNumId w:val="25"/>
  </w:num>
  <w:num w:numId="20">
    <w:abstractNumId w:val="0"/>
  </w:num>
  <w:num w:numId="21">
    <w:abstractNumId w:val="16"/>
  </w:num>
  <w:num w:numId="22">
    <w:abstractNumId w:val="17"/>
  </w:num>
  <w:num w:numId="23">
    <w:abstractNumId w:val="24"/>
  </w:num>
  <w:num w:numId="24">
    <w:abstractNumId w:val="6"/>
  </w:num>
  <w:num w:numId="25">
    <w:abstractNumId w:val="8"/>
  </w:num>
  <w:num w:numId="26">
    <w:abstractNumId w:val="23"/>
  </w:num>
  <w:num w:numId="27">
    <w:abstractNumId w:val="1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05"/>
    <w:rsid w:val="00010D6D"/>
    <w:rsid w:val="00011103"/>
    <w:rsid w:val="00025FC8"/>
    <w:rsid w:val="00027F8E"/>
    <w:rsid w:val="00032F72"/>
    <w:rsid w:val="00032FEF"/>
    <w:rsid w:val="00035AD3"/>
    <w:rsid w:val="00046133"/>
    <w:rsid w:val="00046CAD"/>
    <w:rsid w:val="00047D0B"/>
    <w:rsid w:val="0005683A"/>
    <w:rsid w:val="0005704E"/>
    <w:rsid w:val="00063923"/>
    <w:rsid w:val="0007388D"/>
    <w:rsid w:val="00075953"/>
    <w:rsid w:val="000A1615"/>
    <w:rsid w:val="000B1359"/>
    <w:rsid w:val="000B7255"/>
    <w:rsid w:val="000C54F4"/>
    <w:rsid w:val="000D0470"/>
    <w:rsid w:val="000D4AB0"/>
    <w:rsid w:val="000F16E7"/>
    <w:rsid w:val="00102EDD"/>
    <w:rsid w:val="00103DAB"/>
    <w:rsid w:val="00117E95"/>
    <w:rsid w:val="00126FBE"/>
    <w:rsid w:val="00134741"/>
    <w:rsid w:val="0013481D"/>
    <w:rsid w:val="0013637D"/>
    <w:rsid w:val="00141FD3"/>
    <w:rsid w:val="00152215"/>
    <w:rsid w:val="00154AAE"/>
    <w:rsid w:val="00161F85"/>
    <w:rsid w:val="00163ACB"/>
    <w:rsid w:val="001652E2"/>
    <w:rsid w:val="00166629"/>
    <w:rsid w:val="001706D6"/>
    <w:rsid w:val="0017344B"/>
    <w:rsid w:val="00175F1C"/>
    <w:rsid w:val="00180080"/>
    <w:rsid w:val="00184FC7"/>
    <w:rsid w:val="001916DF"/>
    <w:rsid w:val="001A4C7F"/>
    <w:rsid w:val="001A762B"/>
    <w:rsid w:val="001A7B71"/>
    <w:rsid w:val="001B390B"/>
    <w:rsid w:val="001B3F60"/>
    <w:rsid w:val="001B4E3F"/>
    <w:rsid w:val="001B6A89"/>
    <w:rsid w:val="001D16F1"/>
    <w:rsid w:val="001D526D"/>
    <w:rsid w:val="001E36D2"/>
    <w:rsid w:val="001F11E1"/>
    <w:rsid w:val="001F30F8"/>
    <w:rsid w:val="001F3284"/>
    <w:rsid w:val="001F6192"/>
    <w:rsid w:val="001F7A4E"/>
    <w:rsid w:val="002133C6"/>
    <w:rsid w:val="00222C44"/>
    <w:rsid w:val="00225D6A"/>
    <w:rsid w:val="00230C76"/>
    <w:rsid w:val="00233C95"/>
    <w:rsid w:val="00240C69"/>
    <w:rsid w:val="002546F3"/>
    <w:rsid w:val="00261D2B"/>
    <w:rsid w:val="002669CE"/>
    <w:rsid w:val="00271D03"/>
    <w:rsid w:val="00282CDE"/>
    <w:rsid w:val="00284365"/>
    <w:rsid w:val="00287CB5"/>
    <w:rsid w:val="002909E9"/>
    <w:rsid w:val="002A154C"/>
    <w:rsid w:val="002A2EBF"/>
    <w:rsid w:val="002B5754"/>
    <w:rsid w:val="002E14D2"/>
    <w:rsid w:val="002E2702"/>
    <w:rsid w:val="002F2306"/>
    <w:rsid w:val="002F6FC8"/>
    <w:rsid w:val="00311F8E"/>
    <w:rsid w:val="00320592"/>
    <w:rsid w:val="00321538"/>
    <w:rsid w:val="00322EBD"/>
    <w:rsid w:val="00324E9E"/>
    <w:rsid w:val="00327AAE"/>
    <w:rsid w:val="0033375C"/>
    <w:rsid w:val="00341A87"/>
    <w:rsid w:val="00341C9D"/>
    <w:rsid w:val="003571F3"/>
    <w:rsid w:val="00375FB3"/>
    <w:rsid w:val="00380E04"/>
    <w:rsid w:val="003816D5"/>
    <w:rsid w:val="00390771"/>
    <w:rsid w:val="0039628C"/>
    <w:rsid w:val="003A3209"/>
    <w:rsid w:val="003A38EE"/>
    <w:rsid w:val="003A73B4"/>
    <w:rsid w:val="003B04F6"/>
    <w:rsid w:val="003B2172"/>
    <w:rsid w:val="003C1E98"/>
    <w:rsid w:val="003C2747"/>
    <w:rsid w:val="003C4BDF"/>
    <w:rsid w:val="003E4330"/>
    <w:rsid w:val="003F0673"/>
    <w:rsid w:val="003F2788"/>
    <w:rsid w:val="003F2BF6"/>
    <w:rsid w:val="003F40DC"/>
    <w:rsid w:val="003F5791"/>
    <w:rsid w:val="00401E0C"/>
    <w:rsid w:val="00404962"/>
    <w:rsid w:val="00411924"/>
    <w:rsid w:val="00413B91"/>
    <w:rsid w:val="00415E5F"/>
    <w:rsid w:val="004211B7"/>
    <w:rsid w:val="00423EA6"/>
    <w:rsid w:val="00427E1F"/>
    <w:rsid w:val="00430A9D"/>
    <w:rsid w:val="00431150"/>
    <w:rsid w:val="00452B7D"/>
    <w:rsid w:val="0045452F"/>
    <w:rsid w:val="00455F2E"/>
    <w:rsid w:val="00484E56"/>
    <w:rsid w:val="00486BEB"/>
    <w:rsid w:val="004914D2"/>
    <w:rsid w:val="004A1AAE"/>
    <w:rsid w:val="004A2A80"/>
    <w:rsid w:val="004A2C8F"/>
    <w:rsid w:val="004B1EE7"/>
    <w:rsid w:val="004C0168"/>
    <w:rsid w:val="004C0305"/>
    <w:rsid w:val="004C6871"/>
    <w:rsid w:val="004D5FF5"/>
    <w:rsid w:val="004E4F0C"/>
    <w:rsid w:val="004E6886"/>
    <w:rsid w:val="004E7561"/>
    <w:rsid w:val="004F79A6"/>
    <w:rsid w:val="00522693"/>
    <w:rsid w:val="00523202"/>
    <w:rsid w:val="0054337C"/>
    <w:rsid w:val="00546931"/>
    <w:rsid w:val="005469B1"/>
    <w:rsid w:val="00555557"/>
    <w:rsid w:val="00562A92"/>
    <w:rsid w:val="005637EE"/>
    <w:rsid w:val="00572908"/>
    <w:rsid w:val="00587CBB"/>
    <w:rsid w:val="005B5C30"/>
    <w:rsid w:val="005C7E1D"/>
    <w:rsid w:val="005D0410"/>
    <w:rsid w:val="005D4F0B"/>
    <w:rsid w:val="005F7D92"/>
    <w:rsid w:val="00603E3C"/>
    <w:rsid w:val="00607A97"/>
    <w:rsid w:val="00615847"/>
    <w:rsid w:val="006520B1"/>
    <w:rsid w:val="006547DE"/>
    <w:rsid w:val="0065653F"/>
    <w:rsid w:val="00666729"/>
    <w:rsid w:val="00667130"/>
    <w:rsid w:val="006673A6"/>
    <w:rsid w:val="00674CD9"/>
    <w:rsid w:val="0068270B"/>
    <w:rsid w:val="006839A1"/>
    <w:rsid w:val="0068528F"/>
    <w:rsid w:val="00693819"/>
    <w:rsid w:val="00693964"/>
    <w:rsid w:val="006B3AE4"/>
    <w:rsid w:val="006B3F17"/>
    <w:rsid w:val="006C0897"/>
    <w:rsid w:val="006C526F"/>
    <w:rsid w:val="006F5F6B"/>
    <w:rsid w:val="00714497"/>
    <w:rsid w:val="007208C0"/>
    <w:rsid w:val="00722BA5"/>
    <w:rsid w:val="00723633"/>
    <w:rsid w:val="00727F90"/>
    <w:rsid w:val="007317BF"/>
    <w:rsid w:val="007366F7"/>
    <w:rsid w:val="00736A74"/>
    <w:rsid w:val="00744655"/>
    <w:rsid w:val="00751A4E"/>
    <w:rsid w:val="00784B6E"/>
    <w:rsid w:val="00792444"/>
    <w:rsid w:val="007927F8"/>
    <w:rsid w:val="007A10A7"/>
    <w:rsid w:val="007B587D"/>
    <w:rsid w:val="007B613E"/>
    <w:rsid w:val="007C08E9"/>
    <w:rsid w:val="007C6032"/>
    <w:rsid w:val="007D2011"/>
    <w:rsid w:val="007D34AD"/>
    <w:rsid w:val="007D46E6"/>
    <w:rsid w:val="007E30C9"/>
    <w:rsid w:val="007F54DD"/>
    <w:rsid w:val="0080074B"/>
    <w:rsid w:val="00810CD7"/>
    <w:rsid w:val="00812801"/>
    <w:rsid w:val="00813FB3"/>
    <w:rsid w:val="00826BF4"/>
    <w:rsid w:val="00834D75"/>
    <w:rsid w:val="00836B64"/>
    <w:rsid w:val="0084026B"/>
    <w:rsid w:val="00843F27"/>
    <w:rsid w:val="008649A9"/>
    <w:rsid w:val="00871801"/>
    <w:rsid w:val="0087685B"/>
    <w:rsid w:val="0089258C"/>
    <w:rsid w:val="008A2535"/>
    <w:rsid w:val="008A5F2F"/>
    <w:rsid w:val="008B08DA"/>
    <w:rsid w:val="008B2F5B"/>
    <w:rsid w:val="008D363A"/>
    <w:rsid w:val="008D72BD"/>
    <w:rsid w:val="008E5466"/>
    <w:rsid w:val="008F19E6"/>
    <w:rsid w:val="008F4AE2"/>
    <w:rsid w:val="00901E5E"/>
    <w:rsid w:val="00901EF1"/>
    <w:rsid w:val="00903401"/>
    <w:rsid w:val="00904C84"/>
    <w:rsid w:val="009063E0"/>
    <w:rsid w:val="00906ADF"/>
    <w:rsid w:val="0091096B"/>
    <w:rsid w:val="009138C5"/>
    <w:rsid w:val="00920EC2"/>
    <w:rsid w:val="009219A9"/>
    <w:rsid w:val="00931681"/>
    <w:rsid w:val="00932850"/>
    <w:rsid w:val="00932D3D"/>
    <w:rsid w:val="00933127"/>
    <w:rsid w:val="00937194"/>
    <w:rsid w:val="009437FD"/>
    <w:rsid w:val="00951AD2"/>
    <w:rsid w:val="00955EBB"/>
    <w:rsid w:val="00957A71"/>
    <w:rsid w:val="009619BF"/>
    <w:rsid w:val="0097063D"/>
    <w:rsid w:val="00991D11"/>
    <w:rsid w:val="00992561"/>
    <w:rsid w:val="00993565"/>
    <w:rsid w:val="009A5ABB"/>
    <w:rsid w:val="009A5F58"/>
    <w:rsid w:val="009B407C"/>
    <w:rsid w:val="009D6F9A"/>
    <w:rsid w:val="009E17F8"/>
    <w:rsid w:val="009E62CC"/>
    <w:rsid w:val="009F52CA"/>
    <w:rsid w:val="009F5542"/>
    <w:rsid w:val="009F7035"/>
    <w:rsid w:val="00A039F0"/>
    <w:rsid w:val="00A041BF"/>
    <w:rsid w:val="00A10F6B"/>
    <w:rsid w:val="00A11A1C"/>
    <w:rsid w:val="00A154B4"/>
    <w:rsid w:val="00A1635F"/>
    <w:rsid w:val="00A407C3"/>
    <w:rsid w:val="00A427E3"/>
    <w:rsid w:val="00A454A8"/>
    <w:rsid w:val="00A566BB"/>
    <w:rsid w:val="00A62B03"/>
    <w:rsid w:val="00A70079"/>
    <w:rsid w:val="00A7026D"/>
    <w:rsid w:val="00A751C6"/>
    <w:rsid w:val="00A86515"/>
    <w:rsid w:val="00A9239C"/>
    <w:rsid w:val="00A9366A"/>
    <w:rsid w:val="00A9558F"/>
    <w:rsid w:val="00AD4282"/>
    <w:rsid w:val="00AE7836"/>
    <w:rsid w:val="00AF4443"/>
    <w:rsid w:val="00AF4F77"/>
    <w:rsid w:val="00B0187C"/>
    <w:rsid w:val="00B12AFC"/>
    <w:rsid w:val="00B24D6D"/>
    <w:rsid w:val="00B27A13"/>
    <w:rsid w:val="00B377B0"/>
    <w:rsid w:val="00B40E73"/>
    <w:rsid w:val="00B41CBE"/>
    <w:rsid w:val="00B42FDE"/>
    <w:rsid w:val="00B50D4F"/>
    <w:rsid w:val="00B53222"/>
    <w:rsid w:val="00B71646"/>
    <w:rsid w:val="00B73FB9"/>
    <w:rsid w:val="00B75762"/>
    <w:rsid w:val="00B77382"/>
    <w:rsid w:val="00B82A80"/>
    <w:rsid w:val="00B96464"/>
    <w:rsid w:val="00B970B9"/>
    <w:rsid w:val="00BA721C"/>
    <w:rsid w:val="00BB6788"/>
    <w:rsid w:val="00BC773D"/>
    <w:rsid w:val="00BD0A53"/>
    <w:rsid w:val="00BD5D5A"/>
    <w:rsid w:val="00C1507A"/>
    <w:rsid w:val="00C22736"/>
    <w:rsid w:val="00C31537"/>
    <w:rsid w:val="00C3161C"/>
    <w:rsid w:val="00C445F3"/>
    <w:rsid w:val="00C446AD"/>
    <w:rsid w:val="00C475C5"/>
    <w:rsid w:val="00C517F7"/>
    <w:rsid w:val="00C82645"/>
    <w:rsid w:val="00C845C7"/>
    <w:rsid w:val="00C91353"/>
    <w:rsid w:val="00C93CF3"/>
    <w:rsid w:val="00C973CA"/>
    <w:rsid w:val="00CA28DD"/>
    <w:rsid w:val="00CB3891"/>
    <w:rsid w:val="00CC0DE2"/>
    <w:rsid w:val="00CC15D7"/>
    <w:rsid w:val="00CD41EC"/>
    <w:rsid w:val="00CD60F1"/>
    <w:rsid w:val="00CE6D3C"/>
    <w:rsid w:val="00CF689A"/>
    <w:rsid w:val="00D26BA4"/>
    <w:rsid w:val="00D40E98"/>
    <w:rsid w:val="00D41C23"/>
    <w:rsid w:val="00D42B73"/>
    <w:rsid w:val="00D4468B"/>
    <w:rsid w:val="00D45B4B"/>
    <w:rsid w:val="00D45CD2"/>
    <w:rsid w:val="00D53069"/>
    <w:rsid w:val="00D657D4"/>
    <w:rsid w:val="00D83D5C"/>
    <w:rsid w:val="00D9573E"/>
    <w:rsid w:val="00DA0922"/>
    <w:rsid w:val="00DB23E5"/>
    <w:rsid w:val="00DC0132"/>
    <w:rsid w:val="00DC4532"/>
    <w:rsid w:val="00DD051E"/>
    <w:rsid w:val="00DD1E36"/>
    <w:rsid w:val="00DD3585"/>
    <w:rsid w:val="00DD7788"/>
    <w:rsid w:val="00DF6361"/>
    <w:rsid w:val="00E07AD2"/>
    <w:rsid w:val="00E10DCC"/>
    <w:rsid w:val="00E11783"/>
    <w:rsid w:val="00E134AF"/>
    <w:rsid w:val="00E175CE"/>
    <w:rsid w:val="00E4208A"/>
    <w:rsid w:val="00E4273C"/>
    <w:rsid w:val="00E46AC7"/>
    <w:rsid w:val="00E5780A"/>
    <w:rsid w:val="00E6719E"/>
    <w:rsid w:val="00E76591"/>
    <w:rsid w:val="00E81105"/>
    <w:rsid w:val="00E82FC3"/>
    <w:rsid w:val="00E839E4"/>
    <w:rsid w:val="00E83AE9"/>
    <w:rsid w:val="00E86E34"/>
    <w:rsid w:val="00EA1DFC"/>
    <w:rsid w:val="00EA5C23"/>
    <w:rsid w:val="00EB0ADE"/>
    <w:rsid w:val="00EB25C4"/>
    <w:rsid w:val="00EB3855"/>
    <w:rsid w:val="00EB674C"/>
    <w:rsid w:val="00ED3A82"/>
    <w:rsid w:val="00ED646C"/>
    <w:rsid w:val="00ED6B0E"/>
    <w:rsid w:val="00EE175D"/>
    <w:rsid w:val="00EE7989"/>
    <w:rsid w:val="00EF2500"/>
    <w:rsid w:val="00EF4B65"/>
    <w:rsid w:val="00EF5FDE"/>
    <w:rsid w:val="00F006BC"/>
    <w:rsid w:val="00F060A5"/>
    <w:rsid w:val="00F1294D"/>
    <w:rsid w:val="00F2379A"/>
    <w:rsid w:val="00F26DBC"/>
    <w:rsid w:val="00F43D79"/>
    <w:rsid w:val="00F501C2"/>
    <w:rsid w:val="00F541C9"/>
    <w:rsid w:val="00F62DDA"/>
    <w:rsid w:val="00F63764"/>
    <w:rsid w:val="00F66A42"/>
    <w:rsid w:val="00F714F4"/>
    <w:rsid w:val="00F74839"/>
    <w:rsid w:val="00FA0169"/>
    <w:rsid w:val="00FA2B89"/>
    <w:rsid w:val="00FA79E9"/>
    <w:rsid w:val="00FB0551"/>
    <w:rsid w:val="00FB32E3"/>
    <w:rsid w:val="00FC0E11"/>
    <w:rsid w:val="00FD187B"/>
    <w:rsid w:val="00FE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4F9427"/>
  <w15:docId w15:val="{677036B3-DE2F-4054-8B5E-737190F7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6"/>
      <w:outlineLvl w:val="0"/>
    </w:pPr>
    <w:rPr>
      <w:rFonts w:ascii="Times New Roman" w:eastAsia="Times New Roman" w:hAnsi="Times New Roman"/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F5F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4E688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688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E36D2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1E36D2"/>
  </w:style>
  <w:style w:type="paragraph" w:styleId="llb">
    <w:name w:val="footer"/>
    <w:basedOn w:val="Norml"/>
    <w:link w:val="llbChar"/>
    <w:uiPriority w:val="99"/>
    <w:unhideWhenUsed/>
    <w:rsid w:val="001E36D2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1E36D2"/>
  </w:style>
  <w:style w:type="character" w:customStyle="1" w:styleId="Cmsor2Char">
    <w:name w:val="Címsor 2 Char"/>
    <w:basedOn w:val="Bekezdsalapbettpusa"/>
    <w:link w:val="Cmsor2"/>
    <w:uiPriority w:val="9"/>
    <w:semiHidden/>
    <w:rsid w:val="00EF5F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Jegyzethivatkozs">
    <w:name w:val="annotation reference"/>
    <w:basedOn w:val="Bekezdsalapbettpusa"/>
    <w:uiPriority w:val="99"/>
    <w:semiHidden/>
    <w:unhideWhenUsed/>
    <w:rsid w:val="00EB0AD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B0AD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B0AD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B0AD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B0ADE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714497"/>
    <w:pPr>
      <w:widowControl/>
    </w:pPr>
    <w:rPr>
      <w:rFonts w:ascii="Times New Roman" w:hAnsi="Times New Roman" w:cs="Times New Roman"/>
      <w:sz w:val="24"/>
      <w:szCs w:val="24"/>
      <w:lang w:val="hu-HU"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17344B"/>
    <w:rPr>
      <w:rFonts w:ascii="Times New Roman" w:eastAsia="Times New Roman" w:hAnsi="Times New Roman"/>
    </w:rPr>
  </w:style>
  <w:style w:type="paragraph" w:customStyle="1" w:styleId="Default">
    <w:name w:val="Default"/>
    <w:rsid w:val="00322EBD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E82FC3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4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6779D-590A-41AE-AEA8-48F06123D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26</Pages>
  <Words>10893</Words>
  <Characters>75169</Characters>
  <Application>Microsoft Office Word</Application>
  <DocSecurity>0</DocSecurity>
  <Lines>626</Lines>
  <Paragraphs>171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Gilenya, INN-fingolimod</vt:lpstr>
    </vt:vector>
  </TitlesOfParts>
  <Company/>
  <LinksUpToDate>false</LinksUpToDate>
  <CharactersWithSpaces>85891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Gilenya, INN-fingolimod</dc:title>
  <dc:subject>EPAR</dc:subject>
  <dc:creator>CHMP</dc:creator>
  <cp:keywords>Gilenya, INN-fingolimod</cp:keywords>
  <cp:lastModifiedBy>HU OGYI 49.1</cp:lastModifiedBy>
  <cp:revision>5</cp:revision>
  <dcterms:created xsi:type="dcterms:W3CDTF">2026-07-24T07:27:00Z</dcterms:created>
  <dcterms:modified xsi:type="dcterms:W3CDTF">2026-09-28T10:52:00Z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2019-11-07T00:00:00Z</vt:filetime>
  </property>
  <property fmtid="{D5CDD505-2E9C-101B-9397-08002B2CF9AE}" pid="3" name="LastSaved">
    <vt:filetime>2020-02-19T00:00:00Z</vt:filetime>
  </property>
  <property fmtid="{D5CDD505-2E9C-101B-9397-08002B2CF9AE}" pid="4" name="MSIP_Label_11d8a568-8360-4891-a6ec-a5768dfc9195_Enabled">
    <vt:lpwstr>true</vt:lpwstr>
  </property>
  <property fmtid="{D5CDD505-2E9C-101B-9397-08002B2CF9AE}" pid="5" name="MSIP_Label_11d8a568-8360-4891-a6ec-a5768dfc9195_SetDate">
    <vt:lpwstr>2025-10-13T07:29:54Z</vt:lpwstr>
  </property>
  <property fmtid="{D5CDD505-2E9C-101B-9397-08002B2CF9AE}" pid="6" name="MSIP_Label_11d8a568-8360-4891-a6ec-a5768dfc9195_Method">
    <vt:lpwstr>Standard</vt:lpwstr>
  </property>
  <property fmtid="{D5CDD505-2E9C-101B-9397-08002B2CF9AE}" pid="7" name="MSIP_Label_11d8a568-8360-4891-a6ec-a5768dfc9195_Name">
    <vt:lpwstr>Intern</vt:lpwstr>
  </property>
  <property fmtid="{D5CDD505-2E9C-101B-9397-08002B2CF9AE}" pid="8" name="MSIP_Label_11d8a568-8360-4891-a6ec-a5768dfc9195_SiteId">
    <vt:lpwstr>6bdc6215-bc43-4892-b83b-772704344107</vt:lpwstr>
  </property>
  <property fmtid="{D5CDD505-2E9C-101B-9397-08002B2CF9AE}" pid="9" name="MSIP_Label_11d8a568-8360-4891-a6ec-a5768dfc9195_ActionId">
    <vt:lpwstr>92db0203-6506-4ef5-9e51-6ae8a9fd8f42</vt:lpwstr>
  </property>
  <property fmtid="{D5CDD505-2E9C-101B-9397-08002B2CF9AE}" pid="10" name="MSIP_Label_11d8a568-8360-4891-a6ec-a5768dfc9195_ContentBits">
    <vt:lpwstr>0</vt:lpwstr>
  </property>
  <property fmtid="{D5CDD505-2E9C-101B-9397-08002B2CF9AE}" pid="11" name="MSIP_Label_11d8a568-8360-4891-a6ec-a5768dfc9195_Tag">
    <vt:lpwstr>10, 3, 0, 1</vt:lpwstr>
  </property>
</Properties>
</file>