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CFA87" w14:textId="011CB61C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1.</w:t>
      </w:r>
      <w:r w:rsidR="00716AAD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 GYÓGYSZER NEVE</w:t>
      </w:r>
    </w:p>
    <w:p w14:paraId="07F3EA8F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337A1770" w14:textId="67EA415C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Palonosetron Onkogen 250 mikrogramm oldatos injekció</w:t>
      </w:r>
    </w:p>
    <w:p w14:paraId="1032A7F4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261F45E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2E85A86" w14:textId="64109B0D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2.</w:t>
      </w:r>
      <w:r w:rsidR="00716AAD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MINŐSÉGI ÉS MENNYISÉGI ÖSSZETÉTEL</w:t>
      </w:r>
    </w:p>
    <w:p w14:paraId="26E565C7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97E5C61" w14:textId="64ED9C26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oldat 50</w:t>
      </w:r>
      <w:r w:rsidR="006F7F42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mikrogramm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tartalmaz milliliterenként (hidroklorid formájában). Az injekciós üvegben lévő 5</w:t>
      </w:r>
      <w:r w:rsidR="006F7F42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ml oldat 250</w:t>
      </w:r>
      <w:r w:rsidR="006F7F42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mikrogramm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tartalmaz (hidroklorid formájában).</w:t>
      </w:r>
    </w:p>
    <w:p w14:paraId="0FAAC650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2586B312" w14:textId="7777777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segédanyagok teljes listáját lásd a 6.1 pontban.</w:t>
      </w:r>
    </w:p>
    <w:p w14:paraId="31E63F45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915FBD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B6BC678" w14:textId="20DA5086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3.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GYÓGYSZERFORMA</w:t>
      </w:r>
    </w:p>
    <w:p w14:paraId="40A9AF21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8B04E0B" w14:textId="77777777" w:rsidR="006F7F42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Oldatos injekció.</w:t>
      </w:r>
    </w:p>
    <w:p w14:paraId="2EAED9A8" w14:textId="37890D41" w:rsidR="0050030B" w:rsidRPr="00E5148F" w:rsidRDefault="009132A6" w:rsidP="001E7AF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797782" w:rsidRPr="00E5148F">
        <w:rPr>
          <w:sz w:val="22"/>
          <w:szCs w:val="22"/>
          <w:lang w:val="hu-HU"/>
        </w:rPr>
        <w:t>zíntelen</w:t>
      </w:r>
      <w:r>
        <w:rPr>
          <w:sz w:val="22"/>
          <w:szCs w:val="22"/>
          <w:lang w:val="hu-HU"/>
        </w:rPr>
        <w:t>, átlátszó</w:t>
      </w:r>
      <w:r w:rsidR="00797782" w:rsidRPr="00E5148F">
        <w:rPr>
          <w:sz w:val="22"/>
          <w:szCs w:val="22"/>
          <w:lang w:val="hu-HU"/>
        </w:rPr>
        <w:t xml:space="preserve"> oldat.</w:t>
      </w:r>
    </w:p>
    <w:p w14:paraId="41AA8852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63C931F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CE4E43B" w14:textId="724FDFF2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KLINIKAI JELLEMZŐK</w:t>
      </w:r>
    </w:p>
    <w:p w14:paraId="1414685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DF41205" w14:textId="7D4F3AC0" w:rsidR="0050030B" w:rsidRPr="00E5148F" w:rsidRDefault="00602F23" w:rsidP="00E5148F">
      <w:pPr>
        <w:jc w:val="both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4.1</w:t>
      </w:r>
      <w:r w:rsidRPr="00E5148F">
        <w:rPr>
          <w:b/>
          <w:sz w:val="22"/>
          <w:szCs w:val="22"/>
          <w:lang w:val="hu-HU"/>
        </w:rPr>
        <w:tab/>
      </w:r>
      <w:r w:rsidR="00797782" w:rsidRPr="00E5148F">
        <w:rPr>
          <w:b/>
          <w:sz w:val="22"/>
          <w:szCs w:val="22"/>
          <w:lang w:val="hu-HU"/>
        </w:rPr>
        <w:t>Terápiás javallatok</w:t>
      </w:r>
    </w:p>
    <w:p w14:paraId="4764350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A5397C6" w14:textId="7777777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Palonosetron Onkogen felnőttek számára javallott:</w:t>
      </w:r>
    </w:p>
    <w:p w14:paraId="23F26A49" w14:textId="77777777" w:rsidR="0050030B" w:rsidRPr="00E5148F" w:rsidRDefault="00797782" w:rsidP="001E7AF5">
      <w:pPr>
        <w:pStyle w:val="Listaszerbekezds"/>
        <w:numPr>
          <w:ilvl w:val="0"/>
          <w:numId w:val="3"/>
        </w:numPr>
        <w:jc w:val="both"/>
        <w:rPr>
          <w:sz w:val="22"/>
          <w:szCs w:val="22"/>
          <w:lang w:val="hu-HU"/>
        </w:rPr>
      </w:pPr>
      <w:r w:rsidRPr="00E5148F">
        <w:rPr>
          <w:position w:val="-1"/>
          <w:sz w:val="22"/>
          <w:szCs w:val="22"/>
          <w:lang w:val="hu-HU"/>
        </w:rPr>
        <w:t>erősen emetogén kemoterápiához társuló akut hányinger és hányás megelőzése,</w:t>
      </w:r>
    </w:p>
    <w:p w14:paraId="25E446D1" w14:textId="77777777" w:rsidR="0050030B" w:rsidRPr="00E5148F" w:rsidRDefault="00797782" w:rsidP="001E7AF5">
      <w:pPr>
        <w:pStyle w:val="Listaszerbekezds"/>
        <w:numPr>
          <w:ilvl w:val="0"/>
          <w:numId w:val="3"/>
        </w:numPr>
        <w:jc w:val="both"/>
        <w:rPr>
          <w:sz w:val="22"/>
          <w:szCs w:val="22"/>
          <w:lang w:val="hu-HU"/>
        </w:rPr>
      </w:pPr>
      <w:r w:rsidRPr="00E5148F">
        <w:rPr>
          <w:position w:val="-1"/>
          <w:sz w:val="22"/>
          <w:szCs w:val="22"/>
          <w:lang w:val="hu-HU"/>
        </w:rPr>
        <w:t>közepesen emetogén kemoterápiához társuló hányinger és hányás megelőzése.</w:t>
      </w:r>
    </w:p>
    <w:p w14:paraId="417D80A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6BDD134" w14:textId="77777777" w:rsidR="0050030B" w:rsidRPr="00E5148F" w:rsidRDefault="002C3616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</w:t>
      </w:r>
      <w:r w:rsidR="00797782" w:rsidRPr="00E5148F">
        <w:rPr>
          <w:sz w:val="22"/>
          <w:szCs w:val="22"/>
          <w:lang w:val="hu-HU"/>
        </w:rPr>
        <w:t xml:space="preserve"> Palonosetron Onkogen 1 hónapos és idősebb gyermekek számára javallott:</w:t>
      </w:r>
    </w:p>
    <w:p w14:paraId="3B0F6A65" w14:textId="77689444" w:rsidR="0050030B" w:rsidRPr="00E5148F" w:rsidRDefault="00797782" w:rsidP="001E7AF5">
      <w:pPr>
        <w:pStyle w:val="Listaszerbekezds"/>
        <w:numPr>
          <w:ilvl w:val="0"/>
          <w:numId w:val="3"/>
        </w:num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erősen emetogén kemoterápiához társuló akut hányinger és hányás megelőzése és közepesen emetogén kemoterápiához társuló hányinger és hányás megelőzése.</w:t>
      </w:r>
    </w:p>
    <w:p w14:paraId="59716880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EC2DF19" w14:textId="529A0949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4.2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Adagolás és alkalmazás</w:t>
      </w:r>
    </w:p>
    <w:p w14:paraId="44F5B1CD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20B2D8B8" w14:textId="3E474526" w:rsidR="0050030B" w:rsidRPr="00E5148F" w:rsidRDefault="002C3616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</w:t>
      </w:r>
      <w:r w:rsidR="00797782" w:rsidRPr="00E5148F">
        <w:rPr>
          <w:sz w:val="22"/>
          <w:szCs w:val="22"/>
          <w:lang w:val="hu-HU"/>
        </w:rPr>
        <w:t xml:space="preserve"> Palonosetron Onkogen kizárólag a kemoterápiás gyógyszerek beadása előtt alkalmazható. Ezt a gyógyszert egészségügyi </w:t>
      </w:r>
      <w:r w:rsidR="006914C8" w:rsidRPr="00E5148F">
        <w:rPr>
          <w:sz w:val="22"/>
          <w:szCs w:val="22"/>
          <w:lang w:val="hu-HU"/>
        </w:rPr>
        <w:t xml:space="preserve">szakembernek </w:t>
      </w:r>
      <w:r w:rsidR="00797782" w:rsidRPr="00E5148F">
        <w:rPr>
          <w:sz w:val="22"/>
          <w:szCs w:val="22"/>
          <w:lang w:val="hu-HU"/>
        </w:rPr>
        <w:t>kell beadnia, megfelelő orvosi felügyelet mellett.</w:t>
      </w:r>
    </w:p>
    <w:p w14:paraId="0830DD1E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559F8C4F" w14:textId="7777777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Adagolás</w:t>
      </w:r>
    </w:p>
    <w:p w14:paraId="64D68651" w14:textId="7777777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Felnőttek</w:t>
      </w:r>
    </w:p>
    <w:p w14:paraId="14EBC68B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342C724D" w14:textId="7303B33A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250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mikrogramm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a kemoterápia megkezdése előtt körülbelül 30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perccel, egyszeri intravénás bolus injekcióban, 30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másodperc alatt kell beadni.</w:t>
      </w:r>
    </w:p>
    <w:p w14:paraId="2829C978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622BDBC" w14:textId="77777777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erősen emetogén kemoterápiához társuló hányinger és hányás hatékonyabban előzhető meg Palonosetron Onkogen-nel, ha a kemoterápiát megelőzően kortikoszteroidot is alkalmazunk.</w:t>
      </w:r>
    </w:p>
    <w:p w14:paraId="5DD5B787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AEE94E6" w14:textId="7777777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Idős betegek</w:t>
      </w:r>
    </w:p>
    <w:p w14:paraId="5DD33A1B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59807878" w14:textId="67349765" w:rsidR="00716AAD" w:rsidRPr="00E5148F" w:rsidRDefault="00797782" w:rsidP="001E7AF5">
      <w:pPr>
        <w:rPr>
          <w:i/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Idős betegek esetén nem szükséges a dózis módosítása.</w:t>
      </w:r>
    </w:p>
    <w:p w14:paraId="309A7BD2" w14:textId="77777777" w:rsidR="00716AAD" w:rsidRPr="00E5148F" w:rsidRDefault="00716AAD" w:rsidP="001E7AF5">
      <w:pPr>
        <w:rPr>
          <w:i/>
          <w:sz w:val="22"/>
          <w:szCs w:val="22"/>
          <w:lang w:val="hu-HU"/>
        </w:rPr>
      </w:pPr>
    </w:p>
    <w:p w14:paraId="318CF42B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Gyermekek</w:t>
      </w:r>
      <w:r w:rsidR="0047239E" w:rsidRPr="00E5148F">
        <w:rPr>
          <w:i/>
          <w:sz w:val="22"/>
          <w:szCs w:val="22"/>
          <w:lang w:val="hu-HU"/>
        </w:rPr>
        <w:t xml:space="preserve"> és serdülők</w:t>
      </w:r>
    </w:p>
    <w:p w14:paraId="077FD70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E693DB3" w14:textId="6FFFBDBD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Gyermekek és serdülők (1 hónapostól 1</w:t>
      </w:r>
      <w:r w:rsidR="00602F23" w:rsidRPr="00E5148F">
        <w:rPr>
          <w:i/>
          <w:sz w:val="22"/>
          <w:szCs w:val="22"/>
          <w:lang w:val="hu-HU"/>
        </w:rPr>
        <w:t>8</w:t>
      </w:r>
      <w:r w:rsidRPr="00E5148F">
        <w:rPr>
          <w:i/>
          <w:sz w:val="22"/>
          <w:szCs w:val="22"/>
          <w:lang w:val="hu-HU"/>
        </w:rPr>
        <w:t xml:space="preserve"> éves korig):</w:t>
      </w:r>
    </w:p>
    <w:p w14:paraId="3670D62B" w14:textId="5CF61BED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20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mikrogramm/kg (a maximális összdózis nem haladhatja meg az 1500 mikrogrammot)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egyszeri, 15 perces intravénás infúzió formájában, melynek beadását a kemoterápia kezdete előtt körülbelül 30 perccel kell megkezdeni.</w:t>
      </w:r>
    </w:p>
    <w:p w14:paraId="21D4F6CE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20D05BF" w14:textId="77777777" w:rsidR="0050030B" w:rsidRPr="00E5148F" w:rsidRDefault="002C3616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lastRenderedPageBreak/>
        <w:t>A</w:t>
      </w:r>
      <w:r w:rsidR="00797782" w:rsidRPr="00E5148F">
        <w:rPr>
          <w:sz w:val="22"/>
          <w:szCs w:val="22"/>
          <w:lang w:val="hu-HU"/>
        </w:rPr>
        <w:t xml:space="preserve"> Palonosetron Onkogen biztonságosságát és hatásosságát 1 hónaposnál fiatalabb gyermekek esetében nem igazolták. Nincsenek rendelkezésre álló adatok. A Palonosetron Onkogen 2 év alatti gyermekeknél hányinger és hányás megelőzésére történő alkalmazására vonatkozóan korlátozott adatok állnak rendelkezésre.</w:t>
      </w:r>
    </w:p>
    <w:p w14:paraId="48A219BF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DC2986C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Májkárosodás</w:t>
      </w:r>
    </w:p>
    <w:p w14:paraId="1EB7C3D8" w14:textId="76A6D440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Májfunkció</w:t>
      </w:r>
      <w:r w:rsidR="00C313A7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zavar esetén nem szükséges a dózis módosítása.</w:t>
      </w:r>
    </w:p>
    <w:p w14:paraId="0AE0EABF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19A5A7B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Vesekárosodás</w:t>
      </w:r>
    </w:p>
    <w:p w14:paraId="692C5D44" w14:textId="79298C1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Vesefunkció</w:t>
      </w:r>
      <w:r w:rsidR="00C313A7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zavar esetén nem szükséges a dózis módosítása.</w:t>
      </w:r>
    </w:p>
    <w:p w14:paraId="6602EAFE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Nem állnak rendelkezésre adatok a végstádiumú vesebetegségben hemodialízist kapó betegek esetén.</w:t>
      </w:r>
    </w:p>
    <w:p w14:paraId="18FE04B1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406BBC9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Az alkalmazás módja</w:t>
      </w:r>
    </w:p>
    <w:p w14:paraId="715F04C7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Intravénás alkalmazásra.</w:t>
      </w:r>
    </w:p>
    <w:p w14:paraId="654742AC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9D5AE67" w14:textId="689A43A3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4.3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Ellenjavallatok</w:t>
      </w:r>
    </w:p>
    <w:p w14:paraId="1590912B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61DD9E3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készítmény hatóanyagával vagy a 6.1 pontban felsorolt bármely segédanyagával szembeni túlérzékenység.</w:t>
      </w:r>
    </w:p>
    <w:p w14:paraId="223CCD4E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19CFC23" w14:textId="0121BDAE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4.4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Különleges figyelmeztetések és az alkalmazással kapcsolatos óvintézkedések</w:t>
      </w:r>
    </w:p>
    <w:p w14:paraId="4E81732D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572C627C" w14:textId="1CAD8FC3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Mivel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megnövelheti a vastagbél tranzitidejét, az obstipációs kórelőzményű vagy szubakut bélelzá</w:t>
      </w:r>
      <w:r w:rsidR="002C3616" w:rsidRPr="00E5148F">
        <w:rPr>
          <w:sz w:val="22"/>
          <w:szCs w:val="22"/>
          <w:lang w:val="hu-HU"/>
        </w:rPr>
        <w:t>ródás jeleit mutató betegeket a</w:t>
      </w:r>
      <w:r w:rsidRPr="00E5148F">
        <w:rPr>
          <w:sz w:val="22"/>
          <w:szCs w:val="22"/>
          <w:lang w:val="hu-HU"/>
        </w:rPr>
        <w:t xml:space="preserve"> Palonosetron Onkogen alkalmazását követően monitorozni kell. A 750 mikrogrammos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zetronnal összefüggésben két esetben számoltak be kórházi kezelést igénylő, székletimpactatióval járó obstipációról.</w:t>
      </w:r>
    </w:p>
    <w:p w14:paraId="5CCB006B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2DBECBF" w14:textId="0B75E99E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egyetlen vizsgált dózisszinten sem indukált klinikailag szignifikáns QTc intervallum megnyúlást. Azért, hogy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QT/QTc intervallumra gyakorolt hatását igazoló döntő adatokat nyerjenek, egészséges önkéntesek körében speciális, részletes QT/QTc-vizsgálatot végeztek (lásd 5.1 pont).</w:t>
      </w:r>
    </w:p>
    <w:p w14:paraId="7A166075" w14:textId="77777777" w:rsidR="00E6041C" w:rsidRPr="00E5148F" w:rsidRDefault="00E6041C" w:rsidP="001E7AF5">
      <w:pPr>
        <w:rPr>
          <w:sz w:val="22"/>
          <w:szCs w:val="22"/>
          <w:lang w:val="hu-HU"/>
        </w:rPr>
      </w:pPr>
    </w:p>
    <w:p w14:paraId="7B8AD466" w14:textId="4590043A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Azonban a többi 5-HT</w:t>
      </w:r>
      <w:r w:rsidRPr="00E5148F">
        <w:rPr>
          <w:w w:val="99"/>
          <w:sz w:val="22"/>
          <w:szCs w:val="22"/>
          <w:vertAlign w:val="subscript"/>
          <w:lang w:val="hu-HU"/>
        </w:rPr>
        <w:t>3</w:t>
      </w:r>
      <w:r w:rsidRPr="00E5148F">
        <w:rPr>
          <w:sz w:val="22"/>
          <w:szCs w:val="22"/>
          <w:lang w:val="hu-HU"/>
        </w:rPr>
        <w:t xml:space="preserve"> antagonistához hasonlóan, óvatosan kell eljárni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alkalmazásakor olyan betegeknél, akiknél megnyúlt a QT-intervallum, vagy valószínű ennek kialakulása. Azok a betegek tartoznak ebbe a csoportba, akiknek a személyes vagy családi kórelőzményében a</w:t>
      </w:r>
      <w:r w:rsidR="0064776B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QT-intervallum megnyúlása, az elektrolitháztartás zavara, pangásos szívelégtelenség, bradyarrhytmiák, ingerületvezetési zavarok fordulnak elő, valamint akik antiarritmiás szereket, illetve a QT-intervallum megnyúlását vagy elektrolitzavarokat okozó egyéb gyógyszereket szednek. A hypokalaemiát és hypomagnesaemiát az 5</w:t>
      </w:r>
      <w:r w:rsidR="00404F62" w:rsidRPr="00E5148F">
        <w:rPr>
          <w:sz w:val="22"/>
          <w:szCs w:val="22"/>
          <w:lang w:val="hu-HU"/>
        </w:rPr>
        <w:noBreakHyphen/>
      </w:r>
      <w:r w:rsidRPr="00E5148F">
        <w:rPr>
          <w:sz w:val="22"/>
          <w:szCs w:val="22"/>
          <w:lang w:val="hu-HU"/>
        </w:rPr>
        <w:t>HT</w:t>
      </w:r>
      <w:r w:rsidRPr="00E5148F">
        <w:rPr>
          <w:w w:val="99"/>
          <w:sz w:val="22"/>
          <w:szCs w:val="22"/>
          <w:vertAlign w:val="subscript"/>
          <w:lang w:val="hu-HU"/>
        </w:rPr>
        <w:t>3</w:t>
      </w:r>
      <w:r w:rsidRPr="00E5148F">
        <w:rPr>
          <w:sz w:val="22"/>
          <w:szCs w:val="22"/>
          <w:lang w:val="hu-HU"/>
        </w:rPr>
        <w:t xml:space="preserve"> antagonista alkalmazása előtt rendezni kell.</w:t>
      </w:r>
    </w:p>
    <w:p w14:paraId="18033A9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EEBEF00" w14:textId="4A8C7A97" w:rsidR="0050030B" w:rsidRPr="00E5148F" w:rsidRDefault="00797782" w:rsidP="001E7AF5">
      <w:pPr>
        <w:ind w:firstLine="1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5-HT</w:t>
      </w:r>
      <w:r w:rsidRPr="00E5148F">
        <w:rPr>
          <w:w w:val="99"/>
          <w:sz w:val="22"/>
          <w:szCs w:val="22"/>
          <w:vertAlign w:val="subscript"/>
          <w:lang w:val="hu-HU"/>
        </w:rPr>
        <w:t>3</w:t>
      </w:r>
      <w:r w:rsidRPr="00E5148F">
        <w:rPr>
          <w:sz w:val="22"/>
          <w:szCs w:val="22"/>
          <w:lang w:val="hu-HU"/>
        </w:rPr>
        <w:t xml:space="preserve"> antagonisták alkalmazása mellett – akár önmagukban, akár egyéb szerotonerg gyógyszerekkel (köztük szelektív szerotonin visszavétel-gátlókkal (SSRI) és szerotonin-noradrenalin visszavétel-gátlókkal (SNRI)) kombinálva – szerotonin-szindróma eseteiről számoltak be. Javasolt a betegeknél kellően odafigyelni a szerotonin-szindróma-szerű tünetekre.</w:t>
      </w:r>
    </w:p>
    <w:p w14:paraId="4C3CB0A9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545D31DB" w14:textId="541637EA" w:rsidR="00BE4D9E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Palonosetron Onkogen a kemoterápiát követő napokban </w:t>
      </w:r>
      <w:r w:rsidR="0080099C" w:rsidRPr="00E5148F">
        <w:rPr>
          <w:sz w:val="22"/>
          <w:szCs w:val="22"/>
          <w:lang w:val="hu-HU"/>
        </w:rPr>
        <w:t>nem alkalmazható</w:t>
      </w:r>
      <w:r w:rsidR="00964A6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a hányinger és a hányás megelőzésére</w:t>
      </w:r>
      <w:r w:rsidR="00964A61" w:rsidRPr="00E5148F">
        <w:rPr>
          <w:sz w:val="22"/>
          <w:szCs w:val="22"/>
          <w:lang w:val="hu-HU"/>
        </w:rPr>
        <w:t xml:space="preserve"> és</w:t>
      </w:r>
      <w:r w:rsidRPr="00E5148F">
        <w:rPr>
          <w:sz w:val="22"/>
          <w:szCs w:val="22"/>
          <w:lang w:val="hu-HU"/>
        </w:rPr>
        <w:t xml:space="preserve"> kezelésére</w:t>
      </w:r>
      <w:r w:rsidR="0080099C" w:rsidRPr="00E5148F">
        <w:rPr>
          <w:sz w:val="22"/>
          <w:szCs w:val="22"/>
          <w:lang w:val="hu-HU"/>
        </w:rPr>
        <w:t xml:space="preserve">, </w:t>
      </w:r>
      <w:r w:rsidR="00BE4D9E" w:rsidRPr="00E5148F">
        <w:rPr>
          <w:sz w:val="22"/>
          <w:szCs w:val="22"/>
          <w:lang w:val="hu-HU"/>
        </w:rPr>
        <w:t xml:space="preserve">kivéve, </w:t>
      </w:r>
      <w:r w:rsidR="0080099C" w:rsidRPr="00E5148F">
        <w:rPr>
          <w:sz w:val="22"/>
          <w:szCs w:val="22"/>
          <w:lang w:val="hu-HU"/>
        </w:rPr>
        <w:t>ha</w:t>
      </w:r>
      <w:r w:rsidR="00BE4D9E" w:rsidRPr="00E5148F">
        <w:rPr>
          <w:sz w:val="22"/>
          <w:szCs w:val="22"/>
          <w:lang w:val="hu-HU"/>
        </w:rPr>
        <w:t xml:space="preserve"> az egy újabb kemoterápiás kezelés miatt válik szükségessé</w:t>
      </w:r>
      <w:r w:rsidRPr="00E5148F">
        <w:rPr>
          <w:sz w:val="22"/>
          <w:szCs w:val="22"/>
          <w:lang w:val="hu-HU"/>
        </w:rPr>
        <w:t>.</w:t>
      </w:r>
    </w:p>
    <w:p w14:paraId="5A260178" w14:textId="77777777" w:rsidR="00BE4D9E" w:rsidRPr="00E5148F" w:rsidRDefault="00BE4D9E" w:rsidP="001E7AF5">
      <w:pPr>
        <w:rPr>
          <w:sz w:val="22"/>
          <w:szCs w:val="22"/>
          <w:lang w:val="hu-HU"/>
        </w:rPr>
      </w:pPr>
    </w:p>
    <w:p w14:paraId="1C83151C" w14:textId="164E6FDC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készítmény kevesebb mint 1 mmol (23 mg) nátriumot tartalmaz injekciós üvegenként, azaz gyakorlatilag nátriummentes.</w:t>
      </w:r>
    </w:p>
    <w:p w14:paraId="6BCD8E23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7D2D30B" w14:textId="06765A30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4.5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Gyógyszerkölcsönhatások és egyéb interakciók</w:t>
      </w:r>
    </w:p>
    <w:p w14:paraId="7DF7306C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F09A0DD" w14:textId="10527028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elsősorban a CYP2D6 révén metabolizálódik, melyhez kis mértékben a CYP3A4 és a CYP1A2 izoenzimek is hozzájárulnak. </w:t>
      </w:r>
      <w:r w:rsidRPr="00E5148F">
        <w:rPr>
          <w:i/>
          <w:sz w:val="22"/>
          <w:szCs w:val="22"/>
          <w:lang w:val="hu-HU"/>
        </w:rPr>
        <w:t xml:space="preserve">In vitro </w:t>
      </w:r>
      <w:r w:rsidRPr="00E5148F">
        <w:rPr>
          <w:sz w:val="22"/>
          <w:szCs w:val="22"/>
          <w:lang w:val="hu-HU"/>
        </w:rPr>
        <w:t>vizsgálatok alapján elmondható, hogy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a klinikailag releváns koncentrációkban nem gátolja és nem is indukálja a citokróm P450 izoenzimet.</w:t>
      </w:r>
    </w:p>
    <w:p w14:paraId="7F6CFB0C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2E8077A" w14:textId="77777777" w:rsidR="0050030B" w:rsidRPr="00E5148F" w:rsidRDefault="00797782" w:rsidP="001E7AF5">
      <w:pPr>
        <w:keepNext/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Kemoterápiás szerek</w:t>
      </w:r>
    </w:p>
    <w:p w14:paraId="6A73A092" w14:textId="45A57484" w:rsidR="0050030B" w:rsidRPr="00E5148F" w:rsidRDefault="00797782" w:rsidP="001E7AF5">
      <w:pPr>
        <w:keepNext/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Preklinikai vizsgálatokban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nem gátolta a tesztelt öt kemoterápiás szer (ciszplatin, ciklofoszfamid, citarabin, doxorubicin és mitomicin C) tumorellenes hatását.</w:t>
      </w:r>
    </w:p>
    <w:p w14:paraId="70E3E54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1E0496E" w14:textId="7777777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Metoklopramid</w:t>
      </w:r>
    </w:p>
    <w:p w14:paraId="4B85B620" w14:textId="7773B874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Egy klinikai vizsgálat során nem volt kimutatható jelentős farmakokinetikai kölcsönhatás a</w:t>
      </w:r>
      <w:r w:rsidR="00100075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egyszeri intravénás dózisa és az orálisan adott CYP2D6 inhibitor metoklopramid egyensúlyi koncentrációja között.</w:t>
      </w:r>
    </w:p>
    <w:p w14:paraId="63A8C170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5C11E165" w14:textId="7777777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CYP2D6 indukáló szerek és inhibitorok</w:t>
      </w:r>
    </w:p>
    <w:p w14:paraId="77368F72" w14:textId="754117B8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Egy populációs farmakokinetikai elemzés során kimutatták, hogy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clearance-ére nem</w:t>
      </w:r>
      <w:r w:rsidR="00100075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volt jelentős hatással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CYP2D6 indukáló szerekkel (dexametazon és rifampicin) vagy inhibitorokkal (amiodaron, celekoxib, klorpromazin, cimetidin, doxorubicin, fluoxetin, haloperidol, paroxetin, kinidin, ranitidin, ritonavir, szertralin és terbinafin) való együttadása.</w:t>
      </w:r>
    </w:p>
    <w:p w14:paraId="032A0CE4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F3D3FB2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Kortikoszteroidok</w:t>
      </w:r>
    </w:p>
    <w:p w14:paraId="6BC18AB2" w14:textId="5D37EC79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kortikoszteroidokkal együtt biztonságosan alkalmazták.</w:t>
      </w:r>
    </w:p>
    <w:p w14:paraId="7AF2C952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F2235F7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Szerotonerg gyógyszerek (például SSRI-k és SNRI-k)</w:t>
      </w:r>
    </w:p>
    <w:p w14:paraId="51BCD0B1" w14:textId="638B35A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position w:val="1"/>
          <w:sz w:val="22"/>
          <w:szCs w:val="22"/>
          <w:lang w:val="hu-HU"/>
        </w:rPr>
        <w:t>5-HT</w:t>
      </w:r>
      <w:r w:rsidRPr="00E5148F">
        <w:rPr>
          <w:sz w:val="22"/>
          <w:szCs w:val="22"/>
          <w:vertAlign w:val="subscript"/>
          <w:lang w:val="hu-HU"/>
        </w:rPr>
        <w:t>3</w:t>
      </w:r>
      <w:r w:rsidRPr="00E5148F">
        <w:rPr>
          <w:position w:val="1"/>
          <w:sz w:val="22"/>
          <w:szCs w:val="22"/>
          <w:lang w:val="hu-HU"/>
        </w:rPr>
        <w:t xml:space="preserve"> antagonisták és egyéb szerotonerg gyógyszerek (köztük SSRI-k és SNRI-k) egyidejű</w:t>
      </w:r>
      <w:r w:rsidR="007676E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alkalmazása után szerotonin-szindróma eseteiről számoltak be.</w:t>
      </w:r>
    </w:p>
    <w:p w14:paraId="539EFCB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5525107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Egyéb gyógyszerek</w:t>
      </w:r>
    </w:p>
    <w:p w14:paraId="11FB2AC6" w14:textId="4577B6E6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analgetikumokkal, antiemetikumokkal/hányinger elleni szerekkel, görcsoldókkal és antikolinerg szerekkel együtt biztonságosan alkalmazták.</w:t>
      </w:r>
    </w:p>
    <w:p w14:paraId="6BA4AE5E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27C22E15" w14:textId="6E963A15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4.6</w:t>
      </w:r>
      <w:r w:rsidR="007676E8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Termékenység, terhesség és szoptatás</w:t>
      </w:r>
    </w:p>
    <w:p w14:paraId="5F6E9EB0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31CAB595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Terhesség</w:t>
      </w:r>
    </w:p>
    <w:p w14:paraId="48A4E155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0B9FD7D" w14:textId="1CB06056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zetronnal kapcsolatban nincsenek terhességre vonatkozó klinikai adatok. Állatkísérletek nem igazoltak a terhességet, az embrionális/magzati fejlődést, a szülést vagy a szülés utáni fejlődést befolyásoló direkt vagy indirekt káros hatásokat. A placentán történő átjutással kapcsolatban (lásd</w:t>
      </w:r>
      <w:r w:rsidR="007676E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5.3 pont) csak kevés számú</w:t>
      </w:r>
      <w:r w:rsidR="0058168B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állatkísérletekből származó adat áll rendelkezésre.</w:t>
      </w:r>
    </w:p>
    <w:p w14:paraId="2FCAF1E2" w14:textId="1EAB7027" w:rsidR="0050030B" w:rsidRPr="00E5148F" w:rsidRDefault="00797782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Nincs tapasztalat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humán terhesség során történő alkalmazására. Ezért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</w:t>
      </w:r>
      <w:r w:rsidR="007676E8" w:rsidRPr="00E5148F">
        <w:rPr>
          <w:position w:val="-1"/>
          <w:sz w:val="22"/>
          <w:szCs w:val="22"/>
          <w:lang w:val="hu-HU"/>
        </w:rPr>
        <w:t xml:space="preserve"> </w:t>
      </w:r>
      <w:r w:rsidRPr="00E5148F">
        <w:rPr>
          <w:position w:val="-1"/>
          <w:sz w:val="22"/>
          <w:szCs w:val="22"/>
          <w:lang w:val="hu-HU"/>
        </w:rPr>
        <w:t xml:space="preserve">terhes nők esetén </w:t>
      </w:r>
      <w:r w:rsidR="00116098" w:rsidRPr="00E5148F">
        <w:rPr>
          <w:position w:val="-1"/>
          <w:sz w:val="22"/>
          <w:szCs w:val="22"/>
          <w:lang w:val="hu-HU"/>
        </w:rPr>
        <w:t>nem alkalmazható</w:t>
      </w:r>
      <w:r w:rsidRPr="00E5148F">
        <w:rPr>
          <w:position w:val="-1"/>
          <w:sz w:val="22"/>
          <w:szCs w:val="22"/>
          <w:lang w:val="hu-HU"/>
        </w:rPr>
        <w:t>, kivéve, ha azt a kezelőorvos feltétlenül szükségesnek tartja.</w:t>
      </w:r>
    </w:p>
    <w:p w14:paraId="17AE2985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F7B928F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Szoptatás</w:t>
      </w:r>
    </w:p>
    <w:p w14:paraId="59F93218" w14:textId="31FA57D1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Mivel nem állnak rendelkezésre adatok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anyatejbe történő kiválasztódásáról, a</w:t>
      </w:r>
      <w:r w:rsidR="00504F1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szoptatást a kezelés alatt abba kell hagyni.</w:t>
      </w:r>
    </w:p>
    <w:p w14:paraId="4803A566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EED1C5C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Termékenység</w:t>
      </w:r>
    </w:p>
    <w:p w14:paraId="6BAA6BB5" w14:textId="6C07C9FC" w:rsidR="00504F11" w:rsidRPr="00E5148F" w:rsidRDefault="00797782" w:rsidP="001E7AF5">
      <w:pPr>
        <w:rPr>
          <w:b/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termékenységre gyakorolt hatásaira vonatkozóan nincs adat.</w:t>
      </w:r>
    </w:p>
    <w:p w14:paraId="03F2E3FC" w14:textId="77777777" w:rsidR="00504F11" w:rsidRPr="00E5148F" w:rsidRDefault="00504F11" w:rsidP="001E7AF5">
      <w:pPr>
        <w:rPr>
          <w:sz w:val="22"/>
          <w:szCs w:val="22"/>
          <w:lang w:val="hu-HU"/>
        </w:rPr>
      </w:pPr>
    </w:p>
    <w:p w14:paraId="5398FA52" w14:textId="056E89BB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4.7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 xml:space="preserve">A készítmény hatásai a gépjárművezetéshez és </w:t>
      </w:r>
      <w:r w:rsidR="00DD10F7" w:rsidRPr="00E5148F">
        <w:rPr>
          <w:b/>
          <w:sz w:val="22"/>
          <w:szCs w:val="22"/>
          <w:lang w:val="hu-HU"/>
        </w:rPr>
        <w:t xml:space="preserve">a </w:t>
      </w:r>
      <w:r w:rsidRPr="00E5148F">
        <w:rPr>
          <w:b/>
          <w:sz w:val="22"/>
          <w:szCs w:val="22"/>
          <w:lang w:val="hu-HU"/>
        </w:rPr>
        <w:t>gépek kezeléséhez szükséges képességekre</w:t>
      </w:r>
    </w:p>
    <w:p w14:paraId="2EC7EE23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7078018" w14:textId="6738BC0A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készítménynek a gépjárművezetéshez és </w:t>
      </w:r>
      <w:r w:rsidR="00DD10F7" w:rsidRPr="00E5148F">
        <w:rPr>
          <w:sz w:val="22"/>
          <w:szCs w:val="22"/>
          <w:lang w:val="hu-HU"/>
        </w:rPr>
        <w:t xml:space="preserve">a </w:t>
      </w:r>
      <w:r w:rsidRPr="00E5148F">
        <w:rPr>
          <w:sz w:val="22"/>
          <w:szCs w:val="22"/>
          <w:lang w:val="hu-HU"/>
        </w:rPr>
        <w:t>gépek kezeléséhez szükséges képességeket befolyásoló hatásait nem vizsgálták.</w:t>
      </w:r>
    </w:p>
    <w:p w14:paraId="2DDE7B78" w14:textId="7CA682EF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Mivel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szédülést, álmosságot vagy fáradékonyságot eredményezhet, azokat a betegeket,</w:t>
      </w:r>
      <w:r w:rsidR="00602F23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akik gépjárművet vezetnek vagy gépeket üzemeltetnek, erre figyelmeztetni kell.</w:t>
      </w:r>
    </w:p>
    <w:p w14:paraId="4B337D3D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158746A" w14:textId="1AFA0E01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4.8</w:t>
      </w:r>
      <w:r w:rsidR="00602F23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Nemkívánatos hatások, mellékhatások</w:t>
      </w:r>
    </w:p>
    <w:p w14:paraId="0976C587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2C84764E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Felnőttek bevonásával végzett klinikai vizsgálatokban 250 mikrogrammos dózis mellett (összesen 633 betegnél) a leggyakrabban észlelt mellékhatások, melyeket legalább valószínűsíthetően </w:t>
      </w:r>
      <w:r w:rsidR="00970DF6" w:rsidRPr="00E5148F">
        <w:rPr>
          <w:sz w:val="22"/>
          <w:szCs w:val="22"/>
          <w:lang w:val="hu-HU"/>
        </w:rPr>
        <w:t>a Palonosetron</w:t>
      </w:r>
      <w:r w:rsidRPr="00E5148F">
        <w:rPr>
          <w:sz w:val="22"/>
          <w:szCs w:val="22"/>
          <w:lang w:val="hu-HU"/>
        </w:rPr>
        <w:t xml:space="preserve"> Onkogen okozott, a fejfájás (9%) és az obstipáció (5%) voltak.</w:t>
      </w:r>
    </w:p>
    <w:p w14:paraId="70BB52E5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67C5D92" w14:textId="223B0068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klinikai vizsgálatokban az alábbi, esetlegesen vagy feltehetően </w:t>
      </w:r>
      <w:r w:rsidR="00970DF6" w:rsidRPr="00E5148F">
        <w:rPr>
          <w:sz w:val="22"/>
          <w:szCs w:val="22"/>
          <w:lang w:val="hu-HU"/>
        </w:rPr>
        <w:t xml:space="preserve">a </w:t>
      </w:r>
      <w:r w:rsidR="00D14658" w:rsidRPr="00E5148F">
        <w:rPr>
          <w:sz w:val="22"/>
          <w:szCs w:val="22"/>
          <w:lang w:val="hu-HU"/>
        </w:rPr>
        <w:t>p</w:t>
      </w:r>
      <w:r w:rsidR="00970DF6" w:rsidRPr="00E5148F">
        <w:rPr>
          <w:sz w:val="22"/>
          <w:szCs w:val="22"/>
          <w:lang w:val="hu-HU"/>
        </w:rPr>
        <w:t>alonos</w:t>
      </w:r>
      <w:r w:rsidR="00D14658" w:rsidRPr="00E5148F">
        <w:rPr>
          <w:sz w:val="22"/>
          <w:szCs w:val="22"/>
          <w:lang w:val="hu-HU"/>
        </w:rPr>
        <w:t>z</w:t>
      </w:r>
      <w:r w:rsidR="00970DF6" w:rsidRPr="00E5148F">
        <w:rPr>
          <w:sz w:val="22"/>
          <w:szCs w:val="22"/>
          <w:lang w:val="hu-HU"/>
        </w:rPr>
        <w:t>etron</w:t>
      </w:r>
      <w:r w:rsidR="00D14658" w:rsidRPr="00E5148F">
        <w:rPr>
          <w:sz w:val="22"/>
          <w:szCs w:val="22"/>
          <w:lang w:val="hu-HU"/>
        </w:rPr>
        <w:t>nal</w:t>
      </w:r>
      <w:r w:rsidRPr="00E5148F">
        <w:rPr>
          <w:sz w:val="22"/>
          <w:szCs w:val="22"/>
          <w:lang w:val="hu-HU"/>
        </w:rPr>
        <w:t xml:space="preserve"> járó mellékhatásokat figyelték meg. Ezeket gyakori (≥1/100 – &lt;1/10), illetve nem gyakori (≥1/1000 –</w:t>
      </w:r>
      <w:r w:rsidR="007E35AF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&lt;1/100) mellékhatásokként kategorizálták. Nagyon ritka (&lt;1/10</w:t>
      </w:r>
      <w:r w:rsidR="007E35A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000) mellékhatásokról a forgalomba</w:t>
      </w:r>
      <w:r w:rsidR="007E35AF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hozatalt követően számoltak be.</w:t>
      </w:r>
    </w:p>
    <w:p w14:paraId="4CEF1B4B" w14:textId="198FFA28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egyes gyakorisági kategóriákon belül a mellékhatások csökkenő súlyosság szerint kerülnek</w:t>
      </w:r>
      <w:r w:rsidR="007E35AF" w:rsidRPr="00E5148F">
        <w:rPr>
          <w:position w:val="-1"/>
          <w:sz w:val="22"/>
          <w:szCs w:val="22"/>
          <w:lang w:val="hu-HU"/>
        </w:rPr>
        <w:t xml:space="preserve"> </w:t>
      </w:r>
      <w:r w:rsidRPr="00E5148F">
        <w:rPr>
          <w:position w:val="-1"/>
          <w:sz w:val="22"/>
          <w:szCs w:val="22"/>
          <w:lang w:val="hu-HU"/>
        </w:rPr>
        <w:t>megadásra.</w:t>
      </w:r>
    </w:p>
    <w:p w14:paraId="1ACE8131" w14:textId="23B248F7" w:rsidR="00DD0E53" w:rsidRPr="00E5148F" w:rsidRDefault="00DD0E53" w:rsidP="001E7AF5">
      <w:pPr>
        <w:rPr>
          <w:sz w:val="22"/>
          <w:szCs w:val="22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57"/>
        <w:gridCol w:w="2064"/>
        <w:gridCol w:w="2164"/>
        <w:gridCol w:w="2076"/>
      </w:tblGrid>
      <w:tr w:rsidR="00DD0E53" w:rsidRPr="00CA6B16" w14:paraId="18ADB2D6" w14:textId="77777777" w:rsidTr="00A3667A">
        <w:trPr>
          <w:tblHeader/>
        </w:trPr>
        <w:tc>
          <w:tcPr>
            <w:tcW w:w="2841" w:type="dxa"/>
          </w:tcPr>
          <w:p w14:paraId="7F3EF34A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  <w:r w:rsidRPr="00CA6B16">
              <w:rPr>
                <w:b/>
              </w:rPr>
              <w:t>Szervrendszerenkénti csoportosítás</w:t>
            </w:r>
          </w:p>
          <w:p w14:paraId="2D084A75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</w:tcPr>
          <w:p w14:paraId="321D25A0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  <w:r w:rsidRPr="00CA6B16">
              <w:rPr>
                <w:b/>
              </w:rPr>
              <w:t>Gyakori mellékhatások (1/100 – &lt;1/10)</w:t>
            </w:r>
          </w:p>
        </w:tc>
        <w:tc>
          <w:tcPr>
            <w:tcW w:w="2171" w:type="dxa"/>
          </w:tcPr>
          <w:p w14:paraId="632696CB" w14:textId="0F24BA3E" w:rsidR="00DD0E53" w:rsidRPr="00CA6B16" w:rsidRDefault="00DD0E53" w:rsidP="001E7AF5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CA6B16">
              <w:rPr>
                <w:b/>
              </w:rPr>
              <w:t xml:space="preserve">Nem gyakori mellékhatások </w:t>
            </w:r>
            <w:r w:rsidR="00FA7CCC" w:rsidRPr="00CA6B16">
              <w:rPr>
                <w:b/>
              </w:rPr>
              <w:br/>
            </w:r>
            <w:r w:rsidRPr="00CA6B16">
              <w:rPr>
                <w:b/>
              </w:rPr>
              <w:t>(1/1000 –</w:t>
            </w:r>
            <w:r w:rsidR="00D24FDA" w:rsidRPr="00CA6B16">
              <w:rPr>
                <w:b/>
              </w:rPr>
              <w:t xml:space="preserve"> </w:t>
            </w:r>
            <w:r w:rsidRPr="00CA6B16">
              <w:rPr>
                <w:b/>
              </w:rPr>
              <w:t>&lt;1/100)</w:t>
            </w:r>
          </w:p>
          <w:p w14:paraId="5A73DE2F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</w:tcPr>
          <w:p w14:paraId="2A1F9541" w14:textId="731107BF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  <w:r w:rsidRPr="00CA6B16">
              <w:rPr>
                <w:b/>
              </w:rPr>
              <w:t>Nagyon ritka</w:t>
            </w:r>
            <w:r w:rsidRPr="00CA6B16">
              <w:rPr>
                <w:b/>
                <w:w w:val="99"/>
              </w:rPr>
              <w:t xml:space="preserve"> </w:t>
            </w:r>
            <w:r w:rsidRPr="00CA6B16">
              <w:rPr>
                <w:b/>
              </w:rPr>
              <w:t>mellékhatások (&lt;1/10</w:t>
            </w:r>
            <w:r w:rsidR="00FA7CCC" w:rsidRPr="00CA6B16">
              <w:rPr>
                <w:b/>
              </w:rPr>
              <w:t> </w:t>
            </w:r>
            <w:r w:rsidRPr="00CA6B16">
              <w:rPr>
                <w:b/>
              </w:rPr>
              <w:t>000)</w:t>
            </w:r>
          </w:p>
        </w:tc>
      </w:tr>
      <w:tr w:rsidR="00DD0E53" w:rsidRPr="00CA6B16" w14:paraId="6FD7FFFD" w14:textId="77777777" w:rsidTr="00A3667A">
        <w:tc>
          <w:tcPr>
            <w:tcW w:w="2841" w:type="dxa"/>
          </w:tcPr>
          <w:p w14:paraId="5AB27583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Immunrendszeri betegségek és tünetek</w:t>
            </w:r>
          </w:p>
          <w:p w14:paraId="0B52FE28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</w:tcPr>
          <w:p w14:paraId="09ECF6A9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62BF78B9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</w:tcPr>
          <w:p w14:paraId="6186C65B" w14:textId="77777777" w:rsidR="000666BF" w:rsidRPr="00CA6B16" w:rsidRDefault="00DD0E53" w:rsidP="001E7AF5">
            <w:pPr>
              <w:widowControl w:val="0"/>
              <w:rPr>
                <w:rFonts w:ascii="Times New Roman" w:hAnsi="Times New Roman" w:cs="Times New Roman"/>
              </w:rPr>
            </w:pPr>
            <w:r w:rsidRPr="00CA6B16">
              <w:t>Túlérzékenység, anaphylaxia, anaphylaxiás/</w:t>
            </w:r>
          </w:p>
          <w:p w14:paraId="66874E69" w14:textId="0F09A8E1" w:rsidR="00DD0E53" w:rsidRPr="00CA6B16" w:rsidRDefault="00DD0E53" w:rsidP="001E7AF5">
            <w:pPr>
              <w:widowControl w:val="0"/>
              <w:rPr>
                <w:rFonts w:ascii="Times New Roman" w:hAnsi="Times New Roman" w:cs="Times New Roman"/>
              </w:rPr>
            </w:pPr>
            <w:r w:rsidRPr="00CA6B16">
              <w:t>ana</w:t>
            </w:r>
            <w:r w:rsidR="00E943CF" w:rsidRPr="00CA6B16">
              <w:softHyphen/>
            </w:r>
            <w:r w:rsidRPr="00CA6B16">
              <w:t>phylactoid reakciók és shock</w:t>
            </w:r>
          </w:p>
        </w:tc>
      </w:tr>
      <w:tr w:rsidR="00DD0E53" w:rsidRPr="00CA6B16" w14:paraId="56D9F455" w14:textId="77777777" w:rsidTr="00A3667A">
        <w:tc>
          <w:tcPr>
            <w:tcW w:w="2841" w:type="dxa"/>
          </w:tcPr>
          <w:p w14:paraId="4C8471B0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Anyagcsere- és táplálkozási betegségek és tünetek</w:t>
            </w:r>
          </w:p>
          <w:p w14:paraId="100A529E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</w:tcPr>
          <w:p w14:paraId="77103D87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451564D8" w14:textId="698A8DDB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Hyperkalaemia, anyagcserezavarok, hypocalcaemia, hypokalaemia, anorexia, hyperglykaemia, csökkent étvágy</w:t>
            </w:r>
          </w:p>
        </w:tc>
        <w:tc>
          <w:tcPr>
            <w:tcW w:w="2138" w:type="dxa"/>
          </w:tcPr>
          <w:p w14:paraId="60CA9599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2C25777D" w14:textId="77777777" w:rsidTr="00A3667A">
        <w:tc>
          <w:tcPr>
            <w:tcW w:w="2841" w:type="dxa"/>
          </w:tcPr>
          <w:p w14:paraId="027F5459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rPr>
                <w:position w:val="-1"/>
              </w:rPr>
              <w:t>Pszichiátriai kórképek</w:t>
            </w:r>
          </w:p>
        </w:tc>
        <w:tc>
          <w:tcPr>
            <w:tcW w:w="2138" w:type="dxa"/>
          </w:tcPr>
          <w:p w14:paraId="69D38A49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736CF5F3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rPr>
                <w:position w:val="-1"/>
              </w:rPr>
              <w:t>Szorongás, eufóriás állapot</w:t>
            </w:r>
          </w:p>
        </w:tc>
        <w:tc>
          <w:tcPr>
            <w:tcW w:w="2138" w:type="dxa"/>
          </w:tcPr>
          <w:p w14:paraId="36245D8B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65EB2D1B" w14:textId="77777777" w:rsidTr="00A3667A">
        <w:tc>
          <w:tcPr>
            <w:tcW w:w="2841" w:type="dxa"/>
          </w:tcPr>
          <w:p w14:paraId="3C10912E" w14:textId="71B89FC3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Idegrendszeri betegségek és tünetek</w:t>
            </w:r>
          </w:p>
        </w:tc>
        <w:tc>
          <w:tcPr>
            <w:tcW w:w="2138" w:type="dxa"/>
          </w:tcPr>
          <w:p w14:paraId="629E60AF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Fejfájás, szédülés</w:t>
            </w:r>
          </w:p>
        </w:tc>
        <w:tc>
          <w:tcPr>
            <w:tcW w:w="2171" w:type="dxa"/>
          </w:tcPr>
          <w:p w14:paraId="6A490FF3" w14:textId="00A076BD" w:rsidR="00DD0E53" w:rsidRPr="00CA6B16" w:rsidRDefault="00DD0E53" w:rsidP="001E7AF5">
            <w:pPr>
              <w:ind w:hanging="29"/>
              <w:rPr>
                <w:rFonts w:ascii="Times New Roman" w:hAnsi="Times New Roman" w:cs="Times New Roman"/>
              </w:rPr>
            </w:pPr>
            <w:r w:rsidRPr="00CA6B16">
              <w:t>Álmosság, insomnia, paraesthesia, hypersomnia,</w:t>
            </w:r>
            <w:r w:rsidR="008D3DD6" w:rsidRPr="00CA6B16">
              <w:t xml:space="preserve"> </w:t>
            </w:r>
            <w:r w:rsidRPr="00CA6B16">
              <w:t>perifériás szenzoros neuropathia</w:t>
            </w:r>
          </w:p>
        </w:tc>
        <w:tc>
          <w:tcPr>
            <w:tcW w:w="2138" w:type="dxa"/>
          </w:tcPr>
          <w:p w14:paraId="0FF5DB4F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0CC7CEA5" w14:textId="77777777" w:rsidTr="00A3667A">
        <w:tc>
          <w:tcPr>
            <w:tcW w:w="2841" w:type="dxa"/>
          </w:tcPr>
          <w:p w14:paraId="2BBE9120" w14:textId="26F7F093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Szembetegségek és szemészeti tünetek</w:t>
            </w:r>
          </w:p>
        </w:tc>
        <w:tc>
          <w:tcPr>
            <w:tcW w:w="2138" w:type="dxa"/>
          </w:tcPr>
          <w:p w14:paraId="48D2376A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43A4BF97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Szemirritáci, amblyopia</w:t>
            </w:r>
          </w:p>
          <w:p w14:paraId="2256D4C8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</w:tcPr>
          <w:p w14:paraId="782DB6B9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303A1551" w14:textId="77777777" w:rsidTr="00A3667A">
        <w:tc>
          <w:tcPr>
            <w:tcW w:w="2841" w:type="dxa"/>
          </w:tcPr>
          <w:p w14:paraId="684F5818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A fül és az egyensúly-érzékelő szerv betegségei és tünetei</w:t>
            </w:r>
          </w:p>
        </w:tc>
        <w:tc>
          <w:tcPr>
            <w:tcW w:w="2138" w:type="dxa"/>
          </w:tcPr>
          <w:p w14:paraId="46F38DD9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6FDC9CA7" w14:textId="58AA38B4" w:rsidR="00DD0E53" w:rsidRPr="00CA6B16" w:rsidRDefault="00CE4A45" w:rsidP="00E5148F">
            <w:pPr>
              <w:rPr>
                <w:rFonts w:ascii="Times New Roman" w:hAnsi="Times New Roman" w:cs="Times New Roman"/>
              </w:rPr>
            </w:pPr>
            <w:r w:rsidRPr="00CA6B16">
              <w:t>Kinetosis</w:t>
            </w:r>
            <w:r w:rsidR="00DD0E53" w:rsidRPr="00CA6B16">
              <w:t>, tinnitus</w:t>
            </w:r>
          </w:p>
        </w:tc>
        <w:tc>
          <w:tcPr>
            <w:tcW w:w="2138" w:type="dxa"/>
          </w:tcPr>
          <w:p w14:paraId="7D7297E5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790F92B1" w14:textId="77777777" w:rsidTr="00A3667A">
        <w:tc>
          <w:tcPr>
            <w:tcW w:w="2841" w:type="dxa"/>
          </w:tcPr>
          <w:p w14:paraId="3F509845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Szívbetegségek és a szívvel kapcsolatos tünetek</w:t>
            </w:r>
          </w:p>
        </w:tc>
        <w:tc>
          <w:tcPr>
            <w:tcW w:w="2138" w:type="dxa"/>
          </w:tcPr>
          <w:p w14:paraId="11EE72B9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03B3ED04" w14:textId="76E3C9B4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Tachycardia, bradycardia, extrasystol</w:t>
            </w:r>
            <w:r w:rsidR="00743E5F" w:rsidRPr="00CA6B16">
              <w:t>e</w:t>
            </w:r>
            <w:r w:rsidRPr="00CA6B16">
              <w:t>, myocardialis ischaemia, sinus tachycardia, sinus arrhythmia, supraventricularis extrasystol</w:t>
            </w:r>
            <w:r w:rsidR="002331CE" w:rsidRPr="00CA6B16">
              <w:t>e</w:t>
            </w:r>
          </w:p>
        </w:tc>
        <w:tc>
          <w:tcPr>
            <w:tcW w:w="2138" w:type="dxa"/>
          </w:tcPr>
          <w:p w14:paraId="289862B5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6C48B653" w14:textId="77777777" w:rsidTr="00A3667A">
        <w:tc>
          <w:tcPr>
            <w:tcW w:w="2841" w:type="dxa"/>
          </w:tcPr>
          <w:p w14:paraId="657B8171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Érbetegségek és tünetek</w:t>
            </w:r>
          </w:p>
        </w:tc>
        <w:tc>
          <w:tcPr>
            <w:tcW w:w="2138" w:type="dxa"/>
          </w:tcPr>
          <w:p w14:paraId="4E21B0AE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7D83DAE0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Hypotensio, hypertensio, véna elszíneződés, vénatágulat</w:t>
            </w:r>
          </w:p>
        </w:tc>
        <w:tc>
          <w:tcPr>
            <w:tcW w:w="2138" w:type="dxa"/>
          </w:tcPr>
          <w:p w14:paraId="4670B125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2C397F29" w14:textId="77777777" w:rsidTr="00A3667A">
        <w:tc>
          <w:tcPr>
            <w:tcW w:w="2841" w:type="dxa"/>
          </w:tcPr>
          <w:p w14:paraId="351A0580" w14:textId="1BBDE711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Légzőrendszeri, mellkasi és mediastinalis betegségek és tünetek</w:t>
            </w:r>
          </w:p>
        </w:tc>
        <w:tc>
          <w:tcPr>
            <w:tcW w:w="2138" w:type="dxa"/>
          </w:tcPr>
          <w:p w14:paraId="4251E1F5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5A564167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Csuklás</w:t>
            </w:r>
          </w:p>
          <w:p w14:paraId="3A17FE9C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</w:tcPr>
          <w:p w14:paraId="458F799E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096160E8" w14:textId="77777777" w:rsidTr="00A3667A">
        <w:tc>
          <w:tcPr>
            <w:tcW w:w="2841" w:type="dxa"/>
          </w:tcPr>
          <w:p w14:paraId="5F4388B3" w14:textId="0C04A86C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lastRenderedPageBreak/>
              <w:t>Emésztőrendszeri betegségek és</w:t>
            </w:r>
            <w:r w:rsidR="00D337DD" w:rsidRPr="00CA6B16">
              <w:t xml:space="preserve"> </w:t>
            </w:r>
            <w:r w:rsidRPr="00CA6B16">
              <w:t>tünetek</w:t>
            </w:r>
          </w:p>
        </w:tc>
        <w:tc>
          <w:tcPr>
            <w:tcW w:w="2138" w:type="dxa"/>
          </w:tcPr>
          <w:p w14:paraId="7BDAF6D3" w14:textId="29BDFECB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Obstipáció, diarrhoea</w:t>
            </w:r>
          </w:p>
        </w:tc>
        <w:tc>
          <w:tcPr>
            <w:tcW w:w="2171" w:type="dxa"/>
          </w:tcPr>
          <w:p w14:paraId="1A3C003B" w14:textId="78E47720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 xml:space="preserve">Dyspepsia, hasi fájdalom, </w:t>
            </w:r>
            <w:r w:rsidR="00D337DD" w:rsidRPr="00CA6B16">
              <w:t xml:space="preserve">gyomortáji </w:t>
            </w:r>
            <w:r w:rsidRPr="00CA6B16">
              <w:t>fájdalom, szájszárazság, flatulencia</w:t>
            </w:r>
          </w:p>
        </w:tc>
        <w:tc>
          <w:tcPr>
            <w:tcW w:w="2138" w:type="dxa"/>
          </w:tcPr>
          <w:p w14:paraId="0AE1896A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4094F722" w14:textId="77777777" w:rsidTr="00A3667A">
        <w:tc>
          <w:tcPr>
            <w:tcW w:w="2841" w:type="dxa"/>
          </w:tcPr>
          <w:p w14:paraId="692FB618" w14:textId="6FBB0E78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Máj-, és epebetegségek, illetve tünetek</w:t>
            </w:r>
          </w:p>
        </w:tc>
        <w:tc>
          <w:tcPr>
            <w:tcW w:w="2138" w:type="dxa"/>
          </w:tcPr>
          <w:p w14:paraId="6669A28A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7D8D7094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Hyperbilirubinaemia</w:t>
            </w:r>
          </w:p>
        </w:tc>
        <w:tc>
          <w:tcPr>
            <w:tcW w:w="2138" w:type="dxa"/>
          </w:tcPr>
          <w:p w14:paraId="3624E5E9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2B4270E3" w14:textId="77777777" w:rsidTr="00A3667A">
        <w:tc>
          <w:tcPr>
            <w:tcW w:w="2841" w:type="dxa"/>
          </w:tcPr>
          <w:p w14:paraId="66A1CB7B" w14:textId="4FF47E1F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A bőr és a bőr alatti szövet</w:t>
            </w:r>
            <w:r w:rsidR="0027555E" w:rsidRPr="00CA6B16">
              <w:t xml:space="preserve"> </w:t>
            </w:r>
            <w:r w:rsidRPr="00CA6B16">
              <w:t>betegségei és tünetei</w:t>
            </w:r>
          </w:p>
        </w:tc>
        <w:tc>
          <w:tcPr>
            <w:tcW w:w="2138" w:type="dxa"/>
          </w:tcPr>
          <w:p w14:paraId="68081F0C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1A9C08BF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  <w:r w:rsidRPr="00CA6B16">
              <w:t>Allergiás dermatitis, viszkető kiütés</w:t>
            </w:r>
          </w:p>
        </w:tc>
        <w:tc>
          <w:tcPr>
            <w:tcW w:w="2138" w:type="dxa"/>
          </w:tcPr>
          <w:p w14:paraId="6F0844C0" w14:textId="77777777" w:rsidR="00DD0E53" w:rsidRPr="00CA6B16" w:rsidRDefault="00DD0E53" w:rsidP="00E5148F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1B9B5C7F" w14:textId="77777777" w:rsidTr="00A3667A">
        <w:tc>
          <w:tcPr>
            <w:tcW w:w="2841" w:type="dxa"/>
          </w:tcPr>
          <w:p w14:paraId="02D9246D" w14:textId="6F632903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A csont- és izomrendszer, valamint a kötőszövet betegségei és tünetei</w:t>
            </w:r>
          </w:p>
        </w:tc>
        <w:tc>
          <w:tcPr>
            <w:tcW w:w="2138" w:type="dxa"/>
          </w:tcPr>
          <w:p w14:paraId="5F57289C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2DBDDFA9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Arthralgia</w:t>
            </w:r>
          </w:p>
        </w:tc>
        <w:tc>
          <w:tcPr>
            <w:tcW w:w="2138" w:type="dxa"/>
          </w:tcPr>
          <w:p w14:paraId="683A31F4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3AD0C966" w14:textId="77777777" w:rsidTr="00A3667A">
        <w:tc>
          <w:tcPr>
            <w:tcW w:w="2841" w:type="dxa"/>
          </w:tcPr>
          <w:p w14:paraId="324E4170" w14:textId="7EDD4958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Vese- és húgyúti betegségek és tünetek</w:t>
            </w:r>
          </w:p>
        </w:tc>
        <w:tc>
          <w:tcPr>
            <w:tcW w:w="2138" w:type="dxa"/>
          </w:tcPr>
          <w:p w14:paraId="7F312D2A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0EBBC1BC" w14:textId="6453D34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Vizeletretenció, glycosuria</w:t>
            </w:r>
          </w:p>
        </w:tc>
        <w:tc>
          <w:tcPr>
            <w:tcW w:w="2138" w:type="dxa"/>
          </w:tcPr>
          <w:p w14:paraId="54040F6E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</w:tr>
      <w:tr w:rsidR="00DD0E53" w:rsidRPr="00CA6B16" w14:paraId="48F94E02" w14:textId="77777777" w:rsidTr="00A3667A">
        <w:tc>
          <w:tcPr>
            <w:tcW w:w="2841" w:type="dxa"/>
          </w:tcPr>
          <w:p w14:paraId="6C27DDF4" w14:textId="2EB5061F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Általános tünetek, az alkalmazás helyén fellépő reakciók</w:t>
            </w:r>
          </w:p>
        </w:tc>
        <w:tc>
          <w:tcPr>
            <w:tcW w:w="2138" w:type="dxa"/>
          </w:tcPr>
          <w:p w14:paraId="507AD14D" w14:textId="77777777" w:rsidR="00DD0E53" w:rsidRPr="00CA6B16" w:rsidRDefault="00DD0E53" w:rsidP="001E7A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0616EF99" w14:textId="4A295765" w:rsidR="00DD0E53" w:rsidRPr="00CA6B16" w:rsidRDefault="00DD0E53" w:rsidP="001E7AF5">
            <w:pPr>
              <w:ind w:firstLine="3"/>
              <w:rPr>
                <w:rFonts w:ascii="Times New Roman" w:hAnsi="Times New Roman" w:cs="Times New Roman"/>
              </w:rPr>
            </w:pPr>
            <w:r w:rsidRPr="00CA6B16">
              <w:t>Asthenia, láz, fáradékonyság,</w:t>
            </w:r>
            <w:r w:rsidR="00D532E7" w:rsidRPr="00CA6B16">
              <w:t xml:space="preserve"> </w:t>
            </w:r>
            <w:r w:rsidRPr="00CA6B16">
              <w:t>forróságérzet, influenzaszerű</w:t>
            </w:r>
            <w:r w:rsidR="00D532E7" w:rsidRPr="00CA6B16">
              <w:t xml:space="preserve"> </w:t>
            </w:r>
            <w:r w:rsidRPr="00CA6B16">
              <w:t>betegség</w:t>
            </w:r>
          </w:p>
        </w:tc>
        <w:tc>
          <w:tcPr>
            <w:tcW w:w="2138" w:type="dxa"/>
          </w:tcPr>
          <w:p w14:paraId="38F2782E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Az injekció beadási helyén fellépő reakció*</w:t>
            </w:r>
          </w:p>
        </w:tc>
      </w:tr>
      <w:tr w:rsidR="00DD0E53" w:rsidRPr="00CA6B16" w14:paraId="430F4E30" w14:textId="77777777" w:rsidTr="00A3667A">
        <w:tc>
          <w:tcPr>
            <w:tcW w:w="2841" w:type="dxa"/>
          </w:tcPr>
          <w:p w14:paraId="6F57730B" w14:textId="4726987E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Laboratóriumi és egyéb vizsgálatok eredményei</w:t>
            </w:r>
          </w:p>
        </w:tc>
        <w:tc>
          <w:tcPr>
            <w:tcW w:w="2138" w:type="dxa"/>
          </w:tcPr>
          <w:p w14:paraId="08E55D3E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</w:tcPr>
          <w:p w14:paraId="6236CAE5" w14:textId="64F896C9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  <w:r w:rsidRPr="00CA6B16">
              <w:t>Transzamináz</w:t>
            </w:r>
            <w:r w:rsidR="00D532E7" w:rsidRPr="00CA6B16">
              <w:t>szint</w:t>
            </w:r>
            <w:r w:rsidRPr="00CA6B16">
              <w:t xml:space="preserve"> emelkedés, elektrokardiogramm: megnyúlt QT-intervallum</w:t>
            </w:r>
          </w:p>
        </w:tc>
        <w:tc>
          <w:tcPr>
            <w:tcW w:w="2138" w:type="dxa"/>
          </w:tcPr>
          <w:p w14:paraId="6B1295F2" w14:textId="77777777" w:rsidR="00DD0E53" w:rsidRPr="00CA6B16" w:rsidRDefault="00DD0E53" w:rsidP="001E7AF5">
            <w:pPr>
              <w:rPr>
                <w:rFonts w:ascii="Times New Roman" w:hAnsi="Times New Roman" w:cs="Times New Roman"/>
              </w:rPr>
            </w:pPr>
          </w:p>
        </w:tc>
      </w:tr>
    </w:tbl>
    <w:p w14:paraId="11CC64C2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° A forgalomba hozatalt követő tapasztalatok alapján</w:t>
      </w:r>
    </w:p>
    <w:p w14:paraId="69423107" w14:textId="77777777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* Beleértve a következőket: égő érzés, induratio, diszkomfort és fájdalom</w:t>
      </w:r>
    </w:p>
    <w:p w14:paraId="2B5FCF7B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5A777C7" w14:textId="51AC1002" w:rsidR="0050030B" w:rsidRPr="00E5148F" w:rsidRDefault="00797782" w:rsidP="001E7AF5">
      <w:pPr>
        <w:tabs>
          <w:tab w:val="right" w:pos="9620"/>
        </w:tabs>
        <w:rPr>
          <w:sz w:val="22"/>
          <w:szCs w:val="22"/>
          <w:lang w:val="hu-HU"/>
        </w:rPr>
      </w:pPr>
      <w:r w:rsidRPr="00E5148F">
        <w:rPr>
          <w:i/>
          <w:position w:val="-1"/>
          <w:sz w:val="22"/>
          <w:szCs w:val="22"/>
          <w:u w:val="single" w:color="000000"/>
          <w:lang w:val="hu-HU"/>
        </w:rPr>
        <w:t>Gyermekek</w:t>
      </w:r>
      <w:r w:rsidR="006C2D0F" w:rsidRPr="00E5148F">
        <w:rPr>
          <w:i/>
          <w:position w:val="-1"/>
          <w:sz w:val="22"/>
          <w:szCs w:val="22"/>
          <w:u w:val="single" w:color="000000"/>
          <w:lang w:val="hu-HU"/>
        </w:rPr>
        <w:t xml:space="preserve"> és serdülők</w:t>
      </w:r>
    </w:p>
    <w:p w14:paraId="54AADBD1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D7DAB15" w14:textId="16FD9606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közepesen vagy erősen emetogén kemoterápia által előidézett hányinger és hányás megelőzésére</w:t>
      </w:r>
      <w:r w:rsidR="00487EAF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gyermekek bevonásával végzett klinikai vizsgálatokban 402 beteg kapott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egyszeri adagban (3, 10 vagy 20 µg/kg).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alkalmazása mellett a következő gyakori és nem gyakori mellékhatásokat jelentették; a gyakoriság egyik mellékhatás esetében sem haladta meg az</w:t>
      </w:r>
      <w:r w:rsidR="00340813" w:rsidRPr="00E5148F">
        <w:rPr>
          <w:position w:val="-1"/>
          <w:sz w:val="22"/>
          <w:szCs w:val="22"/>
          <w:lang w:val="hu-HU"/>
        </w:rPr>
        <w:t xml:space="preserve"> </w:t>
      </w:r>
      <w:r w:rsidRPr="00E5148F">
        <w:rPr>
          <w:position w:val="-1"/>
          <w:sz w:val="22"/>
          <w:szCs w:val="22"/>
          <w:lang w:val="hu-HU"/>
        </w:rPr>
        <w:t>1%-ot.</w:t>
      </w:r>
    </w:p>
    <w:p w14:paraId="7A914555" w14:textId="77777777" w:rsidR="007C51B7" w:rsidRPr="00E5148F" w:rsidRDefault="007C51B7" w:rsidP="001E7AF5">
      <w:pPr>
        <w:rPr>
          <w:sz w:val="22"/>
          <w:szCs w:val="22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9"/>
        <w:gridCol w:w="3002"/>
        <w:gridCol w:w="3030"/>
      </w:tblGrid>
      <w:tr w:rsidR="007C51B7" w:rsidRPr="00CA6B16" w14:paraId="392FF9F3" w14:textId="77777777" w:rsidTr="0045655A">
        <w:tc>
          <w:tcPr>
            <w:tcW w:w="3070" w:type="dxa"/>
          </w:tcPr>
          <w:p w14:paraId="321DC47E" w14:textId="77777777" w:rsidR="007C51B7" w:rsidRPr="00CA6B16" w:rsidRDefault="007C51B7" w:rsidP="001E7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6B16">
              <w:rPr>
                <w:b/>
              </w:rPr>
              <w:t>Szervrendszerenkénti csoportosítás</w:t>
            </w:r>
          </w:p>
        </w:tc>
        <w:tc>
          <w:tcPr>
            <w:tcW w:w="3071" w:type="dxa"/>
          </w:tcPr>
          <w:p w14:paraId="3B07DDEE" w14:textId="77777777" w:rsidR="007C51B7" w:rsidRPr="00CA6B16" w:rsidRDefault="007C51B7" w:rsidP="001E7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6B16">
              <w:rPr>
                <w:b/>
              </w:rPr>
              <w:t>Gyakori mellékhatások (≥1/100 - &lt;1/10)</w:t>
            </w:r>
          </w:p>
        </w:tc>
        <w:tc>
          <w:tcPr>
            <w:tcW w:w="3071" w:type="dxa"/>
          </w:tcPr>
          <w:p w14:paraId="37D9CA3B" w14:textId="6C897555" w:rsidR="007C51B7" w:rsidRPr="00CA6B16" w:rsidRDefault="007C51B7" w:rsidP="001E7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6B16">
              <w:rPr>
                <w:b/>
              </w:rPr>
              <w:t>Nem gyakori mellékhatások (≥1/1000 –</w:t>
            </w:r>
            <w:r w:rsidR="00340813" w:rsidRPr="00CA6B16">
              <w:rPr>
                <w:b/>
              </w:rPr>
              <w:t xml:space="preserve"> &lt;1/100</w:t>
            </w:r>
          </w:p>
        </w:tc>
      </w:tr>
      <w:tr w:rsidR="007C51B7" w:rsidRPr="00CA6B16" w14:paraId="03B8E598" w14:textId="77777777" w:rsidTr="0045655A">
        <w:tc>
          <w:tcPr>
            <w:tcW w:w="3070" w:type="dxa"/>
          </w:tcPr>
          <w:p w14:paraId="0094A1D1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Idegrendszeri betegségek és tünetek</w:t>
            </w:r>
          </w:p>
        </w:tc>
        <w:tc>
          <w:tcPr>
            <w:tcW w:w="3071" w:type="dxa"/>
          </w:tcPr>
          <w:p w14:paraId="61108DCA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Fejfájás</w:t>
            </w:r>
          </w:p>
        </w:tc>
        <w:tc>
          <w:tcPr>
            <w:tcW w:w="3071" w:type="dxa"/>
          </w:tcPr>
          <w:p w14:paraId="531C676F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Szédülés, dyskinesia</w:t>
            </w:r>
          </w:p>
        </w:tc>
      </w:tr>
      <w:tr w:rsidR="007C51B7" w:rsidRPr="00CA6B16" w14:paraId="6E59433D" w14:textId="77777777" w:rsidTr="0045655A">
        <w:tc>
          <w:tcPr>
            <w:tcW w:w="3070" w:type="dxa"/>
          </w:tcPr>
          <w:p w14:paraId="674CAAA5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Szívbetegségek és a szívvel kapcsolatos tünetek</w:t>
            </w:r>
          </w:p>
        </w:tc>
        <w:tc>
          <w:tcPr>
            <w:tcW w:w="3071" w:type="dxa"/>
          </w:tcPr>
          <w:p w14:paraId="033B5F27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14:paraId="17BDFB2A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Megnyúlt QT-intervallum az elektrokardiogramon, ingervezetési zavarok, sinus tachycardia</w:t>
            </w:r>
          </w:p>
        </w:tc>
      </w:tr>
      <w:tr w:rsidR="007C51B7" w:rsidRPr="00CA6B16" w14:paraId="30E1CA35" w14:textId="77777777" w:rsidTr="0045655A">
        <w:tc>
          <w:tcPr>
            <w:tcW w:w="3070" w:type="dxa"/>
          </w:tcPr>
          <w:p w14:paraId="717568DA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Légzőrendszeri, mellkasi és mediastinalis betegségek és tünetek</w:t>
            </w:r>
          </w:p>
        </w:tc>
        <w:tc>
          <w:tcPr>
            <w:tcW w:w="3071" w:type="dxa"/>
          </w:tcPr>
          <w:p w14:paraId="40447067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14:paraId="1C98E6FA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Köhögés, dyspnoe, epistaxis</w:t>
            </w:r>
          </w:p>
        </w:tc>
      </w:tr>
      <w:tr w:rsidR="007C51B7" w:rsidRPr="00CA6B16" w14:paraId="596B69EF" w14:textId="77777777" w:rsidTr="0045655A">
        <w:tc>
          <w:tcPr>
            <w:tcW w:w="3070" w:type="dxa"/>
          </w:tcPr>
          <w:p w14:paraId="61170E5F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A bőr és a bőr alatti szövet betegségei és tünetei</w:t>
            </w:r>
          </w:p>
        </w:tc>
        <w:tc>
          <w:tcPr>
            <w:tcW w:w="3071" w:type="dxa"/>
          </w:tcPr>
          <w:p w14:paraId="4C8F386A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14:paraId="2D74158C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Allergiás dermatitis, pruritus, bőrproblémák, urticaria</w:t>
            </w:r>
          </w:p>
        </w:tc>
      </w:tr>
      <w:tr w:rsidR="007C51B7" w:rsidRPr="00CA6B16" w14:paraId="24A655E7" w14:textId="77777777" w:rsidTr="0045655A">
        <w:tc>
          <w:tcPr>
            <w:tcW w:w="3070" w:type="dxa"/>
          </w:tcPr>
          <w:p w14:paraId="08CBDA02" w14:textId="77777777" w:rsidR="007C51B7" w:rsidRPr="00CA6B16" w:rsidRDefault="007C51B7" w:rsidP="001E7AF5">
            <w:pPr>
              <w:tabs>
                <w:tab w:val="left" w:pos="1890"/>
              </w:tabs>
              <w:rPr>
                <w:rFonts w:ascii="Times New Roman" w:hAnsi="Times New Roman" w:cs="Times New Roman"/>
              </w:rPr>
            </w:pPr>
            <w:r w:rsidRPr="00CA6B16">
              <w:lastRenderedPageBreak/>
              <w:t>Általános tünetek, az alkalmazás helyén fellépő reakciók</w:t>
            </w:r>
          </w:p>
        </w:tc>
        <w:tc>
          <w:tcPr>
            <w:tcW w:w="3071" w:type="dxa"/>
          </w:tcPr>
          <w:p w14:paraId="0F772C96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14:paraId="69F63042" w14:textId="77777777" w:rsidR="007C51B7" w:rsidRPr="00CA6B16" w:rsidRDefault="007C51B7" w:rsidP="001E7AF5">
            <w:pPr>
              <w:rPr>
                <w:rFonts w:ascii="Times New Roman" w:hAnsi="Times New Roman" w:cs="Times New Roman"/>
              </w:rPr>
            </w:pPr>
            <w:r w:rsidRPr="00CA6B16">
              <w:t>Láz, fájdalom az infúzió beadásának helyén, az infúzió beadásának helyén jelentkező reakció, fájdalom</w:t>
            </w:r>
          </w:p>
        </w:tc>
      </w:tr>
    </w:tbl>
    <w:p w14:paraId="05381E7B" w14:textId="77777777" w:rsidR="007C51B7" w:rsidRPr="00E5148F" w:rsidRDefault="007C51B7" w:rsidP="001E7AF5">
      <w:pPr>
        <w:rPr>
          <w:sz w:val="22"/>
          <w:szCs w:val="22"/>
          <w:lang w:val="hu-HU"/>
        </w:rPr>
      </w:pPr>
    </w:p>
    <w:p w14:paraId="7D30E3BC" w14:textId="19711E78" w:rsidR="007C51B7" w:rsidRPr="00E5148F" w:rsidRDefault="007C51B7" w:rsidP="001E7AF5">
      <w:pPr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mellékhatásokat olyan gyermekkorú betegeknél vizsgálták, akik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kaptak legfeljebb</w:t>
      </w:r>
      <w:r w:rsidR="00736C5B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4 kemoterápiás ciklusban.</w:t>
      </w:r>
    </w:p>
    <w:p w14:paraId="579DAE70" w14:textId="77777777" w:rsidR="007C51B7" w:rsidRPr="00E5148F" w:rsidRDefault="007C51B7" w:rsidP="001E7AF5">
      <w:pPr>
        <w:rPr>
          <w:sz w:val="22"/>
          <w:szCs w:val="22"/>
          <w:lang w:val="hu-HU"/>
        </w:rPr>
      </w:pPr>
    </w:p>
    <w:p w14:paraId="5739E45D" w14:textId="77777777" w:rsidR="007C51B7" w:rsidRPr="00E5148F" w:rsidRDefault="007C51B7" w:rsidP="001E7AF5">
      <w:pPr>
        <w:keepNext/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Feltételezett mellékhatások bejelentése</w:t>
      </w:r>
    </w:p>
    <w:p w14:paraId="46499498" w14:textId="12497AEF" w:rsidR="007C51B7" w:rsidRPr="00E5148F" w:rsidRDefault="007C51B7" w:rsidP="001E7AF5">
      <w:pPr>
        <w:keepNext/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</w:t>
      </w:r>
      <w:r w:rsidR="00C478C6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kísérni.</w:t>
      </w:r>
    </w:p>
    <w:p w14:paraId="0FD66E47" w14:textId="77777777" w:rsidR="007C51B7" w:rsidRPr="00E5148F" w:rsidRDefault="007C51B7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>
        <w:r w:rsidRPr="00E5148F">
          <w:rPr>
            <w:sz w:val="22"/>
            <w:szCs w:val="22"/>
            <w:highlight w:val="lightGray"/>
            <w:lang w:val="hu-HU"/>
          </w:rPr>
          <w:t>V. függelékben t</w:t>
        </w:r>
      </w:hyperlink>
      <w:r w:rsidRPr="00E5148F">
        <w:rPr>
          <w:sz w:val="22"/>
          <w:szCs w:val="22"/>
          <w:highlight w:val="lightGray"/>
          <w:lang w:val="hu-HU"/>
        </w:rPr>
        <w:t>alálható elérhetőségek valamelyikén keresztül</w:t>
      </w:r>
      <w:r w:rsidRPr="00E5148F">
        <w:rPr>
          <w:sz w:val="22"/>
          <w:szCs w:val="22"/>
          <w:lang w:val="hu-HU"/>
        </w:rPr>
        <w:t>.</w:t>
      </w:r>
    </w:p>
    <w:p w14:paraId="30515237" w14:textId="77777777" w:rsidR="007C51B7" w:rsidRPr="00E5148F" w:rsidRDefault="007C51B7" w:rsidP="001E7AF5">
      <w:pPr>
        <w:tabs>
          <w:tab w:val="left" w:pos="4065"/>
        </w:tabs>
        <w:rPr>
          <w:sz w:val="22"/>
          <w:szCs w:val="22"/>
          <w:lang w:val="hu-HU"/>
        </w:rPr>
      </w:pPr>
    </w:p>
    <w:p w14:paraId="395875D6" w14:textId="27FDD8A0" w:rsidR="0050030B" w:rsidRPr="00E5148F" w:rsidRDefault="00797782" w:rsidP="00E5148F">
      <w:pPr>
        <w:keepNext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4.9</w:t>
      </w:r>
      <w:r w:rsidR="00ED643A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Túladagolás</w:t>
      </w:r>
    </w:p>
    <w:p w14:paraId="11AD5355" w14:textId="77777777" w:rsidR="0050030B" w:rsidRPr="00E5148F" w:rsidRDefault="0050030B" w:rsidP="00E5148F">
      <w:pPr>
        <w:keepNext/>
        <w:rPr>
          <w:sz w:val="22"/>
          <w:szCs w:val="22"/>
          <w:lang w:val="hu-HU"/>
        </w:rPr>
      </w:pPr>
    </w:p>
    <w:p w14:paraId="4162AD62" w14:textId="77777777" w:rsidR="0050030B" w:rsidRPr="00E5148F" w:rsidRDefault="00797782" w:rsidP="00E5148F">
      <w:pPr>
        <w:keepNext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Túladagolásról nem számoltak be.</w:t>
      </w:r>
    </w:p>
    <w:p w14:paraId="01A269B6" w14:textId="094A7558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felnőttek bevonásával végzett klinikai vizsgálatokban 6 mg-ig terjedő adagokat alkalmaztak. A legmagasabb dózissal kezelt csoportnál jelentkezett mellékhatások előfordulási gyakorisága hasonló volt a többi dózis-csoportnál jelentett adatokhoz, és semmilyen dózis-válasz összefüggést </w:t>
      </w:r>
      <w:r w:rsidR="00AD4C55" w:rsidRPr="00E5148F">
        <w:rPr>
          <w:sz w:val="22"/>
          <w:szCs w:val="22"/>
          <w:lang w:val="hu-HU"/>
        </w:rPr>
        <w:t>n</w:t>
      </w:r>
      <w:r w:rsidRPr="00E5148F">
        <w:rPr>
          <w:sz w:val="22"/>
          <w:szCs w:val="22"/>
          <w:lang w:val="hu-HU"/>
        </w:rPr>
        <w:t xml:space="preserve">em figyeltek meg. </w:t>
      </w:r>
      <w:r w:rsidR="00D359CF" w:rsidRPr="00E5148F">
        <w:rPr>
          <w:sz w:val="22"/>
          <w:szCs w:val="22"/>
          <w:lang w:val="hu-HU"/>
        </w:rPr>
        <w:t>Bár a</w:t>
      </w:r>
      <w:r w:rsidR="00970DF6" w:rsidRPr="00E5148F">
        <w:rPr>
          <w:sz w:val="22"/>
          <w:szCs w:val="22"/>
          <w:lang w:val="hu-HU"/>
        </w:rPr>
        <w:t xml:space="preserve"> Palonosetron</w:t>
      </w:r>
      <w:r w:rsidRPr="00E5148F">
        <w:rPr>
          <w:sz w:val="22"/>
          <w:szCs w:val="22"/>
          <w:lang w:val="hu-HU"/>
        </w:rPr>
        <w:t xml:space="preserve"> Onkogen túladagolás</w:t>
      </w:r>
      <w:r w:rsidR="00D359CF" w:rsidRPr="00E5148F">
        <w:rPr>
          <w:sz w:val="22"/>
          <w:szCs w:val="22"/>
          <w:lang w:val="hu-HU"/>
        </w:rPr>
        <w:t>a</w:t>
      </w:r>
      <w:r w:rsidRPr="00E5148F">
        <w:rPr>
          <w:sz w:val="22"/>
          <w:szCs w:val="22"/>
          <w:lang w:val="hu-HU"/>
        </w:rPr>
        <w:t xml:space="preserve"> nem valószínű</w:t>
      </w:r>
      <w:r w:rsidR="00D359CF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</w:t>
      </w:r>
      <w:r w:rsidR="00F07499" w:rsidRPr="00E5148F">
        <w:rPr>
          <w:sz w:val="22"/>
          <w:szCs w:val="22"/>
          <w:lang w:val="hu-HU"/>
        </w:rPr>
        <w:t>azonban, h</w:t>
      </w:r>
      <w:r w:rsidRPr="00E5148F">
        <w:rPr>
          <w:sz w:val="22"/>
          <w:szCs w:val="22"/>
          <w:lang w:val="hu-HU"/>
        </w:rPr>
        <w:t xml:space="preserve">a ez mégis megtörténne, szupportív kezelést kell alkalmazni. </w:t>
      </w:r>
      <w:r w:rsidR="00F07499" w:rsidRPr="00E5148F">
        <w:rPr>
          <w:sz w:val="22"/>
          <w:szCs w:val="22"/>
          <w:lang w:val="hu-HU"/>
        </w:rPr>
        <w:t>D</w:t>
      </w:r>
      <w:r w:rsidRPr="00E5148F">
        <w:rPr>
          <w:sz w:val="22"/>
          <w:szCs w:val="22"/>
          <w:lang w:val="hu-HU"/>
        </w:rPr>
        <w:t xml:space="preserve">ialízisre irányuló vizsgálatokat nem végeztek, </w:t>
      </w:r>
      <w:r w:rsidR="00F25B57" w:rsidRPr="00E5148F">
        <w:rPr>
          <w:sz w:val="22"/>
          <w:szCs w:val="22"/>
          <w:lang w:val="hu-HU"/>
        </w:rPr>
        <w:t xml:space="preserve">azonban </w:t>
      </w:r>
      <w:r w:rsidRPr="00E5148F">
        <w:rPr>
          <w:sz w:val="22"/>
          <w:szCs w:val="22"/>
          <w:lang w:val="hu-HU"/>
        </w:rPr>
        <w:t>a nagyméretű megoszlási volumenre való tekintettel valószínűsíthető, hogy a dialízis</w:t>
      </w:r>
      <w:r w:rsidR="00F25B57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 xml:space="preserve">kezelés nem bizonyul hatásosnak </w:t>
      </w:r>
      <w:r w:rsidR="00970DF6" w:rsidRPr="00E5148F">
        <w:rPr>
          <w:sz w:val="22"/>
          <w:szCs w:val="22"/>
          <w:lang w:val="hu-HU"/>
        </w:rPr>
        <w:t>a Palonosetron</w:t>
      </w:r>
      <w:r w:rsidRPr="00E5148F">
        <w:rPr>
          <w:sz w:val="22"/>
          <w:szCs w:val="22"/>
          <w:lang w:val="hu-HU"/>
        </w:rPr>
        <w:t xml:space="preserve"> Onkogen túladagolása esetén.</w:t>
      </w:r>
    </w:p>
    <w:p w14:paraId="4EBE2E2D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0FE63FD" w14:textId="6F19F8F2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Gyermekek</w:t>
      </w:r>
      <w:r w:rsidR="00980301" w:rsidRPr="00E5148F">
        <w:rPr>
          <w:i/>
          <w:sz w:val="22"/>
          <w:szCs w:val="22"/>
          <w:lang w:val="hu-HU"/>
        </w:rPr>
        <w:t xml:space="preserve"> és serdülők</w:t>
      </w:r>
    </w:p>
    <w:p w14:paraId="6A4EDEF0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ECB8B1B" w14:textId="451E19A4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gyermekek </w:t>
      </w:r>
      <w:r w:rsidR="00F25B57" w:rsidRPr="00E5148F">
        <w:rPr>
          <w:sz w:val="22"/>
          <w:szCs w:val="22"/>
          <w:lang w:val="hu-HU"/>
        </w:rPr>
        <w:t xml:space="preserve">és serdülők </w:t>
      </w:r>
      <w:r w:rsidRPr="00E5148F">
        <w:rPr>
          <w:sz w:val="22"/>
          <w:szCs w:val="22"/>
          <w:lang w:val="hu-HU"/>
        </w:rPr>
        <w:t>bevonásával végzett klinikai vizsgálatok során túladagolás esetéről nem számoltak be.</w:t>
      </w:r>
    </w:p>
    <w:p w14:paraId="6D650737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57D2BCD2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AA2973C" w14:textId="52705466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5.</w:t>
      </w:r>
      <w:r w:rsidR="00980301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FARMAKOLÓGIAI TULAJDONSÁGOK</w:t>
      </w:r>
    </w:p>
    <w:p w14:paraId="5A90B58F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C9203D7" w14:textId="088456A9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5.1</w:t>
      </w:r>
      <w:r w:rsidR="00980301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Farmakodinámiás tulajdonságok</w:t>
      </w:r>
    </w:p>
    <w:p w14:paraId="08AA4798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78948B2" w14:textId="77777777" w:rsidR="0050030B" w:rsidRPr="00E5148F" w:rsidRDefault="00797782" w:rsidP="001E7AF5">
      <w:pPr>
        <w:ind w:hanging="1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Farmakoterápiás csoport: antiemetikumok és hányinger elleni szerek, szerotonin (5HT</w:t>
      </w:r>
      <w:r w:rsidRPr="00E5148F">
        <w:rPr>
          <w:sz w:val="22"/>
          <w:szCs w:val="22"/>
          <w:vertAlign w:val="subscript"/>
          <w:lang w:val="hu-HU"/>
        </w:rPr>
        <w:t>3</w:t>
      </w:r>
      <w:r w:rsidRPr="00E5148F">
        <w:rPr>
          <w:sz w:val="22"/>
          <w:szCs w:val="22"/>
          <w:lang w:val="hu-HU"/>
        </w:rPr>
        <w:t>) antagonisták, ATC kód: A04AA05</w:t>
      </w:r>
    </w:p>
    <w:p w14:paraId="38B68A2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4DDF3B42" w14:textId="23AA91F6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</w:t>
      </w:r>
      <w:r w:rsidR="000F2A8C" w:rsidRPr="00E5148F">
        <w:rPr>
          <w:sz w:val="22"/>
          <w:szCs w:val="22"/>
          <w:lang w:val="hu-HU"/>
        </w:rPr>
        <w:t>egy nagy</w:t>
      </w:r>
      <w:r w:rsidRPr="00E5148F">
        <w:rPr>
          <w:sz w:val="22"/>
          <w:szCs w:val="22"/>
          <w:lang w:val="hu-HU"/>
        </w:rPr>
        <w:t xml:space="preserve"> affinitású</w:t>
      </w:r>
      <w:r w:rsidR="000F2A8C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szelektív </w:t>
      </w:r>
      <w:r w:rsidR="000F2A8C" w:rsidRPr="00E5148F">
        <w:rPr>
          <w:sz w:val="22"/>
          <w:szCs w:val="22"/>
          <w:lang w:val="hu-HU"/>
        </w:rPr>
        <w:t>5HT</w:t>
      </w:r>
      <w:r w:rsidR="000F2A8C" w:rsidRPr="00E5148F">
        <w:rPr>
          <w:sz w:val="22"/>
          <w:szCs w:val="22"/>
          <w:vertAlign w:val="subscript"/>
          <w:lang w:val="hu-HU"/>
        </w:rPr>
        <w:t>3</w:t>
      </w:r>
      <w:r w:rsidR="003529ED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receptor</w:t>
      </w:r>
      <w:r w:rsidR="000F2A8C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antagonist</w:t>
      </w:r>
      <w:r w:rsidR="000F2A8C" w:rsidRPr="00E5148F">
        <w:rPr>
          <w:sz w:val="22"/>
          <w:szCs w:val="22"/>
          <w:lang w:val="hu-HU"/>
        </w:rPr>
        <w:t>a</w:t>
      </w:r>
      <w:r w:rsidRPr="00E5148F">
        <w:rPr>
          <w:sz w:val="22"/>
          <w:szCs w:val="22"/>
          <w:lang w:val="hu-HU"/>
        </w:rPr>
        <w:t>.</w:t>
      </w:r>
    </w:p>
    <w:p w14:paraId="39937CCF" w14:textId="50439953" w:rsidR="0050030B" w:rsidRDefault="00797782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Két randomizált, kettős</w:t>
      </w:r>
      <w:r w:rsidR="00043D7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vak vizsgálatban, melyekben 1132 olyan beteg vett részt, akik közepesen</w:t>
      </w:r>
      <w:r w:rsidR="00BB71A1" w:rsidRPr="00E5148F">
        <w:rPr>
          <w:position w:val="-1"/>
          <w:sz w:val="22"/>
          <w:szCs w:val="22"/>
          <w:lang w:val="hu-HU"/>
        </w:rPr>
        <w:t xml:space="preserve"> </w:t>
      </w:r>
      <w:r w:rsidRPr="00E5148F">
        <w:rPr>
          <w:position w:val="-1"/>
          <w:sz w:val="22"/>
          <w:szCs w:val="22"/>
          <w:lang w:val="hu-HU"/>
        </w:rPr>
        <w:t>emetogén, ≤50</w:t>
      </w:r>
      <w:r w:rsidR="00401798" w:rsidRPr="00E5148F">
        <w:rPr>
          <w:position w:val="-1"/>
          <w:sz w:val="22"/>
          <w:szCs w:val="22"/>
          <w:lang w:val="hu-HU"/>
        </w:rPr>
        <w:t> </w:t>
      </w:r>
      <w:r w:rsidRPr="00E5148F">
        <w:rPr>
          <w:position w:val="-1"/>
          <w:sz w:val="22"/>
          <w:szCs w:val="22"/>
          <w:lang w:val="hu-HU"/>
        </w:rPr>
        <w:t>mg/m</w:t>
      </w:r>
      <w:r w:rsidRPr="00E5148F">
        <w:rPr>
          <w:sz w:val="22"/>
          <w:szCs w:val="22"/>
          <w:vertAlign w:val="superscript"/>
          <w:lang w:val="hu-HU"/>
        </w:rPr>
        <w:t>2</w:t>
      </w:r>
      <w:r w:rsidRPr="00E5148F">
        <w:rPr>
          <w:sz w:val="22"/>
          <w:szCs w:val="22"/>
          <w:lang w:val="hu-HU"/>
        </w:rPr>
        <w:t xml:space="preserve"> </w:t>
      </w:r>
      <w:r w:rsidRPr="00E5148F">
        <w:rPr>
          <w:position w:val="-1"/>
          <w:sz w:val="22"/>
          <w:szCs w:val="22"/>
          <w:lang w:val="hu-HU"/>
        </w:rPr>
        <w:t xml:space="preserve">ciszplatint, </w:t>
      </w:r>
      <w:r w:rsidR="0014127E" w:rsidRPr="00E5148F">
        <w:rPr>
          <w:position w:val="-1"/>
          <w:sz w:val="22"/>
          <w:szCs w:val="22"/>
          <w:lang w:val="hu-HU"/>
        </w:rPr>
        <w:t>1500 mg/m</w:t>
      </w:r>
      <w:r w:rsidR="0014127E" w:rsidRPr="00E5148F">
        <w:rPr>
          <w:sz w:val="22"/>
          <w:szCs w:val="22"/>
          <w:vertAlign w:val="superscript"/>
          <w:lang w:val="hu-HU"/>
        </w:rPr>
        <w:t>2</w:t>
      </w:r>
      <w:r w:rsidR="0014127E" w:rsidRPr="00E5148F">
        <w:rPr>
          <w:position w:val="-1"/>
          <w:sz w:val="22"/>
          <w:szCs w:val="22"/>
          <w:lang w:val="hu-HU"/>
        </w:rPr>
        <w:t xml:space="preserve"> </w:t>
      </w:r>
      <w:r w:rsidRPr="00E5148F">
        <w:rPr>
          <w:position w:val="-1"/>
          <w:sz w:val="22"/>
          <w:szCs w:val="22"/>
          <w:lang w:val="hu-HU"/>
        </w:rPr>
        <w:t>karboplatint, ciklofoszfamidot és 25</w:t>
      </w:r>
      <w:r w:rsidR="007E7799" w:rsidRPr="00E5148F">
        <w:rPr>
          <w:position w:val="-1"/>
          <w:sz w:val="22"/>
          <w:szCs w:val="22"/>
          <w:lang w:val="hu-HU"/>
        </w:rPr>
        <w:t> </w:t>
      </w:r>
      <w:r w:rsidRPr="00E5148F">
        <w:rPr>
          <w:position w:val="-1"/>
          <w:sz w:val="22"/>
          <w:szCs w:val="22"/>
          <w:lang w:val="hu-HU"/>
        </w:rPr>
        <w:t>mg/m</w:t>
      </w:r>
      <w:r w:rsidRPr="00E5148F">
        <w:rPr>
          <w:sz w:val="22"/>
          <w:szCs w:val="22"/>
          <w:vertAlign w:val="superscript"/>
          <w:lang w:val="hu-HU"/>
        </w:rPr>
        <w:t>2</w:t>
      </w:r>
      <w:r w:rsidR="0040179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 xml:space="preserve">doxorubicint tartalmazó kemoterápiában részesültek, </w:t>
      </w:r>
      <w:r w:rsidR="00424F07" w:rsidRPr="00E5148F">
        <w:rPr>
          <w:sz w:val="22"/>
          <w:szCs w:val="22"/>
          <w:lang w:val="hu-HU"/>
        </w:rPr>
        <w:t>az első napon intravénásan beadott</w:t>
      </w:r>
      <w:r w:rsidR="00AC77FA" w:rsidRPr="00E5148F">
        <w:rPr>
          <w:sz w:val="22"/>
          <w:szCs w:val="22"/>
          <w:lang w:val="hu-HU"/>
        </w:rPr>
        <w:t xml:space="preserve"> palono</w:t>
      </w:r>
      <w:r w:rsidR="0026165F" w:rsidRPr="00E5148F">
        <w:rPr>
          <w:sz w:val="22"/>
          <w:szCs w:val="22"/>
          <w:lang w:val="hu-HU"/>
        </w:rPr>
        <w:t>s</w:t>
      </w:r>
      <w:r w:rsidR="00AC77FA" w:rsidRPr="00E5148F">
        <w:rPr>
          <w:sz w:val="22"/>
          <w:szCs w:val="22"/>
          <w:lang w:val="hu-HU"/>
        </w:rPr>
        <w:t>zetront (</w:t>
      </w:r>
      <w:r w:rsidRPr="00E5148F">
        <w:rPr>
          <w:sz w:val="22"/>
          <w:szCs w:val="22"/>
          <w:lang w:val="hu-HU"/>
        </w:rPr>
        <w:t>250, ill</w:t>
      </w:r>
      <w:r w:rsidR="007E7799" w:rsidRPr="00E5148F">
        <w:rPr>
          <w:sz w:val="22"/>
          <w:szCs w:val="22"/>
          <w:lang w:val="hu-HU"/>
        </w:rPr>
        <w:t>etve</w:t>
      </w:r>
      <w:r w:rsidRPr="00E5148F">
        <w:rPr>
          <w:sz w:val="22"/>
          <w:szCs w:val="22"/>
          <w:lang w:val="hu-HU"/>
        </w:rPr>
        <w:t xml:space="preserve"> 750</w:t>
      </w:r>
      <w:r w:rsidR="007E7799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mikrogramm dózis</w:t>
      </w:r>
      <w:r w:rsidR="00AC77FA" w:rsidRPr="00E5148F">
        <w:rPr>
          <w:sz w:val="22"/>
          <w:szCs w:val="22"/>
          <w:lang w:val="hu-HU"/>
        </w:rPr>
        <w:t>ban)</w:t>
      </w:r>
      <w:r w:rsidRPr="00E5148F">
        <w:rPr>
          <w:sz w:val="22"/>
          <w:szCs w:val="22"/>
          <w:lang w:val="hu-HU"/>
        </w:rPr>
        <w:t xml:space="preserve"> 32</w:t>
      </w:r>
      <w:r w:rsidR="00043D71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</w:t>
      </w:r>
      <w:r w:rsidR="00AC77FA" w:rsidRPr="00E5148F">
        <w:rPr>
          <w:sz w:val="22"/>
          <w:szCs w:val="22"/>
          <w:lang w:val="hu-HU"/>
        </w:rPr>
        <w:t>nal</w:t>
      </w:r>
      <w:r w:rsidRPr="00E5148F">
        <w:rPr>
          <w:sz w:val="22"/>
          <w:szCs w:val="22"/>
          <w:lang w:val="hu-HU"/>
        </w:rPr>
        <w:t xml:space="preserve"> (felezési idő: 4</w:t>
      </w:r>
      <w:r w:rsidR="0040179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óra)</w:t>
      </w:r>
      <w:r w:rsidR="005330E5" w:rsidRPr="00E5148F">
        <w:rPr>
          <w:sz w:val="22"/>
          <w:szCs w:val="22"/>
          <w:lang w:val="hu-HU"/>
        </w:rPr>
        <w:t>, illetve</w:t>
      </w:r>
      <w:r w:rsidR="00BB71A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100</w:t>
      </w:r>
      <w:r w:rsidR="0040179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 dolazetron</w:t>
      </w:r>
      <w:r w:rsidR="00FF7165" w:rsidRPr="00E5148F">
        <w:rPr>
          <w:sz w:val="22"/>
          <w:szCs w:val="22"/>
          <w:lang w:val="hu-HU"/>
        </w:rPr>
        <w:t>nal</w:t>
      </w:r>
      <w:r w:rsidRPr="00E5148F">
        <w:rPr>
          <w:sz w:val="22"/>
          <w:szCs w:val="22"/>
          <w:lang w:val="hu-HU"/>
        </w:rPr>
        <w:t xml:space="preserve"> (felezési idő: 7,3</w:t>
      </w:r>
      <w:r w:rsidR="0040179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 xml:space="preserve">óra) </w:t>
      </w:r>
      <w:r w:rsidR="00FF7165" w:rsidRPr="00E5148F">
        <w:rPr>
          <w:sz w:val="22"/>
          <w:szCs w:val="22"/>
          <w:lang w:val="hu-HU"/>
        </w:rPr>
        <w:t>hasonlították össze</w:t>
      </w:r>
      <w:r w:rsidRPr="00E5148F">
        <w:rPr>
          <w:sz w:val="22"/>
          <w:szCs w:val="22"/>
          <w:lang w:val="hu-HU"/>
        </w:rPr>
        <w:t xml:space="preserve">, dexametazon </w:t>
      </w:r>
      <w:r w:rsidR="005330E5" w:rsidRPr="00E5148F">
        <w:rPr>
          <w:sz w:val="22"/>
          <w:szCs w:val="22"/>
          <w:lang w:val="hu-HU"/>
        </w:rPr>
        <w:t xml:space="preserve">alkalmazása </w:t>
      </w:r>
      <w:r w:rsidRPr="00E5148F">
        <w:rPr>
          <w:sz w:val="22"/>
          <w:szCs w:val="22"/>
          <w:lang w:val="hu-HU"/>
        </w:rPr>
        <w:t>nélkül.</w:t>
      </w:r>
    </w:p>
    <w:p w14:paraId="4C5DF0F9" w14:textId="77777777" w:rsidR="00DB7DB1" w:rsidRPr="00E5148F" w:rsidRDefault="00DB7DB1" w:rsidP="00E5148F">
      <w:pPr>
        <w:rPr>
          <w:sz w:val="22"/>
          <w:szCs w:val="22"/>
          <w:lang w:val="hu-HU"/>
        </w:rPr>
      </w:pPr>
    </w:p>
    <w:p w14:paraId="5E04FF9B" w14:textId="275E2BE0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position w:val="-1"/>
          <w:sz w:val="22"/>
          <w:szCs w:val="22"/>
          <w:lang w:val="hu-HU"/>
        </w:rPr>
        <w:t>Egy randomizált, kettős</w:t>
      </w:r>
      <w:r w:rsidR="00043D71" w:rsidRPr="00E5148F">
        <w:rPr>
          <w:position w:val="-1"/>
          <w:sz w:val="22"/>
          <w:szCs w:val="22"/>
          <w:lang w:val="hu-HU"/>
        </w:rPr>
        <w:t xml:space="preserve"> </w:t>
      </w:r>
      <w:r w:rsidRPr="00E5148F">
        <w:rPr>
          <w:position w:val="-1"/>
          <w:sz w:val="22"/>
          <w:szCs w:val="22"/>
          <w:lang w:val="hu-HU"/>
        </w:rPr>
        <w:t xml:space="preserve">vak vizsgálatban, melyben 667 olyan beteg vett részt, akik </w:t>
      </w:r>
      <w:r w:rsidR="006034E6" w:rsidRPr="00E5148F">
        <w:rPr>
          <w:position w:val="-1"/>
          <w:sz w:val="22"/>
          <w:szCs w:val="22"/>
          <w:lang w:val="hu-HU"/>
        </w:rPr>
        <w:t xml:space="preserve">erősen </w:t>
      </w:r>
      <w:r w:rsidRPr="00E5148F">
        <w:rPr>
          <w:position w:val="-1"/>
          <w:sz w:val="22"/>
          <w:szCs w:val="22"/>
          <w:lang w:val="hu-HU"/>
        </w:rPr>
        <w:t>emetogén,</w:t>
      </w:r>
      <w:r w:rsidR="0040179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≥60</w:t>
      </w:r>
      <w:r w:rsidR="00043D71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mg/m</w:t>
      </w:r>
      <w:r w:rsidRPr="00E5148F">
        <w:rPr>
          <w:sz w:val="22"/>
          <w:szCs w:val="22"/>
          <w:vertAlign w:val="superscript"/>
          <w:lang w:val="hu-HU"/>
        </w:rPr>
        <w:t>2</w:t>
      </w:r>
      <w:r w:rsidRPr="00E5148F">
        <w:rPr>
          <w:sz w:val="22"/>
          <w:szCs w:val="22"/>
          <w:lang w:val="hu-HU"/>
        </w:rPr>
        <w:t xml:space="preserve"> ciszplatint, &gt;1500</w:t>
      </w:r>
      <w:r w:rsidR="0040179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mg/m</w:t>
      </w:r>
      <w:r w:rsidRPr="00E5148F">
        <w:rPr>
          <w:sz w:val="22"/>
          <w:szCs w:val="22"/>
          <w:vertAlign w:val="superscript"/>
          <w:lang w:val="hu-HU"/>
        </w:rPr>
        <w:t>2</w:t>
      </w:r>
      <w:r w:rsidRPr="00E5148F">
        <w:rPr>
          <w:sz w:val="22"/>
          <w:szCs w:val="22"/>
          <w:lang w:val="hu-HU"/>
        </w:rPr>
        <w:t xml:space="preserve"> ciklofoszfamidot és dakarbazint tartalmazó kemoterápiában részesültek, </w:t>
      </w:r>
      <w:r w:rsidR="00C4149C" w:rsidRPr="00E5148F">
        <w:rPr>
          <w:sz w:val="22"/>
          <w:szCs w:val="22"/>
          <w:lang w:val="hu-HU"/>
        </w:rPr>
        <w:t>az első napon intravénásan beadott palono</w:t>
      </w:r>
      <w:r w:rsidR="0026165F" w:rsidRPr="00E5148F">
        <w:rPr>
          <w:sz w:val="22"/>
          <w:szCs w:val="22"/>
          <w:lang w:val="hu-HU"/>
        </w:rPr>
        <w:t>s</w:t>
      </w:r>
      <w:r w:rsidR="00C4149C" w:rsidRPr="00E5148F">
        <w:rPr>
          <w:sz w:val="22"/>
          <w:szCs w:val="22"/>
          <w:lang w:val="hu-HU"/>
        </w:rPr>
        <w:t>zetront (</w:t>
      </w:r>
      <w:r w:rsidRPr="00E5148F">
        <w:rPr>
          <w:sz w:val="22"/>
          <w:szCs w:val="22"/>
          <w:lang w:val="hu-HU"/>
        </w:rPr>
        <w:t>250, ill</w:t>
      </w:r>
      <w:r w:rsidR="004C5E24" w:rsidRPr="00E5148F">
        <w:rPr>
          <w:sz w:val="22"/>
          <w:szCs w:val="22"/>
          <w:lang w:val="hu-HU"/>
        </w:rPr>
        <w:t>etve</w:t>
      </w:r>
      <w:r w:rsidRPr="00E5148F">
        <w:rPr>
          <w:sz w:val="22"/>
          <w:szCs w:val="22"/>
          <w:lang w:val="hu-HU"/>
        </w:rPr>
        <w:t xml:space="preserve"> 750</w:t>
      </w:r>
      <w:r w:rsidR="0040179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mikrogramm dózis</w:t>
      </w:r>
      <w:r w:rsidR="004C5E24" w:rsidRPr="00E5148F">
        <w:rPr>
          <w:sz w:val="22"/>
          <w:szCs w:val="22"/>
          <w:lang w:val="hu-HU"/>
        </w:rPr>
        <w:t>ban)</w:t>
      </w:r>
      <w:r w:rsidRPr="00E5148F">
        <w:rPr>
          <w:sz w:val="22"/>
          <w:szCs w:val="22"/>
          <w:lang w:val="hu-HU"/>
        </w:rPr>
        <w:t xml:space="preserve"> 32</w:t>
      </w:r>
      <w:r w:rsidR="004C5E24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</w:t>
      </w:r>
      <w:r w:rsidR="004C5E24" w:rsidRPr="00E5148F">
        <w:rPr>
          <w:sz w:val="22"/>
          <w:szCs w:val="22"/>
          <w:lang w:val="hu-HU"/>
        </w:rPr>
        <w:t>nal</w:t>
      </w:r>
      <w:r w:rsidR="006C2A42" w:rsidRPr="00E5148F">
        <w:rPr>
          <w:sz w:val="22"/>
          <w:szCs w:val="22"/>
          <w:lang w:val="hu-HU"/>
        </w:rPr>
        <w:t xml:space="preserve"> hasonlították össze</w:t>
      </w:r>
      <w:r w:rsidRPr="00E5148F">
        <w:rPr>
          <w:sz w:val="22"/>
          <w:szCs w:val="22"/>
          <w:lang w:val="hu-HU"/>
        </w:rPr>
        <w:t>. A kemoterápia előtt a betegek 67%-a dexametazont kapott profilaktikus kezelésként.</w:t>
      </w:r>
    </w:p>
    <w:p w14:paraId="00CEBF18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685B0C5" w14:textId="4FB4EEDB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döntő fontosságú, ún. „pivot</w:t>
      </w:r>
      <w:r w:rsidR="00E65D25" w:rsidRPr="00E5148F">
        <w:rPr>
          <w:sz w:val="22"/>
          <w:szCs w:val="22"/>
          <w:lang w:val="hu-HU"/>
        </w:rPr>
        <w:t>á</w:t>
      </w:r>
      <w:r w:rsidRPr="00E5148F">
        <w:rPr>
          <w:sz w:val="22"/>
          <w:szCs w:val="22"/>
          <w:lang w:val="hu-HU"/>
        </w:rPr>
        <w:t>l</w:t>
      </w:r>
      <w:r w:rsidR="00E65D25" w:rsidRPr="00E5148F">
        <w:rPr>
          <w:sz w:val="22"/>
          <w:szCs w:val="22"/>
          <w:lang w:val="hu-HU"/>
        </w:rPr>
        <w:t>is</w:t>
      </w:r>
      <w:r w:rsidRPr="00E5148F">
        <w:rPr>
          <w:sz w:val="22"/>
          <w:szCs w:val="22"/>
          <w:lang w:val="hu-HU"/>
        </w:rPr>
        <w:t>” vizsgálatok nem tanulmányozták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</w:t>
      </w:r>
      <w:r w:rsidR="00436806" w:rsidRPr="00E5148F">
        <w:rPr>
          <w:sz w:val="22"/>
          <w:szCs w:val="22"/>
          <w:lang w:val="hu-HU"/>
        </w:rPr>
        <w:t xml:space="preserve">hatásosságát </w:t>
      </w:r>
      <w:r w:rsidRPr="00E5148F">
        <w:rPr>
          <w:sz w:val="22"/>
          <w:szCs w:val="22"/>
          <w:lang w:val="hu-HU"/>
        </w:rPr>
        <w:t>a később fellépő hányingerrel és hányással kapcsolatban. Az antiemetikus hatást 0</w:t>
      </w:r>
      <w:r w:rsidR="00602F23" w:rsidRPr="00E5148F">
        <w:rPr>
          <w:sz w:val="22"/>
          <w:szCs w:val="22"/>
          <w:lang w:val="hu-HU"/>
        </w:rPr>
        <w:t>–</w:t>
      </w:r>
      <w:r w:rsidRPr="00E5148F">
        <w:rPr>
          <w:sz w:val="22"/>
          <w:szCs w:val="22"/>
          <w:lang w:val="hu-HU"/>
        </w:rPr>
        <w:t>24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órán, 24</w:t>
      </w:r>
      <w:r w:rsidR="00602F23" w:rsidRPr="00E5148F">
        <w:rPr>
          <w:sz w:val="22"/>
          <w:szCs w:val="22"/>
          <w:lang w:val="hu-HU"/>
        </w:rPr>
        <w:noBreakHyphen/>
      </w:r>
      <w:r w:rsidRPr="00E5148F">
        <w:rPr>
          <w:sz w:val="22"/>
          <w:szCs w:val="22"/>
          <w:lang w:val="hu-HU"/>
        </w:rPr>
        <w:t>120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órán és 0</w:t>
      </w:r>
      <w:r w:rsidR="00602F23" w:rsidRPr="00E5148F">
        <w:rPr>
          <w:sz w:val="22"/>
          <w:szCs w:val="22"/>
          <w:lang w:val="hu-HU"/>
        </w:rPr>
        <w:t>–</w:t>
      </w:r>
      <w:r w:rsidRPr="00E5148F">
        <w:rPr>
          <w:sz w:val="22"/>
          <w:szCs w:val="22"/>
          <w:lang w:val="hu-HU"/>
        </w:rPr>
        <w:t>120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órán keresztül figyelték. A közepesen emetogén kemoterápia és a</w:t>
      </w:r>
      <w:r w:rsidR="003C0E10" w:rsidRPr="00E5148F">
        <w:rPr>
          <w:sz w:val="22"/>
          <w:szCs w:val="22"/>
          <w:lang w:val="hu-HU"/>
        </w:rPr>
        <w:t>z erősen</w:t>
      </w:r>
      <w:r w:rsidRPr="00E5148F">
        <w:rPr>
          <w:sz w:val="22"/>
          <w:szCs w:val="22"/>
          <w:lang w:val="hu-HU"/>
        </w:rPr>
        <w:t xml:space="preserve"> emetogén kemoterápia esetén végzett vizsgálatok eredményeit az alábbi táblázatok foglalják össze.</w:t>
      </w:r>
    </w:p>
    <w:p w14:paraId="21DB4020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7337C056" w14:textId="5570E87E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lastRenderedPageBreak/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a hányás akut fázisában nem bizonyult az összehasonlítási alapul szolgáló gyógyszereknél kevésbé </w:t>
      </w:r>
      <w:r w:rsidR="001343E9" w:rsidRPr="00E5148F">
        <w:rPr>
          <w:sz w:val="22"/>
          <w:szCs w:val="22"/>
          <w:lang w:val="hu-HU"/>
        </w:rPr>
        <w:t xml:space="preserve">hatásosnak </w:t>
      </w:r>
      <w:r w:rsidRPr="00E5148F">
        <w:rPr>
          <w:sz w:val="22"/>
          <w:szCs w:val="22"/>
          <w:lang w:val="hu-HU"/>
        </w:rPr>
        <w:t>sem a közepesen, sem a</w:t>
      </w:r>
      <w:r w:rsidR="000E09EA" w:rsidRPr="00E5148F">
        <w:rPr>
          <w:sz w:val="22"/>
          <w:szCs w:val="22"/>
          <w:lang w:val="hu-HU"/>
        </w:rPr>
        <w:t>z erősen</w:t>
      </w:r>
      <w:r w:rsidRPr="00E5148F">
        <w:rPr>
          <w:sz w:val="22"/>
          <w:szCs w:val="22"/>
          <w:lang w:val="hu-HU"/>
        </w:rPr>
        <w:t xml:space="preserve"> emetogén terápiában történő alkalmazás során.</w:t>
      </w:r>
    </w:p>
    <w:p w14:paraId="3CDA87FC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11C2495A" w14:textId="679401E3" w:rsidR="00DD75FC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Bár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komparatív </w:t>
      </w:r>
      <w:r w:rsidR="007746BC" w:rsidRPr="00E5148F">
        <w:rPr>
          <w:sz w:val="22"/>
          <w:szCs w:val="22"/>
          <w:lang w:val="hu-HU"/>
        </w:rPr>
        <w:t xml:space="preserve">hatásosságát </w:t>
      </w:r>
      <w:r w:rsidRPr="00E5148F">
        <w:rPr>
          <w:sz w:val="22"/>
          <w:szCs w:val="22"/>
          <w:lang w:val="hu-HU"/>
        </w:rPr>
        <w:t>kontroll</w:t>
      </w:r>
      <w:r w:rsidR="007746BC" w:rsidRPr="00E5148F">
        <w:rPr>
          <w:sz w:val="22"/>
          <w:szCs w:val="22"/>
          <w:lang w:val="hu-HU"/>
        </w:rPr>
        <w:t>os</w:t>
      </w:r>
      <w:r w:rsidRPr="00E5148F">
        <w:rPr>
          <w:sz w:val="22"/>
          <w:szCs w:val="22"/>
          <w:lang w:val="hu-HU"/>
        </w:rPr>
        <w:t xml:space="preserve"> klinikai vizsgálatokban nem igazolták több kezelési ciklusra nézve, a három</w:t>
      </w:r>
      <w:r w:rsidR="0024190F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</w:t>
      </w:r>
      <w:r w:rsidR="0024190F" w:rsidRPr="00E5148F">
        <w:rPr>
          <w:sz w:val="22"/>
          <w:szCs w:val="22"/>
          <w:lang w:val="hu-HU"/>
        </w:rPr>
        <w:t xml:space="preserve">III. </w:t>
      </w:r>
      <w:r w:rsidRPr="00E5148F">
        <w:rPr>
          <w:sz w:val="22"/>
          <w:szCs w:val="22"/>
          <w:lang w:val="hu-HU"/>
        </w:rPr>
        <w:t>fázis</w:t>
      </w:r>
      <w:r w:rsidR="0024190F" w:rsidRPr="00E5148F">
        <w:rPr>
          <w:sz w:val="22"/>
          <w:szCs w:val="22"/>
          <w:lang w:val="hu-HU"/>
        </w:rPr>
        <w:t>ú</w:t>
      </w:r>
      <w:r w:rsidRPr="00E5148F">
        <w:rPr>
          <w:sz w:val="22"/>
          <w:szCs w:val="22"/>
          <w:lang w:val="hu-HU"/>
        </w:rPr>
        <w:t xml:space="preserve"> vizsgálatba bevont 875 beteg belépett a folytatólagos nyílt</w:t>
      </w:r>
      <w:r w:rsidR="00A56B1F" w:rsidRPr="00E5148F">
        <w:rPr>
          <w:sz w:val="22"/>
          <w:szCs w:val="22"/>
          <w:lang w:val="hu-HU"/>
        </w:rPr>
        <w:t xml:space="preserve"> biztonság</w:t>
      </w:r>
      <w:r w:rsidR="005C3A4D" w:rsidRPr="00E5148F">
        <w:rPr>
          <w:sz w:val="22"/>
          <w:szCs w:val="22"/>
          <w:lang w:val="hu-HU"/>
        </w:rPr>
        <w:t>osság</w:t>
      </w:r>
      <w:r w:rsidR="00A56B1F" w:rsidRPr="00E5148F">
        <w:rPr>
          <w:sz w:val="22"/>
          <w:szCs w:val="22"/>
          <w:lang w:val="hu-HU"/>
        </w:rPr>
        <w:t>i vizsgálatba, és 750 mikrogrammos palono</w:t>
      </w:r>
      <w:r w:rsidR="0026165F" w:rsidRPr="00E5148F">
        <w:rPr>
          <w:sz w:val="22"/>
          <w:szCs w:val="22"/>
          <w:lang w:val="hu-HU"/>
        </w:rPr>
        <w:t>s</w:t>
      </w:r>
      <w:r w:rsidR="00A56B1F" w:rsidRPr="00E5148F">
        <w:rPr>
          <w:sz w:val="22"/>
          <w:szCs w:val="22"/>
          <w:lang w:val="hu-HU"/>
        </w:rPr>
        <w:t>zetron</w:t>
      </w:r>
      <w:r w:rsidR="005C3A4D" w:rsidRPr="00E5148F">
        <w:rPr>
          <w:sz w:val="22"/>
          <w:szCs w:val="22"/>
          <w:lang w:val="hu-HU"/>
        </w:rPr>
        <w:t>-</w:t>
      </w:r>
      <w:r w:rsidR="00A56B1F" w:rsidRPr="00E5148F">
        <w:rPr>
          <w:sz w:val="22"/>
          <w:szCs w:val="22"/>
          <w:lang w:val="hu-HU"/>
        </w:rPr>
        <w:t>kezelést kapott maximum 9 további kemoterápiás ciklusban. A palono</w:t>
      </w:r>
      <w:r w:rsidR="0026165F" w:rsidRPr="00E5148F">
        <w:rPr>
          <w:sz w:val="22"/>
          <w:szCs w:val="22"/>
          <w:lang w:val="hu-HU"/>
        </w:rPr>
        <w:t>s</w:t>
      </w:r>
      <w:r w:rsidR="00A56B1F" w:rsidRPr="00E5148F">
        <w:rPr>
          <w:sz w:val="22"/>
          <w:szCs w:val="22"/>
          <w:lang w:val="hu-HU"/>
        </w:rPr>
        <w:t>zetron általános biztonságossága az összes cikluson át fennmaradt.</w:t>
      </w:r>
    </w:p>
    <w:p w14:paraId="652DBA16" w14:textId="77777777" w:rsidR="007B11D1" w:rsidRPr="00E5148F" w:rsidRDefault="007B11D1" w:rsidP="001E7AF5">
      <w:pPr>
        <w:rPr>
          <w:sz w:val="22"/>
          <w:szCs w:val="22"/>
          <w:lang w:val="hu-HU"/>
        </w:rPr>
      </w:pPr>
    </w:p>
    <w:p w14:paraId="30D37763" w14:textId="62C5E7AC" w:rsidR="0050030B" w:rsidRPr="00E5148F" w:rsidRDefault="00DD75FC">
      <w:pPr>
        <w:keepNext/>
        <w:tabs>
          <w:tab w:val="left" w:pos="1418"/>
        </w:tabs>
        <w:ind w:left="1418" w:hanging="1418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1. táblázat</w:t>
      </w:r>
      <w:r w:rsidR="00203409" w:rsidRPr="00E5148F">
        <w:rPr>
          <w:b/>
          <w:sz w:val="22"/>
          <w:szCs w:val="22"/>
          <w:lang w:val="hu-HU"/>
        </w:rPr>
        <w:tab/>
      </w:r>
      <w:r w:rsidR="00797782" w:rsidRPr="00E5148F">
        <w:rPr>
          <w:b/>
          <w:sz w:val="22"/>
          <w:szCs w:val="22"/>
          <w:lang w:val="hu-HU"/>
        </w:rPr>
        <w:t>A válaszreakciót mutató betegek</w:t>
      </w:r>
      <w:r w:rsidR="00797782" w:rsidRPr="00E5148F">
        <w:rPr>
          <w:b/>
          <w:w w:val="99"/>
          <w:position w:val="10"/>
          <w:sz w:val="22"/>
          <w:szCs w:val="22"/>
          <w:lang w:val="hu-HU"/>
        </w:rPr>
        <w:t>a</w:t>
      </w:r>
      <w:r w:rsidR="00797782" w:rsidRPr="00E5148F">
        <w:rPr>
          <w:b/>
          <w:sz w:val="22"/>
          <w:szCs w:val="22"/>
          <w:lang w:val="hu-HU"/>
        </w:rPr>
        <w:t xml:space="preserve"> %-os aránya kezelési csoportonként és fázisonként</w:t>
      </w:r>
      <w:r w:rsidR="00203409" w:rsidRPr="00E5148F">
        <w:rPr>
          <w:b/>
          <w:sz w:val="22"/>
          <w:szCs w:val="22"/>
          <w:lang w:val="hu-HU"/>
        </w:rPr>
        <w:t>,</w:t>
      </w:r>
      <w:r w:rsidR="00797782" w:rsidRPr="00E5148F">
        <w:rPr>
          <w:b/>
          <w:sz w:val="22"/>
          <w:szCs w:val="22"/>
          <w:lang w:val="hu-HU"/>
        </w:rPr>
        <w:t xml:space="preserve"> a közepesen emetogén kemoterápiás vizsgálatban, az ondan</w:t>
      </w:r>
      <w:r w:rsidR="00FA67A0" w:rsidRPr="00E5148F">
        <w:rPr>
          <w:b/>
          <w:sz w:val="22"/>
          <w:szCs w:val="22"/>
          <w:lang w:val="hu-HU"/>
        </w:rPr>
        <w:t>s</w:t>
      </w:r>
      <w:r w:rsidR="00797782" w:rsidRPr="00E5148F">
        <w:rPr>
          <w:b/>
          <w:sz w:val="22"/>
          <w:szCs w:val="22"/>
          <w:lang w:val="hu-HU"/>
        </w:rPr>
        <w:t>zetronhoz viszonyítva</w:t>
      </w:r>
    </w:p>
    <w:p w14:paraId="3B97EA21" w14:textId="77777777" w:rsidR="0050030B" w:rsidRPr="00E5148F" w:rsidRDefault="0050030B">
      <w:pPr>
        <w:keepNext/>
        <w:rPr>
          <w:sz w:val="22"/>
          <w:szCs w:val="22"/>
          <w:lang w:val="hu-HU"/>
        </w:rPr>
      </w:pPr>
    </w:p>
    <w:tbl>
      <w:tblPr>
        <w:tblW w:w="118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1"/>
        <w:gridCol w:w="1956"/>
        <w:gridCol w:w="2044"/>
        <w:gridCol w:w="1333"/>
        <w:gridCol w:w="407"/>
        <w:gridCol w:w="1488"/>
        <w:gridCol w:w="2942"/>
      </w:tblGrid>
      <w:tr w:rsidR="00DD75FC" w:rsidRPr="00C17333" w14:paraId="77A21144" w14:textId="77777777" w:rsidTr="005506A5">
        <w:trPr>
          <w:gridAfter w:val="1"/>
          <w:wAfter w:w="2942" w:type="dxa"/>
          <w:trHeight w:hRule="exact" w:val="768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DFDD3AC" w14:textId="77777777" w:rsidR="00DD75FC" w:rsidRPr="00E5148F" w:rsidRDefault="00DD75FC">
            <w:pPr>
              <w:keepNext/>
              <w:rPr>
                <w:sz w:val="22"/>
                <w:szCs w:val="22"/>
                <w:lang w:val="hu-HU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DAE459A" w14:textId="341952AF" w:rsidR="00DD75FC" w:rsidRPr="00E5148F" w:rsidRDefault="00DD75FC" w:rsidP="00E5148F">
            <w:pPr>
              <w:pStyle w:val="TableParagraph"/>
              <w:keepNext/>
              <w:widowControl/>
              <w:ind w:right="130"/>
              <w:jc w:val="center"/>
              <w:rPr>
                <w:rFonts w:ascii="Times New Roman" w:hAnsi="Times New Roman" w:cs="Times New Roman"/>
                <w:spacing w:val="-1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Palono</w:t>
            </w:r>
            <w:r w:rsidR="0026165F" w:rsidRPr="00E5148F">
              <w:rPr>
                <w:rFonts w:ascii="Times New Roman" w:hAnsi="Times New Roman" w:cs="Times New Roman"/>
                <w:spacing w:val="-1"/>
                <w:lang w:val="hu-HU"/>
              </w:rPr>
              <w:t>s</w:t>
            </w:r>
            <w:r w:rsidR="00203409" w:rsidRPr="00E5148F">
              <w:rPr>
                <w:rFonts w:ascii="Times New Roman" w:hAnsi="Times New Roman" w:cs="Times New Roman"/>
                <w:spacing w:val="-1"/>
                <w:lang w:val="hu-HU"/>
              </w:rPr>
              <w:t>z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etron</w:t>
            </w:r>
          </w:p>
          <w:p w14:paraId="41B0EFCD" w14:textId="77777777" w:rsidR="00DD75FC" w:rsidRPr="00E5148F" w:rsidRDefault="00DD75FC" w:rsidP="00E5148F">
            <w:pPr>
              <w:pStyle w:val="TableParagraph"/>
              <w:keepNext/>
              <w:widowControl/>
              <w:ind w:right="13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250 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mikrogramm</w:t>
            </w:r>
          </w:p>
          <w:p w14:paraId="3BEC508F" w14:textId="77777777" w:rsidR="00DD75FC" w:rsidRPr="00E5148F" w:rsidRDefault="00DD75FC" w:rsidP="00E5148F">
            <w:pPr>
              <w:pStyle w:val="TableParagraph"/>
              <w:keepNext/>
              <w:widowControl/>
              <w:ind w:right="12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(n= 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189)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3DB438E" w14:textId="5D558D45" w:rsidR="00DD75FC" w:rsidRPr="00E5148F" w:rsidRDefault="00DD75FC" w:rsidP="00E5148F">
            <w:pPr>
              <w:pStyle w:val="TableParagraph"/>
              <w:keepNext/>
              <w:widowControl/>
              <w:ind w:left="328" w:right="386" w:firstLine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Ondan</w:t>
            </w:r>
            <w:r w:rsidR="00FA67A0" w:rsidRPr="00E5148F">
              <w:rPr>
                <w:rFonts w:ascii="Times New Roman" w:hAnsi="Times New Roman" w:cs="Times New Roman"/>
                <w:spacing w:val="-1"/>
                <w:lang w:val="hu-HU"/>
              </w:rPr>
              <w:t>s</w:t>
            </w:r>
            <w:r w:rsidR="00B82E9F" w:rsidRPr="00E5148F">
              <w:rPr>
                <w:rFonts w:ascii="Times New Roman" w:hAnsi="Times New Roman" w:cs="Times New Roman"/>
                <w:spacing w:val="-1"/>
                <w:lang w:val="hu-HU"/>
              </w:rPr>
              <w:t>z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etron</w:t>
            </w:r>
            <w:r w:rsidRPr="00E5148F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r w:rsidRPr="00E5148F">
              <w:rPr>
                <w:rFonts w:ascii="Times New Roman" w:hAnsi="Times New Roman" w:cs="Times New Roman"/>
                <w:lang w:val="hu-HU"/>
              </w:rPr>
              <w:t>32</w:t>
            </w:r>
            <w:r w:rsidR="00B82E9F" w:rsidRPr="00E5148F">
              <w:rPr>
                <w:rFonts w:ascii="Times New Roman" w:hAnsi="Times New Roman" w:cs="Times New Roman"/>
                <w:lang w:val="hu-HU"/>
              </w:rPr>
              <w:t> 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milligramm</w:t>
            </w:r>
          </w:p>
          <w:p w14:paraId="3DBB94F9" w14:textId="77777777" w:rsidR="00DD75FC" w:rsidRPr="00E5148F" w:rsidRDefault="00DD75FC" w:rsidP="00E5148F">
            <w:pPr>
              <w:pStyle w:val="TableParagraph"/>
              <w:keepNext/>
              <w:widowControl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(n= 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185)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04EEDFF" w14:textId="77777777" w:rsidR="00DD75FC" w:rsidRPr="00E5148F" w:rsidRDefault="00DD75FC" w:rsidP="00E5148F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4F0D2BCC" w14:textId="77777777" w:rsidR="00DD75FC" w:rsidRPr="00E5148F" w:rsidRDefault="00DD75FC" w:rsidP="00E5148F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47561AFC" w14:textId="77777777" w:rsidR="00DD75FC" w:rsidRPr="00E5148F" w:rsidRDefault="00DD75FC" w:rsidP="00E5148F">
            <w:pPr>
              <w:pStyle w:val="TableParagraph"/>
              <w:keepNext/>
              <w:widowControl/>
              <w:ind w:left="48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Delta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D560246" w14:textId="77777777" w:rsidR="00DD75FC" w:rsidRPr="00E5148F" w:rsidRDefault="00DD75FC">
            <w:pPr>
              <w:keepNext/>
              <w:rPr>
                <w:sz w:val="22"/>
                <w:szCs w:val="22"/>
                <w:lang w:val="hu-HU"/>
              </w:rPr>
            </w:pPr>
          </w:p>
        </w:tc>
      </w:tr>
      <w:tr w:rsidR="00DD75FC" w:rsidRPr="00C17333" w14:paraId="0AC976BA" w14:textId="77777777" w:rsidTr="005506A5">
        <w:trPr>
          <w:gridAfter w:val="1"/>
          <w:wAfter w:w="2942" w:type="dxa"/>
          <w:trHeight w:hRule="exact" w:val="264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F7D55BE" w14:textId="77777777" w:rsidR="00DD75FC" w:rsidRPr="00E5148F" w:rsidRDefault="00DD75FC" w:rsidP="00E5148F">
            <w:pPr>
              <w:keepNext/>
              <w:rPr>
                <w:sz w:val="22"/>
                <w:szCs w:val="22"/>
                <w:lang w:val="hu-HU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64F0D34" w14:textId="77777777" w:rsidR="00DD75FC" w:rsidRPr="00E5148F" w:rsidRDefault="00DD75FC" w:rsidP="00E5148F">
            <w:pPr>
              <w:pStyle w:val="TableParagraph"/>
              <w:keepNext/>
              <w:widowControl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1BA39B0" w14:textId="77777777" w:rsidR="00DD75FC" w:rsidRPr="00E5148F" w:rsidRDefault="00DD75FC" w:rsidP="00E5148F">
            <w:pPr>
              <w:pStyle w:val="TableParagraph"/>
              <w:keepNext/>
              <w:widowControl/>
              <w:ind w:right="15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043FED0" w14:textId="77777777" w:rsidR="00DD75FC" w:rsidRPr="00E5148F" w:rsidRDefault="00DD75FC" w:rsidP="00E5148F">
            <w:pPr>
              <w:pStyle w:val="TableParagraph"/>
              <w:keepNext/>
              <w:widowControl/>
              <w:ind w:left="118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B933E49" w14:textId="77777777" w:rsidR="00DD75FC" w:rsidRPr="00E5148F" w:rsidRDefault="00DD75FC" w:rsidP="00E5148F">
            <w:pPr>
              <w:keepNext/>
              <w:rPr>
                <w:sz w:val="22"/>
                <w:szCs w:val="22"/>
                <w:lang w:val="hu-HU"/>
              </w:rPr>
            </w:pPr>
          </w:p>
        </w:tc>
      </w:tr>
      <w:tr w:rsidR="003C1834" w:rsidRPr="00C17333" w14:paraId="659E7F41" w14:textId="77777777" w:rsidTr="005506A5">
        <w:trPr>
          <w:trHeight w:hRule="exact" w:val="829"/>
        </w:trPr>
        <w:tc>
          <w:tcPr>
            <w:tcW w:w="7371" w:type="dxa"/>
            <w:gridSpan w:val="5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732F5D1" w14:textId="02C56580" w:rsidR="003C1834" w:rsidRPr="00E5148F" w:rsidDel="00B82E9F" w:rsidRDefault="003C1834" w:rsidP="00E5148F">
            <w:pPr>
              <w:pStyle w:val="TableParagraph"/>
              <w:keepNext/>
              <w:widowControl/>
              <w:tabs>
                <w:tab w:val="left" w:pos="7447"/>
              </w:tabs>
              <w:ind w:left="55"/>
              <w:rPr>
                <w:rFonts w:ascii="Times New Roman" w:hAnsi="Times New Roman" w:cs="Times New Roman"/>
                <w:b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 xml:space="preserve">Teljes válaszreakció (nem lépett fel hányás és nem volt szükség </w:t>
            </w:r>
            <w:r w:rsidR="00B2117D" w:rsidRPr="00E5148F">
              <w:rPr>
                <w:rFonts w:ascii="Times New Roman" w:hAnsi="Times New Roman" w:cs="Times New Roman"/>
                <w:b/>
                <w:lang w:val="hu-HU"/>
              </w:rPr>
              <w:t xml:space="preserve">mentő </w:t>
            </w:r>
            <w:r w:rsidRPr="00E5148F">
              <w:rPr>
                <w:rFonts w:ascii="Times New Roman" w:hAnsi="Times New Roman" w:cs="Times New Roman"/>
                <w:b/>
                <w:lang w:val="hu-HU"/>
              </w:rPr>
              <w:t>gyógyszer</w:t>
            </w:r>
            <w:r w:rsidR="00B2117D" w:rsidRPr="00E5148F">
              <w:rPr>
                <w:rFonts w:ascii="Times New Roman" w:hAnsi="Times New Roman" w:cs="Times New Roman"/>
                <w:b/>
                <w:lang w:val="hu-HU"/>
              </w:rPr>
              <w:t>re</w:t>
            </w:r>
            <w:r w:rsidRPr="00E5148F">
              <w:rPr>
                <w:rFonts w:ascii="Times New Roman" w:hAnsi="Times New Roman" w:cs="Times New Roman"/>
                <w:b/>
                <w:lang w:val="hu-HU"/>
              </w:rPr>
              <w:t>)</w:t>
            </w:r>
          </w:p>
        </w:tc>
        <w:tc>
          <w:tcPr>
            <w:tcW w:w="443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BB33900" w14:textId="70B0E42E" w:rsidR="003C1834" w:rsidRPr="00E5148F" w:rsidRDefault="003C1834" w:rsidP="00E5148F">
            <w:pPr>
              <w:pStyle w:val="TableParagraph"/>
              <w:keepNext/>
              <w:widowControl/>
              <w:tabs>
                <w:tab w:val="right" w:pos="8647"/>
              </w:tabs>
              <w:rPr>
                <w:rFonts w:ascii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97,5%-os</w:t>
            </w:r>
            <w:r w:rsidRPr="00E5148F">
              <w:rPr>
                <w:rFonts w:ascii="Times New Roman" w:hAnsi="Times New Roman" w:cs="Times New Roman"/>
                <w:b/>
                <w:spacing w:val="-3"/>
                <w:lang w:val="hu-HU"/>
              </w:rPr>
              <w:t xml:space="preserve"> </w:t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>CI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</w:p>
        </w:tc>
      </w:tr>
      <w:tr w:rsidR="00DD75FC" w:rsidRPr="00C17333" w14:paraId="75348B43" w14:textId="77777777" w:rsidTr="005506A5">
        <w:trPr>
          <w:gridAfter w:val="1"/>
          <w:wAfter w:w="2942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C84BAAE" w14:textId="77777777" w:rsidR="00DD75FC" w:rsidRPr="00E5148F" w:rsidRDefault="00DD75FC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AFA656C" w14:textId="69D38EC7" w:rsidR="00DD75FC" w:rsidRPr="00E5148F" w:rsidRDefault="00DD75FC" w:rsidP="001E7AF5">
            <w:pPr>
              <w:pStyle w:val="TableParagraph"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81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311D3A0" w14:textId="5BA74484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68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6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DF07079" w14:textId="741959BC" w:rsidR="00DD75FC" w:rsidRPr="00E5148F" w:rsidRDefault="00DD75FC" w:rsidP="001E7AF5">
            <w:pPr>
              <w:pStyle w:val="TableParagraph"/>
              <w:ind w:left="53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12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C17B982" w14:textId="43A615BB" w:rsidR="00DD75FC" w:rsidRPr="00E5148F" w:rsidRDefault="00DD75FC" w:rsidP="001E7AF5">
            <w:pPr>
              <w:pStyle w:val="TableParagraph"/>
              <w:ind w:left="364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[1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8%, 22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%]</w:t>
            </w:r>
          </w:p>
        </w:tc>
      </w:tr>
      <w:tr w:rsidR="00DD75FC" w:rsidRPr="00C17333" w14:paraId="56D7150F" w14:textId="77777777" w:rsidTr="005506A5">
        <w:trPr>
          <w:gridAfter w:val="1"/>
          <w:wAfter w:w="2942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7BCF7DC6" w14:textId="77777777" w:rsidR="00DD75FC" w:rsidRPr="00E5148F" w:rsidRDefault="00DD75FC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62191F9F" w14:textId="0B94724B" w:rsidR="00DD75FC" w:rsidRPr="00E5148F" w:rsidRDefault="00DD75FC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74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78DEF8FD" w14:textId="3E9C7030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55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14:paraId="1D030723" w14:textId="58F1576C" w:rsidR="00DD75FC" w:rsidRPr="00E5148F" w:rsidRDefault="00DD75FC" w:rsidP="001E7AF5">
            <w:pPr>
              <w:pStyle w:val="TableParagraph"/>
              <w:ind w:left="53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19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357BB2" w14:textId="40DACA7F" w:rsidR="00DD75FC" w:rsidRPr="00E5148F" w:rsidRDefault="00DD75FC" w:rsidP="001E7AF5">
            <w:pPr>
              <w:pStyle w:val="TableParagraph"/>
              <w:ind w:left="364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[7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5%, 30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%]</w:t>
            </w:r>
          </w:p>
        </w:tc>
      </w:tr>
      <w:tr w:rsidR="00DD75FC" w:rsidRPr="00C17333" w14:paraId="6C3C0F09" w14:textId="77777777" w:rsidTr="005506A5">
        <w:trPr>
          <w:gridAfter w:val="1"/>
          <w:wAfter w:w="2942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44FBF89" w14:textId="77777777" w:rsidR="00DD75FC" w:rsidRPr="00E5148F" w:rsidRDefault="00DD75FC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273B180" w14:textId="24974E65" w:rsidR="00DD75FC" w:rsidRPr="00E5148F" w:rsidRDefault="00DD75FC" w:rsidP="001E7AF5">
            <w:pPr>
              <w:pStyle w:val="TableParagraph"/>
              <w:ind w:right="12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69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B6D6753" w14:textId="6E2AB2F0" w:rsidR="00DD75FC" w:rsidRPr="00E5148F" w:rsidRDefault="00DD75FC" w:rsidP="001E7AF5">
            <w:pPr>
              <w:pStyle w:val="TableParagraph"/>
              <w:ind w:right="1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50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F219D3D" w14:textId="559C7469" w:rsidR="00DD75FC" w:rsidRPr="00E5148F" w:rsidRDefault="00DD75FC" w:rsidP="001E7AF5">
            <w:pPr>
              <w:pStyle w:val="TableParagraph"/>
              <w:ind w:left="533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19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79A0EF0" w14:textId="307E549E" w:rsidR="00DD75FC" w:rsidRPr="00E5148F" w:rsidRDefault="00DD75FC" w:rsidP="001E7AF5">
            <w:pPr>
              <w:pStyle w:val="TableParagraph"/>
              <w:ind w:left="364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[7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4%, 30</w:t>
            </w:r>
            <w:r w:rsidR="003778D7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%]</w:t>
            </w:r>
          </w:p>
        </w:tc>
      </w:tr>
      <w:tr w:rsidR="00DD75FC" w:rsidRPr="00C17333" w14:paraId="1289DDEF" w14:textId="77777777" w:rsidTr="005506A5">
        <w:trPr>
          <w:gridAfter w:val="1"/>
          <w:wAfter w:w="2942" w:type="dxa"/>
          <w:trHeight w:hRule="exact" w:val="36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719C43B" w14:textId="79810BFC" w:rsidR="00DD75FC" w:rsidRPr="00E5148F" w:rsidRDefault="00DD75FC" w:rsidP="001E7AF5">
            <w:pPr>
              <w:pStyle w:val="TableParagraph"/>
              <w:tabs>
                <w:tab w:val="left" w:pos="7576"/>
              </w:tabs>
              <w:ind w:left="5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Teljes hatékonyság (teljes válaszreakció és csak enyhe hányinger)</w:t>
            </w:r>
            <w:r w:rsidRPr="00E5148F">
              <w:rPr>
                <w:rFonts w:ascii="Times New Roman" w:hAnsi="Times New Roman" w:cs="Times New Roman"/>
                <w:b/>
                <w:spacing w:val="-2"/>
                <w:lang w:val="hu-HU"/>
              </w:rPr>
              <w:tab/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>p-érték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</w:p>
        </w:tc>
      </w:tr>
      <w:tr w:rsidR="00DD75FC" w:rsidRPr="00C17333" w14:paraId="4D029CD1" w14:textId="77777777" w:rsidTr="005506A5">
        <w:trPr>
          <w:gridAfter w:val="1"/>
          <w:wAfter w:w="2942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E13CCC6" w14:textId="77777777" w:rsidR="00DD75FC" w:rsidRPr="00E5148F" w:rsidRDefault="00DD75FC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8A3B58C" w14:textId="66B5B389" w:rsidR="00DD75FC" w:rsidRPr="00E5148F" w:rsidRDefault="00DD75FC" w:rsidP="001E7AF5">
            <w:pPr>
              <w:pStyle w:val="TableParagraph"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76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B78B218" w14:textId="3068B7CA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65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05534B0" w14:textId="46BC3DD2" w:rsidR="00DD75FC" w:rsidRPr="00E5148F" w:rsidRDefault="00DD75FC" w:rsidP="001E7AF5">
            <w:pPr>
              <w:pStyle w:val="TableParagraph"/>
              <w:ind w:left="53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10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FD3020E" w14:textId="63B58BAC" w:rsidR="00DD75FC" w:rsidRPr="00E5148F" w:rsidRDefault="003744D6" w:rsidP="001E7AF5">
            <w:pPr>
              <w:pStyle w:val="TableParagraph"/>
              <w:ind w:left="21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DD75FC" w:rsidRPr="00C17333" w14:paraId="38E2BA97" w14:textId="77777777" w:rsidTr="005506A5">
        <w:trPr>
          <w:gridAfter w:val="1"/>
          <w:wAfter w:w="2942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7846CD92" w14:textId="77777777" w:rsidR="00DD75FC" w:rsidRPr="00E5148F" w:rsidRDefault="00DD75FC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4F495D76" w14:textId="1288C58B" w:rsidR="00DD75FC" w:rsidRPr="00E5148F" w:rsidRDefault="00DD75FC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66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4C9368C9" w14:textId="5009262A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50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14:paraId="4E27B698" w14:textId="240F32C0" w:rsidR="00DD75FC" w:rsidRPr="00E5148F" w:rsidRDefault="00DD75FC" w:rsidP="001E7AF5">
            <w:pPr>
              <w:pStyle w:val="TableParagraph"/>
              <w:ind w:left="53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16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94BB4F" w14:textId="788447C3" w:rsidR="00DD75FC" w:rsidRPr="00E5148F" w:rsidRDefault="00DD75FC" w:rsidP="001E7AF5">
            <w:pPr>
              <w:pStyle w:val="TableParagraph"/>
              <w:ind w:left="894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001</w:t>
            </w:r>
          </w:p>
        </w:tc>
      </w:tr>
      <w:tr w:rsidR="00DD75FC" w:rsidRPr="00C17333" w14:paraId="4D2254E3" w14:textId="77777777" w:rsidTr="005506A5">
        <w:trPr>
          <w:gridAfter w:val="1"/>
          <w:wAfter w:w="2942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D1CF41E" w14:textId="77777777" w:rsidR="00DD75FC" w:rsidRPr="00E5148F" w:rsidRDefault="00DD75FC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ACE04C2" w14:textId="05C2064B" w:rsidR="00DD75FC" w:rsidRPr="00E5148F" w:rsidRDefault="00DD75FC" w:rsidP="001E7AF5">
            <w:pPr>
              <w:pStyle w:val="TableParagraph"/>
              <w:ind w:right="12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63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C9942A5" w14:textId="761AADA3" w:rsidR="00DD75FC" w:rsidRPr="00E5148F" w:rsidRDefault="00DD75FC" w:rsidP="001E7AF5">
            <w:pPr>
              <w:pStyle w:val="TableParagraph"/>
              <w:ind w:right="1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44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E9E8850" w14:textId="7F7827DC" w:rsidR="00DD75FC" w:rsidRPr="00E5148F" w:rsidRDefault="00DD75FC" w:rsidP="001E7AF5">
            <w:pPr>
              <w:pStyle w:val="TableParagraph"/>
              <w:ind w:left="533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18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2E02CC4" w14:textId="3C5F95F4" w:rsidR="00DD75FC" w:rsidRPr="00E5148F" w:rsidRDefault="00DD75FC" w:rsidP="001E7AF5">
            <w:pPr>
              <w:pStyle w:val="TableParagraph"/>
              <w:ind w:left="89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  <w:r w:rsidR="00E9555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001</w:t>
            </w:r>
          </w:p>
        </w:tc>
      </w:tr>
      <w:tr w:rsidR="00DD75FC" w:rsidRPr="000666BF" w14:paraId="03F41D0C" w14:textId="77777777" w:rsidTr="005506A5">
        <w:trPr>
          <w:gridAfter w:val="1"/>
          <w:wAfter w:w="2942" w:type="dxa"/>
          <w:trHeight w:hRule="exact" w:val="37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91F61B5" w14:textId="4184EB28" w:rsidR="00DD75FC" w:rsidRPr="00E5148F" w:rsidRDefault="00DD75FC" w:rsidP="001E7AF5">
            <w:pPr>
              <w:pStyle w:val="TableParagraph"/>
              <w:tabs>
                <w:tab w:val="left" w:pos="7576"/>
              </w:tabs>
              <w:ind w:left="5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Nem lépett fel hányinger (Likert-skála)</w:t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ab/>
              <w:t>p-érték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</w:p>
        </w:tc>
      </w:tr>
      <w:tr w:rsidR="00DD75FC" w:rsidRPr="00C17333" w14:paraId="0561A82A" w14:textId="77777777" w:rsidTr="005506A5">
        <w:trPr>
          <w:gridAfter w:val="1"/>
          <w:wAfter w:w="2942" w:type="dxa"/>
          <w:trHeight w:hRule="exact" w:val="364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70B02FE" w14:textId="77777777" w:rsidR="00DD75FC" w:rsidRPr="00E5148F" w:rsidRDefault="00DD75FC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C7E9581" w14:textId="3F9E211A" w:rsidR="00DD75FC" w:rsidRPr="00E5148F" w:rsidRDefault="00DD75FC" w:rsidP="001E7AF5">
            <w:pPr>
              <w:pStyle w:val="TableParagraph"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60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F3A376C" w14:textId="73750263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56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133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76D27F7" w14:textId="233E3247" w:rsidR="00DD75FC" w:rsidRPr="00E5148F" w:rsidRDefault="00DD75FC" w:rsidP="001E7AF5">
            <w:pPr>
              <w:pStyle w:val="TableParagraph"/>
              <w:ind w:left="119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895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1A300C7" w14:textId="3A0875C0" w:rsidR="00DD75FC" w:rsidRPr="00E5148F" w:rsidRDefault="003744D6" w:rsidP="001E7AF5">
            <w:pPr>
              <w:pStyle w:val="TableParagraph"/>
              <w:ind w:left="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DD75FC" w:rsidRPr="00C17333" w14:paraId="06DD1946" w14:textId="77777777" w:rsidTr="005506A5">
        <w:trPr>
          <w:gridAfter w:val="1"/>
          <w:wAfter w:w="2942" w:type="dxa"/>
          <w:trHeight w:hRule="exact" w:val="36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0E7D0CE2" w14:textId="77777777" w:rsidR="00DD75FC" w:rsidRPr="00E5148F" w:rsidRDefault="00DD75FC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6E63E15D" w14:textId="719A24DB" w:rsidR="00DD75FC" w:rsidRPr="00E5148F" w:rsidRDefault="00DD75FC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51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08C98D85" w14:textId="759B0286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39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14:paraId="3746EDFA" w14:textId="660AD21F" w:rsidR="00DD75FC" w:rsidRPr="00E5148F" w:rsidRDefault="00DD75FC" w:rsidP="001E7AF5">
            <w:pPr>
              <w:pStyle w:val="TableParagraph"/>
              <w:ind w:left="53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12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244E50" w14:textId="22C398AA" w:rsidR="00DD75FC" w:rsidRPr="00E5148F" w:rsidRDefault="003744D6" w:rsidP="001E7AF5">
            <w:pPr>
              <w:pStyle w:val="TableParagraph"/>
              <w:ind w:left="49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DD75FC" w:rsidRPr="00C17333" w14:paraId="7FFAC289" w14:textId="77777777" w:rsidTr="005506A5">
        <w:trPr>
          <w:gridAfter w:val="1"/>
          <w:wAfter w:w="2942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B1F4D79" w14:textId="77777777" w:rsidR="00DD75FC" w:rsidRPr="00E5148F" w:rsidRDefault="00DD75FC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AEBF9E5" w14:textId="482BCE6C" w:rsidR="00DD75FC" w:rsidRPr="00E5148F" w:rsidRDefault="00DD75FC" w:rsidP="001E7AF5">
            <w:pPr>
              <w:pStyle w:val="TableParagraph"/>
              <w:ind w:right="12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45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9DE7F10" w14:textId="539AD2EF" w:rsidR="00DD75FC" w:rsidRPr="00E5148F" w:rsidRDefault="00DD75FC" w:rsidP="001E7AF5">
            <w:pPr>
              <w:pStyle w:val="TableParagraph"/>
              <w:ind w:right="1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36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7BD5D7C" w14:textId="4C2EA186" w:rsidR="00DD75FC" w:rsidRPr="00E5148F" w:rsidRDefault="00DD75FC" w:rsidP="001E7AF5">
            <w:pPr>
              <w:pStyle w:val="TableParagraph"/>
              <w:ind w:left="12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  <w:r w:rsidR="00845D83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1895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6B81B44" w14:textId="71858DB7" w:rsidR="00DD75FC" w:rsidRPr="00E5148F" w:rsidRDefault="003744D6" w:rsidP="001E7AF5">
            <w:pPr>
              <w:pStyle w:val="TableParagraph"/>
              <w:ind w:left="49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</w:tbl>
    <w:p w14:paraId="520602DF" w14:textId="77777777" w:rsidR="00DD75FC" w:rsidRPr="00E5148F" w:rsidRDefault="00DD75FC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a</w:t>
      </w:r>
      <w:r w:rsidRPr="00E5148F">
        <w:rPr>
          <w:sz w:val="22"/>
          <w:szCs w:val="22"/>
          <w:lang w:val="hu-HU"/>
        </w:rPr>
        <w:t xml:space="preserve"> A kezelni szándékozott (</w:t>
      </w:r>
      <w:r w:rsidRPr="00E5148F">
        <w:rPr>
          <w:i/>
          <w:sz w:val="22"/>
          <w:szCs w:val="22"/>
          <w:lang w:val="hu-HU"/>
        </w:rPr>
        <w:t>intent-to-treat</w:t>
      </w:r>
      <w:r w:rsidRPr="00E5148F">
        <w:rPr>
          <w:sz w:val="22"/>
          <w:szCs w:val="22"/>
          <w:lang w:val="hu-HU"/>
        </w:rPr>
        <w:t xml:space="preserve">) kohort </w:t>
      </w:r>
    </w:p>
    <w:p w14:paraId="4BA8FDA7" w14:textId="4A85C8A8" w:rsidR="00DD75FC" w:rsidRPr="00E5148F" w:rsidRDefault="00DD75FC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b</w:t>
      </w:r>
      <w:r w:rsidRPr="00E5148F">
        <w:rPr>
          <w:sz w:val="22"/>
          <w:szCs w:val="22"/>
          <w:lang w:val="hu-HU"/>
        </w:rPr>
        <w:t xml:space="preserve"> A vizsgálat célja annak kimutatása volt, hogy a </w:t>
      </w:r>
      <w:r w:rsidR="00C36B6F" w:rsidRPr="00E5148F">
        <w:rPr>
          <w:sz w:val="22"/>
          <w:szCs w:val="22"/>
          <w:lang w:val="hu-HU"/>
        </w:rPr>
        <w:t xml:space="preserve">vizsgált </w:t>
      </w:r>
      <w:r w:rsidRPr="00E5148F">
        <w:rPr>
          <w:sz w:val="22"/>
          <w:szCs w:val="22"/>
          <w:lang w:val="hu-HU"/>
        </w:rPr>
        <w:t xml:space="preserve">szer nem kevésbé </w:t>
      </w:r>
      <w:r w:rsidR="00C36B6F" w:rsidRPr="00E5148F">
        <w:rPr>
          <w:sz w:val="22"/>
          <w:szCs w:val="22"/>
          <w:lang w:val="hu-HU"/>
        </w:rPr>
        <w:t xml:space="preserve">hatásos </w:t>
      </w:r>
      <w:r w:rsidRPr="00E5148F">
        <w:rPr>
          <w:sz w:val="22"/>
          <w:szCs w:val="22"/>
          <w:lang w:val="hu-HU"/>
        </w:rPr>
        <w:t>(</w:t>
      </w:r>
      <w:r w:rsidRPr="00E5148F">
        <w:rPr>
          <w:i/>
          <w:sz w:val="22"/>
          <w:szCs w:val="22"/>
          <w:lang w:val="hu-HU"/>
        </w:rPr>
        <w:t>non-inferiority</w:t>
      </w:r>
      <w:r w:rsidRPr="00E5148F">
        <w:rPr>
          <w:sz w:val="22"/>
          <w:szCs w:val="22"/>
          <w:lang w:val="hu-HU"/>
        </w:rPr>
        <w:t xml:space="preserve">). A </w:t>
      </w:r>
      <w:r w:rsidR="0001508B" w:rsidRPr="00E5148F">
        <w:rPr>
          <w:sz w:val="22"/>
          <w:szCs w:val="22"/>
          <w:lang w:val="hu-HU"/>
        </w:rPr>
        <w:noBreakHyphen/>
      </w:r>
      <w:r w:rsidRPr="00E5148F">
        <w:rPr>
          <w:sz w:val="22"/>
          <w:szCs w:val="22"/>
          <w:lang w:val="hu-HU"/>
        </w:rPr>
        <w:t>15%-ot meghaladó a</w:t>
      </w:r>
      <w:r w:rsidR="00A5042E" w:rsidRPr="00E5148F">
        <w:rPr>
          <w:sz w:val="22"/>
          <w:szCs w:val="22"/>
          <w:lang w:val="hu-HU"/>
        </w:rPr>
        <w:t xml:space="preserve">lsó határérték igazolja, hogy a </w:t>
      </w:r>
      <w:r w:rsidR="0001508B" w:rsidRPr="00E5148F">
        <w:rPr>
          <w:sz w:val="22"/>
          <w:szCs w:val="22"/>
          <w:lang w:val="hu-HU"/>
        </w:rPr>
        <w:t>p</w:t>
      </w:r>
      <w:r w:rsidR="00A5042E" w:rsidRPr="00E5148F">
        <w:rPr>
          <w:sz w:val="22"/>
          <w:szCs w:val="22"/>
          <w:lang w:val="hu-HU"/>
        </w:rPr>
        <w:t>alono</w:t>
      </w:r>
      <w:r w:rsidR="0026165F" w:rsidRPr="00E5148F">
        <w:rPr>
          <w:sz w:val="22"/>
          <w:szCs w:val="22"/>
          <w:lang w:val="hu-HU"/>
        </w:rPr>
        <w:t>s</w:t>
      </w:r>
      <w:r w:rsidR="0001508B" w:rsidRPr="00E5148F">
        <w:rPr>
          <w:sz w:val="22"/>
          <w:szCs w:val="22"/>
          <w:lang w:val="hu-HU"/>
        </w:rPr>
        <w:t>z</w:t>
      </w:r>
      <w:r w:rsidR="00A5042E" w:rsidRPr="00E5148F">
        <w:rPr>
          <w:sz w:val="22"/>
          <w:szCs w:val="22"/>
          <w:lang w:val="hu-HU"/>
        </w:rPr>
        <w:t>etron</w:t>
      </w:r>
      <w:r w:rsidRPr="00E5148F">
        <w:rPr>
          <w:sz w:val="22"/>
          <w:szCs w:val="22"/>
          <w:lang w:val="hu-HU"/>
        </w:rPr>
        <w:t xml:space="preserve"> nem kevésbé </w:t>
      </w:r>
      <w:r w:rsidR="0001508B" w:rsidRPr="00E5148F">
        <w:rPr>
          <w:sz w:val="22"/>
          <w:szCs w:val="22"/>
          <w:lang w:val="hu-HU"/>
        </w:rPr>
        <w:t xml:space="preserve">hatásos </w:t>
      </w:r>
      <w:r w:rsidRPr="00E5148F">
        <w:rPr>
          <w:sz w:val="22"/>
          <w:szCs w:val="22"/>
          <w:lang w:val="hu-HU"/>
        </w:rPr>
        <w:t xml:space="preserve">az összehasonlítási alapul szolgáló szernél. </w:t>
      </w:r>
    </w:p>
    <w:p w14:paraId="2D17C4F0" w14:textId="51A16C03" w:rsidR="00DD75FC" w:rsidRPr="00E5148F" w:rsidRDefault="00DD75FC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c</w:t>
      </w:r>
      <w:r w:rsidRPr="00E5148F">
        <w:rPr>
          <w:sz w:val="22"/>
          <w:szCs w:val="22"/>
          <w:lang w:val="hu-HU"/>
        </w:rPr>
        <w:t xml:space="preserve"> Khi-négyzet próba. Szignifikanciaszint α</w:t>
      </w:r>
      <w:r w:rsidR="00FA2879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=</w:t>
      </w:r>
      <w:r w:rsidR="00FA2879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0,05.</w:t>
      </w:r>
    </w:p>
    <w:p w14:paraId="03EAF9CB" w14:textId="77777777" w:rsidR="00DD75FC" w:rsidRPr="00E5148F" w:rsidRDefault="00DD75FC" w:rsidP="001E7AF5">
      <w:pPr>
        <w:rPr>
          <w:sz w:val="22"/>
          <w:szCs w:val="22"/>
          <w:lang w:val="hu-HU"/>
        </w:rPr>
      </w:pPr>
    </w:p>
    <w:p w14:paraId="4C5B0910" w14:textId="7FEAD275" w:rsidR="00DD75FC" w:rsidRPr="00E5148F" w:rsidRDefault="00797782" w:rsidP="001E7AF5">
      <w:pPr>
        <w:tabs>
          <w:tab w:val="left" w:pos="1545"/>
        </w:tabs>
        <w:ind w:left="1560" w:hanging="1560"/>
        <w:rPr>
          <w:b/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 xml:space="preserve">2. </w:t>
      </w:r>
      <w:r w:rsidR="00DD75FC" w:rsidRPr="00E5148F">
        <w:rPr>
          <w:b/>
          <w:sz w:val="22"/>
          <w:szCs w:val="22"/>
          <w:lang w:val="hu-HU"/>
        </w:rPr>
        <w:t>táblázat</w:t>
      </w:r>
      <w:r w:rsidR="004A4144" w:rsidRPr="00E5148F">
        <w:rPr>
          <w:b/>
          <w:sz w:val="22"/>
          <w:szCs w:val="22"/>
          <w:lang w:val="hu-HU"/>
        </w:rPr>
        <w:tab/>
      </w:r>
      <w:r w:rsidR="00DD75FC" w:rsidRPr="00E5148F">
        <w:rPr>
          <w:b/>
          <w:sz w:val="22"/>
          <w:szCs w:val="22"/>
          <w:lang w:val="hu-HU"/>
        </w:rPr>
        <w:t>A válaszreakciót mutató betegek</w:t>
      </w:r>
      <w:r w:rsidR="00DD75FC" w:rsidRPr="00E5148F">
        <w:rPr>
          <w:b/>
          <w:sz w:val="22"/>
          <w:szCs w:val="22"/>
          <w:vertAlign w:val="superscript"/>
          <w:lang w:val="hu-HU"/>
        </w:rPr>
        <w:t>a</w:t>
      </w:r>
      <w:r w:rsidR="00DD75FC" w:rsidRPr="00E5148F">
        <w:rPr>
          <w:b/>
          <w:sz w:val="22"/>
          <w:szCs w:val="22"/>
          <w:lang w:val="hu-HU"/>
        </w:rPr>
        <w:t xml:space="preserve"> %-os aránya kezelési csoportonként és fázisonként</w:t>
      </w:r>
      <w:r w:rsidR="00B62F93" w:rsidRPr="00E5148F">
        <w:rPr>
          <w:b/>
          <w:sz w:val="22"/>
          <w:szCs w:val="22"/>
          <w:lang w:val="hu-HU"/>
        </w:rPr>
        <w:t>,</w:t>
      </w:r>
      <w:r w:rsidR="00DD75FC" w:rsidRPr="00E5148F">
        <w:rPr>
          <w:b/>
          <w:sz w:val="22"/>
          <w:szCs w:val="22"/>
          <w:lang w:val="hu-HU"/>
        </w:rPr>
        <w:t xml:space="preserve"> a közepesen emetogén kemoterápiás vizsgálat</w:t>
      </w:r>
      <w:r w:rsidR="00B62F93" w:rsidRPr="00E5148F">
        <w:rPr>
          <w:b/>
          <w:sz w:val="22"/>
          <w:szCs w:val="22"/>
          <w:lang w:val="hu-HU"/>
        </w:rPr>
        <w:t>ban</w:t>
      </w:r>
      <w:r w:rsidR="00DD75FC" w:rsidRPr="00E5148F">
        <w:rPr>
          <w:b/>
          <w:sz w:val="22"/>
          <w:szCs w:val="22"/>
          <w:lang w:val="hu-HU"/>
        </w:rPr>
        <w:t>, a dolazetronhoz viszonyítva</w:t>
      </w:r>
    </w:p>
    <w:p w14:paraId="6E98E210" w14:textId="77777777" w:rsidR="00EF5AD5" w:rsidRPr="00E5148F" w:rsidRDefault="00EF5AD5" w:rsidP="001E7AF5">
      <w:pPr>
        <w:tabs>
          <w:tab w:val="left" w:pos="1545"/>
        </w:tabs>
        <w:ind w:left="1560" w:hanging="1560"/>
        <w:rPr>
          <w:b/>
          <w:sz w:val="22"/>
          <w:szCs w:val="22"/>
          <w:lang w:val="hu-HU"/>
        </w:rPr>
      </w:pPr>
    </w:p>
    <w:tbl>
      <w:tblPr>
        <w:tblW w:w="108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1"/>
        <w:gridCol w:w="1928"/>
        <w:gridCol w:w="2100"/>
        <w:gridCol w:w="720"/>
        <w:gridCol w:w="567"/>
        <w:gridCol w:w="1913"/>
        <w:gridCol w:w="1950"/>
      </w:tblGrid>
      <w:tr w:rsidR="00DD75FC" w:rsidRPr="00C17333" w14:paraId="7EAD0041" w14:textId="77777777" w:rsidTr="00493ECF">
        <w:trPr>
          <w:gridAfter w:val="1"/>
          <w:wAfter w:w="1950" w:type="dxa"/>
          <w:trHeight w:hRule="exact" w:val="768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B778C85" w14:textId="77777777" w:rsidR="00DD75FC" w:rsidRPr="00E5148F" w:rsidRDefault="00DD75FC" w:rsidP="001E7AF5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4569EC3" w14:textId="096FC102" w:rsidR="00DD75FC" w:rsidRPr="00E5148F" w:rsidRDefault="00DD75FC" w:rsidP="001E7AF5">
            <w:pPr>
              <w:pStyle w:val="TableParagraph"/>
              <w:ind w:right="9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Palono</w:t>
            </w:r>
            <w:r w:rsidR="0026165F" w:rsidRPr="00E5148F">
              <w:rPr>
                <w:rFonts w:ascii="Times New Roman" w:hAnsi="Times New Roman" w:cs="Times New Roman"/>
                <w:spacing w:val="-1"/>
                <w:lang w:val="hu-HU"/>
              </w:rPr>
              <w:t>s</w:t>
            </w:r>
            <w:r w:rsidR="00FC5F7B" w:rsidRPr="00E5148F">
              <w:rPr>
                <w:rFonts w:ascii="Times New Roman" w:hAnsi="Times New Roman" w:cs="Times New Roman"/>
                <w:spacing w:val="-1"/>
                <w:lang w:val="hu-HU"/>
              </w:rPr>
              <w:t>z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etron</w:t>
            </w:r>
          </w:p>
          <w:p w14:paraId="5A156D83" w14:textId="78C479C9" w:rsidR="00DD75FC" w:rsidRPr="00E5148F" w:rsidRDefault="00DD75FC" w:rsidP="001E7AF5">
            <w:pPr>
              <w:pStyle w:val="TableParagraph"/>
              <w:ind w:right="10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250</w:t>
            </w:r>
            <w:r w:rsidR="00FC5F7B" w:rsidRPr="00E5148F">
              <w:rPr>
                <w:rFonts w:ascii="Times New Roman" w:hAnsi="Times New Roman" w:cs="Times New Roman"/>
                <w:lang w:val="hu-HU"/>
              </w:rPr>
              <w:t> 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mikrogramm</w:t>
            </w:r>
          </w:p>
          <w:p w14:paraId="03173028" w14:textId="77777777" w:rsidR="00DD75FC" w:rsidRPr="00E5148F" w:rsidRDefault="00DD75FC" w:rsidP="001E7AF5">
            <w:pPr>
              <w:pStyle w:val="TableParagraph"/>
              <w:ind w:right="9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(n= 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185)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B9F21C9" w14:textId="2228CFB9" w:rsidR="00DD75FC" w:rsidRPr="00E5148F" w:rsidRDefault="00DD75FC" w:rsidP="001E7AF5">
            <w:pPr>
              <w:pStyle w:val="TableParagraph"/>
              <w:tabs>
                <w:tab w:val="left" w:pos="1828"/>
              </w:tabs>
              <w:ind w:left="300" w:right="272" w:firstLine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Dola</w:t>
            </w:r>
            <w:r w:rsidR="00FC5F7B" w:rsidRPr="00E5148F">
              <w:rPr>
                <w:rFonts w:ascii="Times New Roman" w:hAnsi="Times New Roman" w:cs="Times New Roman"/>
                <w:spacing w:val="-1"/>
                <w:lang w:val="hu-HU"/>
              </w:rPr>
              <w:t>z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etron</w:t>
            </w:r>
            <w:r w:rsidRPr="00E5148F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r w:rsidRPr="00E5148F">
              <w:rPr>
                <w:rFonts w:ascii="Times New Roman" w:hAnsi="Times New Roman" w:cs="Times New Roman"/>
                <w:lang w:val="hu-HU"/>
              </w:rPr>
              <w:t>100</w:t>
            </w:r>
            <w:r w:rsidR="00FC5F7B" w:rsidRPr="00E5148F">
              <w:rPr>
                <w:rFonts w:ascii="Times New Roman" w:hAnsi="Times New Roman" w:cs="Times New Roman"/>
                <w:lang w:val="hu-HU"/>
              </w:rPr>
              <w:t> 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milligramm</w:t>
            </w:r>
          </w:p>
          <w:p w14:paraId="12DFD8CB" w14:textId="77777777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(n= 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191)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08C93C7" w14:textId="77777777" w:rsidR="00DD75FC" w:rsidRPr="00E5148F" w:rsidRDefault="00DD75FC" w:rsidP="001E7AF5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1C0DFD55" w14:textId="77777777" w:rsidR="00DD75FC" w:rsidRPr="00E5148F" w:rsidRDefault="00DD75FC" w:rsidP="001E7AF5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5FBC56A8" w14:textId="77777777" w:rsidR="00DD75FC" w:rsidRPr="00E5148F" w:rsidRDefault="00DD75FC" w:rsidP="001E7AF5">
            <w:pPr>
              <w:pStyle w:val="TableParagraph"/>
              <w:ind w:left="459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Delta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7554E63" w14:textId="77777777" w:rsidR="00DD75FC" w:rsidRPr="00E5148F" w:rsidRDefault="00DD75FC" w:rsidP="001E7AF5">
            <w:pPr>
              <w:rPr>
                <w:sz w:val="22"/>
                <w:szCs w:val="22"/>
                <w:lang w:val="hu-HU"/>
              </w:rPr>
            </w:pPr>
          </w:p>
        </w:tc>
      </w:tr>
      <w:tr w:rsidR="00DD75FC" w:rsidRPr="00C17333" w14:paraId="3AE8E63B" w14:textId="77777777" w:rsidTr="00493ECF">
        <w:trPr>
          <w:gridAfter w:val="1"/>
          <w:wAfter w:w="1950" w:type="dxa"/>
          <w:trHeight w:hRule="exact" w:val="264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DEFCB14" w14:textId="77777777" w:rsidR="00DD75FC" w:rsidRPr="00E5148F" w:rsidRDefault="00DD75FC" w:rsidP="001E7AF5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34E95B6" w14:textId="77777777" w:rsidR="00DD75FC" w:rsidRPr="00E5148F" w:rsidRDefault="00DD75FC" w:rsidP="001E7AF5">
            <w:pPr>
              <w:pStyle w:val="TableParagraph"/>
              <w:ind w:right="9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8D2199E" w14:textId="77777777" w:rsidR="00DD75FC" w:rsidRPr="00E5148F" w:rsidRDefault="00DD75FC" w:rsidP="001E7AF5">
            <w:pPr>
              <w:pStyle w:val="TableParagraph"/>
              <w:ind w:right="15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F2DAC93" w14:textId="77777777" w:rsidR="00DD75FC" w:rsidRPr="00E5148F" w:rsidRDefault="00DD75FC" w:rsidP="001E7AF5">
            <w:pPr>
              <w:pStyle w:val="TableParagraph"/>
              <w:ind w:left="108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6425CA5" w14:textId="77777777" w:rsidR="00DD75FC" w:rsidRPr="00E5148F" w:rsidRDefault="00DD75FC" w:rsidP="001E7AF5">
            <w:pPr>
              <w:rPr>
                <w:sz w:val="22"/>
                <w:szCs w:val="22"/>
                <w:lang w:val="hu-HU"/>
              </w:rPr>
            </w:pPr>
          </w:p>
        </w:tc>
      </w:tr>
      <w:tr w:rsidR="00493ECF" w:rsidRPr="00C17333" w14:paraId="51BFA55D" w14:textId="77777777" w:rsidTr="00493ECF">
        <w:trPr>
          <w:trHeight w:hRule="exact" w:val="770"/>
        </w:trPr>
        <w:tc>
          <w:tcPr>
            <w:tcW w:w="637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889AF5F" w14:textId="77DB44C0" w:rsidR="00493ECF" w:rsidRPr="00E5148F" w:rsidDel="00FC5F7B" w:rsidRDefault="00493ECF" w:rsidP="001E7AF5">
            <w:pPr>
              <w:pStyle w:val="TableParagraph"/>
              <w:ind w:left="55"/>
              <w:rPr>
                <w:rFonts w:ascii="Times New Roman" w:hAnsi="Times New Roman" w:cs="Times New Roman"/>
                <w:b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 xml:space="preserve">Teljes válaszreakció (nem lépett fel hányás és nem volt szükség </w:t>
            </w:r>
            <w:r w:rsidR="000E15F5" w:rsidRPr="00E5148F">
              <w:rPr>
                <w:rFonts w:ascii="Times New Roman" w:hAnsi="Times New Roman" w:cs="Times New Roman"/>
                <w:b/>
                <w:lang w:val="hu-HU"/>
              </w:rPr>
              <w:t xml:space="preserve">mentő </w:t>
            </w:r>
            <w:r w:rsidRPr="00E5148F">
              <w:rPr>
                <w:rFonts w:ascii="Times New Roman" w:hAnsi="Times New Roman" w:cs="Times New Roman"/>
                <w:b/>
                <w:lang w:val="hu-HU"/>
              </w:rPr>
              <w:t>gyógyszer</w:t>
            </w:r>
            <w:r w:rsidR="000E15F5" w:rsidRPr="00E5148F">
              <w:rPr>
                <w:rFonts w:ascii="Times New Roman" w:hAnsi="Times New Roman" w:cs="Times New Roman"/>
                <w:b/>
                <w:lang w:val="hu-HU"/>
              </w:rPr>
              <w:t>re</w:t>
            </w:r>
            <w:r w:rsidRPr="00E5148F">
              <w:rPr>
                <w:rFonts w:ascii="Times New Roman" w:hAnsi="Times New Roman" w:cs="Times New Roman"/>
                <w:b/>
                <w:lang w:val="hu-HU"/>
              </w:rPr>
              <w:t>)</w:t>
            </w:r>
          </w:p>
        </w:tc>
        <w:tc>
          <w:tcPr>
            <w:tcW w:w="443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608FC30" w14:textId="58162A2D" w:rsidR="00493ECF" w:rsidRPr="00E5148F" w:rsidRDefault="00493ECF" w:rsidP="001E7AF5">
            <w:pPr>
              <w:pStyle w:val="TableParagraph"/>
              <w:tabs>
                <w:tab w:val="left" w:pos="7447"/>
              </w:tabs>
              <w:ind w:left="99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97,5%-os</w:t>
            </w:r>
            <w:r w:rsidRPr="00E5148F">
              <w:rPr>
                <w:rFonts w:ascii="Times New Roman" w:hAnsi="Times New Roman" w:cs="Times New Roman"/>
                <w:b/>
                <w:spacing w:val="-3"/>
                <w:lang w:val="hu-HU"/>
              </w:rPr>
              <w:t xml:space="preserve"> </w:t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>CI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</w:p>
        </w:tc>
      </w:tr>
      <w:tr w:rsidR="00DD75FC" w:rsidRPr="00C17333" w14:paraId="29F8DE20" w14:textId="77777777" w:rsidTr="00493ECF">
        <w:trPr>
          <w:gridAfter w:val="1"/>
          <w:wAfter w:w="1950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037B83A" w14:textId="77777777" w:rsidR="00DD75FC" w:rsidRPr="00E5148F" w:rsidRDefault="00DD75FC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>0 – 24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 xml:space="preserve"> óra</w:t>
            </w: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4A361F0" w14:textId="193D7600" w:rsidR="00DD75FC" w:rsidRPr="00E5148F" w:rsidRDefault="00DD75FC" w:rsidP="001E7AF5">
            <w:pPr>
              <w:pStyle w:val="TableParagraph"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63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AF0F7FF" w14:textId="4DAAB0B3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52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966DA3E" w14:textId="3B9F5905" w:rsidR="00DD75FC" w:rsidRPr="00E5148F" w:rsidRDefault="00DD75FC" w:rsidP="001E7AF5">
            <w:pPr>
              <w:pStyle w:val="TableParagraph"/>
              <w:ind w:left="50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10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9CF1F84" w14:textId="4D211C8C" w:rsidR="00DD75FC" w:rsidRPr="00E5148F" w:rsidRDefault="00DD75FC" w:rsidP="001E7AF5">
            <w:pPr>
              <w:pStyle w:val="TableParagraph"/>
              <w:ind w:left="346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[-1</w:t>
            </w:r>
            <w:r w:rsidR="00493ECF" w:rsidRPr="00E5148F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7</w:t>
            </w:r>
            <w:r w:rsidRPr="00E5148F">
              <w:rPr>
                <w:rFonts w:ascii="Times New Roman" w:hAnsi="Times New Roman" w:cs="Times New Roman"/>
                <w:lang w:val="hu-HU"/>
              </w:rPr>
              <w:t>%, 21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9%]</w:t>
            </w:r>
          </w:p>
        </w:tc>
      </w:tr>
      <w:tr w:rsidR="00DD75FC" w:rsidRPr="00C17333" w14:paraId="56468252" w14:textId="77777777" w:rsidTr="00493ECF">
        <w:trPr>
          <w:gridAfter w:val="1"/>
          <w:wAfter w:w="1950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4B6E3CED" w14:textId="77777777" w:rsidR="00DD75FC" w:rsidRPr="00E5148F" w:rsidRDefault="00DD75FC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5F243EFD" w14:textId="08F52F57" w:rsidR="00DD75FC" w:rsidRPr="00E5148F" w:rsidRDefault="00DD75FC" w:rsidP="001E7AF5">
            <w:pPr>
              <w:pStyle w:val="TableParagraph"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54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0C916986" w14:textId="5E93121F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38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89E597" w14:textId="2DECB9F6" w:rsidR="00DD75FC" w:rsidRPr="00E5148F" w:rsidRDefault="00DD75FC" w:rsidP="001E7AF5">
            <w:pPr>
              <w:pStyle w:val="TableParagraph"/>
              <w:ind w:left="50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15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62399643" w14:textId="6F091973" w:rsidR="00DD75FC" w:rsidRPr="00E5148F" w:rsidRDefault="00DD75FC" w:rsidP="001E7AF5">
            <w:pPr>
              <w:pStyle w:val="TableParagraph"/>
              <w:ind w:left="38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[3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4%, 27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%]</w:t>
            </w:r>
          </w:p>
        </w:tc>
      </w:tr>
      <w:tr w:rsidR="00DD75FC" w:rsidRPr="00C17333" w14:paraId="226A6AE5" w14:textId="77777777" w:rsidTr="00493ECF">
        <w:trPr>
          <w:gridAfter w:val="1"/>
          <w:wAfter w:w="1950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A0278E6" w14:textId="77777777" w:rsidR="00DD75FC" w:rsidRPr="00E5148F" w:rsidRDefault="00DD75FC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lastRenderedPageBreak/>
              <w:t xml:space="preserve">0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BE50C15" w14:textId="09CE7262" w:rsidR="00DD75FC" w:rsidRPr="00E5148F" w:rsidRDefault="00DD75FC" w:rsidP="001E7AF5">
            <w:pPr>
              <w:pStyle w:val="TableParagraph"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46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D0D7D7D" w14:textId="5AFB4361" w:rsidR="00DD75FC" w:rsidRPr="00E5148F" w:rsidRDefault="00DD75FC" w:rsidP="001E7AF5">
            <w:pPr>
              <w:pStyle w:val="TableParagraph"/>
              <w:ind w:right="1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34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993E1A1" w14:textId="53112F68" w:rsidR="00DD75FC" w:rsidRPr="00E5148F" w:rsidRDefault="00DD75FC" w:rsidP="001E7AF5">
            <w:pPr>
              <w:pStyle w:val="TableParagraph"/>
              <w:ind w:left="50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12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943A053" w14:textId="50B35CF5" w:rsidR="00DD75FC" w:rsidRPr="00E5148F" w:rsidRDefault="00DD75FC" w:rsidP="001E7AF5">
            <w:pPr>
              <w:pStyle w:val="TableParagraph"/>
              <w:ind w:left="38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[0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3%, 23</w:t>
            </w:r>
            <w:r w:rsidR="00493EC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%]</w:t>
            </w:r>
          </w:p>
        </w:tc>
      </w:tr>
      <w:tr w:rsidR="00DD75FC" w:rsidRPr="00C17333" w14:paraId="217141FE" w14:textId="77777777" w:rsidTr="00493ECF">
        <w:trPr>
          <w:gridAfter w:val="1"/>
          <w:wAfter w:w="1950" w:type="dxa"/>
          <w:trHeight w:hRule="exact" w:val="36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7938564" w14:textId="7A03D0D8" w:rsidR="00DD75FC" w:rsidRPr="00E5148F" w:rsidRDefault="00DD75FC" w:rsidP="001E7AF5">
            <w:pPr>
              <w:pStyle w:val="TableParagraph"/>
              <w:tabs>
                <w:tab w:val="left" w:pos="7718"/>
              </w:tabs>
              <w:ind w:left="5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Teljes hatékonyság (teljes válaszreakció és csak enyhe hányinger)</w:t>
            </w:r>
            <w:r w:rsidRPr="00E5148F">
              <w:rPr>
                <w:rFonts w:ascii="Times New Roman" w:hAnsi="Times New Roman" w:cs="Times New Roman"/>
                <w:b/>
                <w:spacing w:val="-2"/>
                <w:lang w:val="hu-HU"/>
              </w:rPr>
              <w:tab/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>p-érték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</w:p>
        </w:tc>
      </w:tr>
      <w:tr w:rsidR="00DD75FC" w:rsidRPr="00C17333" w14:paraId="1C0E82BE" w14:textId="77777777" w:rsidTr="00493ECF">
        <w:trPr>
          <w:gridAfter w:val="1"/>
          <w:wAfter w:w="1950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0FD7FFF" w14:textId="77777777" w:rsidR="00DD75FC" w:rsidRPr="00E5148F" w:rsidRDefault="00DD75FC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824217E" w14:textId="78FED950" w:rsidR="00DD75FC" w:rsidRPr="00E5148F" w:rsidRDefault="00DD75FC" w:rsidP="001E7AF5">
            <w:pPr>
              <w:pStyle w:val="TableParagraph"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57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D25C008" w14:textId="1DC0109A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47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6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C44C3E7" w14:textId="39413DAA" w:rsidR="00DD75FC" w:rsidRPr="00E5148F" w:rsidRDefault="00DD75FC" w:rsidP="001E7AF5">
            <w:pPr>
              <w:pStyle w:val="TableParagraph"/>
              <w:ind w:left="11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51C5C52" w14:textId="4C1ABE5E" w:rsidR="00DD75FC" w:rsidRPr="00E5148F" w:rsidRDefault="00057E1F" w:rsidP="001E7AF5">
            <w:pPr>
              <w:pStyle w:val="TableParagraph"/>
              <w:ind w:left="23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DD75FC" w:rsidRPr="00C17333" w14:paraId="79F2149A" w14:textId="77777777" w:rsidTr="00493ECF">
        <w:trPr>
          <w:gridAfter w:val="1"/>
          <w:wAfter w:w="1950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73BA7B67" w14:textId="77777777" w:rsidR="00DD75FC" w:rsidRPr="00E5148F" w:rsidRDefault="00DD75FC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541D0A17" w14:textId="1254D1F6" w:rsidR="00DD75FC" w:rsidRPr="00E5148F" w:rsidRDefault="00DD75FC" w:rsidP="001E7AF5">
            <w:pPr>
              <w:pStyle w:val="TableParagraph"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48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7918EEF1" w14:textId="2FE32D94" w:rsidR="00DD75FC" w:rsidRPr="00E5148F" w:rsidRDefault="00DD75FC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36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93848B" w14:textId="27C0F6A5" w:rsidR="00DD75FC" w:rsidRPr="00E5148F" w:rsidRDefault="00DD75FC" w:rsidP="001E7AF5">
            <w:pPr>
              <w:pStyle w:val="TableParagraph"/>
              <w:ind w:left="50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12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52509F0A" w14:textId="3AF70FCA" w:rsidR="00DD75FC" w:rsidRPr="00E5148F" w:rsidRDefault="00DD75FC" w:rsidP="001E7AF5">
            <w:pPr>
              <w:pStyle w:val="TableParagraph"/>
              <w:ind w:left="91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018</w:t>
            </w:r>
          </w:p>
        </w:tc>
      </w:tr>
      <w:tr w:rsidR="00DD75FC" w:rsidRPr="00C17333" w14:paraId="0D95275E" w14:textId="77777777" w:rsidTr="00493ECF">
        <w:trPr>
          <w:gridAfter w:val="1"/>
          <w:wAfter w:w="1950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70D4D35" w14:textId="77777777" w:rsidR="00DD75FC" w:rsidRPr="00E5148F" w:rsidRDefault="00DD75FC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457CE6F" w14:textId="4100E25A" w:rsidR="00DD75FC" w:rsidRPr="00E5148F" w:rsidRDefault="00DD75FC" w:rsidP="001E7AF5">
            <w:pPr>
              <w:pStyle w:val="TableParagraph"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41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7974C8C" w14:textId="06FD4F27" w:rsidR="00DD75FC" w:rsidRPr="00E5148F" w:rsidRDefault="00DD75FC" w:rsidP="001E7AF5">
            <w:pPr>
              <w:pStyle w:val="TableParagraph"/>
              <w:ind w:right="1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30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26050A0" w14:textId="590F0297" w:rsidR="00DD75FC" w:rsidRPr="00E5148F" w:rsidRDefault="00DD75FC" w:rsidP="001E7AF5">
            <w:pPr>
              <w:pStyle w:val="TableParagraph"/>
              <w:ind w:left="50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10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4020C0C" w14:textId="344CD664" w:rsidR="00DD75FC" w:rsidRPr="00E5148F" w:rsidRDefault="00DD75FC" w:rsidP="001E7AF5">
            <w:pPr>
              <w:pStyle w:val="TableParagraph"/>
              <w:ind w:left="91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027</w:t>
            </w:r>
          </w:p>
        </w:tc>
      </w:tr>
      <w:tr w:rsidR="00DD75FC" w:rsidRPr="000666BF" w14:paraId="4DEFF78E" w14:textId="77777777" w:rsidTr="00493ECF">
        <w:trPr>
          <w:gridAfter w:val="1"/>
          <w:wAfter w:w="1950" w:type="dxa"/>
          <w:trHeight w:hRule="exact" w:val="37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E13F021" w14:textId="474FD4A0" w:rsidR="00DD75FC" w:rsidRPr="00E5148F" w:rsidRDefault="00DD75FC" w:rsidP="00E5148F">
            <w:pPr>
              <w:pStyle w:val="TableParagraph"/>
              <w:keepNext/>
              <w:tabs>
                <w:tab w:val="left" w:pos="7718"/>
              </w:tabs>
              <w:ind w:left="5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Nem lépett fel hányinger (Likert-skála)</w:t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ab/>
              <w:t>p-érték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</w:p>
        </w:tc>
      </w:tr>
      <w:tr w:rsidR="00DD75FC" w:rsidRPr="00C17333" w14:paraId="22641726" w14:textId="77777777" w:rsidTr="00493ECF">
        <w:trPr>
          <w:gridAfter w:val="1"/>
          <w:wAfter w:w="1950" w:type="dxa"/>
          <w:trHeight w:hRule="exact" w:val="364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9F8ED10" w14:textId="77777777" w:rsidR="00DD75FC" w:rsidRPr="00E5148F" w:rsidRDefault="00DD75FC" w:rsidP="00E5148F">
            <w:pPr>
              <w:pStyle w:val="TableParagraph"/>
              <w:keepNext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DAB3690" w14:textId="6BAD0D55" w:rsidR="00DD75FC" w:rsidRPr="00E5148F" w:rsidRDefault="00DD75FC" w:rsidP="00E5148F">
            <w:pPr>
              <w:pStyle w:val="TableParagraph"/>
              <w:keepNext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48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</w:p>
        </w:tc>
        <w:tc>
          <w:tcPr>
            <w:tcW w:w="2100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C58EB30" w14:textId="5C9CE620" w:rsidR="00DD75FC" w:rsidRPr="00E5148F" w:rsidRDefault="00DD75FC" w:rsidP="00E5148F">
            <w:pPr>
              <w:pStyle w:val="TableParagraph"/>
              <w:keepNext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41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1287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A433EBF" w14:textId="1AA68340" w:rsidR="00DD75FC" w:rsidRPr="00E5148F" w:rsidRDefault="00DD75FC" w:rsidP="00E5148F">
            <w:pPr>
              <w:pStyle w:val="TableParagraph"/>
              <w:keepNext/>
              <w:ind w:left="11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19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0CAE29B" w14:textId="668134A8" w:rsidR="00DD75FC" w:rsidRPr="00E5148F" w:rsidRDefault="00057E1F" w:rsidP="00E5148F">
            <w:pPr>
              <w:pStyle w:val="TableParagraph"/>
              <w:keepNext/>
              <w:ind w:left="2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DD75FC" w:rsidRPr="00C17333" w14:paraId="1B8E9B05" w14:textId="77777777" w:rsidTr="00493ECF">
        <w:trPr>
          <w:gridAfter w:val="1"/>
          <w:wAfter w:w="1950" w:type="dxa"/>
          <w:trHeight w:hRule="exact" w:val="36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74D8C12D" w14:textId="77777777" w:rsidR="00DD75FC" w:rsidRPr="00E5148F" w:rsidRDefault="00DD75FC" w:rsidP="00E5148F">
            <w:pPr>
              <w:pStyle w:val="TableParagraph"/>
              <w:keepNext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3A77DA47" w14:textId="4F59B9BB" w:rsidR="00DD75FC" w:rsidRPr="00E5148F" w:rsidRDefault="00DD75FC" w:rsidP="00E5148F">
            <w:pPr>
              <w:pStyle w:val="TableParagraph"/>
              <w:keepNext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41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22FDA43F" w14:textId="112D8DF6" w:rsidR="00DD75FC" w:rsidRPr="00E5148F" w:rsidRDefault="00DD75FC" w:rsidP="00E5148F">
            <w:pPr>
              <w:pStyle w:val="TableParagraph"/>
              <w:keepNext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26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92BF2E" w14:textId="67DD307C" w:rsidR="00DD75FC" w:rsidRPr="00E5148F" w:rsidRDefault="00DD75FC" w:rsidP="00E5148F">
            <w:pPr>
              <w:pStyle w:val="TableParagraph"/>
              <w:keepNext/>
              <w:ind w:left="50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15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6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14:paraId="53BD2DB0" w14:textId="5A51F33E" w:rsidR="00DD75FC" w:rsidRPr="00E5148F" w:rsidRDefault="00DD75FC" w:rsidP="00E5148F">
            <w:pPr>
              <w:pStyle w:val="TableParagraph"/>
              <w:keepNext/>
              <w:ind w:left="91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  <w:r w:rsidR="00057E1F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001</w:t>
            </w:r>
          </w:p>
        </w:tc>
      </w:tr>
      <w:tr w:rsidR="00DD75FC" w:rsidRPr="00C17333" w14:paraId="6FC116F7" w14:textId="77777777" w:rsidTr="00493ECF">
        <w:trPr>
          <w:gridAfter w:val="1"/>
          <w:wAfter w:w="1950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8DDDFBD" w14:textId="77777777" w:rsidR="00DD75FC" w:rsidRPr="00E5148F" w:rsidRDefault="00DD75FC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2DD3619" w14:textId="421806CF" w:rsidR="00DD75FC" w:rsidRPr="00E5148F" w:rsidRDefault="00DD75FC" w:rsidP="001E7AF5">
            <w:pPr>
              <w:pStyle w:val="TableParagraph"/>
              <w:ind w:right="9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33</w:t>
            </w:r>
            <w:r w:rsidR="0002637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B7107CA" w14:textId="1FBF2BEA" w:rsidR="00DD75FC" w:rsidRPr="00E5148F" w:rsidRDefault="00DD75FC" w:rsidP="001E7AF5">
            <w:pPr>
              <w:pStyle w:val="TableParagraph"/>
              <w:ind w:right="1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22</w:t>
            </w:r>
            <w:r w:rsidR="0002637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A44BEC1" w14:textId="3B64493D" w:rsidR="00DD75FC" w:rsidRPr="00E5148F" w:rsidRDefault="00DD75FC" w:rsidP="001E7AF5">
            <w:pPr>
              <w:pStyle w:val="TableParagraph"/>
              <w:ind w:left="50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11</w:t>
            </w:r>
            <w:r w:rsidR="0002637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A56D1F1" w14:textId="1BF1C556" w:rsidR="00DD75FC" w:rsidRPr="00E5148F" w:rsidRDefault="00DD75FC" w:rsidP="001E7AF5">
            <w:pPr>
              <w:pStyle w:val="TableParagraph"/>
              <w:ind w:left="91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  <w:r w:rsidR="00026371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014</w:t>
            </w:r>
          </w:p>
        </w:tc>
      </w:tr>
    </w:tbl>
    <w:p w14:paraId="5D9AEADA" w14:textId="77777777" w:rsidR="00A5042E" w:rsidRPr="00E5148F" w:rsidRDefault="00A5042E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a</w:t>
      </w:r>
      <w:r w:rsidRPr="00E5148F">
        <w:rPr>
          <w:sz w:val="22"/>
          <w:szCs w:val="22"/>
          <w:lang w:val="hu-HU"/>
        </w:rPr>
        <w:t xml:space="preserve"> A kezelni szándékozott (</w:t>
      </w:r>
      <w:r w:rsidRPr="00E5148F">
        <w:rPr>
          <w:i/>
          <w:sz w:val="22"/>
          <w:szCs w:val="22"/>
          <w:lang w:val="hu-HU"/>
        </w:rPr>
        <w:t>intent-to-treat</w:t>
      </w:r>
      <w:r w:rsidRPr="00E5148F">
        <w:rPr>
          <w:sz w:val="22"/>
          <w:szCs w:val="22"/>
          <w:lang w:val="hu-HU"/>
        </w:rPr>
        <w:t xml:space="preserve">) kohort </w:t>
      </w:r>
    </w:p>
    <w:p w14:paraId="1B30A768" w14:textId="1F4C1364" w:rsidR="00A5042E" w:rsidRPr="00E5148F" w:rsidRDefault="00A5042E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b</w:t>
      </w:r>
      <w:r w:rsidRPr="00E5148F">
        <w:rPr>
          <w:sz w:val="22"/>
          <w:szCs w:val="22"/>
          <w:lang w:val="hu-HU"/>
        </w:rPr>
        <w:t xml:space="preserve"> A vizsgálat célja annak kimutatása volt, hogy a </w:t>
      </w:r>
      <w:r w:rsidR="00026371" w:rsidRPr="00E5148F">
        <w:rPr>
          <w:sz w:val="22"/>
          <w:szCs w:val="22"/>
          <w:lang w:val="hu-HU"/>
        </w:rPr>
        <w:t xml:space="preserve">vizsgált </w:t>
      </w:r>
      <w:r w:rsidRPr="00E5148F">
        <w:rPr>
          <w:sz w:val="22"/>
          <w:szCs w:val="22"/>
          <w:lang w:val="hu-HU"/>
        </w:rPr>
        <w:t xml:space="preserve">szer nem kevésbé </w:t>
      </w:r>
      <w:r w:rsidR="00026371" w:rsidRPr="00E5148F">
        <w:rPr>
          <w:sz w:val="22"/>
          <w:szCs w:val="22"/>
          <w:lang w:val="hu-HU"/>
        </w:rPr>
        <w:t xml:space="preserve">hatásos </w:t>
      </w:r>
      <w:r w:rsidRPr="00E5148F">
        <w:rPr>
          <w:sz w:val="22"/>
          <w:szCs w:val="22"/>
          <w:lang w:val="hu-HU"/>
        </w:rPr>
        <w:t>(</w:t>
      </w:r>
      <w:r w:rsidRPr="00E5148F">
        <w:rPr>
          <w:i/>
          <w:sz w:val="22"/>
          <w:szCs w:val="22"/>
          <w:lang w:val="hu-HU"/>
        </w:rPr>
        <w:t>non-inferiority</w:t>
      </w:r>
      <w:r w:rsidRPr="00E5148F">
        <w:rPr>
          <w:sz w:val="22"/>
          <w:szCs w:val="22"/>
          <w:lang w:val="hu-HU"/>
        </w:rPr>
        <w:t xml:space="preserve">). A –15%-ot meghaladó alsó határérték igazolja, hogy a </w:t>
      </w:r>
      <w:r w:rsidR="00026371" w:rsidRPr="00E5148F">
        <w:rPr>
          <w:sz w:val="22"/>
          <w:szCs w:val="22"/>
          <w:lang w:val="hu-HU"/>
        </w:rPr>
        <w:t>p</w:t>
      </w:r>
      <w:r w:rsidRPr="00E5148F">
        <w:rPr>
          <w:sz w:val="22"/>
          <w:szCs w:val="22"/>
          <w:lang w:val="hu-HU"/>
        </w:rPr>
        <w:t>alono</w:t>
      </w:r>
      <w:r w:rsidR="0026165F" w:rsidRPr="00E5148F">
        <w:rPr>
          <w:sz w:val="22"/>
          <w:szCs w:val="22"/>
          <w:lang w:val="hu-HU"/>
        </w:rPr>
        <w:t>s</w:t>
      </w:r>
      <w:r w:rsidR="00026371" w:rsidRPr="00E5148F">
        <w:rPr>
          <w:sz w:val="22"/>
          <w:szCs w:val="22"/>
          <w:lang w:val="hu-HU"/>
        </w:rPr>
        <w:t>z</w:t>
      </w:r>
      <w:r w:rsidRPr="00E5148F">
        <w:rPr>
          <w:sz w:val="22"/>
          <w:szCs w:val="22"/>
          <w:lang w:val="hu-HU"/>
        </w:rPr>
        <w:t xml:space="preserve">etron nem kevésbé </w:t>
      </w:r>
      <w:r w:rsidR="00026371" w:rsidRPr="00E5148F">
        <w:rPr>
          <w:sz w:val="22"/>
          <w:szCs w:val="22"/>
          <w:lang w:val="hu-HU"/>
        </w:rPr>
        <w:t xml:space="preserve">hatásos </w:t>
      </w:r>
      <w:r w:rsidRPr="00E5148F">
        <w:rPr>
          <w:sz w:val="22"/>
          <w:szCs w:val="22"/>
          <w:lang w:val="hu-HU"/>
        </w:rPr>
        <w:t xml:space="preserve">az összehasonlítási alapul szolgáló szernél. </w:t>
      </w:r>
    </w:p>
    <w:p w14:paraId="3492FE13" w14:textId="48E4CA8C" w:rsidR="00DD75FC" w:rsidRPr="00E5148F" w:rsidRDefault="00A5042E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c</w:t>
      </w:r>
      <w:r w:rsidRPr="00E5148F">
        <w:rPr>
          <w:sz w:val="22"/>
          <w:szCs w:val="22"/>
          <w:lang w:val="hu-HU"/>
        </w:rPr>
        <w:t xml:space="preserve"> Khi-négyzet próba. Szignifikanciaszint α</w:t>
      </w:r>
      <w:r w:rsidR="00096B8D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=</w:t>
      </w:r>
      <w:r w:rsidR="00096B8D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0,05.</w:t>
      </w:r>
    </w:p>
    <w:p w14:paraId="0629E8B6" w14:textId="77777777" w:rsidR="00A5042E" w:rsidRPr="00E5148F" w:rsidRDefault="00A5042E" w:rsidP="001E7AF5">
      <w:pPr>
        <w:rPr>
          <w:sz w:val="22"/>
          <w:szCs w:val="22"/>
          <w:lang w:val="hu-HU"/>
        </w:rPr>
      </w:pPr>
    </w:p>
    <w:p w14:paraId="47F8CADA" w14:textId="36197D76" w:rsidR="00A5042E" w:rsidRPr="00E5148F" w:rsidRDefault="00A5042E" w:rsidP="00EF5AD5">
      <w:pPr>
        <w:tabs>
          <w:tab w:val="left" w:pos="1560"/>
        </w:tabs>
        <w:ind w:left="1560" w:hanging="1560"/>
        <w:rPr>
          <w:b/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3. táblázat</w:t>
      </w:r>
      <w:r w:rsidR="00096B8D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 válaszreakciót mutató betegek</w:t>
      </w:r>
      <w:r w:rsidRPr="00E5148F">
        <w:rPr>
          <w:b/>
          <w:sz w:val="22"/>
          <w:szCs w:val="22"/>
          <w:vertAlign w:val="superscript"/>
          <w:lang w:val="hu-HU"/>
        </w:rPr>
        <w:t>a</w:t>
      </w:r>
      <w:r w:rsidRPr="00E5148F">
        <w:rPr>
          <w:b/>
          <w:sz w:val="22"/>
          <w:szCs w:val="22"/>
          <w:lang w:val="hu-HU"/>
        </w:rPr>
        <w:t xml:space="preserve"> %-os aránya kezelési csoportonként és fázisonként</w:t>
      </w:r>
      <w:r w:rsidR="00096B8D" w:rsidRPr="00E5148F">
        <w:rPr>
          <w:b/>
          <w:sz w:val="22"/>
          <w:szCs w:val="22"/>
          <w:lang w:val="hu-HU"/>
        </w:rPr>
        <w:t>,</w:t>
      </w:r>
      <w:r w:rsidRPr="00E5148F">
        <w:rPr>
          <w:b/>
          <w:sz w:val="22"/>
          <w:szCs w:val="22"/>
          <w:lang w:val="hu-HU"/>
        </w:rPr>
        <w:t xml:space="preserve"> a</w:t>
      </w:r>
      <w:r w:rsidR="00096B8D" w:rsidRPr="00E5148F">
        <w:rPr>
          <w:b/>
          <w:sz w:val="22"/>
          <w:szCs w:val="22"/>
          <w:lang w:val="hu-HU"/>
        </w:rPr>
        <w:t>z erősen</w:t>
      </w:r>
      <w:r w:rsidRPr="00E5148F">
        <w:rPr>
          <w:b/>
          <w:sz w:val="22"/>
          <w:szCs w:val="22"/>
          <w:lang w:val="hu-HU"/>
        </w:rPr>
        <w:t xml:space="preserve"> emetogén kemoterápiás vizsgálatok során, az ondan</w:t>
      </w:r>
      <w:r w:rsidR="00FA67A0" w:rsidRPr="00E5148F">
        <w:rPr>
          <w:b/>
          <w:sz w:val="22"/>
          <w:szCs w:val="22"/>
          <w:lang w:val="hu-HU"/>
        </w:rPr>
        <w:t>s</w:t>
      </w:r>
      <w:r w:rsidRPr="00E5148F">
        <w:rPr>
          <w:b/>
          <w:sz w:val="22"/>
          <w:szCs w:val="22"/>
          <w:lang w:val="hu-HU"/>
        </w:rPr>
        <w:t>zetronhoz viszonyítva</w:t>
      </w:r>
    </w:p>
    <w:p w14:paraId="67DBB056" w14:textId="77777777" w:rsidR="00EF5AD5" w:rsidRPr="00E5148F" w:rsidRDefault="00EF5AD5" w:rsidP="00EF5AD5">
      <w:pPr>
        <w:tabs>
          <w:tab w:val="left" w:pos="1560"/>
        </w:tabs>
        <w:ind w:left="1560" w:hanging="1560"/>
        <w:rPr>
          <w:sz w:val="22"/>
          <w:szCs w:val="22"/>
          <w:lang w:val="hu-HU"/>
        </w:rPr>
      </w:pPr>
    </w:p>
    <w:tbl>
      <w:tblPr>
        <w:tblW w:w="103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1"/>
        <w:gridCol w:w="1956"/>
        <w:gridCol w:w="2044"/>
        <w:gridCol w:w="323"/>
        <w:gridCol w:w="991"/>
        <w:gridCol w:w="1914"/>
        <w:gridCol w:w="1525"/>
      </w:tblGrid>
      <w:tr w:rsidR="00A5042E" w:rsidRPr="00C17333" w14:paraId="03C0385C" w14:textId="77777777" w:rsidTr="006F1D92">
        <w:trPr>
          <w:gridAfter w:val="1"/>
          <w:wAfter w:w="1525" w:type="dxa"/>
          <w:trHeight w:hRule="exact" w:val="770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E8AD6ED" w14:textId="77777777" w:rsidR="00A5042E" w:rsidRPr="00E5148F" w:rsidRDefault="00A5042E" w:rsidP="001E7AF5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F6411C0" w14:textId="44909681" w:rsidR="00A5042E" w:rsidRPr="00E5148F" w:rsidRDefault="00A5042E" w:rsidP="001E7AF5">
            <w:pPr>
              <w:pStyle w:val="TableParagraph"/>
              <w:ind w:right="12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Palono</w:t>
            </w:r>
            <w:r w:rsidR="0026165F" w:rsidRPr="00E5148F">
              <w:rPr>
                <w:rFonts w:ascii="Times New Roman" w:hAnsi="Times New Roman" w:cs="Times New Roman"/>
                <w:spacing w:val="-1"/>
                <w:lang w:val="hu-HU"/>
              </w:rPr>
              <w:t>s</w:t>
            </w:r>
            <w:r w:rsidR="003C2DFC" w:rsidRPr="00E5148F">
              <w:rPr>
                <w:rFonts w:ascii="Times New Roman" w:hAnsi="Times New Roman" w:cs="Times New Roman"/>
                <w:spacing w:val="-1"/>
                <w:lang w:val="hu-HU"/>
              </w:rPr>
              <w:t>z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etron</w:t>
            </w:r>
          </w:p>
          <w:p w14:paraId="5D09A972" w14:textId="77777777" w:rsidR="00A5042E" w:rsidRPr="00E5148F" w:rsidRDefault="00A5042E" w:rsidP="001E7AF5">
            <w:pPr>
              <w:pStyle w:val="TableParagraph"/>
              <w:ind w:right="13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250 </w:t>
            </w: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mikrogramm</w:t>
            </w:r>
          </w:p>
          <w:p w14:paraId="56B66B2E" w14:textId="77777777" w:rsidR="00A5042E" w:rsidRPr="00E5148F" w:rsidRDefault="00A5042E" w:rsidP="001E7AF5">
            <w:pPr>
              <w:pStyle w:val="TableParagraph"/>
              <w:ind w:right="12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(n= 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223)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F3AABB6" w14:textId="0AEEF934" w:rsidR="00A5042E" w:rsidRPr="00E5148F" w:rsidRDefault="00A5042E" w:rsidP="001E7AF5">
            <w:pPr>
              <w:pStyle w:val="TableParagraph"/>
              <w:ind w:left="328" w:right="244" w:firstLine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Ondan</w:t>
            </w:r>
            <w:r w:rsidR="00FA67A0" w:rsidRPr="00E5148F">
              <w:rPr>
                <w:rFonts w:ascii="Times New Roman" w:hAnsi="Times New Roman" w:cs="Times New Roman"/>
                <w:spacing w:val="-1"/>
                <w:lang w:val="hu-HU"/>
              </w:rPr>
              <w:t>s</w:t>
            </w:r>
            <w:r w:rsidR="003C2DFC" w:rsidRPr="00E5148F">
              <w:rPr>
                <w:rFonts w:ascii="Times New Roman" w:hAnsi="Times New Roman" w:cs="Times New Roman"/>
                <w:spacing w:val="-1"/>
                <w:lang w:val="hu-HU"/>
              </w:rPr>
              <w:t>z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etron</w:t>
            </w:r>
            <w:r w:rsidRPr="00E5148F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r w:rsidRPr="00E5148F">
              <w:rPr>
                <w:rFonts w:ascii="Times New Roman" w:hAnsi="Times New Roman" w:cs="Times New Roman"/>
                <w:lang w:val="hu-HU"/>
              </w:rPr>
              <w:t>32</w:t>
            </w:r>
            <w:r w:rsidR="003C2DFC" w:rsidRPr="00E5148F">
              <w:rPr>
                <w:rFonts w:ascii="Times New Roman" w:hAnsi="Times New Roman" w:cs="Times New Roman"/>
                <w:lang w:val="hu-HU"/>
              </w:rPr>
              <w:t> 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milligramm</w:t>
            </w:r>
          </w:p>
          <w:p w14:paraId="78DA4373" w14:textId="77777777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 xml:space="preserve">(n= 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221)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85A86EA" w14:textId="77777777" w:rsidR="00A5042E" w:rsidRPr="00E5148F" w:rsidRDefault="00A5042E" w:rsidP="001E7AF5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73F6ADD3" w14:textId="77777777" w:rsidR="00A5042E" w:rsidRPr="00E5148F" w:rsidRDefault="00A5042E" w:rsidP="001E7AF5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59776A4B" w14:textId="77777777" w:rsidR="00A5042E" w:rsidRPr="00E5148F" w:rsidRDefault="00A5042E" w:rsidP="001E7AF5">
            <w:pPr>
              <w:pStyle w:val="TableParagraph"/>
              <w:ind w:left="48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Delta</w:t>
            </w:r>
          </w:p>
        </w:tc>
        <w:tc>
          <w:tcPr>
            <w:tcW w:w="191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53595CA" w14:textId="77777777" w:rsidR="00A5042E" w:rsidRPr="00E5148F" w:rsidRDefault="00A5042E" w:rsidP="001E7AF5">
            <w:pPr>
              <w:rPr>
                <w:sz w:val="22"/>
                <w:szCs w:val="22"/>
                <w:lang w:val="hu-HU"/>
              </w:rPr>
            </w:pPr>
          </w:p>
        </w:tc>
      </w:tr>
      <w:tr w:rsidR="00A5042E" w:rsidRPr="00C17333" w14:paraId="2C0546B1" w14:textId="77777777" w:rsidTr="006F1D92">
        <w:trPr>
          <w:gridAfter w:val="1"/>
          <w:wAfter w:w="1525" w:type="dxa"/>
          <w:trHeight w:hRule="exact" w:val="262"/>
        </w:trPr>
        <w:tc>
          <w:tcPr>
            <w:tcW w:w="16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03EC9F6" w14:textId="77777777" w:rsidR="00A5042E" w:rsidRPr="00E5148F" w:rsidRDefault="00A5042E" w:rsidP="001E7AF5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3D6A01D" w14:textId="77777777" w:rsidR="00A5042E" w:rsidRPr="00E5148F" w:rsidRDefault="00A5042E" w:rsidP="001E7AF5">
            <w:pPr>
              <w:pStyle w:val="TableParagraph"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BC91F6C" w14:textId="77777777" w:rsidR="00A5042E" w:rsidRPr="00E5148F" w:rsidRDefault="00A5042E" w:rsidP="001E7AF5">
            <w:pPr>
              <w:pStyle w:val="TableParagraph"/>
              <w:ind w:right="15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DC764DC" w14:textId="77777777" w:rsidR="00A5042E" w:rsidRPr="00E5148F" w:rsidRDefault="00A5042E" w:rsidP="001E7AF5">
            <w:pPr>
              <w:pStyle w:val="TableParagraph"/>
              <w:ind w:left="13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%</w:t>
            </w:r>
          </w:p>
        </w:tc>
        <w:tc>
          <w:tcPr>
            <w:tcW w:w="191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57531D2" w14:textId="77777777" w:rsidR="00A5042E" w:rsidRPr="00E5148F" w:rsidRDefault="00A5042E" w:rsidP="001E7AF5">
            <w:pPr>
              <w:rPr>
                <w:sz w:val="22"/>
                <w:szCs w:val="22"/>
                <w:lang w:val="hu-HU"/>
              </w:rPr>
            </w:pPr>
          </w:p>
        </w:tc>
      </w:tr>
      <w:tr w:rsidR="006F1D92" w:rsidRPr="00C17333" w14:paraId="22777433" w14:textId="77777777" w:rsidTr="006F1D92">
        <w:trPr>
          <w:trHeight w:hRule="exact" w:val="917"/>
        </w:trPr>
        <w:tc>
          <w:tcPr>
            <w:tcW w:w="5954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5CDAE04" w14:textId="2BF36DF1" w:rsidR="006F1D92" w:rsidRPr="00E5148F" w:rsidDel="002378E8" w:rsidRDefault="006F1D92" w:rsidP="001E7AF5">
            <w:pPr>
              <w:pStyle w:val="TableParagraph"/>
              <w:tabs>
                <w:tab w:val="left" w:pos="7447"/>
              </w:tabs>
              <w:rPr>
                <w:rFonts w:ascii="Times New Roman" w:hAnsi="Times New Roman" w:cs="Times New Roman"/>
                <w:b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 xml:space="preserve">Teljes válaszreakció (nem lépett fel hányás és nem volt szükség </w:t>
            </w:r>
            <w:r w:rsidR="000E15F5" w:rsidRPr="00E5148F">
              <w:rPr>
                <w:rFonts w:ascii="Times New Roman" w:hAnsi="Times New Roman" w:cs="Times New Roman"/>
                <w:b/>
                <w:lang w:val="hu-HU"/>
              </w:rPr>
              <w:t xml:space="preserve">mentő </w:t>
            </w:r>
            <w:r w:rsidRPr="00E5148F">
              <w:rPr>
                <w:rFonts w:ascii="Times New Roman" w:hAnsi="Times New Roman" w:cs="Times New Roman"/>
                <w:b/>
                <w:lang w:val="hu-HU"/>
              </w:rPr>
              <w:t>gyógyszer</w:t>
            </w:r>
            <w:r w:rsidR="000E15F5" w:rsidRPr="00E5148F">
              <w:rPr>
                <w:rFonts w:ascii="Times New Roman" w:hAnsi="Times New Roman" w:cs="Times New Roman"/>
                <w:b/>
                <w:lang w:val="hu-HU"/>
              </w:rPr>
              <w:t>re</w:t>
            </w:r>
            <w:r w:rsidRPr="00E5148F">
              <w:rPr>
                <w:rFonts w:ascii="Times New Roman" w:hAnsi="Times New Roman" w:cs="Times New Roman"/>
                <w:b/>
                <w:lang w:val="hu-HU"/>
              </w:rPr>
              <w:t>)</w:t>
            </w:r>
          </w:p>
        </w:tc>
        <w:tc>
          <w:tcPr>
            <w:tcW w:w="443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DB1A0EC" w14:textId="0CF2734B" w:rsidR="006F1D92" w:rsidRPr="00E5148F" w:rsidRDefault="006F1D92" w:rsidP="001E7AF5">
            <w:pPr>
              <w:pStyle w:val="TableParagraph"/>
              <w:tabs>
                <w:tab w:val="left" w:pos="7447"/>
              </w:tabs>
              <w:ind w:left="1559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97,5%-os</w:t>
            </w:r>
            <w:r w:rsidRPr="00E5148F">
              <w:rPr>
                <w:rFonts w:ascii="Times New Roman" w:hAnsi="Times New Roman" w:cs="Times New Roman"/>
                <w:b/>
                <w:spacing w:val="-3"/>
                <w:lang w:val="hu-HU"/>
              </w:rPr>
              <w:t xml:space="preserve"> </w:t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>CI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</w:p>
        </w:tc>
      </w:tr>
      <w:tr w:rsidR="00A5042E" w:rsidRPr="00C17333" w14:paraId="155E0383" w14:textId="77777777" w:rsidTr="006F1D92">
        <w:trPr>
          <w:gridAfter w:val="1"/>
          <w:wAfter w:w="1525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BB182BF" w14:textId="05EDB09F" w:rsidR="00A5042E" w:rsidRPr="00E5148F" w:rsidRDefault="00A5042E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3F1B865" w14:textId="084B2DB0" w:rsidR="00A5042E" w:rsidRPr="00E5148F" w:rsidRDefault="00A5042E" w:rsidP="001E7AF5">
            <w:pPr>
              <w:pStyle w:val="TableParagraph"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59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B3BE0D2" w14:textId="218060AA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57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32CA1DF" w14:textId="2EEFC9A8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2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191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24AA9B9" w14:textId="11FC79A9" w:rsidR="00A5042E" w:rsidRPr="00E5148F" w:rsidRDefault="00A5042E" w:rsidP="001E7AF5">
            <w:pPr>
              <w:pStyle w:val="TableParagraph"/>
              <w:ind w:left="346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[-8</w:t>
            </w:r>
            <w:r w:rsidR="005F5136" w:rsidRPr="00E5148F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8</w:t>
            </w:r>
            <w:r w:rsidRPr="00E5148F">
              <w:rPr>
                <w:rFonts w:ascii="Times New Roman" w:hAnsi="Times New Roman" w:cs="Times New Roman"/>
                <w:lang w:val="hu-HU"/>
              </w:rPr>
              <w:t>%, 13</w:t>
            </w:r>
            <w:r w:rsidR="005F5136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1%]</w:t>
            </w:r>
          </w:p>
        </w:tc>
      </w:tr>
      <w:tr w:rsidR="00A5042E" w:rsidRPr="00C17333" w14:paraId="192CD921" w14:textId="77777777" w:rsidTr="006F1D92">
        <w:trPr>
          <w:gridAfter w:val="1"/>
          <w:wAfter w:w="1525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52B9823E" w14:textId="3DEF1361" w:rsidR="00A5042E" w:rsidRPr="00E5148F" w:rsidRDefault="00A5042E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31C67391" w14:textId="0D5A90DC" w:rsidR="00A5042E" w:rsidRPr="00E5148F" w:rsidRDefault="00A5042E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45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254C62DC" w14:textId="66740117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38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795BF3" w14:textId="2F565D69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6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10C964CD" w14:textId="61E79A2C" w:rsidR="00A5042E" w:rsidRPr="00E5148F" w:rsidRDefault="00A5042E" w:rsidP="001E7AF5">
            <w:pPr>
              <w:pStyle w:val="TableParagraph"/>
              <w:ind w:left="346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[-4</w:t>
            </w:r>
            <w:r w:rsidR="005F5136" w:rsidRPr="00E5148F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6</w:t>
            </w:r>
            <w:r w:rsidRPr="00E5148F">
              <w:rPr>
                <w:rFonts w:ascii="Times New Roman" w:hAnsi="Times New Roman" w:cs="Times New Roman"/>
                <w:lang w:val="hu-HU"/>
              </w:rPr>
              <w:t>%, 17</w:t>
            </w:r>
            <w:r w:rsidR="005F5136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3%]</w:t>
            </w:r>
          </w:p>
        </w:tc>
      </w:tr>
      <w:tr w:rsidR="00A5042E" w:rsidRPr="00C17333" w14:paraId="65A26ADF" w14:textId="77777777" w:rsidTr="006F1D92">
        <w:trPr>
          <w:gridAfter w:val="1"/>
          <w:wAfter w:w="1525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892737E" w14:textId="25BC7DE6" w:rsidR="00A5042E" w:rsidRPr="00E5148F" w:rsidRDefault="00A5042E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565A4EE" w14:textId="2D12108B" w:rsidR="00A5042E" w:rsidRPr="00E5148F" w:rsidRDefault="00A5042E" w:rsidP="001E7AF5">
            <w:pPr>
              <w:pStyle w:val="TableParagraph"/>
              <w:ind w:right="12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40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775177A" w14:textId="68E786D3" w:rsidR="00A5042E" w:rsidRPr="00E5148F" w:rsidRDefault="00A5042E" w:rsidP="001E7AF5">
            <w:pPr>
              <w:pStyle w:val="TableParagraph"/>
              <w:ind w:right="15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33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2127512" w14:textId="4B3694EE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  <w:r w:rsidR="006F1D92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921ED89" w14:textId="4D7AEC39" w:rsidR="00A5042E" w:rsidRPr="00E5148F" w:rsidRDefault="00A5042E" w:rsidP="001E7AF5">
            <w:pPr>
              <w:pStyle w:val="TableParagraph"/>
              <w:ind w:left="346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[-2</w:t>
            </w:r>
            <w:r w:rsidR="005F5136" w:rsidRPr="00E5148F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spacing w:val="-1"/>
                <w:lang w:val="hu-HU"/>
              </w:rPr>
              <w:t>9</w:t>
            </w:r>
            <w:r w:rsidRPr="00E5148F">
              <w:rPr>
                <w:rFonts w:ascii="Times New Roman" w:hAnsi="Times New Roman" w:cs="Times New Roman"/>
                <w:lang w:val="hu-HU"/>
              </w:rPr>
              <w:t>%, 18</w:t>
            </w:r>
            <w:r w:rsidR="005F5136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5%]</w:t>
            </w:r>
          </w:p>
        </w:tc>
      </w:tr>
      <w:tr w:rsidR="00A5042E" w:rsidRPr="00C17333" w14:paraId="278D2052" w14:textId="77777777" w:rsidTr="006F1D92">
        <w:trPr>
          <w:gridAfter w:val="1"/>
          <w:wAfter w:w="1525" w:type="dxa"/>
          <w:trHeight w:hRule="exact" w:val="36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2EADF81" w14:textId="332E8AAA" w:rsidR="00A5042E" w:rsidRPr="00E5148F" w:rsidRDefault="00A5042E" w:rsidP="001E7AF5">
            <w:pPr>
              <w:pStyle w:val="TableParagraph"/>
              <w:tabs>
                <w:tab w:val="left" w:pos="7576"/>
              </w:tabs>
              <w:ind w:left="5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Teljes hatékonyság (teljes válaszreakció és csak enyhe hányinger)</w:t>
            </w:r>
            <w:r w:rsidRPr="00E5148F">
              <w:rPr>
                <w:rFonts w:ascii="Times New Roman" w:hAnsi="Times New Roman" w:cs="Times New Roman"/>
                <w:b/>
                <w:spacing w:val="-2"/>
                <w:lang w:val="hu-HU"/>
              </w:rPr>
              <w:tab/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>p-érték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</w:p>
        </w:tc>
      </w:tr>
      <w:tr w:rsidR="00A5042E" w:rsidRPr="00C17333" w14:paraId="7C014F30" w14:textId="77777777" w:rsidTr="006F1D92">
        <w:trPr>
          <w:gridAfter w:val="1"/>
          <w:wAfter w:w="1525" w:type="dxa"/>
          <w:trHeight w:hRule="exact" w:val="357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C1DB610" w14:textId="730A8B2E" w:rsidR="00A5042E" w:rsidRPr="00E5148F" w:rsidRDefault="00A5042E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ADE8091" w14:textId="33D8F85B" w:rsidR="00A5042E" w:rsidRPr="00E5148F" w:rsidRDefault="00A5042E" w:rsidP="001E7AF5">
            <w:pPr>
              <w:pStyle w:val="TableParagraph"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56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4F72526" w14:textId="1DD4035E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51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6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85900EB" w14:textId="349780A2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9</w:t>
            </w:r>
          </w:p>
        </w:tc>
        <w:tc>
          <w:tcPr>
            <w:tcW w:w="191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7984F03D" w14:textId="09D1EE2B" w:rsidR="00A5042E" w:rsidRPr="00E5148F" w:rsidRDefault="00222D4D" w:rsidP="001E7AF5">
            <w:pPr>
              <w:pStyle w:val="TableParagraph"/>
              <w:ind w:left="2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A5042E" w:rsidRPr="00C17333" w14:paraId="37A667DA" w14:textId="77777777" w:rsidTr="006F1D92">
        <w:trPr>
          <w:gridAfter w:val="1"/>
          <w:wAfter w:w="1525" w:type="dxa"/>
          <w:trHeight w:hRule="exact" w:val="358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5947EE87" w14:textId="0DBCA432" w:rsidR="00A5042E" w:rsidRPr="00E5148F" w:rsidRDefault="00A5042E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3796A841" w14:textId="7A0BBA91" w:rsidR="00A5042E" w:rsidRPr="00E5148F" w:rsidRDefault="00A5042E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40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29C19F14" w14:textId="69CDA60A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35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009777" w14:textId="380AB89D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25BF5180" w14:textId="1B8A5DFF" w:rsidR="00A5042E" w:rsidRPr="00E5148F" w:rsidRDefault="00222D4D" w:rsidP="001E7AF5">
            <w:pPr>
              <w:pStyle w:val="TableParagraph"/>
              <w:ind w:left="2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A5042E" w:rsidRPr="00C17333" w14:paraId="1A09F1D0" w14:textId="77777777" w:rsidTr="006F1D92">
        <w:trPr>
          <w:gridAfter w:val="1"/>
          <w:wAfter w:w="1525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5EAF38F" w14:textId="4919BD38" w:rsidR="00A5042E" w:rsidRPr="00E5148F" w:rsidRDefault="00A5042E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18E74DE" w14:textId="4A39AAA2" w:rsidR="00A5042E" w:rsidRPr="00E5148F" w:rsidRDefault="00A5042E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37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12619CC" w14:textId="4E26AADD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29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DB8AD4E" w14:textId="48E76376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0DD6F77" w14:textId="7575E27E" w:rsidR="00A5042E" w:rsidRPr="00E5148F" w:rsidRDefault="00222D4D" w:rsidP="001E7AF5">
            <w:pPr>
              <w:pStyle w:val="TableParagraph"/>
              <w:ind w:left="2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A5042E" w:rsidRPr="000666BF" w14:paraId="16F5B4BC" w14:textId="77777777" w:rsidTr="006F1D92">
        <w:trPr>
          <w:gridAfter w:val="1"/>
          <w:wAfter w:w="1525" w:type="dxa"/>
          <w:trHeight w:hRule="exact" w:val="370"/>
        </w:trPr>
        <w:tc>
          <w:tcPr>
            <w:tcW w:w="8859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A8E7A47" w14:textId="389D5CDC" w:rsidR="00A5042E" w:rsidRPr="00E5148F" w:rsidRDefault="00A5042E" w:rsidP="001E7AF5">
            <w:pPr>
              <w:pStyle w:val="TableParagraph"/>
              <w:tabs>
                <w:tab w:val="left" w:pos="7576"/>
              </w:tabs>
              <w:ind w:left="55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b/>
                <w:lang w:val="hu-HU"/>
              </w:rPr>
              <w:t>Nem lépett fel hányinger (Likert-skála)</w:t>
            </w:r>
            <w:r w:rsidRPr="00E5148F">
              <w:rPr>
                <w:rFonts w:ascii="Times New Roman" w:hAnsi="Times New Roman" w:cs="Times New Roman"/>
                <w:b/>
                <w:spacing w:val="-1"/>
                <w:lang w:val="hu-HU"/>
              </w:rPr>
              <w:tab/>
              <w:t>p-érték</w:t>
            </w:r>
            <w:r w:rsidRPr="00E5148F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</w:p>
        </w:tc>
      </w:tr>
      <w:tr w:rsidR="00A5042E" w:rsidRPr="00C17333" w14:paraId="0636D7D7" w14:textId="77777777" w:rsidTr="006F1D92">
        <w:trPr>
          <w:gridAfter w:val="1"/>
          <w:wAfter w:w="1525" w:type="dxa"/>
          <w:trHeight w:hRule="exact" w:val="366"/>
        </w:trPr>
        <w:tc>
          <w:tcPr>
            <w:tcW w:w="163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B2359F3" w14:textId="789A653D" w:rsidR="00A5042E" w:rsidRPr="00E5148F" w:rsidRDefault="00A5042E" w:rsidP="001E7AF5">
            <w:pPr>
              <w:pStyle w:val="TableParagraph"/>
              <w:ind w:left="227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24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63EAE52" w14:textId="3216A40C" w:rsidR="00A5042E" w:rsidRPr="00E5148F" w:rsidRDefault="00A5042E" w:rsidP="001E7AF5">
            <w:pPr>
              <w:pStyle w:val="TableParagraph"/>
              <w:ind w:right="12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53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204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DB2611E" w14:textId="37D69394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49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1314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F44BA3A" w14:textId="1A3312B0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91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3AA92680" w14:textId="47BBE4C1" w:rsidR="00A5042E" w:rsidRPr="00E5148F" w:rsidRDefault="00222D4D" w:rsidP="001E7AF5">
            <w:pPr>
              <w:pStyle w:val="TableParagraph"/>
              <w:ind w:left="2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A5042E" w:rsidRPr="00C17333" w14:paraId="78825CFD" w14:textId="77777777" w:rsidTr="006F1D92">
        <w:trPr>
          <w:gridAfter w:val="1"/>
          <w:wAfter w:w="1525" w:type="dxa"/>
          <w:trHeight w:hRule="exact" w:val="36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010316B2" w14:textId="533EF4CC" w:rsidR="00A5042E" w:rsidRPr="00E5148F" w:rsidRDefault="00A5042E" w:rsidP="001E7AF5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24 – 120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14:paraId="6E8A57FE" w14:textId="58D88A2D" w:rsidR="00A5042E" w:rsidRPr="00E5148F" w:rsidRDefault="00A5042E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35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4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14:paraId="4C5EA75B" w14:textId="56132746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32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472BA4" w14:textId="0D2117C6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3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53622DC2" w14:textId="440A196C" w:rsidR="00A5042E" w:rsidRPr="00E5148F" w:rsidRDefault="00222D4D" w:rsidP="001E7AF5">
            <w:pPr>
              <w:pStyle w:val="TableParagraph"/>
              <w:ind w:left="2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  <w:tr w:rsidR="00A5042E" w:rsidRPr="00C17333" w14:paraId="52D45C92" w14:textId="77777777" w:rsidTr="006F1D92">
        <w:trPr>
          <w:gridAfter w:val="1"/>
          <w:wAfter w:w="1525" w:type="dxa"/>
          <w:trHeight w:hRule="exact" w:val="366"/>
        </w:trPr>
        <w:tc>
          <w:tcPr>
            <w:tcW w:w="1631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C365D3B" w14:textId="36F93B4A" w:rsidR="00A5042E" w:rsidRPr="00E5148F" w:rsidRDefault="00A5042E" w:rsidP="001E7AF5">
            <w:pPr>
              <w:pStyle w:val="TableParagraph"/>
              <w:ind w:left="172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eastAsia="Times New Roman" w:hAnsi="Times New Roman" w:cs="Times New Roman"/>
                <w:lang w:val="hu-HU"/>
              </w:rPr>
              <w:t xml:space="preserve">0 – 120 </w:t>
            </w:r>
            <w:r w:rsidR="001359E0" w:rsidRPr="00E5148F">
              <w:rPr>
                <w:rFonts w:ascii="Times New Roman" w:eastAsia="Times New Roman" w:hAnsi="Times New Roman" w:cs="Times New Roman"/>
                <w:spacing w:val="-1"/>
                <w:lang w:val="hu-HU"/>
              </w:rPr>
              <w:t>óra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0CA37C13" w14:textId="12644E7E" w:rsidR="00A5042E" w:rsidRPr="00E5148F" w:rsidRDefault="00A5042E" w:rsidP="001E7AF5">
            <w:pPr>
              <w:pStyle w:val="TableParagraph"/>
              <w:ind w:right="12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33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6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6DB9DFF" w14:textId="07E04232" w:rsidR="00A5042E" w:rsidRPr="00E5148F" w:rsidRDefault="00A5042E" w:rsidP="001E7AF5">
            <w:pPr>
              <w:pStyle w:val="TableParagraph"/>
              <w:ind w:right="15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32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2492935" w14:textId="2D23EBA0" w:rsidR="00A5042E" w:rsidRPr="00E5148F" w:rsidRDefault="00A5042E" w:rsidP="001E7AF5">
            <w:pPr>
              <w:pStyle w:val="TableParagraph"/>
              <w:ind w:left="13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lang w:val="hu-HU"/>
              </w:rPr>
              <w:t>1</w:t>
            </w:r>
            <w:r w:rsidR="00222D4D" w:rsidRPr="00E5148F">
              <w:rPr>
                <w:rFonts w:ascii="Times New Roman" w:hAnsi="Times New Roman" w:cs="Times New Roman"/>
                <w:lang w:val="hu-HU"/>
              </w:rPr>
              <w:t>,</w:t>
            </w:r>
            <w:r w:rsidRPr="00E5148F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BBED3E9" w14:textId="6ED56F70" w:rsidR="00A5042E" w:rsidRPr="00E5148F" w:rsidRDefault="00222D4D" w:rsidP="001E7AF5">
            <w:pPr>
              <w:pStyle w:val="TableParagraph"/>
              <w:ind w:left="2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E5148F">
              <w:rPr>
                <w:rFonts w:ascii="Times New Roman" w:hAnsi="Times New Roman" w:cs="Times New Roman"/>
                <w:spacing w:val="-2"/>
                <w:lang w:val="hu-HU"/>
              </w:rPr>
              <w:t>nem szignifikáns</w:t>
            </w:r>
          </w:p>
        </w:tc>
      </w:tr>
    </w:tbl>
    <w:p w14:paraId="37F03F75" w14:textId="77777777" w:rsidR="00A5042E" w:rsidRPr="00E5148F" w:rsidRDefault="00A5042E" w:rsidP="001E7AF5">
      <w:pPr>
        <w:rPr>
          <w:sz w:val="22"/>
          <w:szCs w:val="22"/>
          <w:lang w:val="hu-HU"/>
        </w:rPr>
      </w:pPr>
    </w:p>
    <w:p w14:paraId="16BF2CFE" w14:textId="77777777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a</w:t>
      </w:r>
      <w:r w:rsidRPr="00E5148F">
        <w:rPr>
          <w:sz w:val="22"/>
          <w:szCs w:val="22"/>
          <w:lang w:val="hu-HU"/>
        </w:rPr>
        <w:t xml:space="preserve"> A kezelni szándékozott (</w:t>
      </w:r>
      <w:r w:rsidRPr="00E5148F">
        <w:rPr>
          <w:i/>
          <w:sz w:val="22"/>
          <w:szCs w:val="22"/>
          <w:lang w:val="hu-HU"/>
        </w:rPr>
        <w:t>intent-to-treat</w:t>
      </w:r>
      <w:r w:rsidRPr="00E5148F">
        <w:rPr>
          <w:sz w:val="22"/>
          <w:szCs w:val="22"/>
          <w:lang w:val="hu-HU"/>
        </w:rPr>
        <w:t xml:space="preserve">) kohort </w:t>
      </w:r>
    </w:p>
    <w:p w14:paraId="3F2DDCAC" w14:textId="79EAAF06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b</w:t>
      </w:r>
      <w:r w:rsidRPr="00E5148F">
        <w:rPr>
          <w:sz w:val="22"/>
          <w:szCs w:val="22"/>
          <w:lang w:val="hu-HU"/>
        </w:rPr>
        <w:t xml:space="preserve"> A vizsgálat célja annak kimutatása volt, hogy a </w:t>
      </w:r>
      <w:r w:rsidR="00310465" w:rsidRPr="00E5148F">
        <w:rPr>
          <w:sz w:val="22"/>
          <w:szCs w:val="22"/>
          <w:lang w:val="hu-HU"/>
        </w:rPr>
        <w:t xml:space="preserve">vizsgált </w:t>
      </w:r>
      <w:r w:rsidRPr="00E5148F">
        <w:rPr>
          <w:sz w:val="22"/>
          <w:szCs w:val="22"/>
          <w:lang w:val="hu-HU"/>
        </w:rPr>
        <w:t xml:space="preserve">szer nem kevésbé </w:t>
      </w:r>
      <w:r w:rsidR="00310465" w:rsidRPr="00E5148F">
        <w:rPr>
          <w:sz w:val="22"/>
          <w:szCs w:val="22"/>
          <w:lang w:val="hu-HU"/>
        </w:rPr>
        <w:t>h</w:t>
      </w:r>
      <w:r w:rsidR="00407D09" w:rsidRPr="00E5148F">
        <w:rPr>
          <w:sz w:val="22"/>
          <w:szCs w:val="22"/>
          <w:lang w:val="hu-HU"/>
        </w:rPr>
        <w:t>a</w:t>
      </w:r>
      <w:r w:rsidR="00310465" w:rsidRPr="00E5148F">
        <w:rPr>
          <w:sz w:val="22"/>
          <w:szCs w:val="22"/>
          <w:lang w:val="hu-HU"/>
        </w:rPr>
        <w:t xml:space="preserve">tásos </w:t>
      </w:r>
      <w:r w:rsidRPr="00E5148F">
        <w:rPr>
          <w:sz w:val="22"/>
          <w:szCs w:val="22"/>
          <w:lang w:val="hu-HU"/>
        </w:rPr>
        <w:t>(</w:t>
      </w:r>
      <w:r w:rsidRPr="00E5148F">
        <w:rPr>
          <w:i/>
          <w:sz w:val="22"/>
          <w:szCs w:val="22"/>
          <w:lang w:val="hu-HU"/>
        </w:rPr>
        <w:t>non-inferiority</w:t>
      </w:r>
      <w:r w:rsidRPr="00E5148F">
        <w:rPr>
          <w:sz w:val="22"/>
          <w:szCs w:val="22"/>
          <w:lang w:val="hu-HU"/>
        </w:rPr>
        <w:t xml:space="preserve">). A –15%-ot meghaladó alsó határérték igazolja, hogy a </w:t>
      </w:r>
      <w:r w:rsidR="00310465" w:rsidRPr="00E5148F">
        <w:rPr>
          <w:sz w:val="22"/>
          <w:szCs w:val="22"/>
          <w:lang w:val="hu-HU"/>
        </w:rPr>
        <w:t>palono</w:t>
      </w:r>
      <w:r w:rsidR="0026165F" w:rsidRPr="00E5148F">
        <w:rPr>
          <w:sz w:val="22"/>
          <w:szCs w:val="22"/>
          <w:lang w:val="hu-HU"/>
        </w:rPr>
        <w:t>s</w:t>
      </w:r>
      <w:r w:rsidR="00310465" w:rsidRPr="00E5148F">
        <w:rPr>
          <w:sz w:val="22"/>
          <w:szCs w:val="22"/>
          <w:lang w:val="hu-HU"/>
        </w:rPr>
        <w:t xml:space="preserve">zetron </w:t>
      </w:r>
      <w:r w:rsidRPr="00E5148F">
        <w:rPr>
          <w:sz w:val="22"/>
          <w:szCs w:val="22"/>
          <w:lang w:val="hu-HU"/>
        </w:rPr>
        <w:t xml:space="preserve">nem kevésbé </w:t>
      </w:r>
      <w:r w:rsidR="00310465" w:rsidRPr="00E5148F">
        <w:rPr>
          <w:sz w:val="22"/>
          <w:szCs w:val="22"/>
          <w:lang w:val="hu-HU"/>
        </w:rPr>
        <w:t xml:space="preserve">hatásos </w:t>
      </w:r>
      <w:r w:rsidRPr="00E5148F">
        <w:rPr>
          <w:sz w:val="22"/>
          <w:szCs w:val="22"/>
          <w:lang w:val="hu-HU"/>
        </w:rPr>
        <w:t xml:space="preserve">az összehasonlítási alapul szolgáló szernél. </w:t>
      </w:r>
    </w:p>
    <w:p w14:paraId="5D778880" w14:textId="50FE286B" w:rsidR="00A5042E" w:rsidRPr="00E5148F" w:rsidRDefault="0087639B" w:rsidP="001E7AF5">
      <w:pPr>
        <w:rPr>
          <w:b/>
          <w:sz w:val="22"/>
          <w:szCs w:val="22"/>
          <w:lang w:val="hu-HU"/>
        </w:rPr>
      </w:pPr>
      <w:r w:rsidRPr="00E5148F">
        <w:rPr>
          <w:sz w:val="22"/>
          <w:szCs w:val="22"/>
          <w:vertAlign w:val="superscript"/>
          <w:lang w:val="hu-HU"/>
        </w:rPr>
        <w:t>c</w:t>
      </w:r>
      <w:r w:rsidRPr="00E5148F">
        <w:rPr>
          <w:sz w:val="22"/>
          <w:szCs w:val="22"/>
          <w:lang w:val="hu-HU"/>
        </w:rPr>
        <w:t xml:space="preserve"> Khi-négyzet próba. Szignifikanciaszint α</w:t>
      </w:r>
      <w:r w:rsidR="0059472B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=</w:t>
      </w:r>
      <w:r w:rsidR="0059472B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0,05.</w:t>
      </w:r>
    </w:p>
    <w:p w14:paraId="5430E89E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37207D9E" w14:textId="0CDAF17F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vérnyomásra, pulzus</w:t>
      </w:r>
      <w:r w:rsidR="00310465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zámra, valamint EKG-paraméterekre, köztük a QTc-intervallumra gyakorolt hatásai hasonlóak, mint az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zetroné és a dolazetroné a CINV klinikai vizsgálatban.</w:t>
      </w:r>
      <w:r w:rsidR="00812E40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Nem klinikai vizsgálatokban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képes blokkol</w:t>
      </w:r>
      <w:r w:rsidR="00C270AB" w:rsidRPr="00E5148F">
        <w:rPr>
          <w:sz w:val="22"/>
          <w:szCs w:val="22"/>
          <w:lang w:val="hu-HU"/>
        </w:rPr>
        <w:t>ni</w:t>
      </w:r>
      <w:r w:rsidRPr="00E5148F">
        <w:rPr>
          <w:sz w:val="22"/>
          <w:szCs w:val="22"/>
          <w:lang w:val="hu-HU"/>
        </w:rPr>
        <w:t xml:space="preserve"> a kamrai depolarizációban </w:t>
      </w:r>
      <w:r w:rsidRPr="00E5148F">
        <w:rPr>
          <w:sz w:val="22"/>
          <w:szCs w:val="22"/>
          <w:lang w:val="hu-HU"/>
        </w:rPr>
        <w:lastRenderedPageBreak/>
        <w:t>és repolarizác</w:t>
      </w:r>
      <w:r w:rsidR="00CD7145" w:rsidRPr="00E5148F">
        <w:rPr>
          <w:sz w:val="22"/>
          <w:szCs w:val="22"/>
          <w:lang w:val="hu-HU"/>
        </w:rPr>
        <w:t>i</w:t>
      </w:r>
      <w:r w:rsidRPr="00E5148F">
        <w:rPr>
          <w:sz w:val="22"/>
          <w:szCs w:val="22"/>
          <w:lang w:val="hu-HU"/>
        </w:rPr>
        <w:t xml:space="preserve">óban szerepet játszó ioncsatornákat, valamint </w:t>
      </w:r>
      <w:r w:rsidR="00CD7145" w:rsidRPr="00E5148F">
        <w:rPr>
          <w:sz w:val="22"/>
          <w:szCs w:val="22"/>
          <w:lang w:val="hu-HU"/>
        </w:rPr>
        <w:t xml:space="preserve">képes </w:t>
      </w:r>
      <w:r w:rsidRPr="00E5148F">
        <w:rPr>
          <w:sz w:val="22"/>
          <w:szCs w:val="22"/>
          <w:lang w:val="hu-HU"/>
        </w:rPr>
        <w:t>növel</w:t>
      </w:r>
      <w:r w:rsidR="00CD7145" w:rsidRPr="00E5148F">
        <w:rPr>
          <w:sz w:val="22"/>
          <w:szCs w:val="22"/>
          <w:lang w:val="hu-HU"/>
        </w:rPr>
        <w:t>n</w:t>
      </w:r>
      <w:r w:rsidR="00C270AB" w:rsidRPr="00E5148F">
        <w:rPr>
          <w:sz w:val="22"/>
          <w:szCs w:val="22"/>
          <w:lang w:val="hu-HU"/>
        </w:rPr>
        <w:t>i</w:t>
      </w:r>
      <w:r w:rsidRPr="00E5148F">
        <w:rPr>
          <w:sz w:val="22"/>
          <w:szCs w:val="22"/>
          <w:lang w:val="hu-HU"/>
        </w:rPr>
        <w:t xml:space="preserve"> az</w:t>
      </w:r>
      <w:r w:rsidR="00812E40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akciós potenciál időtartamát.</w:t>
      </w:r>
    </w:p>
    <w:p w14:paraId="68D944D3" w14:textId="7E0ACA04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palonozteron QTc-intervallumra gyakorolt hatását egy kettős</w:t>
      </w:r>
      <w:r w:rsidR="00866424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vak, randomizált, párhuzamos csoportú, placebo- és pozitív-kontrollos (moxifloxacin), felnőtt nők és férfiak körében végzett</w:t>
      </w:r>
      <w:r w:rsidR="00866424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 xml:space="preserve">vizsgálat során értékelték. Az volt a cél, hogy 221 egészséges önkéntesnél értékeljék az </w:t>
      </w:r>
      <w:r w:rsidR="00094E32" w:rsidRPr="00E5148F">
        <w:rPr>
          <w:sz w:val="22"/>
          <w:szCs w:val="22"/>
          <w:lang w:val="hu-HU"/>
        </w:rPr>
        <w:t xml:space="preserve">egyszeri </w:t>
      </w:r>
      <w:r w:rsidRPr="00E5148F">
        <w:rPr>
          <w:sz w:val="22"/>
          <w:szCs w:val="22"/>
          <w:lang w:val="hu-HU"/>
        </w:rPr>
        <w:t>0,25;</w:t>
      </w:r>
      <w:r w:rsidR="00866424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0,75 és 2,25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mg-os dózisban, intravénásan adott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EKG-görbére gyakorolt hatásait. A</w:t>
      </w:r>
      <w:r w:rsidR="00866424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vizsgálat igazolta, hogy a készítmény legfeljebb 2,25</w:t>
      </w:r>
      <w:r w:rsidR="00602F2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mg-os dózisig nincs hatással sem a QT/QTc-, sem egyéb EKG-intervallum időtartamára. A pulzusszámra, a pitvar-kamrai (AV) átvezetésre és a szív repolarizációjára gyakorolt, klinikailag jelentős hatást nem észleltek.</w:t>
      </w:r>
    </w:p>
    <w:p w14:paraId="72325074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0F45715F" w14:textId="553E1767" w:rsidR="0050030B" w:rsidRPr="00E5148F" w:rsidRDefault="00797782" w:rsidP="00E5148F">
      <w:pPr>
        <w:keepNext/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u w:val="single" w:color="000000"/>
          <w:lang w:val="hu-HU"/>
        </w:rPr>
        <w:t>Gyermekek</w:t>
      </w:r>
      <w:r w:rsidR="003A2FDD" w:rsidRPr="00E5148F">
        <w:rPr>
          <w:i/>
          <w:sz w:val="22"/>
          <w:szCs w:val="22"/>
          <w:u w:val="single" w:color="000000"/>
          <w:lang w:val="hu-HU"/>
        </w:rPr>
        <w:t xml:space="preserve"> és serdülők</w:t>
      </w:r>
    </w:p>
    <w:p w14:paraId="06E0AB22" w14:textId="12517784" w:rsidR="0050030B" w:rsidRPr="00E5148F" w:rsidRDefault="00797782" w:rsidP="00E5148F">
      <w:pPr>
        <w:keepNext/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Kemoterápia-indukált hányinger és hányás (</w:t>
      </w:r>
      <w:r w:rsidRPr="00E5148F">
        <w:rPr>
          <w:i/>
          <w:sz w:val="22"/>
          <w:szCs w:val="22"/>
          <w:u w:val="single" w:color="000000"/>
          <w:lang w:val="hu-HU"/>
        </w:rPr>
        <w:t>Chemotherapy Induced Nausea and Vomiting</w:t>
      </w:r>
      <w:r w:rsidRPr="00E5148F">
        <w:rPr>
          <w:sz w:val="22"/>
          <w:szCs w:val="22"/>
          <w:u w:val="single" w:color="000000"/>
          <w:lang w:val="hu-HU"/>
        </w:rPr>
        <w:t xml:space="preserve"> – CINV)</w:t>
      </w:r>
      <w:r w:rsidR="00986C69" w:rsidRPr="00E5148F">
        <w:rPr>
          <w:sz w:val="22"/>
          <w:szCs w:val="22"/>
          <w:u w:val="single" w:color="000000"/>
          <w:lang w:val="hu-HU"/>
        </w:rPr>
        <w:t xml:space="preserve"> </w:t>
      </w:r>
      <w:r w:rsidRPr="00E5148F">
        <w:rPr>
          <w:sz w:val="22"/>
          <w:szCs w:val="22"/>
          <w:u w:val="single" w:color="000000"/>
          <w:lang w:val="hu-HU"/>
        </w:rPr>
        <w:t>megelőzése</w:t>
      </w:r>
      <w:r w:rsidRPr="00E5148F">
        <w:rPr>
          <w:sz w:val="22"/>
          <w:szCs w:val="22"/>
          <w:u w:color="000000"/>
          <w:lang w:val="hu-HU"/>
        </w:rPr>
        <w:t>:</w:t>
      </w:r>
    </w:p>
    <w:p w14:paraId="5D1AD152" w14:textId="707871F2" w:rsidR="0087639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egyszeri, 3</w:t>
      </w:r>
      <w:r w:rsidR="00DB58CD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µg/kg-os és 10</w:t>
      </w:r>
      <w:r w:rsidR="00DB58CD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µg/kg-os iv. adagjainak biztonságosságát és hatásosságát az első klinikai vizsgálatban értékelték, amelybe 72, erősen vagy közepesen emetogén kemoterápiában részesülő beteget vontak be a következő korcsoportokból: &gt;28</w:t>
      </w:r>
      <w:r w:rsidR="00F6122C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nap</w:t>
      </w:r>
      <w:r w:rsidR="00DB58CD" w:rsidRPr="00E5148F">
        <w:rPr>
          <w:sz w:val="22"/>
          <w:szCs w:val="22"/>
          <w:lang w:val="hu-HU"/>
        </w:rPr>
        <w:t> </w:t>
      </w:r>
      <w:r w:rsidR="00F6122C" w:rsidRPr="00E5148F">
        <w:rPr>
          <w:sz w:val="22"/>
          <w:szCs w:val="22"/>
          <w:lang w:val="hu-HU"/>
        </w:rPr>
        <w:t>– </w:t>
      </w:r>
      <w:r w:rsidRPr="00E5148F">
        <w:rPr>
          <w:sz w:val="22"/>
          <w:szCs w:val="22"/>
          <w:lang w:val="hu-HU"/>
        </w:rPr>
        <w:t>23</w:t>
      </w:r>
      <w:r w:rsidR="00F6122C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hónap (12</w:t>
      </w:r>
      <w:r w:rsidR="00F6122C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beteg), 2</w:t>
      </w:r>
      <w:r w:rsidR="00F6122C" w:rsidRPr="00E5148F">
        <w:rPr>
          <w:sz w:val="22"/>
          <w:szCs w:val="22"/>
          <w:lang w:val="hu-HU"/>
        </w:rPr>
        <w:t> – </w:t>
      </w:r>
      <w:r w:rsidRPr="00E5148F">
        <w:rPr>
          <w:sz w:val="22"/>
          <w:szCs w:val="22"/>
          <w:lang w:val="hu-HU"/>
        </w:rPr>
        <w:t>11</w:t>
      </w:r>
      <w:r w:rsidR="00F6122C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év</w:t>
      </w:r>
      <w:r w:rsidR="00986C69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(31</w:t>
      </w:r>
      <w:r w:rsidR="00986C69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beteg) és 12</w:t>
      </w:r>
      <w:r w:rsidR="00F6122C" w:rsidRPr="00E5148F">
        <w:rPr>
          <w:sz w:val="22"/>
          <w:szCs w:val="22"/>
          <w:lang w:val="hu-HU"/>
        </w:rPr>
        <w:t> – </w:t>
      </w:r>
      <w:r w:rsidRPr="00E5148F">
        <w:rPr>
          <w:sz w:val="22"/>
          <w:szCs w:val="22"/>
          <w:lang w:val="hu-HU"/>
        </w:rPr>
        <w:t>17 év (29</w:t>
      </w:r>
      <w:r w:rsidR="00F6122C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beteg). A dózisszintek egyikével kapcsolatban sem merült fel biztonságossági aggály. Az elsődleges hatásossági változó a kemoterápia beadásának megkezdésétől</w:t>
      </w:r>
      <w:r w:rsidR="00986C69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számított első 24</w:t>
      </w:r>
      <w:r w:rsidR="00D855B7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órában teljes választ (</w:t>
      </w:r>
      <w:r w:rsidRPr="00E5148F">
        <w:rPr>
          <w:i/>
          <w:sz w:val="22"/>
          <w:szCs w:val="22"/>
          <w:lang w:val="hu-HU"/>
        </w:rPr>
        <w:t>complete response</w:t>
      </w:r>
      <w:r w:rsidRPr="00E5148F">
        <w:rPr>
          <w:sz w:val="22"/>
          <w:szCs w:val="22"/>
          <w:lang w:val="hu-HU"/>
        </w:rPr>
        <w:t xml:space="preserve"> – CR: a definíció szerint nincs hányás, és</w:t>
      </w:r>
      <w:r w:rsidR="00986C69" w:rsidRPr="00E5148F">
        <w:rPr>
          <w:sz w:val="22"/>
          <w:szCs w:val="22"/>
          <w:lang w:val="hu-HU"/>
        </w:rPr>
        <w:t xml:space="preserve"> </w:t>
      </w:r>
      <w:r w:rsidR="00A932FA" w:rsidRPr="00E5148F">
        <w:rPr>
          <w:sz w:val="22"/>
          <w:szCs w:val="22"/>
          <w:lang w:val="hu-HU"/>
        </w:rPr>
        <w:t xml:space="preserve">mentő </w:t>
      </w:r>
      <w:r w:rsidR="0087639B" w:rsidRPr="00E5148F">
        <w:rPr>
          <w:sz w:val="22"/>
          <w:szCs w:val="22"/>
          <w:lang w:val="hu-HU"/>
        </w:rPr>
        <w:t>gyógyszer adása nem szükséges) mutató betegek aránya volt. A palono</w:t>
      </w:r>
      <w:r w:rsidR="0026165F" w:rsidRPr="00E5148F">
        <w:rPr>
          <w:sz w:val="22"/>
          <w:szCs w:val="22"/>
          <w:lang w:val="hu-HU"/>
        </w:rPr>
        <w:t>s</w:t>
      </w:r>
      <w:r w:rsidR="0087639B" w:rsidRPr="00E5148F">
        <w:rPr>
          <w:sz w:val="22"/>
          <w:szCs w:val="22"/>
          <w:lang w:val="hu-HU"/>
        </w:rPr>
        <w:t>zetron 10</w:t>
      </w:r>
      <w:r w:rsidR="005A07AE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µg/kg-os adagjának hatásossága 54,1% volt, a 3</w:t>
      </w:r>
      <w:r w:rsidR="00302756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µg/kg-os adag 37,1%-os hatásosságához képest.</w:t>
      </w:r>
    </w:p>
    <w:p w14:paraId="68DD2C80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50B8B16D" w14:textId="151CC82A" w:rsidR="0087639B" w:rsidRPr="00E5148F" w:rsidRDefault="0087639B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Gyermekkorú rákos betegek esetében </w:t>
      </w:r>
      <w:r w:rsidR="00970DF6" w:rsidRPr="00E5148F">
        <w:rPr>
          <w:sz w:val="22"/>
          <w:szCs w:val="22"/>
          <w:lang w:val="hu-HU"/>
        </w:rPr>
        <w:t>a Palonosetron</w:t>
      </w:r>
      <w:r w:rsidRPr="00E5148F">
        <w:rPr>
          <w:sz w:val="22"/>
          <w:szCs w:val="22"/>
          <w:lang w:val="hu-HU"/>
        </w:rPr>
        <w:t xml:space="preserve"> Onkogen hatásosságát kemoterápia által előidézett hányinger és hányás megelőzésében egy második, non-inferioritási pivotális vizsgálatban igazolták, melynek során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egyszeri intravénás infúzióját hasonlították össze </w:t>
      </w:r>
      <w:r w:rsidR="006D20A4" w:rsidRPr="00E5148F">
        <w:rPr>
          <w:sz w:val="22"/>
          <w:szCs w:val="22"/>
          <w:lang w:val="hu-HU"/>
        </w:rPr>
        <w:t xml:space="preserve">egy </w:t>
      </w:r>
      <w:r w:rsidRPr="00E5148F">
        <w:rPr>
          <w:sz w:val="22"/>
          <w:szCs w:val="22"/>
          <w:lang w:val="hu-HU"/>
        </w:rPr>
        <w:t>iv.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kezelési renddel. Összesen 493, 64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nap és 16,9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év közötti életkorú, közepesen (69,2%) vagy erősen (30,8%) emetogén kemoterápiában részesülő gyermeket kezeltek az 1. ciklus során, az emetogén kemoterápia megkezdése előtt 30 perccel adott 10</w:t>
      </w:r>
      <w:r w:rsidR="000401A7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 (maximum 0,75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mg)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zetronnal, 20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 (maximum 1,5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mg)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zetronnal vagy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zetronnal (3</w:t>
      </w:r>
      <w:r w:rsidR="00FA67A0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×</w:t>
      </w:r>
      <w:r w:rsidR="00FA67A0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0,15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mg/kg, maximális összdózis:</w:t>
      </w:r>
      <w:r w:rsidR="00986C69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32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mg). Mindegyik kezelési csoportban olyan betegek voltak többségben (78,5%), akik korábban már részesültek kemoterápiában. Az alkalmazott emetogén kemoterápiák a doxorubicint, ciklofoszfamidot (&lt;1500</w:t>
      </w:r>
      <w:r w:rsidR="00302756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mg/m</w:t>
      </w:r>
      <w:r w:rsidRPr="00E5148F">
        <w:rPr>
          <w:sz w:val="22"/>
          <w:szCs w:val="22"/>
          <w:vertAlign w:val="superscript"/>
          <w:lang w:val="hu-HU"/>
        </w:rPr>
        <w:t>2</w:t>
      </w:r>
      <w:r w:rsidRPr="00E5148F">
        <w:rPr>
          <w:sz w:val="22"/>
          <w:szCs w:val="22"/>
          <w:lang w:val="hu-HU"/>
        </w:rPr>
        <w:t xml:space="preserve">), ifoszfamidot, ciszplatint, daktinomicint, karboplatint és daunorubicint foglalták magukba. A betegek 55%-ánál adjuváns kortikoszteroidokat, köztük dexametazont adtak a kemoterápia mellé. Az elsődleges hatásossági végpont a kemoterápia első ciklusának akut fázisában tapasztalható teljes válasz volt, amely definíció szerint </w:t>
      </w:r>
      <w:r w:rsidR="00821C19" w:rsidRPr="00E5148F">
        <w:rPr>
          <w:sz w:val="22"/>
          <w:szCs w:val="22"/>
          <w:lang w:val="hu-HU"/>
        </w:rPr>
        <w:t>a hányás</w:t>
      </w:r>
      <w:r w:rsidR="00F12B35" w:rsidRPr="00E5148F">
        <w:rPr>
          <w:sz w:val="22"/>
          <w:szCs w:val="22"/>
          <w:lang w:val="hu-HU"/>
        </w:rPr>
        <w:t xml:space="preserve"> és az öklendezés</w:t>
      </w:r>
      <w:r w:rsidR="00821C19" w:rsidRPr="00E5148F">
        <w:rPr>
          <w:sz w:val="22"/>
          <w:szCs w:val="22"/>
          <w:lang w:val="hu-HU"/>
        </w:rPr>
        <w:t xml:space="preserve"> elmaradását</w:t>
      </w:r>
      <w:r w:rsidRPr="00E5148F">
        <w:rPr>
          <w:sz w:val="22"/>
          <w:szCs w:val="22"/>
          <w:lang w:val="hu-HU"/>
        </w:rPr>
        <w:t xml:space="preserve"> és mentő gyógyszerek alkalmazásának mellőzését jelentette a kemoterápia megkezdése utáni első 24</w:t>
      </w:r>
      <w:r w:rsidR="007535D0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órában. A hatásosság az intravénás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intravénás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zetronéhoz viszonyított non-inferioritásának igazolásán alapult. A non-inferioritási kritériumok akkor teljesültek, ha az intravénás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zetron, illetve az intravénás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mellett tapasztalt teljes válasz </w:t>
      </w:r>
      <w:r w:rsidR="00991716" w:rsidRPr="00E5148F">
        <w:rPr>
          <w:sz w:val="22"/>
          <w:szCs w:val="22"/>
          <w:lang w:val="hu-HU"/>
        </w:rPr>
        <w:t>(</w:t>
      </w:r>
      <w:r w:rsidRPr="00E5148F">
        <w:rPr>
          <w:sz w:val="22"/>
          <w:szCs w:val="22"/>
          <w:lang w:val="hu-HU"/>
        </w:rPr>
        <w:t xml:space="preserve">arányok különbségére vonatkozó 97,5%-os konfidencia-intervallum alsó határa meghaladta a </w:t>
      </w:r>
      <w:r w:rsidR="006F61F3" w:rsidRPr="00E5148F">
        <w:rPr>
          <w:sz w:val="22"/>
          <w:szCs w:val="22"/>
          <w:lang w:val="hu-HU"/>
        </w:rPr>
        <w:sym w:font="Symbol" w:char="F02D"/>
      </w:r>
      <w:r w:rsidRPr="00E5148F">
        <w:rPr>
          <w:sz w:val="22"/>
          <w:szCs w:val="22"/>
          <w:lang w:val="hu-HU"/>
        </w:rPr>
        <w:t>15%-ot. A CR</w:t>
      </w:r>
      <w:r w:rsidRPr="00E5148F">
        <w:rPr>
          <w:sz w:val="22"/>
          <w:szCs w:val="22"/>
          <w:vertAlign w:val="subscript"/>
          <w:lang w:val="hu-HU"/>
        </w:rPr>
        <w:t>0-24</w:t>
      </w:r>
      <w:r w:rsidR="007535D0" w:rsidRPr="00E5148F">
        <w:rPr>
          <w:sz w:val="22"/>
          <w:szCs w:val="22"/>
          <w:vertAlign w:val="subscript"/>
          <w:lang w:val="hu-HU"/>
        </w:rPr>
        <w:t> </w:t>
      </w:r>
      <w:r w:rsidRPr="00E5148F">
        <w:rPr>
          <w:sz w:val="22"/>
          <w:szCs w:val="22"/>
          <w:vertAlign w:val="subscript"/>
          <w:lang w:val="hu-HU"/>
        </w:rPr>
        <w:t>h</w:t>
      </w:r>
      <w:r w:rsidR="00753848" w:rsidRPr="00E5148F">
        <w:rPr>
          <w:sz w:val="22"/>
          <w:szCs w:val="22"/>
          <w:lang w:val="hu-HU"/>
        </w:rPr>
        <w:t>-t mutató betegek aránya</w:t>
      </w:r>
      <w:r w:rsidRPr="00E5148F">
        <w:rPr>
          <w:sz w:val="22"/>
          <w:szCs w:val="22"/>
          <w:lang w:val="hu-HU"/>
        </w:rPr>
        <w:t xml:space="preserve"> a 10</w:t>
      </w:r>
      <w:r w:rsidR="007535D0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</w:t>
      </w:r>
      <w:r w:rsidR="007535D0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zetron-csoportban 54,2%, a 20</w:t>
      </w:r>
      <w:r w:rsidR="007535D0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zetron-csoportban 59,4%, az</w:t>
      </w:r>
      <w:r w:rsidR="007535D0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zetron-csoportban pedig 58,6% volt. Mivel a 20</w:t>
      </w:r>
      <w:r w:rsidR="007535D0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és az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</w:t>
      </w:r>
      <w:r w:rsidR="006B0685" w:rsidRPr="00E5148F">
        <w:rPr>
          <w:sz w:val="22"/>
          <w:szCs w:val="22"/>
          <w:lang w:val="hu-HU"/>
        </w:rPr>
        <w:t>CR</w:t>
      </w:r>
      <w:r w:rsidR="006B0685" w:rsidRPr="00E5148F">
        <w:rPr>
          <w:sz w:val="22"/>
          <w:szCs w:val="22"/>
          <w:vertAlign w:val="subscript"/>
          <w:lang w:val="hu-HU"/>
        </w:rPr>
        <w:t>0-24 h</w:t>
      </w:r>
      <w:r w:rsidR="006B0685" w:rsidRPr="00E5148F">
        <w:rPr>
          <w:sz w:val="22"/>
          <w:szCs w:val="22"/>
          <w:lang w:val="hu-HU"/>
        </w:rPr>
        <w:t xml:space="preserve"> értéke </w:t>
      </w:r>
      <w:r w:rsidRPr="00E5148F">
        <w:rPr>
          <w:sz w:val="22"/>
          <w:szCs w:val="22"/>
          <w:lang w:val="hu-HU"/>
        </w:rPr>
        <w:t>közötti különbség 97,5%-os konfidencia-intervalluma (rétegre korrigált Mantel-Haenszel-próba)</w:t>
      </w:r>
      <w:r w:rsidR="005633F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[</w:t>
      </w:r>
      <w:r w:rsidR="006F61F3" w:rsidRPr="00E5148F">
        <w:rPr>
          <w:sz w:val="22"/>
          <w:szCs w:val="22"/>
          <w:lang w:val="hu-HU"/>
        </w:rPr>
        <w:sym w:font="Symbol" w:char="F02D"/>
      </w:r>
      <w:r w:rsidRPr="00E5148F">
        <w:rPr>
          <w:sz w:val="22"/>
          <w:szCs w:val="22"/>
          <w:lang w:val="hu-HU"/>
        </w:rPr>
        <w:t>11,7%, 12,4%] volt, a 20</w:t>
      </w:r>
      <w:r w:rsidR="005633F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µg/kg-os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zetron-adagra vonatkozóan igazolódott az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zetronhoz</w:t>
      </w:r>
      <w:r w:rsidR="005633F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viszonyított non-inferioritiás.</w:t>
      </w:r>
    </w:p>
    <w:p w14:paraId="587B8102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1510FE79" w14:textId="40FF4E17" w:rsidR="0087639B" w:rsidRPr="00E5148F" w:rsidRDefault="0087639B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Bár ez a vizsgálat azt igazolta, hogy a gyermekkorú betegek a felnőttekhez képest nagyobb adagokat igényelnek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zetronból a kemoterápia által előidézett hányinger és hányás megelőzésére, a </w:t>
      </w:r>
      <w:r w:rsidR="00E376B9" w:rsidRPr="00E5148F">
        <w:rPr>
          <w:sz w:val="22"/>
          <w:szCs w:val="22"/>
          <w:lang w:val="hu-HU"/>
        </w:rPr>
        <w:t xml:space="preserve">biztonságossági </w:t>
      </w:r>
      <w:r w:rsidRPr="00E5148F">
        <w:rPr>
          <w:sz w:val="22"/>
          <w:szCs w:val="22"/>
          <w:lang w:val="hu-HU"/>
        </w:rPr>
        <w:t>profil ugyanakkor megfelel a felnőtteknél megállapított profilnak (lásd 4.8 pont). A farmakokinetikai adatok az 5.2 pontban vannak megadva.</w:t>
      </w:r>
    </w:p>
    <w:p w14:paraId="47FF2C24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3B8E59FC" w14:textId="114C959C" w:rsidR="0087639B" w:rsidRPr="00E5148F" w:rsidRDefault="0087639B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Posztoperatív hányinger és hányás (</w:t>
      </w:r>
      <w:r w:rsidRPr="00E5148F">
        <w:rPr>
          <w:i/>
          <w:sz w:val="22"/>
          <w:szCs w:val="22"/>
          <w:u w:val="single" w:color="000000"/>
          <w:lang w:val="hu-HU"/>
        </w:rPr>
        <w:t>Post Operative Nausea and Vomiting</w:t>
      </w:r>
      <w:r w:rsidRPr="00E5148F">
        <w:rPr>
          <w:sz w:val="22"/>
          <w:szCs w:val="22"/>
          <w:u w:val="single" w:color="000000"/>
          <w:lang w:val="hu-HU"/>
        </w:rPr>
        <w:t xml:space="preserve"> – PONV) megelőzése</w:t>
      </w:r>
      <w:r w:rsidRPr="00E5148F">
        <w:rPr>
          <w:sz w:val="22"/>
          <w:szCs w:val="22"/>
          <w:u w:color="000000"/>
          <w:lang w:val="hu-HU"/>
        </w:rPr>
        <w:t>:</w:t>
      </w:r>
      <w:r w:rsidRPr="00E5148F">
        <w:rPr>
          <w:sz w:val="22"/>
          <w:szCs w:val="22"/>
          <w:lang w:val="hu-HU"/>
        </w:rPr>
        <w:t xml:space="preserve"> Gyermekek bevonásával két vizsgálatot végeztek.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egyszeri, 1 µg/kg-os és 3 µg/kg-os iv. adagjainak biztonságosságát és hatásosságát az első klinikai vizsgálatban hasonlították össze, amelybe 150, elektív műtéten áteső beteget vontak be a következő korcsoportokból: &gt;28 nap-23 hónap (7 beteg), 2-11 év (96 beteg) és 12-16 év (47 beteg). A dózisszintek egyikével kapcsolatban sem</w:t>
      </w:r>
      <w:r w:rsidR="005633F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lastRenderedPageBreak/>
        <w:t>merült fel biztonságossági aggály. Azoknak a betegeknek az aránya, akiknél a műtét utáni 0-72</w:t>
      </w:r>
      <w:r w:rsidR="005633F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órában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1</w:t>
      </w:r>
      <w:r w:rsidR="005633F8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µg/kg-os vagy 3 µg/kg-os adagja után nem lépett fel hányás, hasonló volt (88% vs.</w:t>
      </w:r>
      <w:r w:rsidR="005633F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84%).</w:t>
      </w:r>
    </w:p>
    <w:p w14:paraId="16DBAD26" w14:textId="0FD3C98C" w:rsidR="0050030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második gyermekgyógyászati vizsgálat egy multicentrikus, kettős</w:t>
      </w:r>
      <w:r w:rsidR="005633F8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vak, a gyógyszerformára nézve is kettős vak („</w:t>
      </w:r>
      <w:r w:rsidRPr="00E5148F">
        <w:rPr>
          <w:i/>
          <w:sz w:val="22"/>
          <w:szCs w:val="22"/>
          <w:lang w:val="hu-HU"/>
        </w:rPr>
        <w:t>double-dummy</w:t>
      </w:r>
      <w:r w:rsidRPr="00E5148F">
        <w:rPr>
          <w:sz w:val="22"/>
          <w:szCs w:val="22"/>
          <w:lang w:val="hu-HU"/>
        </w:rPr>
        <w:t>”), randomizált, párhuzamos csoport</w:t>
      </w:r>
      <w:r w:rsidR="00DB58CD" w:rsidRPr="00E5148F">
        <w:rPr>
          <w:sz w:val="22"/>
          <w:szCs w:val="22"/>
          <w:lang w:val="hu-HU"/>
        </w:rPr>
        <w:t>ú</w:t>
      </w:r>
      <w:r w:rsidRPr="00E5148F">
        <w:rPr>
          <w:sz w:val="22"/>
          <w:szCs w:val="22"/>
          <w:lang w:val="hu-HU"/>
        </w:rPr>
        <w:t>, aktív kontrollos, egyszeri dózissal végzett non-inferioritási vizsgálat volt, melynek során az iv.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zetront (1</w:t>
      </w:r>
      <w:r w:rsidR="00791C6A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µg/kg, legfeljebb</w:t>
      </w:r>
      <w:r w:rsidR="00791C6A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0,075</w:t>
      </w:r>
      <w:r w:rsidR="00791C6A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mg) hasonlították össze iv. 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zetronnal. Összesen 670, 30</w:t>
      </w:r>
      <w:r w:rsidR="00791C6A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nap és 16,9</w:t>
      </w:r>
      <w:r w:rsidR="00791C6A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év közötti életkorú,</w:t>
      </w:r>
      <w:r w:rsidR="00791C6A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 xml:space="preserve">sebészeti beavatkozáson áteső gyermek vett részt a vizsgálatban. Az elsődleges hatásossági végpontot, vagyis a teljes választ (CR: hányás és öklendezés </w:t>
      </w:r>
      <w:r w:rsidR="0002732F" w:rsidRPr="00E5148F">
        <w:rPr>
          <w:sz w:val="22"/>
          <w:szCs w:val="22"/>
          <w:lang w:val="hu-HU"/>
        </w:rPr>
        <w:t>elmaradása</w:t>
      </w:r>
      <w:r w:rsidRPr="00E5148F">
        <w:rPr>
          <w:sz w:val="22"/>
          <w:szCs w:val="22"/>
          <w:lang w:val="hu-HU"/>
        </w:rPr>
        <w:t>, valamint antiemetikus mentő gyógyszerek alkalmazásának mellőzése)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zetron-csoport betegeinek 78,2%-ánál, míg az</w:t>
      </w:r>
      <w:r w:rsidR="00791C6A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ondan</w:t>
      </w:r>
      <w:r w:rsidR="00FA67A0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zetron-csoport betegeinek 82,7%-ánál sikerült elérni a műtét utáni első 24</w:t>
      </w:r>
      <w:r w:rsidR="00791C6A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órában. Az előre</w:t>
      </w:r>
      <w:r w:rsidR="00791C6A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 xml:space="preserve">meghatározott </w:t>
      </w:r>
      <w:r w:rsidR="00791C6A" w:rsidRPr="00E5148F">
        <w:rPr>
          <w:sz w:val="22"/>
          <w:szCs w:val="22"/>
          <w:lang w:val="hu-HU"/>
        </w:rPr>
        <w:sym w:font="Symbol" w:char="F02D"/>
      </w:r>
      <w:r w:rsidRPr="00E5148F">
        <w:rPr>
          <w:sz w:val="22"/>
          <w:szCs w:val="22"/>
          <w:lang w:val="hu-HU"/>
        </w:rPr>
        <w:t>10%-os non-inferioritási küszöbből kiindulva az elsődleges végpontban, vagyis a teljes</w:t>
      </w:r>
      <w:r w:rsidR="00791C6A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válaszban (CR) tapasztalt különbség rétegre korrigált Mantel-Haenszel statisztikai próbával kapott</w:t>
      </w:r>
      <w:r w:rsidR="00791C6A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non-inferioritási konfidencia-intervalluma [</w:t>
      </w:r>
      <w:r w:rsidR="00791C6A" w:rsidRPr="00E5148F">
        <w:rPr>
          <w:sz w:val="22"/>
          <w:szCs w:val="22"/>
          <w:lang w:val="hu-HU"/>
        </w:rPr>
        <w:sym w:font="Symbol" w:char="F02D"/>
      </w:r>
      <w:r w:rsidRPr="00E5148F">
        <w:rPr>
          <w:sz w:val="22"/>
          <w:szCs w:val="22"/>
          <w:lang w:val="hu-HU"/>
        </w:rPr>
        <w:t xml:space="preserve">10,5, 1,7%] volt, ezért a non-inferioritás nem igazolódott. Új biztonságossági </w:t>
      </w:r>
      <w:r w:rsidR="004E6697" w:rsidRPr="00E5148F">
        <w:rPr>
          <w:sz w:val="22"/>
          <w:szCs w:val="22"/>
          <w:lang w:val="hu-HU"/>
        </w:rPr>
        <w:t xml:space="preserve">aggályok </w:t>
      </w:r>
      <w:r w:rsidRPr="00E5148F">
        <w:rPr>
          <w:sz w:val="22"/>
          <w:szCs w:val="22"/>
          <w:lang w:val="hu-HU"/>
        </w:rPr>
        <w:t>egyik kezelési csoportban sem merültek fel.</w:t>
      </w:r>
    </w:p>
    <w:p w14:paraId="048E54E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635C3AC5" w14:textId="27AC94CD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gyermekgyógyászati alkalmazásra vonatkozó információkat illetően lásd </w:t>
      </w:r>
      <w:r w:rsidR="003C5A42" w:rsidRPr="00E5148F">
        <w:rPr>
          <w:sz w:val="22"/>
          <w:szCs w:val="22"/>
          <w:lang w:val="hu-HU"/>
        </w:rPr>
        <w:t xml:space="preserve">a </w:t>
      </w:r>
      <w:r w:rsidRPr="00E5148F">
        <w:rPr>
          <w:sz w:val="22"/>
          <w:szCs w:val="22"/>
          <w:lang w:val="hu-HU"/>
        </w:rPr>
        <w:t>4.2 pont</w:t>
      </w:r>
      <w:r w:rsidR="003C5A42" w:rsidRPr="00E5148F">
        <w:rPr>
          <w:sz w:val="22"/>
          <w:szCs w:val="22"/>
          <w:lang w:val="hu-HU"/>
        </w:rPr>
        <w:t>ot</w:t>
      </w:r>
      <w:r w:rsidRPr="00E5148F">
        <w:rPr>
          <w:sz w:val="22"/>
          <w:szCs w:val="22"/>
          <w:lang w:val="hu-HU"/>
        </w:rPr>
        <w:t>.</w:t>
      </w:r>
    </w:p>
    <w:p w14:paraId="64478662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26FB503E" w14:textId="0A71A96C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5.2</w:t>
      </w:r>
      <w:r w:rsidR="003C5A42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Farmakokinetikai tulajdonságok</w:t>
      </w:r>
    </w:p>
    <w:p w14:paraId="124230EB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105B6B69" w14:textId="77777777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Felszívódás</w:t>
      </w:r>
    </w:p>
    <w:p w14:paraId="57518017" w14:textId="4E5F5739" w:rsidR="0087639B" w:rsidRPr="00E5148F" w:rsidRDefault="0087639B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Az intravénás alkalmazás után a plazma-koncentráció kezdeti csökkenését a szervezetből való lassú elimináció követi, melynek </w:t>
      </w:r>
      <w:r w:rsidR="00281F26" w:rsidRPr="00E5148F">
        <w:rPr>
          <w:sz w:val="22"/>
          <w:szCs w:val="22"/>
          <w:lang w:val="hu-HU"/>
        </w:rPr>
        <w:t xml:space="preserve">átlagos </w:t>
      </w:r>
      <w:r w:rsidRPr="00E5148F">
        <w:rPr>
          <w:sz w:val="22"/>
          <w:szCs w:val="22"/>
          <w:lang w:val="hu-HU"/>
        </w:rPr>
        <w:t>terminális eliminációs felezési ideje körülbelül 40</w:t>
      </w:r>
      <w:r w:rsidR="003C5A42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óra. Az átlagos maximális plazmakoncentráció (C</w:t>
      </w:r>
      <w:r w:rsidRPr="00E5148F">
        <w:rPr>
          <w:sz w:val="22"/>
          <w:szCs w:val="22"/>
          <w:vertAlign w:val="subscript"/>
          <w:lang w:val="hu-HU"/>
        </w:rPr>
        <w:t>max</w:t>
      </w:r>
      <w:r w:rsidRPr="00E5148F">
        <w:rPr>
          <w:sz w:val="22"/>
          <w:szCs w:val="22"/>
          <w:lang w:val="hu-HU"/>
        </w:rPr>
        <w:t>) és a koncentráció-idő görbe alatti terület (AUC</w:t>
      </w:r>
      <w:r w:rsidRPr="00E5148F">
        <w:rPr>
          <w:sz w:val="22"/>
          <w:szCs w:val="22"/>
          <w:vertAlign w:val="subscript"/>
          <w:lang w:val="hu-HU"/>
        </w:rPr>
        <w:t>0-</w:t>
      </w:r>
      <w:r w:rsidR="003C5A42" w:rsidRPr="00E5148F">
        <w:rPr>
          <w:sz w:val="22"/>
          <w:szCs w:val="22"/>
          <w:vertAlign w:val="subscript"/>
          <w:lang w:val="hu-HU"/>
        </w:rPr>
        <w:sym w:font="Symbol" w:char="F0A5"/>
      </w:r>
      <w:r w:rsidRPr="00E5148F">
        <w:rPr>
          <w:sz w:val="22"/>
          <w:szCs w:val="22"/>
          <w:lang w:val="hu-HU"/>
        </w:rPr>
        <w:t>) a</w:t>
      </w:r>
      <w:r w:rsidR="003C5A42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0,3</w:t>
      </w:r>
      <w:r w:rsidR="007A52F6" w:rsidRPr="00E5148F">
        <w:rPr>
          <w:sz w:val="22"/>
          <w:szCs w:val="22"/>
          <w:lang w:val="hu-HU"/>
        </w:rPr>
        <w:t> – </w:t>
      </w:r>
      <w:r w:rsidRPr="00E5148F">
        <w:rPr>
          <w:sz w:val="22"/>
          <w:szCs w:val="22"/>
          <w:lang w:val="hu-HU"/>
        </w:rPr>
        <w:t>90</w:t>
      </w:r>
      <w:r w:rsidR="003C5A42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μg/kg dózistartományban egészséges alanyoknál és rákbetegeknél is általában dózisarányos.</w:t>
      </w:r>
    </w:p>
    <w:p w14:paraId="6CABC6A6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14F0B569" w14:textId="71580CCE" w:rsidR="0087639B" w:rsidRPr="00E5148F" w:rsidRDefault="00F64CAA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Minden másnap, egyszeri 0,25 mg dózisban</w:t>
      </w:r>
      <w:r w:rsidR="00C14BE3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intravénásan adott </w:t>
      </w:r>
      <w:r w:rsidR="0087639B" w:rsidRPr="00E5148F">
        <w:rPr>
          <w:sz w:val="22"/>
          <w:szCs w:val="22"/>
          <w:lang w:val="hu-HU"/>
        </w:rPr>
        <w:t>palono</w:t>
      </w:r>
      <w:r w:rsidR="0026165F" w:rsidRPr="00E5148F">
        <w:rPr>
          <w:sz w:val="22"/>
          <w:szCs w:val="22"/>
          <w:lang w:val="hu-HU"/>
        </w:rPr>
        <w:t>s</w:t>
      </w:r>
      <w:r w:rsidR="0087639B" w:rsidRPr="00E5148F">
        <w:rPr>
          <w:sz w:val="22"/>
          <w:szCs w:val="22"/>
          <w:lang w:val="hu-HU"/>
        </w:rPr>
        <w:t>zetronból 3</w:t>
      </w:r>
      <w:r w:rsidR="00D876D3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adag alkalmazását követően a vizsgált 11</w:t>
      </w:r>
      <w:r w:rsidR="00D94835" w:rsidRPr="00E5148F">
        <w:rPr>
          <w:sz w:val="22"/>
          <w:szCs w:val="22"/>
          <w:lang w:val="hu-HU"/>
        </w:rPr>
        <w:t>,</w:t>
      </w:r>
      <w:r w:rsidR="0087639B" w:rsidRPr="00E5148F">
        <w:rPr>
          <w:sz w:val="22"/>
          <w:szCs w:val="22"/>
          <w:lang w:val="hu-HU"/>
        </w:rPr>
        <w:t xml:space="preserve"> testicularis carcinomában szenvedő beteg esetében a plazmakoncentráció átlagos (</w:t>
      </w:r>
      <w:r w:rsidR="00845DBC" w:rsidRPr="00E5148F">
        <w:rPr>
          <w:sz w:val="22"/>
          <w:szCs w:val="22"/>
          <w:lang w:val="hu-HU"/>
        </w:rPr>
        <w:sym w:font="Symbol" w:char="F0B1"/>
      </w:r>
      <w:r w:rsidR="0087639B" w:rsidRPr="00E5148F">
        <w:rPr>
          <w:sz w:val="22"/>
          <w:szCs w:val="22"/>
          <w:lang w:val="hu-HU"/>
        </w:rPr>
        <w:t>SD) növekedése az 1. és az 5. nap között 42</w:t>
      </w:r>
      <w:r w:rsidR="00D876D3" w:rsidRPr="00E5148F">
        <w:rPr>
          <w:sz w:val="22"/>
          <w:szCs w:val="22"/>
          <w:lang w:val="hu-HU"/>
        </w:rPr>
        <w:t> </w:t>
      </w:r>
      <w:r w:rsidR="00D876D3" w:rsidRPr="00E5148F">
        <w:rPr>
          <w:sz w:val="22"/>
          <w:szCs w:val="22"/>
          <w:lang w:val="hu-HU"/>
        </w:rPr>
        <w:sym w:font="Symbol" w:char="F0B1"/>
      </w:r>
      <w:r w:rsidR="00D876D3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34% volt. Három napon keresztül, naponta egyszer 0,25</w:t>
      </w:r>
      <w:r w:rsidR="00845DBC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mg palono</w:t>
      </w:r>
      <w:r w:rsidR="0026165F" w:rsidRPr="00E5148F">
        <w:rPr>
          <w:sz w:val="22"/>
          <w:szCs w:val="22"/>
          <w:lang w:val="hu-HU"/>
        </w:rPr>
        <w:t>s</w:t>
      </w:r>
      <w:r w:rsidR="0087639B" w:rsidRPr="00E5148F">
        <w:rPr>
          <w:sz w:val="22"/>
          <w:szCs w:val="22"/>
          <w:lang w:val="hu-HU"/>
        </w:rPr>
        <w:t>zetron intravénás adagolását követően a vizsgált 12 egészséges alany esetében a plazmakoncentráció átlagos (</w:t>
      </w:r>
      <w:r w:rsidR="00845DBC" w:rsidRPr="00E5148F">
        <w:rPr>
          <w:sz w:val="22"/>
          <w:szCs w:val="22"/>
          <w:lang w:val="hu-HU"/>
        </w:rPr>
        <w:sym w:font="Symbol" w:char="F0B1"/>
      </w:r>
      <w:r w:rsidR="0087639B" w:rsidRPr="00E5148F">
        <w:rPr>
          <w:sz w:val="22"/>
          <w:szCs w:val="22"/>
          <w:lang w:val="hu-HU"/>
        </w:rPr>
        <w:t>SD) növekedése az 1. és a 3. nap között 110</w:t>
      </w:r>
      <w:r w:rsidR="009C140E" w:rsidRPr="00E5148F">
        <w:rPr>
          <w:sz w:val="22"/>
          <w:szCs w:val="22"/>
          <w:lang w:val="hu-HU"/>
        </w:rPr>
        <w:t> </w:t>
      </w:r>
      <w:r w:rsidR="009C140E" w:rsidRPr="00E5148F">
        <w:rPr>
          <w:sz w:val="22"/>
          <w:szCs w:val="22"/>
          <w:lang w:val="hu-HU"/>
        </w:rPr>
        <w:sym w:font="Symbol" w:char="F0B1"/>
      </w:r>
      <w:r w:rsidR="009C140E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45% volt.</w:t>
      </w:r>
    </w:p>
    <w:p w14:paraId="716C2E38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5C7FE05C" w14:textId="0C37AA09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Farmakokinetikai szimulációs vizsgálatok alapján </w:t>
      </w:r>
      <w:r w:rsidR="00716A3E" w:rsidRPr="00E5148F">
        <w:rPr>
          <w:sz w:val="22"/>
          <w:szCs w:val="22"/>
          <w:lang w:val="hu-HU"/>
        </w:rPr>
        <w:t xml:space="preserve">a </w:t>
      </w:r>
      <w:r w:rsidRPr="00E5148F">
        <w:rPr>
          <w:sz w:val="22"/>
          <w:szCs w:val="22"/>
          <w:lang w:val="hu-HU"/>
        </w:rPr>
        <w:t>három egymást követő napon</w:t>
      </w:r>
      <w:r w:rsidR="00F25241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naponta egyszer, intravénásan adott 0,25</w:t>
      </w:r>
      <w:r w:rsidR="00216E4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mellett a teljes expozíció (AUC</w:t>
      </w:r>
      <w:r w:rsidRPr="00E5148F">
        <w:rPr>
          <w:sz w:val="22"/>
          <w:szCs w:val="22"/>
          <w:vertAlign w:val="subscript"/>
          <w:lang w:val="hu-HU"/>
        </w:rPr>
        <w:t>0-</w:t>
      </w:r>
      <w:r w:rsidR="0006290B" w:rsidRPr="00E5148F">
        <w:rPr>
          <w:sz w:val="22"/>
          <w:szCs w:val="22"/>
          <w:vertAlign w:val="subscript"/>
          <w:lang w:val="hu-HU"/>
        </w:rPr>
        <w:sym w:font="Symbol" w:char="F0A5"/>
      </w:r>
      <w:r w:rsidRPr="00E5148F">
        <w:rPr>
          <w:sz w:val="22"/>
          <w:szCs w:val="22"/>
          <w:lang w:val="hu-HU"/>
        </w:rPr>
        <w:t>) hasonló volt, mint egyszeri 0,75</w:t>
      </w:r>
      <w:r w:rsidR="00216E4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mg-os adag intravénás beadása esetén, a C</w:t>
      </w:r>
      <w:r w:rsidRPr="00E5148F">
        <w:rPr>
          <w:sz w:val="22"/>
          <w:szCs w:val="22"/>
          <w:vertAlign w:val="subscript"/>
          <w:lang w:val="hu-HU"/>
        </w:rPr>
        <w:t>max</w:t>
      </w:r>
      <w:r w:rsidRPr="00E5148F">
        <w:rPr>
          <w:sz w:val="22"/>
          <w:szCs w:val="22"/>
          <w:lang w:val="hu-HU"/>
        </w:rPr>
        <w:t xml:space="preserve"> azonban magasabb volt az egyszeri</w:t>
      </w:r>
      <w:r w:rsidR="00216E4F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0,75</w:t>
      </w:r>
      <w:r w:rsidR="00C80AB9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mg-os dózis mellett.</w:t>
      </w:r>
    </w:p>
    <w:p w14:paraId="30CF1FF6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1509E17C" w14:textId="77777777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Eloszlás</w:t>
      </w:r>
    </w:p>
    <w:p w14:paraId="002823BA" w14:textId="42F00602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az ajánlott dózis esetén nagymértékben eloszlik a szervezetben, körülbelül 6,9</w:t>
      </w:r>
      <w:r w:rsidR="00216E4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–</w:t>
      </w:r>
      <w:r w:rsidR="00216E4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7,9</w:t>
      </w:r>
      <w:r w:rsidR="00216E4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l/kg eloszlási értéket mutatva.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megközelítőleg 62%-ban kötődik a</w:t>
      </w:r>
      <w:r w:rsidR="00216E4F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plazmafehérjékhez.</w:t>
      </w:r>
    </w:p>
    <w:p w14:paraId="1EEF4733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5C8B44F2" w14:textId="77777777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Biotranszformáció</w:t>
      </w:r>
    </w:p>
    <w:p w14:paraId="65E0E2D6" w14:textId="4E82C647" w:rsidR="0087639B" w:rsidRPr="00E5148F" w:rsidRDefault="0087639B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két módon eliminálódik: 40%-ban a vesén keresztül, és körülbelül 50%-ban két elsődleges metabolitot képezve, melyek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5HT</w:t>
      </w:r>
      <w:r w:rsidRPr="00E5148F">
        <w:rPr>
          <w:sz w:val="22"/>
          <w:szCs w:val="22"/>
          <w:vertAlign w:val="subscript"/>
          <w:lang w:val="hu-HU"/>
        </w:rPr>
        <w:t>3</w:t>
      </w:r>
      <w:r w:rsidRPr="00E5148F">
        <w:rPr>
          <w:sz w:val="22"/>
          <w:szCs w:val="22"/>
          <w:lang w:val="hu-HU"/>
        </w:rPr>
        <w:t xml:space="preserve"> receptor-antagonista aktivitásának kevesebb mint 1%-ával rendelkeznek. Az </w:t>
      </w:r>
      <w:r w:rsidRPr="00E5148F">
        <w:rPr>
          <w:i/>
          <w:sz w:val="22"/>
          <w:szCs w:val="22"/>
          <w:lang w:val="hu-HU"/>
        </w:rPr>
        <w:t>in</w:t>
      </w:r>
      <w:r w:rsidR="00C80AB9" w:rsidRPr="00E5148F">
        <w:rPr>
          <w:i/>
          <w:sz w:val="22"/>
          <w:szCs w:val="22"/>
          <w:lang w:val="hu-HU"/>
        </w:rPr>
        <w:t> </w:t>
      </w:r>
      <w:r w:rsidRPr="00E5148F">
        <w:rPr>
          <w:i/>
          <w:sz w:val="22"/>
          <w:szCs w:val="22"/>
          <w:lang w:val="hu-HU"/>
        </w:rPr>
        <w:t xml:space="preserve">vitro </w:t>
      </w:r>
      <w:r w:rsidRPr="00E5148F">
        <w:rPr>
          <w:sz w:val="22"/>
          <w:szCs w:val="22"/>
          <w:lang w:val="hu-HU"/>
        </w:rPr>
        <w:t>metabolizmus</w:t>
      </w:r>
      <w:r w:rsidR="00E7466D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vizsgálatok kimutatták, hogy a CYP2D6 és kisebb mértékben a CYP3A4 és a CYP1A2 izoenzimek vesznek részt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metabolizmusában. A klinikai farmakokinetikai paraméterek azonban nem különböznek jelentősen a CYP2D6 szubsztrátok gyenge és erős metabolizálói között.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klinikailag releváns koncentrációk mellett se nem gátolja, se nem indukálja a citokróm P450 izoenzimeket.</w:t>
      </w:r>
    </w:p>
    <w:p w14:paraId="7F6B0D4C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48EA097B" w14:textId="77777777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position w:val="-1"/>
          <w:sz w:val="22"/>
          <w:szCs w:val="22"/>
          <w:u w:val="single" w:color="000000"/>
          <w:lang w:val="hu-HU"/>
        </w:rPr>
        <w:t>Elimináció</w:t>
      </w:r>
    </w:p>
    <w:p w14:paraId="4032CB13" w14:textId="4C1C091B" w:rsidR="0087639B" w:rsidRPr="00E5148F" w:rsidRDefault="0087639B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egyszeri 10 mikrogramm/kg [</w:t>
      </w:r>
      <w:r w:rsidRPr="00E5148F">
        <w:rPr>
          <w:sz w:val="22"/>
          <w:szCs w:val="22"/>
          <w:vertAlign w:val="superscript"/>
          <w:lang w:val="hu-HU"/>
        </w:rPr>
        <w:t>14</w:t>
      </w:r>
      <w:r w:rsidRPr="00E5148F">
        <w:rPr>
          <w:sz w:val="22"/>
          <w:szCs w:val="22"/>
          <w:lang w:val="hu-HU"/>
        </w:rPr>
        <w:t>C]-palono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zetron-dózis intravénás beadását követően a dózis</w:t>
      </w:r>
      <w:r w:rsidR="00901B7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körülbelül 80%-a volt fellelhető a vizeletben 144</w:t>
      </w:r>
      <w:r w:rsidR="00E8681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órán belül, és a beadott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dózis körülbelül 40%-a volt jelen változatlan hatóanyagként. Az egyszeri intravénás bolus injekció beadását</w:t>
      </w:r>
      <w:r w:rsidR="00901B7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követően egészséges alanyokban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 xml:space="preserve">zetron </w:t>
      </w:r>
      <w:r w:rsidR="00BF2A85" w:rsidRPr="00E5148F">
        <w:rPr>
          <w:sz w:val="22"/>
          <w:szCs w:val="22"/>
          <w:lang w:val="hu-HU"/>
        </w:rPr>
        <w:t xml:space="preserve">teljes test </w:t>
      </w:r>
      <w:r w:rsidRPr="00E5148F">
        <w:rPr>
          <w:sz w:val="22"/>
          <w:szCs w:val="22"/>
          <w:lang w:val="hu-HU"/>
        </w:rPr>
        <w:t>clearance-e 173</w:t>
      </w:r>
      <w:r w:rsidR="00E8681F" w:rsidRPr="00E5148F">
        <w:rPr>
          <w:sz w:val="22"/>
          <w:szCs w:val="22"/>
          <w:lang w:val="hu-HU"/>
        </w:rPr>
        <w:t> </w:t>
      </w:r>
      <w:r w:rsidR="00E8681F" w:rsidRPr="00E5148F">
        <w:rPr>
          <w:sz w:val="22"/>
          <w:szCs w:val="22"/>
          <w:lang w:val="hu-HU"/>
        </w:rPr>
        <w:sym w:font="Symbol" w:char="F0B1"/>
      </w:r>
      <w:r w:rsidR="00E8681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73</w:t>
      </w:r>
      <w:r w:rsidR="00901B71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ml/perc, vese clearance</w:t>
      </w:r>
      <w:r w:rsidR="00BF2A85" w:rsidRPr="00E5148F">
        <w:rPr>
          <w:sz w:val="22"/>
          <w:szCs w:val="22"/>
          <w:lang w:val="hu-HU"/>
        </w:rPr>
        <w:t>-e</w:t>
      </w:r>
      <w:r w:rsidRPr="00E5148F">
        <w:rPr>
          <w:sz w:val="22"/>
          <w:szCs w:val="22"/>
          <w:lang w:val="hu-HU"/>
        </w:rPr>
        <w:t xml:space="preserve"> pedig 53</w:t>
      </w:r>
      <w:r w:rsidR="00E8681F" w:rsidRPr="00E5148F">
        <w:rPr>
          <w:sz w:val="22"/>
          <w:szCs w:val="22"/>
          <w:lang w:val="hu-HU"/>
        </w:rPr>
        <w:t> </w:t>
      </w:r>
      <w:r w:rsidR="00E8681F" w:rsidRPr="00E5148F">
        <w:rPr>
          <w:sz w:val="22"/>
          <w:szCs w:val="22"/>
          <w:lang w:val="hu-HU"/>
        </w:rPr>
        <w:sym w:font="Symbol" w:char="F0B1"/>
      </w:r>
      <w:r w:rsidR="00E8681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29</w:t>
      </w:r>
      <w:r w:rsidR="00901B71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 xml:space="preserve">ml/perc volt. Az alacsony </w:t>
      </w:r>
      <w:r w:rsidR="00BF2A85" w:rsidRPr="00E5148F">
        <w:rPr>
          <w:sz w:val="22"/>
          <w:szCs w:val="22"/>
          <w:lang w:val="hu-HU"/>
        </w:rPr>
        <w:t xml:space="preserve">teljes test </w:t>
      </w:r>
      <w:r w:rsidRPr="00E5148F">
        <w:rPr>
          <w:sz w:val="22"/>
          <w:szCs w:val="22"/>
          <w:lang w:val="hu-HU"/>
        </w:rPr>
        <w:t>clearance és a nagyfokú eloszlás</w:t>
      </w:r>
      <w:r w:rsidR="00901B7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lastRenderedPageBreak/>
        <w:t>eredményeként a terminális eliminációs plazmafelezési idő körülbelül 40</w:t>
      </w:r>
      <w:r w:rsidR="00E8681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óra volt. A betegek tíz</w:t>
      </w:r>
      <w:r w:rsidR="00901B71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százalékánál a terminális eliminációs felezési idő átlaga meghaladta a 100</w:t>
      </w:r>
      <w:r w:rsidR="00E8681F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órát.</w:t>
      </w:r>
    </w:p>
    <w:p w14:paraId="77A5739D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67559940" w14:textId="15E4426C" w:rsidR="0050030B" w:rsidRPr="00E5148F" w:rsidRDefault="0087639B" w:rsidP="00E5148F">
      <w:pPr>
        <w:keepNext/>
        <w:rPr>
          <w:sz w:val="22"/>
          <w:szCs w:val="22"/>
          <w:lang w:val="hu-HU"/>
        </w:rPr>
      </w:pPr>
      <w:r w:rsidRPr="00E5148F">
        <w:rPr>
          <w:sz w:val="22"/>
          <w:szCs w:val="22"/>
          <w:u w:val="single" w:color="000000"/>
          <w:lang w:val="hu-HU"/>
        </w:rPr>
        <w:t>Farmakokinetika a speciális populációkban</w:t>
      </w:r>
    </w:p>
    <w:p w14:paraId="41BAD16E" w14:textId="77777777" w:rsidR="00901B71" w:rsidRPr="00E5148F" w:rsidRDefault="00901B71" w:rsidP="00E5148F">
      <w:pPr>
        <w:keepNext/>
        <w:rPr>
          <w:sz w:val="22"/>
          <w:szCs w:val="22"/>
          <w:lang w:val="hu-HU"/>
        </w:rPr>
      </w:pPr>
    </w:p>
    <w:p w14:paraId="59E50EEE" w14:textId="77777777" w:rsidR="0050030B" w:rsidRPr="00E5148F" w:rsidRDefault="00797782" w:rsidP="00E5148F">
      <w:pPr>
        <w:keepNext/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Idős betegek</w:t>
      </w:r>
    </w:p>
    <w:p w14:paraId="52C31F08" w14:textId="6A962D31" w:rsidR="0050030B" w:rsidRPr="00E5148F" w:rsidRDefault="00797782" w:rsidP="00E5148F">
      <w:pPr>
        <w:keepNext/>
        <w:jc w:val="both"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életkor nem befolyásolja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farmakokinetikáját. Idős betegek esetén nem szükséges a</w:t>
      </w:r>
      <w:r w:rsidR="00E8681F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dózis módosítása.</w:t>
      </w:r>
    </w:p>
    <w:p w14:paraId="228A49FA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2E44CE05" w14:textId="77777777" w:rsidR="0050030B" w:rsidRPr="00E5148F" w:rsidRDefault="00797782" w:rsidP="00E5148F">
      <w:pPr>
        <w:keepNext/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A beteg neme</w:t>
      </w:r>
    </w:p>
    <w:p w14:paraId="20A05343" w14:textId="1E50AF95" w:rsidR="0050030B" w:rsidRPr="00E5148F" w:rsidRDefault="00797782" w:rsidP="00E5148F">
      <w:pPr>
        <w:keepNext/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beteg neme nem befolyásolja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farmakokinetikáját. A beteg neme alapján nem szükséges a dózis módosítása.</w:t>
      </w:r>
    </w:p>
    <w:p w14:paraId="41A6E2B8" w14:textId="77777777" w:rsidR="0050030B" w:rsidRPr="00E5148F" w:rsidRDefault="0050030B" w:rsidP="001E7AF5">
      <w:pPr>
        <w:rPr>
          <w:sz w:val="22"/>
          <w:szCs w:val="22"/>
          <w:lang w:val="hu-HU"/>
        </w:rPr>
      </w:pPr>
    </w:p>
    <w:p w14:paraId="3A547B38" w14:textId="0E22F7A0" w:rsidR="0050030B" w:rsidRPr="00E5148F" w:rsidRDefault="00797782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Gyermekek</w:t>
      </w:r>
      <w:r w:rsidR="006473DE" w:rsidRPr="00E5148F">
        <w:rPr>
          <w:i/>
          <w:sz w:val="22"/>
          <w:szCs w:val="22"/>
          <w:lang w:val="hu-HU"/>
        </w:rPr>
        <w:t xml:space="preserve"> és serdülők</w:t>
      </w:r>
    </w:p>
    <w:p w14:paraId="40ADA5FF" w14:textId="4D8F68E6" w:rsidR="0087639B" w:rsidRPr="00E5148F" w:rsidRDefault="00797782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egyszeri adagban, iv. alkalmazott Palonosetron Onkogen farmakokinetikai adatait a gyermekkorú rákos betegek azon alcsoportjában (n</w:t>
      </w:r>
      <w:r w:rsidR="006473DE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=</w:t>
      </w:r>
      <w:r w:rsidR="006473DE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280) határozták meg, akik 10</w:t>
      </w:r>
      <w:r w:rsidR="006473DE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µg/kg-os vagy 20</w:t>
      </w:r>
      <w:r w:rsidR="00BA32D3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µg/kg-os adagot kaptak. Az</w:t>
      </w:r>
      <w:r w:rsidR="0087639B" w:rsidRPr="00E5148F">
        <w:rPr>
          <w:sz w:val="22"/>
          <w:szCs w:val="22"/>
          <w:lang w:val="hu-HU"/>
        </w:rPr>
        <w:t xml:space="preserve"> adag 10</w:t>
      </w:r>
      <w:r w:rsidR="006473DE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µg/kg-ról 20</w:t>
      </w:r>
      <w:r w:rsidR="006473DE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 xml:space="preserve">µg/kg-ra történt növelésekor dózisarányos emelkedést figyeltek meg az átlagos AUC-értékben. </w:t>
      </w:r>
      <w:r w:rsidR="00970DF6" w:rsidRPr="00E5148F">
        <w:rPr>
          <w:sz w:val="22"/>
          <w:szCs w:val="22"/>
          <w:lang w:val="hu-HU"/>
        </w:rPr>
        <w:t>A Palonosetron</w:t>
      </w:r>
      <w:r w:rsidR="0087639B" w:rsidRPr="00E5148F">
        <w:rPr>
          <w:sz w:val="22"/>
          <w:szCs w:val="22"/>
          <w:lang w:val="hu-HU"/>
        </w:rPr>
        <w:t xml:space="preserve"> Onkogen 20</w:t>
      </w:r>
      <w:r w:rsidR="00BA32D3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µg/kg-os egyszeri adagjának intravénás infúzióját követően a 15</w:t>
      </w:r>
      <w:r w:rsidR="00BA32D3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perces infúzió végén jelentett plazma csúcskoncentrációk (C</w:t>
      </w:r>
      <w:r w:rsidR="0087639B" w:rsidRPr="00E5148F">
        <w:rPr>
          <w:sz w:val="22"/>
          <w:szCs w:val="22"/>
          <w:vertAlign w:val="subscript"/>
          <w:lang w:val="hu-HU"/>
        </w:rPr>
        <w:t>T</w:t>
      </w:r>
      <w:r w:rsidR="0087639B" w:rsidRPr="00E5148F">
        <w:rPr>
          <w:sz w:val="22"/>
          <w:szCs w:val="22"/>
          <w:lang w:val="hu-HU"/>
        </w:rPr>
        <w:t>) nagymértékű változatosságot mutattak az összes korcsoportban, és 6</w:t>
      </w:r>
      <w:r w:rsidR="005C2B67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év alatti betegeknél gyakrabban fordultak elő alacsonyabb értékek, mint idősebb gyermekeknél. A felezési idő mediánja 29,5</w:t>
      </w:r>
      <w:r w:rsidR="00BA32D3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óra volt a korcsoportokban összesítve, és</w:t>
      </w:r>
      <w:r w:rsidR="00BA32D3" w:rsidRPr="00E5148F">
        <w:rPr>
          <w:sz w:val="22"/>
          <w:szCs w:val="22"/>
          <w:lang w:val="hu-HU"/>
        </w:rPr>
        <w:t xml:space="preserve"> </w:t>
      </w:r>
      <w:r w:rsidR="0087639B" w:rsidRPr="00E5148F">
        <w:rPr>
          <w:sz w:val="22"/>
          <w:szCs w:val="22"/>
          <w:lang w:val="hu-HU"/>
        </w:rPr>
        <w:t>20</w:t>
      </w:r>
      <w:r w:rsidR="00BA32D3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µg/kg beadása után körülbelül 20 és 30</w:t>
      </w:r>
      <w:r w:rsidR="00BA32D3" w:rsidRPr="00E5148F">
        <w:rPr>
          <w:sz w:val="22"/>
          <w:szCs w:val="22"/>
          <w:lang w:val="hu-HU"/>
        </w:rPr>
        <w:t> </w:t>
      </w:r>
      <w:r w:rsidR="0087639B" w:rsidRPr="00E5148F">
        <w:rPr>
          <w:sz w:val="22"/>
          <w:szCs w:val="22"/>
          <w:lang w:val="hu-HU"/>
        </w:rPr>
        <w:t>óra között mozgott a korcsoportokban.</w:t>
      </w:r>
    </w:p>
    <w:p w14:paraId="60C5F51C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p w14:paraId="690687B4" w14:textId="09FD75AD" w:rsidR="0087639B" w:rsidRPr="00E5148F" w:rsidRDefault="0087639B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teljes</w:t>
      </w:r>
      <w:r w:rsidR="003B549F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test</w:t>
      </w:r>
      <w:r w:rsidR="003B549F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clearance (l/h/kg) 12</w:t>
      </w:r>
      <w:r w:rsidR="005C2B67" w:rsidRPr="00E5148F">
        <w:rPr>
          <w:sz w:val="22"/>
          <w:szCs w:val="22"/>
          <w:lang w:val="hu-HU"/>
        </w:rPr>
        <w:t> – </w:t>
      </w:r>
      <w:r w:rsidRPr="00E5148F">
        <w:rPr>
          <w:sz w:val="22"/>
          <w:szCs w:val="22"/>
          <w:lang w:val="hu-HU"/>
        </w:rPr>
        <w:t>17</w:t>
      </w:r>
      <w:r w:rsidR="005C2B67" w:rsidRPr="00E5148F">
        <w:rPr>
          <w:sz w:val="22"/>
          <w:szCs w:val="22"/>
          <w:lang w:val="hu-HU"/>
        </w:rPr>
        <w:t> </w:t>
      </w:r>
      <w:r w:rsidRPr="00E5148F">
        <w:rPr>
          <w:sz w:val="22"/>
          <w:szCs w:val="22"/>
          <w:lang w:val="hu-HU"/>
        </w:rPr>
        <w:t>éves betegeknél hasonló volt az egészséges felnőtteknél</w:t>
      </w:r>
      <w:r w:rsidR="005C2B67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tapasztalthoz. A l/kg-ban kifejezett eloszlási térfogatban nem voltak nyilvánvaló különbségek.</w:t>
      </w:r>
    </w:p>
    <w:p w14:paraId="2D058747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48238808" w14:textId="186CA77F" w:rsidR="0087639B" w:rsidRPr="00E5148F" w:rsidRDefault="0087639B" w:rsidP="001E7AF5">
      <w:pPr>
        <w:ind w:left="1134" w:hanging="1134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4. táblázat:</w:t>
      </w:r>
      <w:r w:rsidR="005C2B67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Farmakokinetikai paraméterek gyermekkorú rákos betegeknél Palonosetron Onkogen 20</w:t>
      </w:r>
      <w:r w:rsidR="005C2B67" w:rsidRPr="00E5148F">
        <w:rPr>
          <w:b/>
          <w:sz w:val="22"/>
          <w:szCs w:val="22"/>
          <w:lang w:val="hu-HU"/>
        </w:rPr>
        <w:t> </w:t>
      </w:r>
      <w:r w:rsidRPr="00E5148F">
        <w:rPr>
          <w:b/>
          <w:sz w:val="22"/>
          <w:szCs w:val="22"/>
          <w:lang w:val="hu-HU"/>
        </w:rPr>
        <w:t>µg/kg-os adagjának 15</w:t>
      </w:r>
      <w:r w:rsidR="005C2B67" w:rsidRPr="00E5148F">
        <w:rPr>
          <w:b/>
          <w:sz w:val="22"/>
          <w:szCs w:val="22"/>
          <w:lang w:val="hu-HU"/>
        </w:rPr>
        <w:t> </w:t>
      </w:r>
      <w:r w:rsidRPr="00E5148F">
        <w:rPr>
          <w:b/>
          <w:sz w:val="22"/>
          <w:szCs w:val="22"/>
          <w:lang w:val="hu-HU"/>
        </w:rPr>
        <w:t>perces intravénás infúzióban történő beadása után, valamint intravénás bólusban beadott 3 és 10</w:t>
      </w:r>
      <w:r w:rsidR="005C2B67" w:rsidRPr="00E5148F">
        <w:rPr>
          <w:b/>
          <w:sz w:val="22"/>
          <w:szCs w:val="22"/>
          <w:lang w:val="hu-HU"/>
        </w:rPr>
        <w:t> </w:t>
      </w:r>
      <w:r w:rsidRPr="00E5148F">
        <w:rPr>
          <w:b/>
          <w:sz w:val="22"/>
          <w:szCs w:val="22"/>
          <w:lang w:val="hu-HU"/>
        </w:rPr>
        <w:t>µg/kg-os palono</w:t>
      </w:r>
      <w:r w:rsidR="0026165F" w:rsidRPr="00E5148F">
        <w:rPr>
          <w:b/>
          <w:sz w:val="22"/>
          <w:szCs w:val="22"/>
          <w:lang w:val="hu-HU"/>
        </w:rPr>
        <w:t>s</w:t>
      </w:r>
      <w:r w:rsidRPr="00E5148F">
        <w:rPr>
          <w:b/>
          <w:sz w:val="22"/>
          <w:szCs w:val="22"/>
          <w:lang w:val="hu-HU"/>
        </w:rPr>
        <w:t>zetron</w:t>
      </w:r>
      <w:r w:rsidR="005C2B67" w:rsidRPr="00E5148F">
        <w:rPr>
          <w:b/>
          <w:sz w:val="22"/>
          <w:szCs w:val="22"/>
          <w:lang w:val="hu-HU"/>
        </w:rPr>
        <w:t xml:space="preserve"> </w:t>
      </w:r>
      <w:r w:rsidRPr="00E5148F">
        <w:rPr>
          <w:b/>
          <w:sz w:val="22"/>
          <w:szCs w:val="22"/>
          <w:lang w:val="hu-HU"/>
        </w:rPr>
        <w:t>adagokkal kezelt felnőtt rákos betegeknél</w:t>
      </w:r>
    </w:p>
    <w:p w14:paraId="16268190" w14:textId="77777777" w:rsidR="0087639B" w:rsidRPr="00E5148F" w:rsidRDefault="0087639B" w:rsidP="001E7AF5">
      <w:pPr>
        <w:rPr>
          <w:sz w:val="22"/>
          <w:szCs w:val="22"/>
          <w:lang w:val="hu-H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1134"/>
        <w:gridCol w:w="993"/>
        <w:gridCol w:w="1134"/>
        <w:gridCol w:w="1109"/>
        <w:gridCol w:w="979"/>
        <w:gridCol w:w="998"/>
      </w:tblGrid>
      <w:tr w:rsidR="00A56B1F" w:rsidRPr="00C17333" w14:paraId="7B8253BA" w14:textId="77777777" w:rsidTr="001E7AF5">
        <w:trPr>
          <w:trHeight w:hRule="exact" w:val="7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51EF1" w14:textId="77777777" w:rsidR="00A56B1F" w:rsidRPr="00E5148F" w:rsidRDefault="00A56B1F" w:rsidP="001E7AF5">
            <w:pPr>
              <w:widowControl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4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CC0F525" w14:textId="77777777" w:rsidR="00A56B1F" w:rsidRPr="00E5148F" w:rsidRDefault="00A56B1F" w:rsidP="001E7AF5">
            <w:pPr>
              <w:widowControl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E5148F">
              <w:rPr>
                <w:b/>
                <w:sz w:val="22"/>
                <w:szCs w:val="22"/>
                <w:lang w:val="hu-HU"/>
              </w:rPr>
              <w:t>Gyermekkorú rákos betegek</w:t>
            </w:r>
            <w:r w:rsidRPr="00E5148F">
              <w:rPr>
                <w:rStyle w:val="Bodytext2Bold"/>
                <w:rFonts w:eastAsiaTheme="minorHAnsi"/>
                <w:vertAlign w:val="superscript"/>
                <w:lang w:val="hu-HU"/>
              </w:rPr>
              <w:t>a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94E01" w14:textId="77777777" w:rsidR="00A56B1F" w:rsidRPr="00E5148F" w:rsidRDefault="00A56B1F" w:rsidP="001E7AF5">
            <w:pPr>
              <w:widowControl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E5148F">
              <w:rPr>
                <w:b/>
                <w:sz w:val="22"/>
                <w:szCs w:val="22"/>
                <w:lang w:val="hu-HU"/>
              </w:rPr>
              <w:t>Felnőtt rákos betegek</w:t>
            </w:r>
            <w:r w:rsidRPr="00E5148F">
              <w:rPr>
                <w:rStyle w:val="Bodytext2Bold"/>
                <w:rFonts w:eastAsiaTheme="minorHAnsi"/>
                <w:vertAlign w:val="superscript"/>
                <w:lang w:val="hu-HU"/>
              </w:rPr>
              <w:t>b</w:t>
            </w:r>
          </w:p>
        </w:tc>
      </w:tr>
      <w:tr w:rsidR="00A56B1F" w:rsidRPr="00C17333" w14:paraId="33C7F5F3" w14:textId="77777777" w:rsidTr="001E7AF5">
        <w:trPr>
          <w:trHeight w:hRule="exact" w:val="73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2FED4" w14:textId="77777777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86F963" w14:textId="3D377BFE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&lt;</w:t>
            </w:r>
            <w:r w:rsidR="004F3462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2</w:t>
            </w:r>
            <w:r w:rsidR="004F3462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év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31A13CC" w14:textId="01F16F35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2</w:t>
            </w:r>
            <w:r w:rsidR="004F3462" w:rsidRPr="00E5148F">
              <w:rPr>
                <w:rStyle w:val="Bodytext2Bold"/>
                <w:rFonts w:eastAsiaTheme="minorHAnsi"/>
                <w:lang w:val="hu-HU"/>
              </w:rPr>
              <w:t> – </w:t>
            </w:r>
            <w:r w:rsidRPr="00E5148F">
              <w:rPr>
                <w:rStyle w:val="Bodytext2Bold"/>
                <w:rFonts w:eastAsiaTheme="minorHAnsi"/>
                <w:lang w:val="hu-HU"/>
              </w:rPr>
              <w:t>&lt;</w:t>
            </w:r>
            <w:r w:rsidR="004F3462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6</w:t>
            </w:r>
            <w:r w:rsidR="004F3462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év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5C9A36F" w14:textId="1F252B8C" w:rsidR="00A56B1F" w:rsidRPr="00E5148F" w:rsidRDefault="00A56B1F" w:rsidP="001E7AF5">
            <w:pPr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6</w:t>
            </w:r>
            <w:r w:rsidR="001C406B" w:rsidRPr="00E5148F">
              <w:rPr>
                <w:rStyle w:val="Bodytext2Bold"/>
                <w:rFonts w:eastAsiaTheme="minorHAnsi"/>
                <w:lang w:val="hu-HU"/>
              </w:rPr>
              <w:t> – </w:t>
            </w:r>
            <w:r w:rsidRPr="00E5148F">
              <w:rPr>
                <w:rStyle w:val="Bodytext2Bold"/>
                <w:rFonts w:eastAsiaTheme="minorHAnsi"/>
                <w:lang w:val="hu-HU"/>
              </w:rPr>
              <w:t>&lt;</w:t>
            </w:r>
            <w:r w:rsidR="001C406B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12</w:t>
            </w:r>
            <w:r w:rsidR="001C406B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év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D9C441E" w14:textId="78D721D9" w:rsidR="00A56B1F" w:rsidRPr="00E5148F" w:rsidRDefault="00A56B1F" w:rsidP="001E7AF5">
            <w:pPr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12 - &lt;17</w:t>
            </w:r>
            <w:r w:rsidR="009B7FC9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év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AE79D4C" w14:textId="43384D10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3</w:t>
            </w:r>
            <w:r w:rsidR="004F3462" w:rsidRPr="00E5148F">
              <w:rPr>
                <w:rStyle w:val="Bodytext2Bold"/>
                <w:rFonts w:eastAsiaTheme="minorHAnsi"/>
                <w:lang w:val="hu-HU"/>
              </w:rPr>
              <w:t>,</w:t>
            </w:r>
            <w:r w:rsidRPr="00E5148F">
              <w:rPr>
                <w:rStyle w:val="Bodytext2Bold"/>
                <w:rFonts w:eastAsiaTheme="minorHAnsi"/>
                <w:lang w:val="hu-HU"/>
              </w:rPr>
              <w:t>0</w:t>
            </w:r>
            <w:r w:rsidR="009B7FC9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μg/kg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A6EC3" w14:textId="22EF6213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10</w:t>
            </w:r>
            <w:r w:rsidR="009B7FC9" w:rsidRPr="00E5148F">
              <w:rPr>
                <w:rStyle w:val="Bodytext2Bold"/>
                <w:rFonts w:eastAsiaTheme="minorHAnsi"/>
                <w:lang w:val="hu-HU"/>
              </w:rPr>
              <w:t> </w:t>
            </w:r>
            <w:r w:rsidRPr="00E5148F">
              <w:rPr>
                <w:rStyle w:val="Bodytext2Bold"/>
                <w:rFonts w:eastAsiaTheme="minorHAnsi"/>
                <w:lang w:val="hu-HU"/>
              </w:rPr>
              <w:t>μg/kg</w:t>
            </w:r>
          </w:p>
        </w:tc>
      </w:tr>
      <w:tr w:rsidR="00A56B1F" w:rsidRPr="00C17333" w14:paraId="11F0A066" w14:textId="77777777" w:rsidTr="001E7AF5">
        <w:trPr>
          <w:trHeight w:hRule="exact" w:val="42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32D38" w14:textId="77777777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B5A6AD3" w14:textId="77777777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6C1044F" w14:textId="77777777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5CF1481" w14:textId="77777777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4526F7C" w14:textId="77777777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98B9AA0" w14:textId="77777777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7B6E7" w14:textId="77777777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N=5</w:t>
            </w:r>
          </w:p>
        </w:tc>
      </w:tr>
      <w:tr w:rsidR="00A56B1F" w:rsidRPr="00C17333" w14:paraId="62983229" w14:textId="77777777" w:rsidTr="001E7AF5">
        <w:trPr>
          <w:trHeight w:hRule="exact" w:val="70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632C8" w14:textId="55304879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AUC</w:t>
            </w:r>
            <w:r w:rsidR="0014551C" w:rsidRPr="00E5148F">
              <w:rPr>
                <w:sz w:val="22"/>
                <w:szCs w:val="22"/>
                <w:vertAlign w:val="subscript"/>
                <w:lang w:val="hu-HU"/>
              </w:rPr>
              <w:t>0-</w:t>
            </w:r>
            <w:r w:rsidR="0014551C" w:rsidRPr="00E5148F">
              <w:rPr>
                <w:sz w:val="22"/>
                <w:szCs w:val="22"/>
                <w:vertAlign w:val="subscript"/>
                <w:lang w:val="hu-HU"/>
              </w:rPr>
              <w:sym w:font="Symbol" w:char="F0A5"/>
            </w:r>
            <w:r w:rsidRPr="00E5148F">
              <w:rPr>
                <w:rStyle w:val="Bodytext2"/>
                <w:rFonts w:eastAsiaTheme="minorHAnsi"/>
                <w:lang w:val="hu-HU"/>
              </w:rPr>
              <w:t>, h</w:t>
            </w:r>
            <w:r w:rsidR="001C406B" w:rsidRPr="00E5148F">
              <w:rPr>
                <w:rStyle w:val="Bodytext2"/>
                <w:rFonts w:eastAsiaTheme="minorHAnsi"/>
                <w:b/>
                <w:lang w:val="hu-HU"/>
              </w:rPr>
              <w:sym w:font="Symbol" w:char="F0D7"/>
            </w:r>
            <w:r w:rsidR="0014551C" w:rsidRPr="00E5148F">
              <w:rPr>
                <w:rStyle w:val="Bodytext2"/>
                <w:rFonts w:eastAsiaTheme="minorHAnsi"/>
                <w:lang w:val="hu-HU"/>
              </w:rPr>
              <w:t>μ</w:t>
            </w:r>
            <w:r w:rsidRPr="00E5148F">
              <w:rPr>
                <w:rStyle w:val="Bodytext2"/>
                <w:rFonts w:eastAsiaTheme="minorHAnsi"/>
                <w:lang w:val="hu-HU"/>
              </w:rPr>
              <w:t>g/</w:t>
            </w:r>
            <w:r w:rsidR="001C406B" w:rsidRPr="00E5148F">
              <w:rPr>
                <w:rStyle w:val="Bodytext2"/>
                <w:rFonts w:eastAsiaTheme="minorHAnsi"/>
                <w:lang w:val="hu-H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B1718AB" w14:textId="18F9AB90" w:rsidR="00A56B1F" w:rsidRPr="00E5148F" w:rsidRDefault="00A56B1F" w:rsidP="001E7AF5">
            <w:pPr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69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</w:p>
          <w:p w14:paraId="001A3530" w14:textId="732E2A59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(49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877167B" w14:textId="700461F0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103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5</w:t>
            </w:r>
          </w:p>
          <w:p w14:paraId="5BA62E52" w14:textId="31BCC083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(40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14BEC81" w14:textId="26440691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98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7</w:t>
            </w:r>
          </w:p>
          <w:p w14:paraId="28BCCA8F" w14:textId="35E8B9C7" w:rsidR="00A56B1F" w:rsidRPr="00E5148F" w:rsidRDefault="00A56B1F" w:rsidP="001E7AF5">
            <w:pPr>
              <w:widowControl w:val="0"/>
              <w:ind w:left="22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(47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7)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DB3A48A" w14:textId="5EF1A390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124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5</w:t>
            </w:r>
          </w:p>
          <w:p w14:paraId="1FBC451C" w14:textId="692EE69A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(19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1)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4B40A22" w14:textId="6EC4B527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35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8</w:t>
            </w:r>
          </w:p>
          <w:p w14:paraId="59F56E5A" w14:textId="6C940189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(20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9)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74EC8" w14:textId="48949B55" w:rsidR="00A56B1F" w:rsidRPr="00E5148F" w:rsidRDefault="00A56B1F" w:rsidP="001E7AF5">
            <w:pPr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81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8</w:t>
            </w:r>
          </w:p>
          <w:p w14:paraId="42B63190" w14:textId="23649B00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(23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9)</w:t>
            </w:r>
          </w:p>
        </w:tc>
      </w:tr>
      <w:tr w:rsidR="00A56B1F" w:rsidRPr="00C17333" w14:paraId="6D4FDA18" w14:textId="77777777" w:rsidTr="001E7AF5">
        <w:trPr>
          <w:trHeight w:hRule="exact" w:val="7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C9285D" w14:textId="4FFF89D4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t</w:t>
            </w:r>
            <w:r w:rsidR="00DD7286" w:rsidRPr="00E5148F">
              <w:rPr>
                <w:rStyle w:val="Bodytext2"/>
                <w:rFonts w:eastAsiaTheme="minorHAnsi"/>
                <w:vertAlign w:val="subscript"/>
                <w:lang w:val="hu-HU"/>
              </w:rPr>
              <w:t>1/2</w:t>
            </w:r>
            <w:r w:rsidRPr="00E5148F">
              <w:rPr>
                <w:rStyle w:val="Bodytext2"/>
                <w:rFonts w:eastAsiaTheme="minorHAnsi"/>
                <w:lang w:val="hu-HU"/>
              </w:rPr>
              <w:t>, óra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71E269D" w14:textId="2C709D12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24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ABC4308" w14:textId="77777777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3645642" w14:textId="5128D430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23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B4DFF57" w14:textId="6067580C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30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A496C86" w14:textId="2872754C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56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4</w:t>
            </w:r>
          </w:p>
          <w:p w14:paraId="0DD501D6" w14:textId="6A91E062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(5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81)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B42836" w14:textId="7902B906" w:rsidR="00A56B1F" w:rsidRPr="00E5148F" w:rsidRDefault="00A56B1F" w:rsidP="001E7AF5">
            <w:pPr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49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8</w:t>
            </w:r>
          </w:p>
          <w:p w14:paraId="7D7785AB" w14:textId="6ABEC814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(14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4)</w:t>
            </w:r>
          </w:p>
        </w:tc>
      </w:tr>
      <w:tr w:rsidR="00A56B1F" w:rsidRPr="00C17333" w14:paraId="5970B95F" w14:textId="77777777" w:rsidTr="001E7AF5">
        <w:trPr>
          <w:trHeight w:hRule="exact" w:val="42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EB6FE" w14:textId="77777777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16EF3E2" w14:textId="77777777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88EF520" w14:textId="77777777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F5EA62B" w14:textId="77777777" w:rsidR="00A56B1F" w:rsidRPr="00E5148F" w:rsidRDefault="00A56B1F" w:rsidP="001E7AF5">
            <w:pPr>
              <w:widowControl w:val="0"/>
              <w:ind w:left="22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N=13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D19756C" w14:textId="77777777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N=19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4BA73BF" w14:textId="77777777" w:rsidR="00A56B1F" w:rsidRPr="00E5148F" w:rsidRDefault="00A56B1F" w:rsidP="001E7AF5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7331D" w14:textId="77777777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Bold"/>
                <w:rFonts w:eastAsiaTheme="minorHAnsi"/>
                <w:lang w:val="hu-HU"/>
              </w:rPr>
              <w:t>N=5</w:t>
            </w:r>
          </w:p>
        </w:tc>
      </w:tr>
      <w:tr w:rsidR="00A56B1F" w:rsidRPr="00C17333" w14:paraId="47002A0C" w14:textId="77777777" w:rsidTr="001E7AF5">
        <w:trPr>
          <w:trHeight w:hRule="exact" w:val="70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84698C" w14:textId="0384D0EE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 xml:space="preserve">Clearance </w:t>
            </w:r>
            <w:r w:rsidRPr="00E5148F">
              <w:rPr>
                <w:rStyle w:val="Bodytext2"/>
                <w:rFonts w:eastAsiaTheme="minorHAnsi"/>
                <w:vertAlign w:val="superscript"/>
                <w:lang w:val="hu-HU"/>
              </w:rPr>
              <w:t>c</w:t>
            </w:r>
            <w:r w:rsidRPr="00E5148F">
              <w:rPr>
                <w:rStyle w:val="Bodytext2"/>
                <w:rFonts w:eastAsiaTheme="minorHAnsi"/>
                <w:lang w:val="hu-HU"/>
              </w:rPr>
              <w:t xml:space="preserve">, </w:t>
            </w:r>
            <w:r w:rsidR="00DD7286" w:rsidRPr="00E5148F">
              <w:rPr>
                <w:rStyle w:val="Bodytext2"/>
                <w:rFonts w:eastAsiaTheme="minorHAnsi"/>
                <w:lang w:val="hu-HU"/>
              </w:rPr>
              <w:t>l</w:t>
            </w:r>
            <w:r w:rsidRPr="00E5148F">
              <w:rPr>
                <w:rStyle w:val="Bodytext2"/>
                <w:rFonts w:eastAsiaTheme="minorHAnsi"/>
                <w:lang w:val="hu-HU"/>
              </w:rPr>
              <w:t>/h/kg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6D1F93F" w14:textId="514B30DF" w:rsidR="00A56B1F" w:rsidRPr="00E5148F" w:rsidRDefault="00A56B1F" w:rsidP="001E7AF5">
            <w:pPr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31</w:t>
            </w:r>
          </w:p>
          <w:p w14:paraId="7053DA79" w14:textId="6A1F2186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(34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BF14612" w14:textId="76D36AEF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23</w:t>
            </w:r>
          </w:p>
          <w:p w14:paraId="521A12F4" w14:textId="4C93386B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(51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D56027E" w14:textId="1D522554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19</w:t>
            </w:r>
          </w:p>
          <w:p w14:paraId="77AA6C2B" w14:textId="44A663E9" w:rsidR="00A56B1F" w:rsidRPr="00E5148F" w:rsidRDefault="00A56B1F" w:rsidP="001E7AF5">
            <w:pPr>
              <w:widowControl w:val="0"/>
              <w:ind w:left="22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(46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8)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004AA00" w14:textId="1C2C1D5D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16</w:t>
            </w:r>
          </w:p>
          <w:p w14:paraId="2DFAAFEC" w14:textId="2AB66DFE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(27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8)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53BB61F" w14:textId="746E6E77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10</w:t>
            </w:r>
          </w:p>
          <w:p w14:paraId="5EC67E61" w14:textId="00BC1DE8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04)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B3523" w14:textId="15525760" w:rsidR="00A56B1F" w:rsidRPr="00E5148F" w:rsidRDefault="00A56B1F" w:rsidP="001E7AF5">
            <w:pPr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13</w:t>
            </w:r>
          </w:p>
          <w:p w14:paraId="7D62811D" w14:textId="1DC73C73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05)</w:t>
            </w:r>
          </w:p>
        </w:tc>
      </w:tr>
      <w:tr w:rsidR="00A56B1F" w:rsidRPr="00C17333" w14:paraId="6F832CAF" w14:textId="77777777" w:rsidTr="001E7AF5">
        <w:trPr>
          <w:trHeight w:hRule="exact" w:val="72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59F994" w14:textId="20360E62" w:rsidR="00A56B1F" w:rsidRPr="00E5148F" w:rsidRDefault="00A56B1F" w:rsidP="001E7AF5">
            <w:pPr>
              <w:widowControl w:val="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 xml:space="preserve">Eloszlási térfogat </w:t>
            </w:r>
            <w:r w:rsidRPr="00E5148F">
              <w:rPr>
                <w:rStyle w:val="Bodytext2"/>
                <w:rFonts w:eastAsiaTheme="minorHAnsi"/>
                <w:vertAlign w:val="superscript"/>
                <w:lang w:val="hu-HU"/>
              </w:rPr>
              <w:t>c, d</w:t>
            </w:r>
            <w:r w:rsidRPr="00E5148F">
              <w:rPr>
                <w:rStyle w:val="Bodytext2"/>
                <w:rFonts w:eastAsiaTheme="minorHAnsi"/>
                <w:lang w:val="hu-HU"/>
              </w:rPr>
              <w:t xml:space="preserve">, </w:t>
            </w:r>
            <w:r w:rsidR="00DD7286" w:rsidRPr="00E5148F">
              <w:rPr>
                <w:rStyle w:val="Bodytext2"/>
                <w:rFonts w:eastAsiaTheme="minorHAnsi"/>
                <w:lang w:val="hu-HU"/>
              </w:rPr>
              <w:t>l</w:t>
            </w:r>
            <w:r w:rsidRPr="00E5148F">
              <w:rPr>
                <w:rStyle w:val="Bodytext2"/>
                <w:rFonts w:eastAsiaTheme="minorHAnsi"/>
                <w:lang w:val="hu-HU"/>
              </w:rPr>
              <w:t>/kg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2C8A032" w14:textId="06B02FCF" w:rsidR="00A56B1F" w:rsidRPr="00E5148F" w:rsidRDefault="00A56B1F" w:rsidP="001E7AF5">
            <w:pPr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6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08</w:t>
            </w:r>
          </w:p>
          <w:p w14:paraId="75B67AB3" w14:textId="31670EB4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(36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48E0B60" w14:textId="7F102D1A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5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29</w:t>
            </w:r>
          </w:p>
          <w:p w14:paraId="085766E0" w14:textId="0ABFD919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(57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C1262BD" w14:textId="7839ABD9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6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26</w:t>
            </w:r>
          </w:p>
          <w:p w14:paraId="0862AB74" w14:textId="2FA155EB" w:rsidR="00A56B1F" w:rsidRPr="00E5148F" w:rsidRDefault="00A56B1F" w:rsidP="001E7AF5">
            <w:pPr>
              <w:widowControl w:val="0"/>
              <w:ind w:left="22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(40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0)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C583CDC" w14:textId="51A6F1A6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6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20</w:t>
            </w:r>
          </w:p>
          <w:p w14:paraId="702394D8" w14:textId="48CA4B1A" w:rsidR="00A56B1F" w:rsidRPr="00E5148F" w:rsidRDefault="00A56B1F" w:rsidP="001E7AF5">
            <w:pPr>
              <w:widowControl w:val="0"/>
              <w:ind w:left="26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(29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0)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01202E7" w14:textId="18A93A54" w:rsidR="00A56B1F" w:rsidRPr="00E5148F" w:rsidRDefault="00A56B1F" w:rsidP="001E7AF5">
            <w:pPr>
              <w:jc w:val="center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7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91</w:t>
            </w:r>
          </w:p>
          <w:p w14:paraId="6E062910" w14:textId="2C5BF0F3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(2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53)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24026" w14:textId="410B9F43" w:rsidR="00A56B1F" w:rsidRPr="00E5148F" w:rsidRDefault="00A56B1F" w:rsidP="001E7AF5">
            <w:pPr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9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56</w:t>
            </w:r>
          </w:p>
          <w:p w14:paraId="3D43DD07" w14:textId="10065D68" w:rsidR="00A56B1F" w:rsidRPr="00E5148F" w:rsidRDefault="00A56B1F" w:rsidP="001E7AF5">
            <w:pPr>
              <w:widowControl w:val="0"/>
              <w:ind w:left="240"/>
              <w:rPr>
                <w:sz w:val="22"/>
                <w:szCs w:val="22"/>
                <w:lang w:val="hu-HU"/>
              </w:rPr>
            </w:pPr>
            <w:r w:rsidRPr="00E5148F">
              <w:rPr>
                <w:rStyle w:val="Bodytext2"/>
                <w:rFonts w:eastAsiaTheme="minorHAnsi"/>
                <w:lang w:val="hu-HU"/>
              </w:rPr>
              <w:t>(4</w:t>
            </w:r>
            <w:r w:rsidR="009B7FC9" w:rsidRPr="00E5148F">
              <w:rPr>
                <w:rStyle w:val="Bodytext2"/>
                <w:rFonts w:eastAsiaTheme="minorHAnsi"/>
                <w:lang w:val="hu-HU"/>
              </w:rPr>
              <w:t>,</w:t>
            </w:r>
            <w:r w:rsidRPr="00E5148F">
              <w:rPr>
                <w:rStyle w:val="Bodytext2"/>
                <w:rFonts w:eastAsiaTheme="minorHAnsi"/>
                <w:lang w:val="hu-HU"/>
              </w:rPr>
              <w:t>21)</w:t>
            </w:r>
          </w:p>
        </w:tc>
      </w:tr>
    </w:tbl>
    <w:p w14:paraId="165618EF" w14:textId="460269D5" w:rsidR="00A56B1F" w:rsidRPr="00E5148F" w:rsidRDefault="00A56B1F" w:rsidP="001E7AF5">
      <w:pPr>
        <w:tabs>
          <w:tab w:val="left" w:pos="1005"/>
        </w:tabs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Mértani átlag (CV) formájában kifejezett farmakokinetikai paraméterek, kivéve a </w:t>
      </w:r>
      <w:r w:rsidR="00AB444C" w:rsidRPr="00E5148F">
        <w:rPr>
          <w:sz w:val="22"/>
          <w:szCs w:val="22"/>
          <w:lang w:val="hu-HU"/>
        </w:rPr>
        <w:t>t</w:t>
      </w:r>
      <w:r w:rsidRPr="00E5148F">
        <w:rPr>
          <w:sz w:val="22"/>
          <w:szCs w:val="22"/>
          <w:vertAlign w:val="subscript"/>
          <w:lang w:val="hu-HU"/>
        </w:rPr>
        <w:t>½</w:t>
      </w:r>
      <w:r w:rsidRPr="00E5148F">
        <w:rPr>
          <w:sz w:val="22"/>
          <w:szCs w:val="22"/>
          <w:lang w:val="hu-HU"/>
        </w:rPr>
        <w:t xml:space="preserve"> esetében, ami medián. </w:t>
      </w:r>
    </w:p>
    <w:p w14:paraId="000736E9" w14:textId="2ED6FBC2" w:rsidR="00A56B1F" w:rsidRPr="00E5148F" w:rsidRDefault="00A56B1F" w:rsidP="001E7AF5">
      <w:pPr>
        <w:tabs>
          <w:tab w:val="left" w:pos="1005"/>
        </w:tabs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b </w:t>
      </w:r>
      <w:r w:rsidR="004567EE" w:rsidRPr="00E5148F">
        <w:rPr>
          <w:sz w:val="22"/>
          <w:szCs w:val="22"/>
          <w:lang w:val="hu-HU"/>
        </w:rPr>
        <w:t xml:space="preserve">Számtani </w:t>
      </w:r>
      <w:r w:rsidRPr="00E5148F">
        <w:rPr>
          <w:sz w:val="22"/>
          <w:szCs w:val="22"/>
          <w:lang w:val="hu-HU"/>
        </w:rPr>
        <w:t xml:space="preserve">átlag (SD) formájában kifejezett farmakokinetikai paraméterek </w:t>
      </w:r>
    </w:p>
    <w:p w14:paraId="2FD230F5" w14:textId="77777777" w:rsidR="00A56B1F" w:rsidRPr="00E5148F" w:rsidRDefault="00A56B1F" w:rsidP="001E7AF5">
      <w:pPr>
        <w:tabs>
          <w:tab w:val="left" w:pos="1005"/>
        </w:tabs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lastRenderedPageBreak/>
        <w:t xml:space="preserve">c Gyermekkorú betegeknél a clearance és az eloszlási térfogat mind a 10 µg/kg-os, mind a 20 µg/kg-os dóziscsoport összevont adataiból, a testtömegre korrigálva került kiszámításra. Felnőttek esetében a különböző dózisszintek az oszlopfejlécben vannak feltüntetve. </w:t>
      </w:r>
    </w:p>
    <w:p w14:paraId="2DACF635" w14:textId="77777777" w:rsidR="0087639B" w:rsidRPr="00E5148F" w:rsidRDefault="00A56B1F" w:rsidP="001E7AF5">
      <w:pPr>
        <w:tabs>
          <w:tab w:val="left" w:pos="1005"/>
        </w:tabs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d A Vss-értékeket gyermekkorú rákos betegeknél, míg a Vz-értékeket felnőtt rákos betegeknél jelentették.</w:t>
      </w:r>
    </w:p>
    <w:p w14:paraId="1C6E1A75" w14:textId="77777777" w:rsidR="00A56B1F" w:rsidRPr="00E5148F" w:rsidRDefault="00A56B1F" w:rsidP="001E7AF5">
      <w:pPr>
        <w:rPr>
          <w:i/>
          <w:sz w:val="22"/>
          <w:szCs w:val="22"/>
          <w:lang w:val="hu-HU"/>
        </w:rPr>
      </w:pPr>
    </w:p>
    <w:p w14:paraId="46F9CB20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Vesekárosodás</w:t>
      </w:r>
    </w:p>
    <w:p w14:paraId="77F2758B" w14:textId="1B6267BD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enyhe, ill</w:t>
      </w:r>
      <w:r w:rsidR="00BE5036" w:rsidRPr="00E5148F">
        <w:rPr>
          <w:sz w:val="22"/>
          <w:szCs w:val="22"/>
          <w:lang w:val="hu-HU"/>
        </w:rPr>
        <w:t>etve</w:t>
      </w:r>
      <w:r w:rsidRPr="00E5148F">
        <w:rPr>
          <w:sz w:val="22"/>
          <w:szCs w:val="22"/>
          <w:lang w:val="hu-HU"/>
        </w:rPr>
        <w:t xml:space="preserve"> mérsékelt vesekárosodás nem befolyásolja lényegesen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farmakokinetikai paramétereit. A súlyos vesekárosodás csökkenti a vese</w:t>
      </w:r>
      <w:r w:rsidR="005A7BA9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 xml:space="preserve">clearance-t, azonban a </w:t>
      </w:r>
      <w:r w:rsidR="005A7BA9" w:rsidRPr="00E5148F">
        <w:rPr>
          <w:sz w:val="22"/>
          <w:szCs w:val="22"/>
          <w:lang w:val="hu-HU"/>
        </w:rPr>
        <w:t xml:space="preserve">teljes test </w:t>
      </w:r>
      <w:r w:rsidRPr="00E5148F">
        <w:rPr>
          <w:sz w:val="22"/>
          <w:szCs w:val="22"/>
          <w:lang w:val="hu-HU"/>
        </w:rPr>
        <w:t>clearance értéke az egészséges alanyokéhoz hasonló. Veseelégtelenségben szenvedő betegek esetén nem szükséges a dózis módosítása. Hemodializált betegekr</w:t>
      </w:r>
      <w:r w:rsidR="009D357A" w:rsidRPr="00E5148F">
        <w:rPr>
          <w:sz w:val="22"/>
          <w:szCs w:val="22"/>
          <w:lang w:val="hu-HU"/>
        </w:rPr>
        <w:t>e vonatkozóan nem állnak rendelkezésre farmokokinetikai</w:t>
      </w:r>
      <w:r w:rsidRPr="00E5148F">
        <w:rPr>
          <w:sz w:val="22"/>
          <w:szCs w:val="22"/>
          <w:lang w:val="hu-HU"/>
        </w:rPr>
        <w:t xml:space="preserve"> adatok.</w:t>
      </w:r>
    </w:p>
    <w:p w14:paraId="2B945D6B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75D09887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i/>
          <w:sz w:val="22"/>
          <w:szCs w:val="22"/>
          <w:lang w:val="hu-HU"/>
        </w:rPr>
        <w:t>Májkárosodás</w:t>
      </w:r>
    </w:p>
    <w:p w14:paraId="6C1E51FC" w14:textId="121C3B82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Egészséges egyénekhez viszonyítva a májkárosodás nem befolyásolja jelentősen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</w:t>
      </w:r>
      <w:r w:rsidR="005A4F94" w:rsidRPr="00E5148F">
        <w:rPr>
          <w:sz w:val="22"/>
          <w:szCs w:val="22"/>
          <w:lang w:val="hu-HU"/>
        </w:rPr>
        <w:t xml:space="preserve"> </w:t>
      </w:r>
      <w:r w:rsidR="005A7BA9" w:rsidRPr="00E5148F">
        <w:rPr>
          <w:sz w:val="22"/>
          <w:szCs w:val="22"/>
          <w:lang w:val="hu-HU"/>
        </w:rPr>
        <w:t xml:space="preserve">teljes test </w:t>
      </w:r>
      <w:r w:rsidRPr="00E5148F">
        <w:rPr>
          <w:sz w:val="22"/>
          <w:szCs w:val="22"/>
          <w:lang w:val="hu-HU"/>
        </w:rPr>
        <w:t>clearance-ét. Bár a súlyos májkárosodásban szenvedő betegeknél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terminális</w:t>
      </w:r>
      <w:r w:rsidR="005A7BA9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eliminációs felezési ideje és az átlagos szisztémás expozíció hosszabb, ez nem indokolja a dózis csökkentését.</w:t>
      </w:r>
    </w:p>
    <w:p w14:paraId="623C2D9A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39AE4CEE" w14:textId="5B982631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5.3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 preklinikai biztonságossági vizsgálatok eredményei</w:t>
      </w:r>
    </w:p>
    <w:p w14:paraId="6ECA1416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6FFE563A" w14:textId="18F92D5D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nem klinikai vizsgálatok során csak a maximális humán expozíciót jóval meghaladó expozíciónak</w:t>
      </w:r>
      <w:r w:rsidR="005A7BA9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voltak következményei, melyeknek a klinikai alkalmazás szempontjából csekély a jelentősége.</w:t>
      </w:r>
    </w:p>
    <w:p w14:paraId="158F4CB9" w14:textId="77777777" w:rsidR="009F22F7" w:rsidRPr="00E5148F" w:rsidRDefault="009F22F7" w:rsidP="001E7AF5">
      <w:pPr>
        <w:rPr>
          <w:sz w:val="22"/>
          <w:szCs w:val="22"/>
          <w:lang w:val="hu-HU"/>
        </w:rPr>
      </w:pPr>
    </w:p>
    <w:p w14:paraId="0454F176" w14:textId="602397B5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Nem-klinikai vizsgálatok eredményei szerint nagyon magas koncentrációk mellett előfordulhat, hogy a</w:t>
      </w:r>
      <w:r w:rsidR="009F22F7" w:rsidRPr="00E5148F">
        <w:rPr>
          <w:sz w:val="22"/>
          <w:szCs w:val="22"/>
          <w:lang w:val="hu-HU"/>
        </w:rPr>
        <w:t xml:space="preserve"> </w:t>
      </w:r>
      <w:r w:rsidRPr="00E5148F">
        <w:rPr>
          <w:sz w:val="22"/>
          <w:szCs w:val="22"/>
          <w:lang w:val="hu-HU"/>
        </w:rPr>
        <w:t>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blokkolja a kamrai depolarizációban és repolarizációban szerepet játszó ioncsatornákat, és meg</w:t>
      </w:r>
      <w:r w:rsidR="00956328" w:rsidRPr="00E5148F">
        <w:rPr>
          <w:sz w:val="22"/>
          <w:szCs w:val="22"/>
          <w:lang w:val="hu-HU"/>
        </w:rPr>
        <w:t>nyújtja</w:t>
      </w:r>
      <w:r w:rsidRPr="00E5148F">
        <w:rPr>
          <w:sz w:val="22"/>
          <w:szCs w:val="22"/>
          <w:lang w:val="hu-HU"/>
        </w:rPr>
        <w:t xml:space="preserve"> az akciós potenciál </w:t>
      </w:r>
      <w:r w:rsidR="00956328" w:rsidRPr="00E5148F">
        <w:rPr>
          <w:sz w:val="22"/>
          <w:szCs w:val="22"/>
          <w:lang w:val="hu-HU"/>
        </w:rPr>
        <w:t>idő</w:t>
      </w:r>
      <w:r w:rsidRPr="00E5148F">
        <w:rPr>
          <w:sz w:val="22"/>
          <w:szCs w:val="22"/>
          <w:lang w:val="hu-HU"/>
        </w:rPr>
        <w:t>tartamát.</w:t>
      </w:r>
    </w:p>
    <w:p w14:paraId="49BFDE7C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60C711BD" w14:textId="322127DF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Az állatkísérletek nem utalnak a terhességet, az embrionális/magzati fejlődést, a szülést vagy a szülés utáni fejlődést közvetlenül vagy közvetett módon károsan befolyásoló hatásra. A placentán való átjutással kapcsolatban (lásd 4.6</w:t>
      </w:r>
      <w:r w:rsidR="00E46FB5" w:rsidRPr="00E5148F">
        <w:rPr>
          <w:sz w:val="22"/>
          <w:szCs w:val="22"/>
          <w:lang w:val="hu-HU"/>
        </w:rPr>
        <w:t xml:space="preserve"> pont</w:t>
      </w:r>
      <w:r w:rsidRPr="00E5148F">
        <w:rPr>
          <w:sz w:val="22"/>
          <w:szCs w:val="22"/>
          <w:lang w:val="hu-HU"/>
        </w:rPr>
        <w:t>) csak kevés számú</w:t>
      </w:r>
      <w:r w:rsidR="00161BDD" w:rsidRPr="00E5148F">
        <w:rPr>
          <w:sz w:val="22"/>
          <w:szCs w:val="22"/>
          <w:lang w:val="hu-HU"/>
        </w:rPr>
        <w:t>,</w:t>
      </w:r>
      <w:r w:rsidRPr="00E5148F">
        <w:rPr>
          <w:sz w:val="22"/>
          <w:szCs w:val="22"/>
          <w:lang w:val="hu-HU"/>
        </w:rPr>
        <w:t xml:space="preserve"> állatkísérletből származó adat áll rendelkezésre.</w:t>
      </w:r>
    </w:p>
    <w:p w14:paraId="50005F91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395F2AB2" w14:textId="54842BF3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nem mutagén. A palono</w:t>
      </w:r>
      <w:r w:rsidR="0026165F" w:rsidRPr="00E5148F">
        <w:rPr>
          <w:sz w:val="22"/>
          <w:szCs w:val="22"/>
          <w:lang w:val="hu-HU"/>
        </w:rPr>
        <w:t>s</w:t>
      </w:r>
      <w:r w:rsidRPr="00E5148F">
        <w:rPr>
          <w:sz w:val="22"/>
          <w:szCs w:val="22"/>
          <w:lang w:val="hu-HU"/>
        </w:rPr>
        <w:t>zetron két éven át naponta nagy dózisban (minden dózis a humán terápiás expozíció legalább 30-szorosát eredményezte) alkalmazva patkányokban növelte a májtumor, az endokrin tumorok (a pajzsmirigyben, a hipofízisben, a pajzsmirigyben, a mellékvesevelőben) és a bőrrák előfordulási arányát, egerek esetében azonban nem. A kiváltó mechanizmusok még nem teljesen</w:t>
      </w:r>
      <w:r w:rsidR="00E9413A" w:rsidRPr="00E5148F">
        <w:rPr>
          <w:sz w:val="22"/>
          <w:szCs w:val="22"/>
          <w:lang w:val="hu-HU"/>
        </w:rPr>
        <w:t xml:space="preserve"> ismertek</w:t>
      </w:r>
      <w:r w:rsidRPr="00E5148F">
        <w:rPr>
          <w:sz w:val="22"/>
          <w:szCs w:val="22"/>
          <w:lang w:val="hu-HU"/>
        </w:rPr>
        <w:t xml:space="preserve">, de mivel az itt alkalmazott dózisok nagyon magasak voltak, és mert </w:t>
      </w:r>
      <w:r w:rsidR="00970DF6" w:rsidRPr="00E5148F">
        <w:rPr>
          <w:sz w:val="22"/>
          <w:szCs w:val="22"/>
          <w:lang w:val="hu-HU"/>
        </w:rPr>
        <w:t>a Palonosetron</w:t>
      </w:r>
      <w:r w:rsidRPr="00E5148F">
        <w:rPr>
          <w:sz w:val="22"/>
          <w:szCs w:val="22"/>
          <w:lang w:val="hu-HU"/>
        </w:rPr>
        <w:t xml:space="preserve"> Onkogen humán alanyok esetén csakis egyszeri alkalmazásra szánt, ezek az adatok a klinikai gyakorlatban nem tekinthetők relevánsnak.</w:t>
      </w:r>
    </w:p>
    <w:p w14:paraId="7BC05B85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00F73B0F" w14:textId="77777777" w:rsidR="00E46FB5" w:rsidRPr="00E5148F" w:rsidRDefault="00E46FB5" w:rsidP="001E7AF5">
      <w:pPr>
        <w:rPr>
          <w:sz w:val="22"/>
          <w:szCs w:val="22"/>
          <w:lang w:val="hu-HU"/>
        </w:rPr>
      </w:pPr>
    </w:p>
    <w:p w14:paraId="1D840517" w14:textId="1C019D6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6.</w:t>
      </w:r>
      <w:r w:rsidR="002378E8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GYÓGYSZERÉSZETI JELLEMZŐK</w:t>
      </w:r>
    </w:p>
    <w:p w14:paraId="6CC3FBED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35A49242" w14:textId="05002873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6.1</w:t>
      </w:r>
      <w:r w:rsidR="002378E8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Segédanyagok felsorolása</w:t>
      </w:r>
    </w:p>
    <w:p w14:paraId="058BBBD5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4E07CBC9" w14:textId="0B18831F" w:rsidR="00DD6B8E" w:rsidRPr="00E5148F" w:rsidRDefault="00DD6B8E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m</w:t>
      </w:r>
      <w:r w:rsidR="00A56B1F" w:rsidRPr="00E5148F">
        <w:rPr>
          <w:sz w:val="22"/>
          <w:szCs w:val="22"/>
          <w:lang w:val="hu-HU"/>
        </w:rPr>
        <w:t>annit</w:t>
      </w:r>
    </w:p>
    <w:p w14:paraId="57F6B2B2" w14:textId="1ADB7BAD" w:rsidR="00DD6B8E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dinátrium-edetát</w:t>
      </w:r>
    </w:p>
    <w:p w14:paraId="5CB1834A" w14:textId="76FE166A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citromsav</w:t>
      </w:r>
      <w:r w:rsidR="00670983" w:rsidRPr="00E5148F">
        <w:rPr>
          <w:sz w:val="22"/>
          <w:szCs w:val="22"/>
          <w:lang w:val="hu-HU"/>
        </w:rPr>
        <w:t>-</w:t>
      </w:r>
      <w:r w:rsidRPr="00E5148F">
        <w:rPr>
          <w:sz w:val="22"/>
          <w:szCs w:val="22"/>
          <w:lang w:val="hu-HU"/>
        </w:rPr>
        <w:t>monohidrát</w:t>
      </w:r>
    </w:p>
    <w:p w14:paraId="040E322B" w14:textId="67499355" w:rsidR="00C110EA" w:rsidRPr="00E5148F" w:rsidRDefault="00C110EA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nátrium-citrát</w:t>
      </w:r>
    </w:p>
    <w:p w14:paraId="7C4889E5" w14:textId="4809FF1C" w:rsidR="00DD6B8E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nátrium-hidroxid (a pH beállításához)</w:t>
      </w:r>
    </w:p>
    <w:p w14:paraId="21068E78" w14:textId="1C1453F9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sósav (a pH beállításához)</w:t>
      </w:r>
    </w:p>
    <w:p w14:paraId="13944A3E" w14:textId="4D1717AB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injekcióhoz való víz</w:t>
      </w:r>
    </w:p>
    <w:p w14:paraId="3AF0EC4A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47A59C76" w14:textId="3330225E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6.2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Inkompatibilitások</w:t>
      </w:r>
    </w:p>
    <w:p w14:paraId="377042F2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68C4FCDA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Ez a gyógyszer nem keverhető más gyógyszerekkel.</w:t>
      </w:r>
    </w:p>
    <w:p w14:paraId="68252736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745E31A8" w14:textId="58A33B60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6.3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Felhasználhatósági időtartam</w:t>
      </w:r>
    </w:p>
    <w:p w14:paraId="5CA40193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1ADD54DF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5 év.</w:t>
      </w:r>
    </w:p>
    <w:p w14:paraId="380DBB24" w14:textId="5479B8F5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Az injekciós üveg felnyitása után azonnal fel kell használni, és a fel nem használt oldatot </w:t>
      </w:r>
      <w:r w:rsidR="00793F59" w:rsidRPr="00E5148F">
        <w:rPr>
          <w:sz w:val="22"/>
          <w:szCs w:val="22"/>
          <w:lang w:val="hu-HU"/>
        </w:rPr>
        <w:t>meg kell semmisíteni</w:t>
      </w:r>
      <w:r w:rsidRPr="00E5148F">
        <w:rPr>
          <w:sz w:val="22"/>
          <w:szCs w:val="22"/>
          <w:lang w:val="hu-HU"/>
        </w:rPr>
        <w:t>.</w:t>
      </w:r>
    </w:p>
    <w:p w14:paraId="01D11C8A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4E40800C" w14:textId="0CAEE0F0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6.4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Különleges tárolási előírások</w:t>
      </w:r>
    </w:p>
    <w:p w14:paraId="1B7D22C2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2AAB2127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Ez a gyógyszer nem igényel különleges tárolást.</w:t>
      </w:r>
    </w:p>
    <w:p w14:paraId="2C3A65B4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575C7E9C" w14:textId="2BF8178D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6.5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Csomagolás típusa és kiszerelése</w:t>
      </w:r>
    </w:p>
    <w:p w14:paraId="12721DD0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3EEE60B2" w14:textId="0AD99EC5" w:rsidR="00A56B1F" w:rsidRPr="00E5148F" w:rsidRDefault="00C110EA" w:rsidP="001E7AF5">
      <w:pPr>
        <w:rPr>
          <w:sz w:val="22"/>
          <w:szCs w:val="22"/>
          <w:lang w:val="hu-HU"/>
        </w:rPr>
      </w:pPr>
      <w:r w:rsidRPr="00E5148F">
        <w:rPr>
          <w:spacing w:val="-3"/>
          <w:sz w:val="22"/>
          <w:szCs w:val="22"/>
          <w:lang w:val="hu-HU"/>
        </w:rPr>
        <w:t>5 ml oldat szilikonizált klórbutil gumidugóval, alumínium kupakkal lezárt, PP lepattintható védőkupakkal ellátott, átlátszó I-es típusú injekciós üvegben és dobozban.</w:t>
      </w:r>
    </w:p>
    <w:p w14:paraId="5A0065FA" w14:textId="51551886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1 darab</w:t>
      </w:r>
      <w:r w:rsidR="00C110EA" w:rsidRPr="00E5148F">
        <w:rPr>
          <w:sz w:val="22"/>
          <w:szCs w:val="22"/>
          <w:lang w:val="hu-HU"/>
        </w:rPr>
        <w:t xml:space="preserve"> injekciós üveg dobozban</w:t>
      </w:r>
      <w:r w:rsidRPr="00E5148F">
        <w:rPr>
          <w:sz w:val="22"/>
          <w:szCs w:val="22"/>
          <w:lang w:val="hu-HU"/>
        </w:rPr>
        <w:t>.</w:t>
      </w:r>
    </w:p>
    <w:p w14:paraId="5C551570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47245FED" w14:textId="170AD672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6.6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 megsemmisítésre vonatkozó különleges óvintézkedések</w:t>
      </w:r>
    </w:p>
    <w:p w14:paraId="5980D2B3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3E20016F" w14:textId="0C770562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Egyszer használatos készítmény. A fel nem használt oldatot </w:t>
      </w:r>
      <w:r w:rsidR="00F83E2F" w:rsidRPr="00E5148F">
        <w:rPr>
          <w:sz w:val="22"/>
          <w:szCs w:val="22"/>
          <w:lang w:val="hu-HU"/>
        </w:rPr>
        <w:t>meg kell semmisíteni</w:t>
      </w:r>
      <w:r w:rsidRPr="00E5148F">
        <w:rPr>
          <w:sz w:val="22"/>
          <w:szCs w:val="22"/>
          <w:lang w:val="hu-HU"/>
        </w:rPr>
        <w:t>.</w:t>
      </w:r>
    </w:p>
    <w:p w14:paraId="6CE3C215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789999C2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7B829599" w14:textId="2E8267B5" w:rsidR="00CB6529" w:rsidRPr="00E5148F" w:rsidRDefault="00CB6529" w:rsidP="00CB6529">
      <w:pPr>
        <w:widowControl w:val="0"/>
        <w:suppressAutoHyphens/>
        <w:rPr>
          <w:bCs/>
          <w:sz w:val="22"/>
          <w:szCs w:val="22"/>
          <w:lang w:eastAsia="de-DE"/>
        </w:rPr>
      </w:pPr>
      <w:r w:rsidRPr="00E5148F">
        <w:rPr>
          <w:b/>
          <w:bCs/>
          <w:sz w:val="22"/>
          <w:szCs w:val="22"/>
          <w:lang w:eastAsia="de-DE"/>
        </w:rPr>
        <w:t>Megjegyzés</w:t>
      </w:r>
      <w:r w:rsidRPr="00E5148F">
        <w:rPr>
          <w:sz w:val="22"/>
          <w:szCs w:val="22"/>
          <w:lang w:eastAsia="de-DE"/>
        </w:rPr>
        <w:t xml:space="preserve">: </w:t>
      </w:r>
      <w:r w:rsidRPr="00E5148F">
        <w:rPr>
          <w:sz w:val="22"/>
          <w:szCs w:val="22"/>
          <w:lang w:eastAsia="de-DE"/>
        </w:rPr>
        <w:sym w:font="Wingdings" w:char="F058"/>
      </w:r>
      <w:r w:rsidRPr="00E5148F">
        <w:rPr>
          <w:bCs/>
          <w:sz w:val="22"/>
          <w:szCs w:val="22"/>
          <w:lang w:eastAsia="de-DE"/>
        </w:rPr>
        <w:t xml:space="preserve"> (egy kereszt</w:t>
      </w:r>
      <w:r>
        <w:rPr>
          <w:bCs/>
          <w:sz w:val="22"/>
          <w:szCs w:val="22"/>
          <w:lang w:eastAsia="de-DE"/>
        </w:rPr>
        <w:t>es</w:t>
      </w:r>
      <w:r w:rsidRPr="00E5148F">
        <w:rPr>
          <w:bCs/>
          <w:sz w:val="22"/>
          <w:szCs w:val="22"/>
          <w:lang w:eastAsia="de-DE"/>
        </w:rPr>
        <w:t>)</w:t>
      </w:r>
    </w:p>
    <w:p w14:paraId="4C1FC207" w14:textId="77777777" w:rsidR="00CB6529" w:rsidRPr="00E5148F" w:rsidRDefault="00CB6529" w:rsidP="00E5148F">
      <w:pPr>
        <w:rPr>
          <w:b/>
          <w:sz w:val="22"/>
          <w:szCs w:val="22"/>
        </w:rPr>
      </w:pPr>
      <w:r w:rsidRPr="00E5148F">
        <w:rPr>
          <w:b/>
          <w:sz w:val="22"/>
          <w:szCs w:val="22"/>
          <w:lang w:val="hu-HU"/>
        </w:rPr>
        <w:t xml:space="preserve">Osztályozás: </w:t>
      </w:r>
      <w:r w:rsidRPr="00E5148F">
        <w:rPr>
          <w:b/>
          <w:sz w:val="22"/>
          <w:szCs w:val="22"/>
        </w:rPr>
        <w:t>II./3. csoport</w:t>
      </w:r>
    </w:p>
    <w:p w14:paraId="28B111A5" w14:textId="1C7C051F" w:rsidR="00F83E2F" w:rsidRPr="00E5148F" w:rsidRDefault="00CB6529" w:rsidP="00E5148F">
      <w:pPr>
        <w:rPr>
          <w:sz w:val="22"/>
          <w:szCs w:val="22"/>
          <w:lang w:val="hu-HU"/>
        </w:rPr>
      </w:pPr>
      <w:r w:rsidRPr="00E5148F">
        <w:rPr>
          <w:sz w:val="22"/>
          <w:szCs w:val="22"/>
        </w:rPr>
        <w:t>Korlátozott érvényű orvosi rendelvényhez kötött, az egészségügyről szóló 1997. évi CLIV. törvény 3.</w:t>
      </w:r>
      <w:r>
        <w:rPr>
          <w:sz w:val="22"/>
          <w:szCs w:val="22"/>
        </w:rPr>
        <w:t> </w:t>
      </w:r>
      <w:r w:rsidRPr="00E5148F">
        <w:rPr>
          <w:sz w:val="22"/>
          <w:szCs w:val="22"/>
        </w:rPr>
        <w:t>§-ának ga) pontja szerinti rendelőintézeti járóbeteg-szakellátást vagy fekvőbeteg-szakellátást nyújtó szolgáltatók által biztosított körülmények között alkalmazható gyógyszer</w:t>
      </w:r>
      <w:r>
        <w:rPr>
          <w:sz w:val="22"/>
          <w:szCs w:val="22"/>
        </w:rPr>
        <w:t xml:space="preserve"> (I).</w:t>
      </w:r>
    </w:p>
    <w:p w14:paraId="6F083EF0" w14:textId="2A635D8C" w:rsidR="00CB6529" w:rsidRDefault="00CB6529" w:rsidP="001E7AF5">
      <w:pPr>
        <w:rPr>
          <w:sz w:val="22"/>
          <w:szCs w:val="22"/>
          <w:lang w:val="hu-HU"/>
        </w:rPr>
      </w:pPr>
    </w:p>
    <w:p w14:paraId="41088E1D" w14:textId="77777777" w:rsidR="00CB6529" w:rsidRPr="00E5148F" w:rsidRDefault="00CB6529" w:rsidP="001E7AF5">
      <w:pPr>
        <w:rPr>
          <w:sz w:val="22"/>
          <w:szCs w:val="22"/>
          <w:lang w:val="hu-HU"/>
        </w:rPr>
      </w:pPr>
    </w:p>
    <w:p w14:paraId="37ACAAAD" w14:textId="15D199B3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7.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 FORGALOMBA HOZATALI ENGEDÉLY JOGOSULTJA</w:t>
      </w:r>
    </w:p>
    <w:p w14:paraId="761C8AC8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400515FD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Onkogen Kft.</w:t>
      </w:r>
    </w:p>
    <w:p w14:paraId="1E296427" w14:textId="77777777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>1037 Budapest, Bécsi út 77-79.</w:t>
      </w:r>
    </w:p>
    <w:p w14:paraId="0CC31881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338FB1BB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2AA2147F" w14:textId="5F139C72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8.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 FORGALOMBA HOZATALI ENGEDÉLY SZÁMA(I)</w:t>
      </w:r>
    </w:p>
    <w:p w14:paraId="26F92381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3ED3DDC3" w14:textId="5A83480B" w:rsidR="00A56B1F" w:rsidRDefault="00DB7DB1" w:rsidP="00E5148F">
      <w:pPr>
        <w:tabs>
          <w:tab w:val="left" w:pos="2268"/>
          <w:tab w:val="left" w:pos="340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</w:t>
      </w:r>
      <w:r w:rsidR="00CB6529">
        <w:rPr>
          <w:sz w:val="22"/>
          <w:szCs w:val="22"/>
          <w:lang w:val="hu-HU"/>
        </w:rPr>
        <w:t>23829/01</w:t>
      </w:r>
      <w:r w:rsidR="00CB6529">
        <w:rPr>
          <w:sz w:val="22"/>
          <w:szCs w:val="22"/>
          <w:lang w:val="hu-HU"/>
        </w:rPr>
        <w:tab/>
        <w:t>1×5 ml</w:t>
      </w:r>
      <w:r w:rsidR="00CB6529">
        <w:rPr>
          <w:sz w:val="22"/>
          <w:szCs w:val="22"/>
          <w:lang w:val="hu-HU"/>
        </w:rPr>
        <w:tab/>
        <w:t>I-es típusú injekciós üveg</w:t>
      </w:r>
    </w:p>
    <w:p w14:paraId="46708AEA" w14:textId="77777777" w:rsidR="007E1A45" w:rsidRDefault="007E1A45" w:rsidP="001E7AF5">
      <w:pPr>
        <w:rPr>
          <w:sz w:val="22"/>
          <w:szCs w:val="22"/>
          <w:lang w:val="hu-HU"/>
        </w:rPr>
      </w:pPr>
    </w:p>
    <w:p w14:paraId="50AF6E10" w14:textId="77777777" w:rsidR="00DB7DB1" w:rsidRPr="00E5148F" w:rsidRDefault="00DB7DB1" w:rsidP="001E7AF5">
      <w:pPr>
        <w:rPr>
          <w:sz w:val="22"/>
          <w:szCs w:val="22"/>
          <w:lang w:val="hu-HU"/>
        </w:rPr>
      </w:pPr>
    </w:p>
    <w:p w14:paraId="56EDF2CA" w14:textId="7390A458" w:rsidR="00A56B1F" w:rsidRPr="00E5148F" w:rsidRDefault="00A56B1F" w:rsidP="00E5148F">
      <w:pPr>
        <w:ind w:left="567" w:hanging="567"/>
        <w:rPr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9.</w:t>
      </w:r>
      <w:r w:rsidR="00C80AB9" w:rsidRPr="00E5148F">
        <w:rPr>
          <w:b/>
          <w:sz w:val="22"/>
          <w:szCs w:val="22"/>
          <w:lang w:val="hu-HU"/>
        </w:rPr>
        <w:tab/>
      </w:r>
      <w:r w:rsidRPr="00E5148F">
        <w:rPr>
          <w:b/>
          <w:sz w:val="22"/>
          <w:szCs w:val="22"/>
          <w:lang w:val="hu-HU"/>
        </w:rPr>
        <w:t>A FORGALOMBA HOZATALI ENGEDÉLY ELSŐ KIADÁSÁNAK/</w:t>
      </w:r>
      <w:r w:rsidR="00C80AB9" w:rsidRPr="00E5148F">
        <w:rPr>
          <w:b/>
          <w:sz w:val="22"/>
          <w:szCs w:val="22"/>
          <w:lang w:val="hu-HU"/>
        </w:rPr>
        <w:t xml:space="preserve"> </w:t>
      </w:r>
      <w:r w:rsidRPr="00E5148F">
        <w:rPr>
          <w:b/>
          <w:sz w:val="22"/>
          <w:szCs w:val="22"/>
          <w:lang w:val="hu-HU"/>
        </w:rPr>
        <w:t>MEGÚJÍTÁSÁNAK DÁTUMA</w:t>
      </w:r>
    </w:p>
    <w:p w14:paraId="018822A0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5EA51589" w14:textId="108DB141" w:rsidR="00A56B1F" w:rsidRPr="00E5148F" w:rsidRDefault="00A56B1F" w:rsidP="001E7AF5">
      <w:pPr>
        <w:rPr>
          <w:sz w:val="22"/>
          <w:szCs w:val="22"/>
          <w:lang w:val="hu-HU"/>
        </w:rPr>
      </w:pPr>
      <w:r w:rsidRPr="00E5148F">
        <w:rPr>
          <w:sz w:val="22"/>
          <w:szCs w:val="22"/>
          <w:lang w:val="hu-HU"/>
        </w:rPr>
        <w:t xml:space="preserve">A forgalomba hozatali engedély első kiadásának dátuma: </w:t>
      </w:r>
      <w:r w:rsidR="00CB6529">
        <w:rPr>
          <w:sz w:val="22"/>
          <w:szCs w:val="22"/>
          <w:lang w:val="hu-HU"/>
        </w:rPr>
        <w:t>2021. február 16.</w:t>
      </w:r>
    </w:p>
    <w:p w14:paraId="006EC38A" w14:textId="7931DAA5" w:rsidR="00A56B1F" w:rsidRPr="00E5148F" w:rsidRDefault="0003338F" w:rsidP="001E7AF5">
      <w:pPr>
        <w:rPr>
          <w:sz w:val="22"/>
          <w:szCs w:val="22"/>
          <w:lang w:val="hu-HU"/>
        </w:rPr>
      </w:pPr>
      <w:r w:rsidRPr="00AA6FCB">
        <w:rPr>
          <w:sz w:val="22"/>
          <w:szCs w:val="22"/>
        </w:rPr>
        <w:t>A forgalomba hozatali engedély legutóbbi megújításának dátuma:</w:t>
      </w:r>
      <w:r>
        <w:rPr>
          <w:sz w:val="22"/>
          <w:szCs w:val="22"/>
        </w:rPr>
        <w:t xml:space="preserve"> 2025.</w:t>
      </w:r>
      <w:r w:rsidR="00605E0B">
        <w:rPr>
          <w:sz w:val="22"/>
          <w:szCs w:val="22"/>
        </w:rPr>
        <w:t xml:space="preserve"> december 05.</w:t>
      </w:r>
    </w:p>
    <w:p w14:paraId="34503D54" w14:textId="77777777" w:rsidR="00A56B1F" w:rsidRPr="00E5148F" w:rsidRDefault="00A56B1F" w:rsidP="001E7AF5">
      <w:pPr>
        <w:rPr>
          <w:sz w:val="22"/>
          <w:szCs w:val="22"/>
          <w:lang w:val="hu-HU"/>
        </w:rPr>
      </w:pPr>
    </w:p>
    <w:p w14:paraId="703DDB46" w14:textId="34E64591" w:rsidR="00A56B1F" w:rsidRPr="00E5148F" w:rsidRDefault="00A56B1F" w:rsidP="001E7AF5">
      <w:pPr>
        <w:rPr>
          <w:b/>
          <w:sz w:val="22"/>
          <w:szCs w:val="22"/>
          <w:lang w:val="hu-HU"/>
        </w:rPr>
      </w:pPr>
      <w:r w:rsidRPr="00E5148F">
        <w:rPr>
          <w:b/>
          <w:sz w:val="22"/>
          <w:szCs w:val="22"/>
          <w:lang w:val="hu-HU"/>
        </w:rPr>
        <w:t>10.</w:t>
      </w:r>
      <w:r w:rsidR="00C80AB9" w:rsidRPr="00E5148F">
        <w:rPr>
          <w:b/>
          <w:sz w:val="22"/>
          <w:szCs w:val="22"/>
          <w:lang w:val="hu-HU"/>
        </w:rPr>
        <w:tab/>
      </w:r>
      <w:r w:rsidR="00970DF6" w:rsidRPr="00E5148F">
        <w:rPr>
          <w:b/>
          <w:sz w:val="22"/>
          <w:szCs w:val="22"/>
          <w:lang w:val="hu-HU"/>
        </w:rPr>
        <w:t>A SZÖVEG ELLENŐRZÉSÉNEK DÁTUMA</w:t>
      </w:r>
    </w:p>
    <w:p w14:paraId="0F5CC9D7" w14:textId="77777777" w:rsidR="001E7AF5" w:rsidRPr="00E5148F" w:rsidRDefault="001E7AF5" w:rsidP="001E7AF5">
      <w:pPr>
        <w:rPr>
          <w:sz w:val="22"/>
          <w:szCs w:val="22"/>
          <w:lang w:val="hu-HU"/>
        </w:rPr>
      </w:pPr>
    </w:p>
    <w:p w14:paraId="397B1FAF" w14:textId="71AC96BC" w:rsidR="001E7AF5" w:rsidRPr="00E5148F" w:rsidRDefault="0003338F" w:rsidP="001E7AF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2025. </w:t>
      </w:r>
      <w:r w:rsidR="00605E0B">
        <w:rPr>
          <w:sz w:val="22"/>
          <w:szCs w:val="22"/>
          <w:lang w:val="hu-HU"/>
        </w:rPr>
        <w:t>december 05.</w:t>
      </w:r>
    </w:p>
    <w:sectPr w:rsidR="001E7AF5" w:rsidRPr="00E5148F" w:rsidSect="00E5148F">
      <w:footerReference w:type="default" r:id="rId8"/>
      <w:footerReference w:type="first" r:id="rId9"/>
      <w:pgSz w:w="11907" w:h="16840" w:code="9"/>
      <w:pgMar w:top="1134" w:right="1418" w:bottom="1134" w:left="1418" w:header="737" w:footer="737" w:gutter="0"/>
      <w:pgNumType w:start="37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9AD60" w14:textId="77777777" w:rsidR="003E1736" w:rsidRDefault="003E1736">
      <w:r>
        <w:separator/>
      </w:r>
    </w:p>
  </w:endnote>
  <w:endnote w:type="continuationSeparator" w:id="0">
    <w:p w14:paraId="17ADC951" w14:textId="77777777" w:rsidR="003E1736" w:rsidRDefault="003E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C361D" w14:textId="3A41C019" w:rsidR="00602F23" w:rsidRDefault="00602F23">
    <w:pPr>
      <w:spacing w:line="200" w:lineRule="exact"/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503313310" behindDoc="1" locked="0" layoutInCell="1" allowOverlap="1" wp14:anchorId="294A156C" wp14:editId="4A40FD49">
              <wp:simplePos x="0" y="0"/>
              <wp:positionH relativeFrom="page">
                <wp:posOffset>3697605</wp:posOffset>
              </wp:positionH>
              <wp:positionV relativeFrom="page">
                <wp:posOffset>9980930</wp:posOffset>
              </wp:positionV>
              <wp:extent cx="163830" cy="127635"/>
              <wp:effectExtent l="190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83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B5B9FC" w14:textId="77777777" w:rsidR="00602F23" w:rsidRDefault="00602F23">
                          <w:pPr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4A156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15pt;margin-top:785.9pt;width:12.9pt;height:10.05pt;z-index:-317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" filled="f" stroked="f">
              <v:textbox inset="0,0,0,0">
                <w:txbxContent>
                  <w:p w14:paraId="0AB5B9FC" w14:textId="77777777" w:rsidR="00602F23" w:rsidRDefault="00602F23">
                    <w:pPr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134F0" w14:textId="4598AA5A" w:rsidR="00602F23" w:rsidRPr="00E5148F" w:rsidRDefault="00FE745E">
    <w:pPr>
      <w:pStyle w:val="llb"/>
      <w:rPr>
        <w:sz w:val="18"/>
        <w:szCs w:val="18"/>
      </w:rPr>
    </w:pPr>
    <w:r w:rsidRPr="00FE745E">
      <w:rPr>
        <w:sz w:val="18"/>
        <w:szCs w:val="18"/>
      </w:rPr>
      <w:t>NNGYK/ETGY/13476/2025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45755" w14:textId="77777777" w:rsidR="003E1736" w:rsidRDefault="003E1736">
      <w:r>
        <w:separator/>
      </w:r>
    </w:p>
  </w:footnote>
  <w:footnote w:type="continuationSeparator" w:id="0">
    <w:p w14:paraId="4FA2DE85" w14:textId="77777777" w:rsidR="003E1736" w:rsidRDefault="003E1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80A18"/>
    <w:multiLevelType w:val="multilevel"/>
    <w:tmpl w:val="B944F0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31E975F6"/>
    <w:multiLevelType w:val="hybridMultilevel"/>
    <w:tmpl w:val="66E038E4"/>
    <w:lvl w:ilvl="0" w:tplc="6A3874E2">
      <w:numFmt w:val="bullet"/>
      <w:lvlText w:val="-"/>
      <w:lvlJc w:val="left"/>
      <w:pPr>
        <w:ind w:left="4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" w15:restartNumberingAfterBreak="0">
    <w:nsid w:val="373A7D27"/>
    <w:multiLevelType w:val="multilevel"/>
    <w:tmpl w:val="1788195C"/>
    <w:lvl w:ilvl="0">
      <w:start w:val="1"/>
      <w:numFmt w:val="decimal"/>
      <w:pStyle w:val="Cmsor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Cmso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Cmsor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Cmsor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Cmsor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Cmsor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Cmsor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Cmsor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A8E6B7D"/>
    <w:multiLevelType w:val="hybridMultilevel"/>
    <w:tmpl w:val="F068518E"/>
    <w:lvl w:ilvl="0" w:tplc="040E000F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num w:numId="1" w16cid:durableId="1525358779">
    <w:abstractNumId w:val="2"/>
  </w:num>
  <w:num w:numId="2" w16cid:durableId="2133665730">
    <w:abstractNumId w:val="3"/>
  </w:num>
  <w:num w:numId="3" w16cid:durableId="1027364722">
    <w:abstractNumId w:val="1"/>
  </w:num>
  <w:num w:numId="4" w16cid:durableId="1146164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defaultTabStop w:val="567"/>
  <w:hyphenationZone w:val="17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30B"/>
    <w:rsid w:val="000067FC"/>
    <w:rsid w:val="0001508B"/>
    <w:rsid w:val="00026371"/>
    <w:rsid w:val="0002732F"/>
    <w:rsid w:val="0003282F"/>
    <w:rsid w:val="0003338F"/>
    <w:rsid w:val="000401A7"/>
    <w:rsid w:val="00043D71"/>
    <w:rsid w:val="000529F0"/>
    <w:rsid w:val="00057E1F"/>
    <w:rsid w:val="0006290B"/>
    <w:rsid w:val="000666BF"/>
    <w:rsid w:val="0009014A"/>
    <w:rsid w:val="00094E32"/>
    <w:rsid w:val="00096B8D"/>
    <w:rsid w:val="000E09EA"/>
    <w:rsid w:val="000E0D91"/>
    <w:rsid w:val="000E15F5"/>
    <w:rsid w:val="000F2A8C"/>
    <w:rsid w:val="00100075"/>
    <w:rsid w:val="00116098"/>
    <w:rsid w:val="001255CE"/>
    <w:rsid w:val="00127499"/>
    <w:rsid w:val="001343E9"/>
    <w:rsid w:val="001359E0"/>
    <w:rsid w:val="0014127E"/>
    <w:rsid w:val="0014551C"/>
    <w:rsid w:val="001545DF"/>
    <w:rsid w:val="001609BA"/>
    <w:rsid w:val="00161BDD"/>
    <w:rsid w:val="001C406B"/>
    <w:rsid w:val="001E7AF5"/>
    <w:rsid w:val="001F2F62"/>
    <w:rsid w:val="00203409"/>
    <w:rsid w:val="00216E4F"/>
    <w:rsid w:val="00217EF9"/>
    <w:rsid w:val="00222D4D"/>
    <w:rsid w:val="002331CE"/>
    <w:rsid w:val="002378E8"/>
    <w:rsid w:val="0024190F"/>
    <w:rsid w:val="0026165F"/>
    <w:rsid w:val="0027555E"/>
    <w:rsid w:val="00281F26"/>
    <w:rsid w:val="00297F16"/>
    <w:rsid w:val="002C3616"/>
    <w:rsid w:val="00302756"/>
    <w:rsid w:val="00310465"/>
    <w:rsid w:val="00340813"/>
    <w:rsid w:val="003529ED"/>
    <w:rsid w:val="0036528B"/>
    <w:rsid w:val="003744D6"/>
    <w:rsid w:val="003778D7"/>
    <w:rsid w:val="003A2FDD"/>
    <w:rsid w:val="003A6789"/>
    <w:rsid w:val="003B549F"/>
    <w:rsid w:val="003C0E10"/>
    <w:rsid w:val="003C1834"/>
    <w:rsid w:val="003C2DFC"/>
    <w:rsid w:val="003C5A42"/>
    <w:rsid w:val="003E1736"/>
    <w:rsid w:val="00401798"/>
    <w:rsid w:val="00404F62"/>
    <w:rsid w:val="00407D09"/>
    <w:rsid w:val="004154C1"/>
    <w:rsid w:val="00424F07"/>
    <w:rsid w:val="00427864"/>
    <w:rsid w:val="00436806"/>
    <w:rsid w:val="00443B1D"/>
    <w:rsid w:val="0045655A"/>
    <w:rsid w:val="004567EE"/>
    <w:rsid w:val="0047239E"/>
    <w:rsid w:val="00487EAF"/>
    <w:rsid w:val="00492EE9"/>
    <w:rsid w:val="00493AE6"/>
    <w:rsid w:val="00493ECF"/>
    <w:rsid w:val="004A4144"/>
    <w:rsid w:val="004A5E05"/>
    <w:rsid w:val="004C5E24"/>
    <w:rsid w:val="004D29DD"/>
    <w:rsid w:val="004D7F17"/>
    <w:rsid w:val="004E6697"/>
    <w:rsid w:val="004F3462"/>
    <w:rsid w:val="0050030B"/>
    <w:rsid w:val="00504F11"/>
    <w:rsid w:val="005330E5"/>
    <w:rsid w:val="005506A5"/>
    <w:rsid w:val="005633F8"/>
    <w:rsid w:val="0058168B"/>
    <w:rsid w:val="0059472B"/>
    <w:rsid w:val="005A07AE"/>
    <w:rsid w:val="005A4F94"/>
    <w:rsid w:val="005A7BA9"/>
    <w:rsid w:val="005B02E2"/>
    <w:rsid w:val="005B6272"/>
    <w:rsid w:val="005C2B67"/>
    <w:rsid w:val="005C3A4D"/>
    <w:rsid w:val="005C7036"/>
    <w:rsid w:val="005D4294"/>
    <w:rsid w:val="005F5136"/>
    <w:rsid w:val="00602F23"/>
    <w:rsid w:val="006034E6"/>
    <w:rsid w:val="006059EB"/>
    <w:rsid w:val="00605E0B"/>
    <w:rsid w:val="00627857"/>
    <w:rsid w:val="0063695D"/>
    <w:rsid w:val="006473DE"/>
    <w:rsid w:val="0064776B"/>
    <w:rsid w:val="00670983"/>
    <w:rsid w:val="006914C8"/>
    <w:rsid w:val="00693909"/>
    <w:rsid w:val="006A3404"/>
    <w:rsid w:val="006B0685"/>
    <w:rsid w:val="006C2A42"/>
    <w:rsid w:val="006C2D0F"/>
    <w:rsid w:val="006C74EF"/>
    <w:rsid w:val="006D20A4"/>
    <w:rsid w:val="006F1D92"/>
    <w:rsid w:val="006F61F3"/>
    <w:rsid w:val="006F7F42"/>
    <w:rsid w:val="00716A3E"/>
    <w:rsid w:val="00716AAD"/>
    <w:rsid w:val="00736C5B"/>
    <w:rsid w:val="00743E5F"/>
    <w:rsid w:val="00752AAA"/>
    <w:rsid w:val="007535D0"/>
    <w:rsid w:val="00753848"/>
    <w:rsid w:val="007676E8"/>
    <w:rsid w:val="007746BC"/>
    <w:rsid w:val="00791C6A"/>
    <w:rsid w:val="00791D1C"/>
    <w:rsid w:val="00793F59"/>
    <w:rsid w:val="00797782"/>
    <w:rsid w:val="007A52F6"/>
    <w:rsid w:val="007B11D1"/>
    <w:rsid w:val="007C51B7"/>
    <w:rsid w:val="007D3C40"/>
    <w:rsid w:val="007E1A45"/>
    <w:rsid w:val="007E35AF"/>
    <w:rsid w:val="007E7799"/>
    <w:rsid w:val="0080099C"/>
    <w:rsid w:val="00802EEC"/>
    <w:rsid w:val="0080482E"/>
    <w:rsid w:val="00812E40"/>
    <w:rsid w:val="00821C19"/>
    <w:rsid w:val="00845D83"/>
    <w:rsid w:val="00845DBC"/>
    <w:rsid w:val="00866424"/>
    <w:rsid w:val="0087639B"/>
    <w:rsid w:val="008A732D"/>
    <w:rsid w:val="008C06FF"/>
    <w:rsid w:val="008C7E8D"/>
    <w:rsid w:val="008D3DD6"/>
    <w:rsid w:val="008E4CA8"/>
    <w:rsid w:val="008F01F7"/>
    <w:rsid w:val="00900ABF"/>
    <w:rsid w:val="00901B71"/>
    <w:rsid w:val="009132A6"/>
    <w:rsid w:val="00925DAE"/>
    <w:rsid w:val="00956328"/>
    <w:rsid w:val="00964A61"/>
    <w:rsid w:val="00970DF6"/>
    <w:rsid w:val="00980301"/>
    <w:rsid w:val="00985D48"/>
    <w:rsid w:val="00986C69"/>
    <w:rsid w:val="00991716"/>
    <w:rsid w:val="009B3267"/>
    <w:rsid w:val="009B7FC9"/>
    <w:rsid w:val="009C140E"/>
    <w:rsid w:val="009D357A"/>
    <w:rsid w:val="009F22F7"/>
    <w:rsid w:val="00A250D2"/>
    <w:rsid w:val="00A3667A"/>
    <w:rsid w:val="00A5042E"/>
    <w:rsid w:val="00A56B1F"/>
    <w:rsid w:val="00A83D00"/>
    <w:rsid w:val="00A932FA"/>
    <w:rsid w:val="00A9621B"/>
    <w:rsid w:val="00AB444C"/>
    <w:rsid w:val="00AC77FA"/>
    <w:rsid w:val="00AD0776"/>
    <w:rsid w:val="00AD24BC"/>
    <w:rsid w:val="00AD4C55"/>
    <w:rsid w:val="00AD5376"/>
    <w:rsid w:val="00AF4755"/>
    <w:rsid w:val="00B06A8D"/>
    <w:rsid w:val="00B2117D"/>
    <w:rsid w:val="00B45B51"/>
    <w:rsid w:val="00B62F93"/>
    <w:rsid w:val="00B73A02"/>
    <w:rsid w:val="00B82E9F"/>
    <w:rsid w:val="00BA32D3"/>
    <w:rsid w:val="00BA4ACD"/>
    <w:rsid w:val="00BB0778"/>
    <w:rsid w:val="00BB71A1"/>
    <w:rsid w:val="00BD22D5"/>
    <w:rsid w:val="00BE4D9E"/>
    <w:rsid w:val="00BE5036"/>
    <w:rsid w:val="00BF2A85"/>
    <w:rsid w:val="00C035C3"/>
    <w:rsid w:val="00C110EA"/>
    <w:rsid w:val="00C14BE3"/>
    <w:rsid w:val="00C17333"/>
    <w:rsid w:val="00C270AB"/>
    <w:rsid w:val="00C313A7"/>
    <w:rsid w:val="00C36B6F"/>
    <w:rsid w:val="00C4149C"/>
    <w:rsid w:val="00C478C6"/>
    <w:rsid w:val="00C80AB9"/>
    <w:rsid w:val="00C8244A"/>
    <w:rsid w:val="00CA6B16"/>
    <w:rsid w:val="00CB31B8"/>
    <w:rsid w:val="00CB47FE"/>
    <w:rsid w:val="00CB6529"/>
    <w:rsid w:val="00CD7145"/>
    <w:rsid w:val="00CE4A45"/>
    <w:rsid w:val="00D0173A"/>
    <w:rsid w:val="00D14658"/>
    <w:rsid w:val="00D22246"/>
    <w:rsid w:val="00D24FDA"/>
    <w:rsid w:val="00D3089F"/>
    <w:rsid w:val="00D337DD"/>
    <w:rsid w:val="00D359CF"/>
    <w:rsid w:val="00D532E7"/>
    <w:rsid w:val="00D72A09"/>
    <w:rsid w:val="00D855B7"/>
    <w:rsid w:val="00D876D3"/>
    <w:rsid w:val="00D94835"/>
    <w:rsid w:val="00DB21FF"/>
    <w:rsid w:val="00DB58CD"/>
    <w:rsid w:val="00DB7DB1"/>
    <w:rsid w:val="00DD0E53"/>
    <w:rsid w:val="00DD10F7"/>
    <w:rsid w:val="00DD6B8E"/>
    <w:rsid w:val="00DD7286"/>
    <w:rsid w:val="00DD75FC"/>
    <w:rsid w:val="00E0431B"/>
    <w:rsid w:val="00E3432B"/>
    <w:rsid w:val="00E376B9"/>
    <w:rsid w:val="00E46FB5"/>
    <w:rsid w:val="00E50B53"/>
    <w:rsid w:val="00E5148F"/>
    <w:rsid w:val="00E6041C"/>
    <w:rsid w:val="00E65D25"/>
    <w:rsid w:val="00E7466D"/>
    <w:rsid w:val="00E8681F"/>
    <w:rsid w:val="00E92C94"/>
    <w:rsid w:val="00E9413A"/>
    <w:rsid w:val="00E943CF"/>
    <w:rsid w:val="00E95551"/>
    <w:rsid w:val="00E95CCD"/>
    <w:rsid w:val="00EC32A7"/>
    <w:rsid w:val="00ED643A"/>
    <w:rsid w:val="00EF5AD5"/>
    <w:rsid w:val="00F07499"/>
    <w:rsid w:val="00F117A3"/>
    <w:rsid w:val="00F12B35"/>
    <w:rsid w:val="00F25241"/>
    <w:rsid w:val="00F25B57"/>
    <w:rsid w:val="00F34AF3"/>
    <w:rsid w:val="00F54619"/>
    <w:rsid w:val="00F6122C"/>
    <w:rsid w:val="00F64CAA"/>
    <w:rsid w:val="00F83E2F"/>
    <w:rsid w:val="00F921A8"/>
    <w:rsid w:val="00F930FD"/>
    <w:rsid w:val="00FA2879"/>
    <w:rsid w:val="00FA4547"/>
    <w:rsid w:val="00FA67A0"/>
    <w:rsid w:val="00FA7CCC"/>
    <w:rsid w:val="00FC5F7B"/>
    <w:rsid w:val="00FE745E"/>
    <w:rsid w:val="00FF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6CBC71"/>
  <w15:docId w15:val="{376289EA-AB66-4375-97C9-149B2BA5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B3490"/>
  </w:style>
  <w:style w:type="paragraph" w:styleId="Cmsor1">
    <w:name w:val="heading 1"/>
    <w:basedOn w:val="Norml"/>
    <w:next w:val="Norml"/>
    <w:link w:val="Cmsor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rsid w:val="001B3490"/>
    <w:rPr>
      <w:b/>
      <w:bCs/>
      <w:sz w:val="22"/>
      <w:szCs w:val="2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aszerbekezds">
    <w:name w:val="List Paragraph"/>
    <w:basedOn w:val="Norml"/>
    <w:uiPriority w:val="34"/>
    <w:qFormat/>
    <w:rsid w:val="00797782"/>
    <w:pPr>
      <w:ind w:left="720"/>
      <w:contextualSpacing/>
    </w:pPr>
  </w:style>
  <w:style w:type="table" w:styleId="Rcsostblzat">
    <w:name w:val="Table Grid"/>
    <w:basedOn w:val="Normltblzat"/>
    <w:uiPriority w:val="59"/>
    <w:rsid w:val="00DD0E53"/>
    <w:rPr>
      <w:rFonts w:asciiTheme="minorHAnsi" w:eastAsiaTheme="minorHAnsi" w:hAnsiTheme="minorHAnsi" w:cstheme="minorBidi"/>
      <w:sz w:val="22"/>
      <w:szCs w:val="22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l"/>
    <w:uiPriority w:val="1"/>
    <w:qFormat/>
    <w:rsid w:val="00DD75FC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2">
    <w:name w:val="Body text (2)"/>
    <w:basedOn w:val="Bekezdsalapbettpusa"/>
    <w:rsid w:val="0087639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en-US" w:eastAsia="en-US" w:bidi="en-US"/>
    </w:rPr>
  </w:style>
  <w:style w:type="character" w:customStyle="1" w:styleId="Bodytext2Bold">
    <w:name w:val="Body text (2) + Bold"/>
    <w:basedOn w:val="Bekezdsalapbettpusa"/>
    <w:rsid w:val="0087639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en-US" w:eastAsia="en-US" w:bidi="en-US"/>
    </w:rPr>
  </w:style>
  <w:style w:type="paragraph" w:styleId="lfej">
    <w:name w:val="header"/>
    <w:basedOn w:val="Norml"/>
    <w:link w:val="lfejChar"/>
    <w:uiPriority w:val="99"/>
    <w:unhideWhenUsed/>
    <w:rsid w:val="00970DF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0DF6"/>
  </w:style>
  <w:style w:type="paragraph" w:styleId="llb">
    <w:name w:val="footer"/>
    <w:basedOn w:val="Norml"/>
    <w:link w:val="llbChar"/>
    <w:uiPriority w:val="99"/>
    <w:unhideWhenUsed/>
    <w:rsid w:val="00970DF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0DF6"/>
  </w:style>
  <w:style w:type="paragraph" w:styleId="Buborkszveg">
    <w:name w:val="Balloon Text"/>
    <w:basedOn w:val="Norml"/>
    <w:link w:val="BuborkszvegChar"/>
    <w:uiPriority w:val="99"/>
    <w:semiHidden/>
    <w:unhideWhenUsed/>
    <w:rsid w:val="0045655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655A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043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431B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431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0431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0431B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D22246"/>
    <w:rPr>
      <w:color w:val="0000FF"/>
      <w:u w:val="single"/>
    </w:rPr>
  </w:style>
  <w:style w:type="paragraph" w:styleId="Vltozat">
    <w:name w:val="Revision"/>
    <w:hidden/>
    <w:uiPriority w:val="99"/>
    <w:semiHidden/>
    <w:rsid w:val="007B11D1"/>
  </w:style>
  <w:style w:type="character" w:styleId="Mrltotthiperhivatkozs">
    <w:name w:val="FollowedHyperlink"/>
    <w:basedOn w:val="Bekezdsalapbettpusa"/>
    <w:uiPriority w:val="99"/>
    <w:semiHidden/>
    <w:unhideWhenUsed/>
    <w:rsid w:val="00602F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0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4362</Words>
  <Characters>30104</Characters>
  <Application>Microsoft Office Word</Application>
  <DocSecurity>0</DocSecurity>
  <Lines>250</Lines>
  <Paragraphs>68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HU_OGYI_62.1</cp:lastModifiedBy>
  <cp:revision>8</cp:revision>
  <dcterms:created xsi:type="dcterms:W3CDTF">2021-02-17T04:49:00Z</dcterms:created>
  <dcterms:modified xsi:type="dcterms:W3CDTF">2025-12-05T07:47:00Z</dcterms:modified>
</cp:coreProperties>
</file>