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AC8B" w14:textId="77777777" w:rsidR="00174605" w:rsidRDefault="00C8536B">
      <w:pPr>
        <w:pStyle w:val="Cmsor1"/>
      </w:pPr>
      <w:r>
        <w:t>1.</w:t>
      </w:r>
      <w:r>
        <w:tab/>
        <w:t>A GYÓGYSZER NEVE</w:t>
      </w:r>
    </w:p>
    <w:p w14:paraId="3E3E0EC3" w14:textId="77777777" w:rsidR="00174605" w:rsidRDefault="00174605">
      <w:pPr>
        <w:jc w:val="left"/>
      </w:pPr>
    </w:p>
    <w:p w14:paraId="6DC92681" w14:textId="77777777" w:rsidR="00174605" w:rsidRDefault="00C8536B">
      <w:pPr>
        <w:jc w:val="left"/>
      </w:pPr>
      <w:proofErr w:type="spellStart"/>
      <w:r>
        <w:t>Maysiglu</w:t>
      </w:r>
      <w:proofErr w:type="spellEnd"/>
      <w:r>
        <w:t xml:space="preserve"> 25 mg filmtabletta</w:t>
      </w:r>
    </w:p>
    <w:p w14:paraId="58D710A2" w14:textId="77777777" w:rsidR="00174605" w:rsidRDefault="00C8536B">
      <w:pPr>
        <w:jc w:val="left"/>
      </w:pPr>
      <w:proofErr w:type="spellStart"/>
      <w:r>
        <w:t>Maysiglu</w:t>
      </w:r>
      <w:proofErr w:type="spellEnd"/>
      <w:r>
        <w:t xml:space="preserve"> 50 mg filmtabletta</w:t>
      </w:r>
    </w:p>
    <w:p w14:paraId="4DA5F4BC" w14:textId="77777777" w:rsidR="00174605" w:rsidRDefault="00C8536B">
      <w:pPr>
        <w:jc w:val="left"/>
      </w:pPr>
      <w:proofErr w:type="spellStart"/>
      <w:r>
        <w:t>Maysiglu</w:t>
      </w:r>
      <w:proofErr w:type="spellEnd"/>
      <w:r>
        <w:t xml:space="preserve"> 100 mg filmtabletta</w:t>
      </w:r>
    </w:p>
    <w:p w14:paraId="72AAC0FC" w14:textId="77777777" w:rsidR="00174605" w:rsidRDefault="00174605">
      <w:pPr>
        <w:jc w:val="left"/>
      </w:pPr>
    </w:p>
    <w:p w14:paraId="1BBA8AF2" w14:textId="77777777" w:rsidR="00174605" w:rsidRDefault="00174605">
      <w:pPr>
        <w:jc w:val="left"/>
      </w:pPr>
    </w:p>
    <w:p w14:paraId="5E712214" w14:textId="77777777" w:rsidR="00174605" w:rsidRDefault="00C8536B">
      <w:pPr>
        <w:pStyle w:val="Cmsor1"/>
      </w:pPr>
      <w:r>
        <w:t>2.</w:t>
      </w:r>
      <w:r>
        <w:tab/>
        <w:t>MINŐSÉGI ÉS MENNYISÉGI ÖSSZETÉTEL</w:t>
      </w:r>
    </w:p>
    <w:p w14:paraId="35355400" w14:textId="77777777" w:rsidR="00174605" w:rsidRDefault="00174605">
      <w:pPr>
        <w:jc w:val="left"/>
      </w:pPr>
    </w:p>
    <w:p w14:paraId="59E44BB5" w14:textId="77777777" w:rsidR="00174605" w:rsidRDefault="00C8536B">
      <w:pPr>
        <w:jc w:val="left"/>
        <w:rPr>
          <w:u w:val="single"/>
        </w:rPr>
      </w:pPr>
      <w:proofErr w:type="spellStart"/>
      <w:r>
        <w:rPr>
          <w:u w:val="single"/>
        </w:rPr>
        <w:t>Maysiglu</w:t>
      </w:r>
      <w:proofErr w:type="spellEnd"/>
      <w:r>
        <w:rPr>
          <w:u w:val="single"/>
        </w:rPr>
        <w:t xml:space="preserve"> 25 mg filmtabletta</w:t>
      </w:r>
    </w:p>
    <w:p w14:paraId="26393213" w14:textId="77777777" w:rsidR="00174605" w:rsidRDefault="00C8536B">
      <w:pPr>
        <w:jc w:val="left"/>
      </w:pPr>
      <w:r>
        <w:t xml:space="preserve">25 mg </w:t>
      </w:r>
      <w:proofErr w:type="spellStart"/>
      <w:r>
        <w:t>szitagliptint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7B42DC23" w14:textId="77777777" w:rsidR="00174605" w:rsidRDefault="00174605">
      <w:pPr>
        <w:jc w:val="left"/>
      </w:pPr>
    </w:p>
    <w:p w14:paraId="4F0437BB" w14:textId="77777777" w:rsidR="00174605" w:rsidRDefault="00C8536B">
      <w:pPr>
        <w:jc w:val="left"/>
        <w:rPr>
          <w:u w:val="single"/>
        </w:rPr>
      </w:pPr>
      <w:proofErr w:type="spellStart"/>
      <w:r>
        <w:rPr>
          <w:u w:val="single"/>
        </w:rPr>
        <w:t>Maysiglu</w:t>
      </w:r>
      <w:proofErr w:type="spellEnd"/>
      <w:r>
        <w:rPr>
          <w:u w:val="single"/>
        </w:rPr>
        <w:t xml:space="preserve"> 50 mg filmtabletta</w:t>
      </w:r>
    </w:p>
    <w:p w14:paraId="6FDAD513" w14:textId="77777777" w:rsidR="00174605" w:rsidRDefault="00C8536B">
      <w:pPr>
        <w:jc w:val="left"/>
      </w:pPr>
      <w:r>
        <w:t xml:space="preserve">50 mg </w:t>
      </w:r>
      <w:proofErr w:type="spellStart"/>
      <w:r>
        <w:t>szitagliptint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392D396E" w14:textId="77777777" w:rsidR="00174605" w:rsidRDefault="00174605">
      <w:pPr>
        <w:jc w:val="left"/>
        <w:rPr>
          <w:u w:val="single"/>
        </w:rPr>
      </w:pPr>
    </w:p>
    <w:p w14:paraId="170110CC" w14:textId="77777777" w:rsidR="00174605" w:rsidRDefault="00C8536B">
      <w:pPr>
        <w:jc w:val="left"/>
        <w:rPr>
          <w:u w:val="single"/>
        </w:rPr>
      </w:pPr>
      <w:proofErr w:type="spellStart"/>
      <w:r>
        <w:rPr>
          <w:u w:val="single"/>
        </w:rPr>
        <w:t>Maysiglu</w:t>
      </w:r>
      <w:proofErr w:type="spellEnd"/>
      <w:r>
        <w:rPr>
          <w:u w:val="single"/>
        </w:rPr>
        <w:t xml:space="preserve"> 100 mg filmtabletta</w:t>
      </w:r>
    </w:p>
    <w:p w14:paraId="1EEE21CD" w14:textId="77777777" w:rsidR="00174605" w:rsidRDefault="00C8536B">
      <w:pPr>
        <w:jc w:val="left"/>
      </w:pPr>
      <w:r>
        <w:t xml:space="preserve">100 mg </w:t>
      </w:r>
      <w:proofErr w:type="spellStart"/>
      <w:r>
        <w:t>szitagliptint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30937816" w14:textId="77777777" w:rsidR="00174605" w:rsidRDefault="00174605">
      <w:pPr>
        <w:jc w:val="left"/>
      </w:pPr>
    </w:p>
    <w:p w14:paraId="2472A9D4" w14:textId="77777777" w:rsidR="00174605" w:rsidRDefault="00C8536B">
      <w:pPr>
        <w:jc w:val="left"/>
      </w:pPr>
      <w:r>
        <w:t>A segédanyagok teljes listáját lásd a 6.1 pontban.</w:t>
      </w:r>
    </w:p>
    <w:p w14:paraId="5DE9E894" w14:textId="77777777" w:rsidR="00174605" w:rsidRDefault="00174605">
      <w:pPr>
        <w:jc w:val="left"/>
      </w:pPr>
    </w:p>
    <w:p w14:paraId="718C694D" w14:textId="77777777" w:rsidR="00174605" w:rsidRDefault="00174605">
      <w:pPr>
        <w:jc w:val="left"/>
      </w:pPr>
    </w:p>
    <w:p w14:paraId="32B0B29F" w14:textId="77777777" w:rsidR="00174605" w:rsidRDefault="00C8536B">
      <w:pPr>
        <w:pStyle w:val="Cmsor1"/>
      </w:pPr>
      <w:r>
        <w:t>3.</w:t>
      </w:r>
      <w:r>
        <w:tab/>
        <w:t>GYÓGYSZERFORMA</w:t>
      </w:r>
    </w:p>
    <w:p w14:paraId="3FC15D25" w14:textId="77777777" w:rsidR="00174605" w:rsidRDefault="00174605">
      <w:pPr>
        <w:jc w:val="left"/>
      </w:pPr>
    </w:p>
    <w:p w14:paraId="781F370B" w14:textId="77777777" w:rsidR="00174605" w:rsidRDefault="00C8536B">
      <w:pPr>
        <w:jc w:val="left"/>
      </w:pPr>
      <w:r>
        <w:t>Filmtabletta (tabletta).</w:t>
      </w:r>
    </w:p>
    <w:p w14:paraId="608FA2B2" w14:textId="77777777" w:rsidR="00174605" w:rsidRDefault="00174605">
      <w:pPr>
        <w:jc w:val="left"/>
      </w:pPr>
    </w:p>
    <w:p w14:paraId="016170B1" w14:textId="77777777" w:rsidR="00174605" w:rsidRDefault="00C8536B">
      <w:pPr>
        <w:jc w:val="left"/>
        <w:rPr>
          <w:u w:val="single"/>
        </w:rPr>
      </w:pPr>
      <w:proofErr w:type="spellStart"/>
      <w:r>
        <w:rPr>
          <w:u w:val="single"/>
        </w:rPr>
        <w:t>Maysiglu</w:t>
      </w:r>
      <w:proofErr w:type="spellEnd"/>
      <w:r>
        <w:rPr>
          <w:u w:val="single"/>
        </w:rPr>
        <w:t xml:space="preserve"> 25 mg filmtabletta</w:t>
      </w:r>
    </w:p>
    <w:p w14:paraId="122CEA9B" w14:textId="77777777" w:rsidR="00174605" w:rsidRDefault="00C8536B">
      <w:pPr>
        <w:jc w:val="left"/>
      </w:pPr>
      <w:r>
        <w:t>Rózsaszín, kerek, mindkét oldalán enyhén domború, egyik oldalán „K25” mélynyomású jelöléssel ellátott filmtabletta (átmérő: kb. 7 mm, magasság: 2,0-3,2 mm).</w:t>
      </w:r>
    </w:p>
    <w:p w14:paraId="6030E78B" w14:textId="77777777" w:rsidR="00174605" w:rsidRDefault="00174605">
      <w:pPr>
        <w:jc w:val="left"/>
      </w:pPr>
    </w:p>
    <w:p w14:paraId="4F2F9D6B" w14:textId="77777777" w:rsidR="00174605" w:rsidRDefault="00C8536B">
      <w:pPr>
        <w:jc w:val="left"/>
        <w:rPr>
          <w:u w:val="single"/>
        </w:rPr>
      </w:pPr>
      <w:proofErr w:type="spellStart"/>
      <w:r>
        <w:rPr>
          <w:u w:val="single"/>
        </w:rPr>
        <w:t>Maysiglu</w:t>
      </w:r>
      <w:proofErr w:type="spellEnd"/>
      <w:r>
        <w:rPr>
          <w:u w:val="single"/>
        </w:rPr>
        <w:t xml:space="preserve"> 50 mg filmtabletta</w:t>
      </w:r>
    </w:p>
    <w:p w14:paraId="70B6F2D3" w14:textId="77777777" w:rsidR="00174605" w:rsidRDefault="00C8536B">
      <w:pPr>
        <w:tabs>
          <w:tab w:val="left" w:pos="7890"/>
        </w:tabs>
        <w:jc w:val="left"/>
      </w:pPr>
      <w:r>
        <w:t>Világos narancssárga színű, kerek, mindkét oldalán domború, egyik oldalán bemetszéssel ellátott filmtabletta. A bemetszés egyik oldalán „K” mélynyomású jelölés, a másik oldalán „50” mélynyomású jelölés található (átmérő: kb. 9 mm, magasság: 2,8-3,8 mm).</w:t>
      </w:r>
    </w:p>
    <w:p w14:paraId="358E8A81" w14:textId="77777777" w:rsidR="00174605" w:rsidRDefault="00C8536B">
      <w:pPr>
        <w:tabs>
          <w:tab w:val="left" w:pos="7890"/>
        </w:tabs>
        <w:jc w:val="left"/>
      </w:pPr>
      <w:r>
        <w:t>A tabletta egyenlő adagokra osztható.</w:t>
      </w:r>
    </w:p>
    <w:p w14:paraId="38644876" w14:textId="77777777" w:rsidR="00174605" w:rsidRDefault="00174605">
      <w:pPr>
        <w:jc w:val="left"/>
        <w:rPr>
          <w:u w:val="single"/>
        </w:rPr>
      </w:pPr>
    </w:p>
    <w:p w14:paraId="7A3CA949" w14:textId="77777777" w:rsidR="00174605" w:rsidRDefault="00C8536B">
      <w:pPr>
        <w:jc w:val="left"/>
        <w:rPr>
          <w:u w:val="single"/>
        </w:rPr>
      </w:pPr>
      <w:proofErr w:type="spellStart"/>
      <w:r>
        <w:rPr>
          <w:u w:val="single"/>
        </w:rPr>
        <w:t>Maysiglu</w:t>
      </w:r>
      <w:proofErr w:type="spellEnd"/>
      <w:r>
        <w:rPr>
          <w:u w:val="single"/>
        </w:rPr>
        <w:t xml:space="preserve"> 100 mg filmtabletta</w:t>
      </w:r>
    </w:p>
    <w:p w14:paraId="04374E3C" w14:textId="77777777" w:rsidR="00174605" w:rsidRDefault="00C8536B">
      <w:pPr>
        <w:tabs>
          <w:tab w:val="left" w:pos="7890"/>
        </w:tabs>
        <w:jc w:val="left"/>
      </w:pPr>
      <w:proofErr w:type="spellStart"/>
      <w:r>
        <w:t>Barnás</w:t>
      </w:r>
      <w:proofErr w:type="spellEnd"/>
      <w:r>
        <w:t>-narancssárga színű, kerek, mindkét oldalán domború, egyik oldalán bemetszéssel ellátott filmtabletta. A bemetszés egyik oldalán „K” mélynyomású jelölés, a másik oldalán „100” mélynyomású jelölés található (átmérő: kb. 11 mm, magasság: 3,3-4,5 mm).</w:t>
      </w:r>
    </w:p>
    <w:p w14:paraId="58C0F8E3" w14:textId="77777777" w:rsidR="00174605" w:rsidRDefault="00C8536B">
      <w:pPr>
        <w:jc w:val="left"/>
      </w:pPr>
      <w:r>
        <w:t>A tabletta egyenlő adagokra osztható.</w:t>
      </w:r>
    </w:p>
    <w:p w14:paraId="7E18F2EE" w14:textId="77777777" w:rsidR="00174605" w:rsidRDefault="00174605">
      <w:pPr>
        <w:jc w:val="left"/>
      </w:pPr>
    </w:p>
    <w:p w14:paraId="1E2C85D4" w14:textId="77777777" w:rsidR="00174605" w:rsidRDefault="00174605">
      <w:pPr>
        <w:jc w:val="left"/>
      </w:pPr>
    </w:p>
    <w:p w14:paraId="2D16E91D" w14:textId="77777777" w:rsidR="00174605" w:rsidRDefault="00C8536B">
      <w:pPr>
        <w:pStyle w:val="Cmsor1"/>
      </w:pPr>
      <w:r>
        <w:t>4.</w:t>
      </w:r>
      <w:r>
        <w:tab/>
        <w:t>KLINIKAI JELLEMZŐK</w:t>
      </w:r>
    </w:p>
    <w:p w14:paraId="62F9C1DE" w14:textId="77777777" w:rsidR="00174605" w:rsidRDefault="00174605">
      <w:pPr>
        <w:jc w:val="left"/>
      </w:pPr>
    </w:p>
    <w:p w14:paraId="228F54AA" w14:textId="77777777" w:rsidR="00174605" w:rsidRDefault="00C8536B">
      <w:pPr>
        <w:pStyle w:val="Cmsor2"/>
      </w:pPr>
      <w:r>
        <w:t>4.1</w:t>
      </w:r>
      <w:r>
        <w:tab/>
        <w:t>Terápiás javallatok</w:t>
      </w:r>
    </w:p>
    <w:p w14:paraId="6FAFD0A0" w14:textId="77777777" w:rsidR="00174605" w:rsidRDefault="00174605">
      <w:pPr>
        <w:jc w:val="left"/>
      </w:pPr>
    </w:p>
    <w:p w14:paraId="46E38648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Maysiglu</w:t>
      </w:r>
      <w:proofErr w:type="spellEnd"/>
      <w:r>
        <w:t xml:space="preserve"> a 2-es típusú diabetes mellitusban szenvedő felnőtt betegek </w:t>
      </w:r>
      <w:proofErr w:type="spellStart"/>
      <w:r>
        <w:t>glikémiás</w:t>
      </w:r>
      <w:proofErr w:type="spellEnd"/>
      <w:r>
        <w:t xml:space="preserve"> kontrolljának javítására javallott:</w:t>
      </w:r>
    </w:p>
    <w:p w14:paraId="21A35140" w14:textId="77777777" w:rsidR="00174605" w:rsidRDefault="00174605">
      <w:pPr>
        <w:widowControl/>
        <w:jc w:val="left"/>
      </w:pPr>
    </w:p>
    <w:p w14:paraId="1170B69B" w14:textId="77777777" w:rsidR="00174605" w:rsidRDefault="00C8536B">
      <w:pPr>
        <w:widowControl/>
        <w:jc w:val="left"/>
      </w:pPr>
      <w:proofErr w:type="spellStart"/>
      <w:r>
        <w:rPr>
          <w:i/>
        </w:rPr>
        <w:t>monoterápiában</w:t>
      </w:r>
      <w:proofErr w:type="spellEnd"/>
      <w:r>
        <w:t>:</w:t>
      </w:r>
    </w:p>
    <w:p w14:paraId="2C1A0E2F" w14:textId="77777777" w:rsidR="00174605" w:rsidRDefault="00174605">
      <w:pPr>
        <w:widowControl/>
        <w:jc w:val="left"/>
      </w:pPr>
    </w:p>
    <w:p w14:paraId="7E9EEB8D" w14:textId="77777777" w:rsidR="00174605" w:rsidRDefault="00C8536B">
      <w:pPr>
        <w:widowControl/>
        <w:numPr>
          <w:ilvl w:val="0"/>
          <w:numId w:val="16"/>
        </w:numPr>
        <w:ind w:left="284" w:hanging="284"/>
        <w:jc w:val="left"/>
      </w:pPr>
      <w:r>
        <w:t xml:space="preserve">olyan betegek esetén, akiknél a diéta és a testmozgás önmagában történő alkalmazása mellett a kontroll nem megfelelő, és akiknél a </w:t>
      </w:r>
      <w:proofErr w:type="spellStart"/>
      <w:r>
        <w:t>metformin</w:t>
      </w:r>
      <w:proofErr w:type="spellEnd"/>
      <w:r>
        <w:t xml:space="preserve"> az ellenjavallatok vagy intolerancia miatt nem alkalmazható. </w:t>
      </w:r>
    </w:p>
    <w:p w14:paraId="58CD40FB" w14:textId="77777777" w:rsidR="00174605" w:rsidRDefault="00174605" w:rsidP="004D7B47"/>
    <w:p w14:paraId="5542D405" w14:textId="77777777" w:rsidR="00174605" w:rsidRDefault="00C8536B">
      <w:pPr>
        <w:keepNext/>
        <w:widowControl/>
        <w:jc w:val="left"/>
      </w:pPr>
      <w:r>
        <w:rPr>
          <w:i/>
        </w:rPr>
        <w:lastRenderedPageBreak/>
        <w:t>kettős orális terápiában, a következő gyógyszerekkel kombinálva</w:t>
      </w:r>
      <w:r>
        <w:t>:</w:t>
      </w:r>
    </w:p>
    <w:p w14:paraId="7FCCA0CD" w14:textId="77777777" w:rsidR="00174605" w:rsidRDefault="00174605">
      <w:pPr>
        <w:keepNext/>
        <w:widowControl/>
        <w:jc w:val="left"/>
      </w:pPr>
    </w:p>
    <w:p w14:paraId="6841C245" w14:textId="77777777" w:rsidR="00174605" w:rsidRDefault="00C8536B">
      <w:pPr>
        <w:keepNext/>
        <w:widowControl/>
        <w:numPr>
          <w:ilvl w:val="0"/>
          <w:numId w:val="16"/>
        </w:numPr>
        <w:ind w:left="284" w:hanging="284"/>
        <w:jc w:val="left"/>
      </w:pPr>
      <w:proofErr w:type="spellStart"/>
      <w:r>
        <w:t>metforminnal</w:t>
      </w:r>
      <w:proofErr w:type="spellEnd"/>
      <w:r>
        <w:t xml:space="preserve"> kombinációban adva, ha a diéta és a testmozgás mellett egyedül a </w:t>
      </w:r>
      <w:proofErr w:type="spellStart"/>
      <w:r>
        <w:t>metformint</w:t>
      </w:r>
      <w:proofErr w:type="spellEnd"/>
      <w:r>
        <w:t xml:space="preserve"> alkalmazva a </w:t>
      </w:r>
      <w:proofErr w:type="spellStart"/>
      <w:r>
        <w:t>glikémiás</w:t>
      </w:r>
      <w:proofErr w:type="spellEnd"/>
      <w:r>
        <w:t xml:space="preserve"> kontroll nem megfelelő.</w:t>
      </w:r>
    </w:p>
    <w:p w14:paraId="3DC6BD30" w14:textId="77777777" w:rsidR="00174605" w:rsidRDefault="00174605">
      <w:pPr>
        <w:widowControl/>
        <w:jc w:val="left"/>
      </w:pPr>
    </w:p>
    <w:p w14:paraId="0C54B867" w14:textId="77777777" w:rsidR="00174605" w:rsidRDefault="00C8536B">
      <w:pPr>
        <w:widowControl/>
        <w:numPr>
          <w:ilvl w:val="0"/>
          <w:numId w:val="15"/>
        </w:numPr>
        <w:ind w:left="284" w:hanging="284"/>
        <w:jc w:val="left"/>
      </w:pPr>
      <w:proofErr w:type="spellStart"/>
      <w:r>
        <w:t>szulfonilureával</w:t>
      </w:r>
      <w:proofErr w:type="spellEnd"/>
      <w:r>
        <w:t xml:space="preserve"> kombinációban adva, ha a diéta és a testmozgás mellett egyedül a </w:t>
      </w:r>
      <w:proofErr w:type="spellStart"/>
      <w:r>
        <w:t>szulfonilurea</w:t>
      </w:r>
      <w:proofErr w:type="spellEnd"/>
      <w:r>
        <w:t xml:space="preserve"> maximális tolerált adagja nem biztosít megfelelő </w:t>
      </w:r>
      <w:proofErr w:type="spellStart"/>
      <w:r>
        <w:t>glikémiás</w:t>
      </w:r>
      <w:proofErr w:type="spellEnd"/>
      <w:r>
        <w:t xml:space="preserve"> kontrollt, és a </w:t>
      </w:r>
      <w:proofErr w:type="spellStart"/>
      <w:r>
        <w:t>metformin</w:t>
      </w:r>
      <w:proofErr w:type="spellEnd"/>
      <w:r>
        <w:t xml:space="preserve"> ellenjavallatok vagy intolerancia miatt nem alkalmazható.</w:t>
      </w:r>
    </w:p>
    <w:p w14:paraId="2932F25B" w14:textId="77777777" w:rsidR="00174605" w:rsidRDefault="00174605">
      <w:pPr>
        <w:widowControl/>
        <w:jc w:val="left"/>
      </w:pPr>
    </w:p>
    <w:p w14:paraId="2288439C" w14:textId="77777777" w:rsidR="00174605" w:rsidRDefault="00C8536B">
      <w:pPr>
        <w:widowControl/>
        <w:numPr>
          <w:ilvl w:val="0"/>
          <w:numId w:val="15"/>
        </w:numPr>
        <w:ind w:left="284" w:hanging="284"/>
        <w:jc w:val="left"/>
      </w:pPr>
      <w:proofErr w:type="spellStart"/>
      <w:r>
        <w:t>peroxiszóma-proliferátor</w:t>
      </w:r>
      <w:proofErr w:type="spellEnd"/>
      <w:r>
        <w:t xml:space="preserve"> aktiválta receptor gamma (PPAR</w:t>
      </w:r>
      <w:r>
        <w:sym w:font="Symbol" w:char="F067"/>
      </w:r>
      <w:r>
        <w:t xml:space="preserve">)-agonistával (pl. </w:t>
      </w:r>
      <w:proofErr w:type="spellStart"/>
      <w:r>
        <w:t>tiazolidindion</w:t>
      </w:r>
      <w:proofErr w:type="spellEnd"/>
      <w:r>
        <w:t>), ha a PPAR</w:t>
      </w:r>
      <w:r>
        <w:sym w:font="Symbol" w:char="F067"/>
      </w:r>
      <w:r>
        <w:t>-agonista alkalmazása helyénvaló, és ha a diéta és a testmozgás mellett a PPAR</w:t>
      </w:r>
      <w:r>
        <w:sym w:font="Symbol" w:char="F067"/>
      </w:r>
      <w:r>
        <w:t xml:space="preserve">-agonista nem biztosít megfelelő </w:t>
      </w:r>
      <w:proofErr w:type="spellStart"/>
      <w:r>
        <w:t>glikémiás</w:t>
      </w:r>
      <w:proofErr w:type="spellEnd"/>
      <w:r>
        <w:t xml:space="preserve"> kontrollt.</w:t>
      </w:r>
    </w:p>
    <w:p w14:paraId="60967423" w14:textId="77777777" w:rsidR="00174605" w:rsidRDefault="00174605">
      <w:pPr>
        <w:widowControl/>
        <w:jc w:val="left"/>
      </w:pPr>
    </w:p>
    <w:p w14:paraId="06F252F6" w14:textId="77777777" w:rsidR="00174605" w:rsidRDefault="00C8536B">
      <w:pPr>
        <w:widowControl/>
        <w:jc w:val="left"/>
      </w:pPr>
      <w:r>
        <w:rPr>
          <w:i/>
        </w:rPr>
        <w:t>hármas orális terápiában, a következő gyógyszerekkel kombinálva</w:t>
      </w:r>
      <w:r>
        <w:t>:</w:t>
      </w:r>
    </w:p>
    <w:p w14:paraId="19655E98" w14:textId="77777777" w:rsidR="00174605" w:rsidRDefault="00174605">
      <w:pPr>
        <w:widowControl/>
        <w:jc w:val="left"/>
      </w:pPr>
    </w:p>
    <w:p w14:paraId="60EA9BAC" w14:textId="77777777" w:rsidR="00174605" w:rsidRDefault="00C8536B">
      <w:pPr>
        <w:widowControl/>
        <w:numPr>
          <w:ilvl w:val="0"/>
          <w:numId w:val="14"/>
        </w:numPr>
        <w:ind w:left="284" w:hanging="284"/>
        <w:jc w:val="left"/>
      </w:pPr>
      <w:proofErr w:type="spellStart"/>
      <w:r>
        <w:t>szulfonilureával</w:t>
      </w:r>
      <w:proofErr w:type="spellEnd"/>
      <w:r>
        <w:t xml:space="preserve"> és </w:t>
      </w:r>
      <w:proofErr w:type="spellStart"/>
      <w:r>
        <w:t>metforminnal</w:t>
      </w:r>
      <w:proofErr w:type="spellEnd"/>
      <w:r>
        <w:t xml:space="preserve"> kombinációban adva, ha a diéta és a testmozgás mellett az ezzel a két gyógyszerrel végzett együttes kezelés nem biztosít megfelelő </w:t>
      </w:r>
      <w:proofErr w:type="spellStart"/>
      <w:r>
        <w:t>glikémiás</w:t>
      </w:r>
      <w:proofErr w:type="spellEnd"/>
      <w:r>
        <w:t xml:space="preserve"> kontrollt.</w:t>
      </w:r>
    </w:p>
    <w:p w14:paraId="23630701" w14:textId="77777777" w:rsidR="00174605" w:rsidRDefault="00174605">
      <w:pPr>
        <w:widowControl/>
        <w:ind w:left="284"/>
        <w:jc w:val="left"/>
      </w:pPr>
    </w:p>
    <w:p w14:paraId="29106BF5" w14:textId="77777777" w:rsidR="00174605" w:rsidRDefault="00C8536B">
      <w:pPr>
        <w:widowControl/>
        <w:numPr>
          <w:ilvl w:val="0"/>
          <w:numId w:val="14"/>
        </w:numPr>
        <w:ind w:left="284" w:hanging="284"/>
        <w:jc w:val="left"/>
      </w:pPr>
      <w:r>
        <w:t>PPAR</w:t>
      </w:r>
      <w:r>
        <w:sym w:font="Symbol" w:char="F067"/>
      </w:r>
      <w:r>
        <w:t xml:space="preserve">-agonistával és </w:t>
      </w:r>
      <w:proofErr w:type="spellStart"/>
      <w:r>
        <w:t>metforminnal</w:t>
      </w:r>
      <w:proofErr w:type="spellEnd"/>
      <w:r>
        <w:t xml:space="preserve"> kombinációban adva, amennyiben a PPAR</w:t>
      </w:r>
      <w:r>
        <w:sym w:font="Symbol" w:char="F067"/>
      </w:r>
      <w:r>
        <w:t xml:space="preserve">-agonista alkalmazása helyénvaló, és ha a diéta és testmozgás, valamint az ezeket gyógyszereket tartalmazó kettős terápia mellett a </w:t>
      </w:r>
      <w:proofErr w:type="spellStart"/>
      <w:r>
        <w:t>glikémiás</w:t>
      </w:r>
      <w:proofErr w:type="spellEnd"/>
      <w:r>
        <w:t xml:space="preserve"> kontroll nem megfelelő.</w:t>
      </w:r>
    </w:p>
    <w:p w14:paraId="760A717D" w14:textId="77777777" w:rsidR="00174605" w:rsidRDefault="00174605">
      <w:pPr>
        <w:widowControl/>
        <w:ind w:left="284"/>
        <w:jc w:val="left"/>
      </w:pPr>
    </w:p>
    <w:p w14:paraId="09B0C04D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Maysiglu</w:t>
      </w:r>
      <w:proofErr w:type="spellEnd"/>
      <w:r>
        <w:t xml:space="preserve"> szintén javallott inzulin kiegészítő terápiájaként (</w:t>
      </w:r>
      <w:proofErr w:type="spellStart"/>
      <w:r>
        <w:t>metforminnal</w:t>
      </w:r>
      <w:proofErr w:type="spellEnd"/>
      <w:r>
        <w:t xml:space="preserve"> vagy anélkül), ha a diéta és a testmozgás és az inzulin állandó dózisa mellett a </w:t>
      </w:r>
      <w:proofErr w:type="spellStart"/>
      <w:r>
        <w:t>glikémiás</w:t>
      </w:r>
      <w:proofErr w:type="spellEnd"/>
      <w:r>
        <w:t xml:space="preserve"> kontroll nem megfelelő.</w:t>
      </w:r>
    </w:p>
    <w:p w14:paraId="5CCDEF10" w14:textId="77777777" w:rsidR="00174605" w:rsidRDefault="00174605">
      <w:pPr>
        <w:jc w:val="left"/>
      </w:pPr>
    </w:p>
    <w:p w14:paraId="63590F47" w14:textId="77777777" w:rsidR="00174605" w:rsidRDefault="00C8536B">
      <w:pPr>
        <w:pStyle w:val="Cmsor2"/>
      </w:pPr>
      <w:r>
        <w:t>4.2</w:t>
      </w:r>
      <w:r>
        <w:tab/>
        <w:t>Adagolás és alkalmazás</w:t>
      </w:r>
    </w:p>
    <w:p w14:paraId="6AAC0828" w14:textId="77777777" w:rsidR="00174605" w:rsidRDefault="00174605">
      <w:pPr>
        <w:widowControl/>
        <w:jc w:val="left"/>
      </w:pPr>
    </w:p>
    <w:p w14:paraId="64C1DFEA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Adagolás</w:t>
      </w:r>
    </w:p>
    <w:p w14:paraId="7CB7F7BC" w14:textId="77777777" w:rsidR="00174605" w:rsidRDefault="00C8536B">
      <w:pPr>
        <w:widowControl/>
        <w:jc w:val="left"/>
      </w:pPr>
      <w:r>
        <w:t xml:space="preserve">Az adag 100 mg </w:t>
      </w:r>
      <w:proofErr w:type="spellStart"/>
      <w:r>
        <w:t>szitagliptin</w:t>
      </w:r>
      <w:proofErr w:type="spellEnd"/>
      <w:r>
        <w:t xml:space="preserve">, naponta egyszer. </w:t>
      </w:r>
      <w:proofErr w:type="spellStart"/>
      <w:r>
        <w:t>Metforminnal</w:t>
      </w:r>
      <w:proofErr w:type="spellEnd"/>
      <w:r>
        <w:t xml:space="preserve"> és/vagy PPAR</w:t>
      </w:r>
      <w:r>
        <w:sym w:font="Symbol" w:char="F067"/>
      </w:r>
      <w:r>
        <w:t xml:space="preserve">-agonistával együttesen alkalmazva, a </w:t>
      </w:r>
      <w:proofErr w:type="spellStart"/>
      <w:r>
        <w:t>metformin</w:t>
      </w:r>
      <w:proofErr w:type="spellEnd"/>
      <w:r>
        <w:t xml:space="preserve"> és/vagy a PPAR</w:t>
      </w:r>
      <w:r>
        <w:sym w:font="Symbol" w:char="F067"/>
      </w:r>
      <w:r>
        <w:t xml:space="preserve">-agonista dózisát változatlanul kell hagyni, és a </w:t>
      </w:r>
      <w:proofErr w:type="spellStart"/>
      <w:r>
        <w:t>Maysiglu</w:t>
      </w:r>
      <w:proofErr w:type="spellEnd"/>
      <w:r>
        <w:t>-t e gyógyszerekkel együtt kell alkalmazni.</w:t>
      </w:r>
    </w:p>
    <w:p w14:paraId="38A7DE6F" w14:textId="77777777" w:rsidR="00174605" w:rsidRDefault="00174605">
      <w:pPr>
        <w:widowControl/>
        <w:jc w:val="left"/>
      </w:pPr>
    </w:p>
    <w:p w14:paraId="1B0D1AF9" w14:textId="77777777" w:rsidR="00174605" w:rsidRDefault="00C8536B">
      <w:pPr>
        <w:widowControl/>
        <w:jc w:val="left"/>
      </w:pPr>
      <w:r>
        <w:t xml:space="preserve">Ha a </w:t>
      </w:r>
      <w:proofErr w:type="spellStart"/>
      <w:r>
        <w:t>Maysiglu</w:t>
      </w:r>
      <w:proofErr w:type="spellEnd"/>
      <w:r>
        <w:t xml:space="preserve">-t egy </w:t>
      </w:r>
      <w:proofErr w:type="spellStart"/>
      <w:r>
        <w:t>szulfonilureával</w:t>
      </w:r>
      <w:proofErr w:type="spellEnd"/>
      <w:r>
        <w:t xml:space="preserve"> vagy inzulinnal kombinációban alkalmazzák, a </w:t>
      </w:r>
      <w:proofErr w:type="spellStart"/>
      <w:r>
        <w:t>hipoglikémia</w:t>
      </w:r>
      <w:proofErr w:type="spellEnd"/>
      <w:r>
        <w:t xml:space="preserve"> kockázatának csökkentése érdekében fontolóra kell venni a </w:t>
      </w:r>
      <w:proofErr w:type="spellStart"/>
      <w:r>
        <w:t>szulfonilurea</w:t>
      </w:r>
      <w:proofErr w:type="spellEnd"/>
      <w:r>
        <w:t xml:space="preserve"> vagy inzulin alacsonyabb dózisának alkalmazását (lásd 4.4 pont).</w:t>
      </w:r>
    </w:p>
    <w:p w14:paraId="60D08358" w14:textId="77777777" w:rsidR="00174605" w:rsidRDefault="00174605">
      <w:pPr>
        <w:widowControl/>
        <w:jc w:val="left"/>
      </w:pPr>
    </w:p>
    <w:p w14:paraId="3A4BAC59" w14:textId="77777777" w:rsidR="00174605" w:rsidRDefault="00C8536B">
      <w:pPr>
        <w:widowControl/>
        <w:jc w:val="left"/>
      </w:pPr>
      <w:r>
        <w:t xml:space="preserve">Ha a </w:t>
      </w:r>
      <w:proofErr w:type="spellStart"/>
      <w:r>
        <w:t>Maysiglu</w:t>
      </w:r>
      <w:proofErr w:type="spellEnd"/>
      <w:r>
        <w:t xml:space="preserve"> egy adagja kimaradt, azt azonnal pótolni kell, amint a beteg észreveszi. Ugyanazon a napon nem szabad dupla adagot bevenni.</w:t>
      </w:r>
    </w:p>
    <w:p w14:paraId="041FA2F5" w14:textId="77777777" w:rsidR="00174605" w:rsidRDefault="00174605">
      <w:pPr>
        <w:widowControl/>
        <w:jc w:val="left"/>
      </w:pPr>
    </w:p>
    <w:p w14:paraId="4CBB5590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Különleges betegcsoportok</w:t>
      </w:r>
    </w:p>
    <w:p w14:paraId="49CE56DE" w14:textId="77777777" w:rsidR="00174605" w:rsidRDefault="00174605">
      <w:pPr>
        <w:widowControl/>
        <w:jc w:val="left"/>
        <w:rPr>
          <w:u w:val="single"/>
        </w:rPr>
      </w:pPr>
    </w:p>
    <w:p w14:paraId="0BE76F86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Vesekárosodás</w:t>
      </w:r>
    </w:p>
    <w:p w14:paraId="48AE183C" w14:textId="77777777" w:rsidR="00174605" w:rsidRDefault="00C8536B">
      <w:pPr>
        <w:widowControl/>
        <w:jc w:val="left"/>
      </w:pPr>
      <w:proofErr w:type="spellStart"/>
      <w:r>
        <w:t>Szitagliptin</w:t>
      </w:r>
      <w:proofErr w:type="spellEnd"/>
      <w:r>
        <w:t xml:space="preserve"> és egyéb </w:t>
      </w:r>
      <w:proofErr w:type="spellStart"/>
      <w:r>
        <w:t>antidiabetikum</w:t>
      </w:r>
      <w:proofErr w:type="spellEnd"/>
      <w:r>
        <w:t xml:space="preserve"> együttes alkalmazásának fontolóra vételekor ellenőrizni kell a </w:t>
      </w:r>
      <w:proofErr w:type="spellStart"/>
      <w:r>
        <w:t>szitagliptin</w:t>
      </w:r>
      <w:proofErr w:type="spellEnd"/>
      <w:r>
        <w:t xml:space="preserve"> vesekárosodásban szenvedő betegeknél történő alkalmazásának feltételeit.</w:t>
      </w:r>
    </w:p>
    <w:p w14:paraId="59E4843F" w14:textId="77777777" w:rsidR="00174605" w:rsidRDefault="00174605">
      <w:pPr>
        <w:widowControl/>
        <w:jc w:val="left"/>
      </w:pPr>
    </w:p>
    <w:p w14:paraId="2EB2458C" w14:textId="77777777" w:rsidR="00174605" w:rsidRDefault="00C8536B">
      <w:pPr>
        <w:widowControl/>
        <w:jc w:val="left"/>
      </w:pPr>
      <w:r>
        <w:t>Az enyhe vesekárosodásban szenvedő betegek (</w:t>
      </w:r>
      <w:proofErr w:type="spellStart"/>
      <w:r>
        <w:t>glomeruláris</w:t>
      </w:r>
      <w:proofErr w:type="spellEnd"/>
      <w:r>
        <w:t xml:space="preserve"> filtrációs ráta [GFR] ≥ 60 - </w:t>
      </w:r>
      <w:proofErr w:type="gramStart"/>
      <w:r>
        <w:t>&lt; 90</w:t>
      </w:r>
      <w:proofErr w:type="gramEnd"/>
      <w:r>
        <w:t> ml/perc) esetében dózismódosításra nincs szükség.</w:t>
      </w:r>
    </w:p>
    <w:p w14:paraId="0822CB7A" w14:textId="77777777" w:rsidR="00174605" w:rsidRDefault="00174605">
      <w:pPr>
        <w:widowControl/>
        <w:jc w:val="left"/>
      </w:pPr>
    </w:p>
    <w:p w14:paraId="39E4C2F7" w14:textId="77777777" w:rsidR="00174605" w:rsidRDefault="00C8536B">
      <w:pPr>
        <w:widowControl/>
        <w:jc w:val="left"/>
      </w:pPr>
      <w:r>
        <w:t xml:space="preserve">A közepesen súlyos vesekárosodásban szenvedő betegek (GFR ≥ 45 - </w:t>
      </w:r>
      <w:proofErr w:type="gramStart"/>
      <w:r>
        <w:t>&lt; 60</w:t>
      </w:r>
      <w:proofErr w:type="gramEnd"/>
      <w:r>
        <w:t> ml/perc) esetében dózismódosításra nincs szükség.</w:t>
      </w:r>
    </w:p>
    <w:p w14:paraId="181847B0" w14:textId="77777777" w:rsidR="00174605" w:rsidRDefault="00174605">
      <w:pPr>
        <w:widowControl/>
        <w:jc w:val="left"/>
      </w:pPr>
    </w:p>
    <w:p w14:paraId="7682E920" w14:textId="77777777" w:rsidR="00174605" w:rsidRDefault="00C8536B">
      <w:pPr>
        <w:widowControl/>
        <w:jc w:val="left"/>
      </w:pPr>
      <w:r>
        <w:t xml:space="preserve">A közepesen súlyos vesekárosodásban szenvedő betegek esetében (GFR ≥ 30 - </w:t>
      </w:r>
      <w:proofErr w:type="gramStart"/>
      <w:r>
        <w:t>&lt; 45</w:t>
      </w:r>
      <w:proofErr w:type="gramEnd"/>
      <w:r>
        <w:t xml:space="preserve"> ml/perc) a </w:t>
      </w:r>
      <w:proofErr w:type="spellStart"/>
      <w:r>
        <w:t>Maysiglu</w:t>
      </w:r>
      <w:proofErr w:type="spellEnd"/>
      <w:r>
        <w:t xml:space="preserve"> adagja naponta egyszer 50 mg.</w:t>
      </w:r>
    </w:p>
    <w:p w14:paraId="173667B0" w14:textId="77777777" w:rsidR="00174605" w:rsidRDefault="00174605">
      <w:pPr>
        <w:widowControl/>
        <w:jc w:val="left"/>
      </w:pPr>
    </w:p>
    <w:p w14:paraId="1D34968B" w14:textId="77777777" w:rsidR="00174605" w:rsidRDefault="00C8536B">
      <w:pPr>
        <w:widowControl/>
        <w:jc w:val="left"/>
      </w:pPr>
      <w:r>
        <w:t xml:space="preserve">A súlyos vesekárosodásban szenvedő (GFR ≥ 15 - </w:t>
      </w:r>
      <w:proofErr w:type="gramStart"/>
      <w:r>
        <w:t>&lt; 30</w:t>
      </w:r>
      <w:proofErr w:type="gramEnd"/>
      <w:r>
        <w:t> ml/perc) vagy a végstádiumú vesebetegségben („end-</w:t>
      </w:r>
      <w:proofErr w:type="spellStart"/>
      <w:r>
        <w:t>stage</w:t>
      </w:r>
      <w:proofErr w:type="spellEnd"/>
      <w:r>
        <w:t xml:space="preserve"> </w:t>
      </w:r>
      <w:proofErr w:type="spellStart"/>
      <w:r>
        <w:t>renal</w:t>
      </w:r>
      <w:proofErr w:type="spellEnd"/>
      <w:r>
        <w:t xml:space="preserve"> </w:t>
      </w:r>
      <w:proofErr w:type="spellStart"/>
      <w:r>
        <w:t>disease</w:t>
      </w:r>
      <w:proofErr w:type="spellEnd"/>
      <w:r>
        <w:t xml:space="preserve">” – ESRD) szenvedő betegeknél (GFR </w:t>
      </w:r>
      <w:proofErr w:type="gramStart"/>
      <w:r>
        <w:t>&lt; 15</w:t>
      </w:r>
      <w:proofErr w:type="gramEnd"/>
      <w:r>
        <w:t xml:space="preserve"> ml/perc), beleértve a </w:t>
      </w:r>
      <w:proofErr w:type="spellStart"/>
      <w:r>
        <w:t>hemodialízist</w:t>
      </w:r>
      <w:proofErr w:type="spellEnd"/>
      <w:r>
        <w:t xml:space="preserve"> </w:t>
      </w:r>
      <w:r>
        <w:lastRenderedPageBreak/>
        <w:t xml:space="preserve">vagy a </w:t>
      </w:r>
      <w:proofErr w:type="spellStart"/>
      <w:r>
        <w:t>peritoneális</w:t>
      </w:r>
      <w:proofErr w:type="spellEnd"/>
      <w:r>
        <w:t xml:space="preserve"> dialízist igénylő betegeket, a </w:t>
      </w:r>
      <w:proofErr w:type="spellStart"/>
      <w:r>
        <w:t>Maysiglu</w:t>
      </w:r>
      <w:proofErr w:type="spellEnd"/>
      <w:r>
        <w:t xml:space="preserve"> adagja naponta egyszer 25 mg. A kezelés a dialízis időpontjától függetlenül alkalmazható.</w:t>
      </w:r>
    </w:p>
    <w:p w14:paraId="0580108A" w14:textId="77777777" w:rsidR="00174605" w:rsidRDefault="00174605">
      <w:pPr>
        <w:widowControl/>
        <w:jc w:val="left"/>
      </w:pPr>
    </w:p>
    <w:p w14:paraId="1D0740E5" w14:textId="77777777" w:rsidR="00174605" w:rsidRDefault="00C8536B">
      <w:pPr>
        <w:widowControl/>
        <w:jc w:val="left"/>
      </w:pPr>
      <w:r>
        <w:t xml:space="preserve">Mivel a vesefunkció alapján dózismódosításra van szükség, a vesefunkciós értékeknek a </w:t>
      </w:r>
      <w:proofErr w:type="spellStart"/>
      <w:r>
        <w:t>Maysiglu</w:t>
      </w:r>
      <w:proofErr w:type="spellEnd"/>
      <w:r>
        <w:t xml:space="preserve"> alkalmazásának megkezdése előtti és ezt követően rendszeres vizsgálata javasolt.</w:t>
      </w:r>
    </w:p>
    <w:p w14:paraId="3A5164F6" w14:textId="77777777" w:rsidR="00174605" w:rsidRDefault="00174605">
      <w:pPr>
        <w:widowControl/>
        <w:jc w:val="left"/>
      </w:pPr>
    </w:p>
    <w:p w14:paraId="5F9B0E0D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Májkárosodás</w:t>
      </w:r>
    </w:p>
    <w:p w14:paraId="5A76FD03" w14:textId="77777777" w:rsidR="00174605" w:rsidRDefault="00C8536B">
      <w:pPr>
        <w:widowControl/>
        <w:jc w:val="left"/>
      </w:pPr>
      <w:r>
        <w:t xml:space="preserve">Az enyhe vagy közepesen súlyos májkárosodásban szenvedő betegek esetében a dózis módosítására nincs szükség. A </w:t>
      </w:r>
      <w:proofErr w:type="spellStart"/>
      <w:r>
        <w:t>szitagliptint</w:t>
      </w:r>
      <w:proofErr w:type="spellEnd"/>
      <w:r>
        <w:t xml:space="preserve"> súlyos májkárosodásban szenvedő betegek körében nem vizsgálták, ezért ilyenkor fokozott óvatossággal kell alkalmazni (lásd 5.2 pont).</w:t>
      </w:r>
    </w:p>
    <w:p w14:paraId="21D53256" w14:textId="77777777" w:rsidR="00174605" w:rsidRDefault="00174605">
      <w:pPr>
        <w:widowControl/>
        <w:jc w:val="left"/>
      </w:pPr>
    </w:p>
    <w:p w14:paraId="0AF8C358" w14:textId="77777777" w:rsidR="00174605" w:rsidRDefault="00C8536B">
      <w:pPr>
        <w:widowControl/>
        <w:jc w:val="left"/>
      </w:pPr>
      <w:r>
        <w:t xml:space="preserve">Mivel a </w:t>
      </w:r>
      <w:proofErr w:type="spellStart"/>
      <w:r>
        <w:t>szitagliptin</w:t>
      </w:r>
      <w:proofErr w:type="spellEnd"/>
      <w:r>
        <w:t xml:space="preserve"> elsősorban a vesén keresztül ürül ki, a súlyos májkárosodás várhatóan nem befolyásolja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</w:t>
      </w:r>
    </w:p>
    <w:p w14:paraId="046ABFFE" w14:textId="77777777" w:rsidR="00174605" w:rsidRDefault="00174605">
      <w:pPr>
        <w:widowControl/>
        <w:jc w:val="left"/>
      </w:pPr>
    </w:p>
    <w:p w14:paraId="0E542F85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Idősek</w:t>
      </w:r>
    </w:p>
    <w:p w14:paraId="4EAFB64A" w14:textId="77777777" w:rsidR="00174605" w:rsidRDefault="00C8536B">
      <w:pPr>
        <w:widowControl/>
        <w:jc w:val="left"/>
      </w:pPr>
      <w:r>
        <w:t>A dózis életkor alapján történő módosítására nincs szükség.</w:t>
      </w:r>
    </w:p>
    <w:p w14:paraId="45F11ED5" w14:textId="77777777" w:rsidR="00174605" w:rsidRDefault="00174605">
      <w:pPr>
        <w:widowControl/>
        <w:jc w:val="left"/>
      </w:pPr>
    </w:p>
    <w:p w14:paraId="4E38A513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Gyermekek és serdülők</w:t>
      </w:r>
    </w:p>
    <w:p w14:paraId="6E219F9E" w14:textId="77777777" w:rsidR="00174605" w:rsidRDefault="00C8536B">
      <w:pPr>
        <w:widowControl/>
        <w:jc w:val="left"/>
      </w:pPr>
      <w:r>
        <w:t xml:space="preserve">A nem kielégítő hatásosságra való tekintettel a </w:t>
      </w:r>
      <w:proofErr w:type="spellStart"/>
      <w:r>
        <w:t>szitagliptin</w:t>
      </w:r>
      <w:proofErr w:type="spellEnd"/>
      <w:r>
        <w:t xml:space="preserve"> 10–17 éves gyermekeknél és serdülőknél nem alkalmazható. A jelenleg rendelkezésre álló adatok leírása a 4.8, 5.1 és 5.2 pontban található. A </w:t>
      </w:r>
      <w:proofErr w:type="spellStart"/>
      <w:r>
        <w:t>szitagliptint</w:t>
      </w:r>
      <w:proofErr w:type="spellEnd"/>
      <w:r>
        <w:t xml:space="preserve"> 10 évesnél fiatalabb gyermekeknél nem vizsgálták.</w:t>
      </w:r>
    </w:p>
    <w:p w14:paraId="1AF568D0" w14:textId="77777777" w:rsidR="00174605" w:rsidRDefault="00174605">
      <w:pPr>
        <w:widowControl/>
        <w:jc w:val="left"/>
      </w:pPr>
    </w:p>
    <w:p w14:paraId="53C2A324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Az alkalmazás módja</w:t>
      </w:r>
    </w:p>
    <w:p w14:paraId="6CF98307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Maysiglu</w:t>
      </w:r>
      <w:proofErr w:type="spellEnd"/>
      <w:r>
        <w:t xml:space="preserve"> étkezés közben vagy attól függetlenül is bevehető.</w:t>
      </w:r>
    </w:p>
    <w:p w14:paraId="3B249369" w14:textId="77777777" w:rsidR="00174605" w:rsidRDefault="00174605">
      <w:pPr>
        <w:jc w:val="left"/>
      </w:pPr>
    </w:p>
    <w:p w14:paraId="05380455" w14:textId="77777777" w:rsidR="00174605" w:rsidRDefault="00C8536B">
      <w:pPr>
        <w:pStyle w:val="Cmsor2"/>
      </w:pPr>
      <w:r>
        <w:t>4.3</w:t>
      </w:r>
      <w:r>
        <w:tab/>
        <w:t>Ellenjavallatok</w:t>
      </w:r>
    </w:p>
    <w:p w14:paraId="510AD48B" w14:textId="77777777" w:rsidR="00174605" w:rsidRDefault="00174605">
      <w:pPr>
        <w:jc w:val="left"/>
      </w:pPr>
    </w:p>
    <w:p w14:paraId="2788C405" w14:textId="77777777" w:rsidR="00174605" w:rsidRDefault="00C8536B">
      <w:pPr>
        <w:jc w:val="left"/>
      </w:pPr>
      <w:r>
        <w:t>A készítmény hatóanyagával vagy a 6.1 pontban felsorolt bármely segédanyagával szembeni túlérzékenység.</w:t>
      </w:r>
    </w:p>
    <w:p w14:paraId="44D4C065" w14:textId="77777777" w:rsidR="00174605" w:rsidRDefault="00174605">
      <w:pPr>
        <w:jc w:val="left"/>
      </w:pPr>
    </w:p>
    <w:p w14:paraId="30E5AE98" w14:textId="77777777" w:rsidR="00174605" w:rsidRDefault="00174605">
      <w:pPr>
        <w:jc w:val="left"/>
      </w:pPr>
    </w:p>
    <w:p w14:paraId="7667D721" w14:textId="77777777" w:rsidR="00174605" w:rsidRDefault="00C8536B">
      <w:pPr>
        <w:pStyle w:val="Cmsor2"/>
      </w:pPr>
      <w:r>
        <w:t>4.4</w:t>
      </w:r>
      <w:r>
        <w:tab/>
        <w:t>Különleges figyelmeztetések és az alkalmazással kapcsolatos óvintézkedések</w:t>
      </w:r>
    </w:p>
    <w:p w14:paraId="08B50BFF" w14:textId="77777777" w:rsidR="00174605" w:rsidRDefault="00174605">
      <w:pPr>
        <w:widowControl/>
        <w:jc w:val="left"/>
      </w:pPr>
    </w:p>
    <w:p w14:paraId="2499E49E" w14:textId="77777777" w:rsidR="00174605" w:rsidRDefault="00C8536B">
      <w:pPr>
        <w:widowControl/>
        <w:jc w:val="left"/>
      </w:pPr>
      <w:r>
        <w:rPr>
          <w:u w:val="single"/>
        </w:rPr>
        <w:t>Általános tudnivalók</w:t>
      </w:r>
    </w:p>
    <w:p w14:paraId="3EE456F8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Maysiglu</w:t>
      </w:r>
      <w:proofErr w:type="spellEnd"/>
      <w:r>
        <w:t xml:space="preserve"> nem alkalmazható 1-es típusú diabetesben szenvedő betegek esetében vagy diabeteses </w:t>
      </w:r>
      <w:proofErr w:type="spellStart"/>
      <w:r>
        <w:t>ketoacidosis</w:t>
      </w:r>
      <w:proofErr w:type="spellEnd"/>
      <w:r>
        <w:t xml:space="preserve"> kezelésére.</w:t>
      </w:r>
    </w:p>
    <w:p w14:paraId="58E92C34" w14:textId="77777777" w:rsidR="00174605" w:rsidRDefault="00174605">
      <w:pPr>
        <w:widowControl/>
        <w:jc w:val="left"/>
      </w:pPr>
    </w:p>
    <w:p w14:paraId="0451A501" w14:textId="77777777" w:rsidR="00174605" w:rsidRDefault="00C8536B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Acut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pancreatitis</w:t>
      </w:r>
      <w:proofErr w:type="spellEnd"/>
    </w:p>
    <w:p w14:paraId="4B33D03C" w14:textId="77777777" w:rsidR="00174605" w:rsidRDefault="00C8536B">
      <w:pPr>
        <w:widowControl/>
        <w:jc w:val="left"/>
      </w:pPr>
      <w:r>
        <w:t xml:space="preserve">A DPP-4-gátlók alkalmazása az </w:t>
      </w:r>
      <w:proofErr w:type="spellStart"/>
      <w:r>
        <w:t>acut</w:t>
      </w:r>
      <w:proofErr w:type="spellEnd"/>
      <w:r>
        <w:t xml:space="preserve"> </w:t>
      </w:r>
      <w:proofErr w:type="spellStart"/>
      <w:r>
        <w:t>pancreatitis</w:t>
      </w:r>
      <w:proofErr w:type="spellEnd"/>
      <w:r>
        <w:t xml:space="preserve"> kialakulásának kockázatával jár. A betegeket tájékoztatni kell az </w:t>
      </w:r>
      <w:proofErr w:type="spellStart"/>
      <w:r>
        <w:t>acut</w:t>
      </w:r>
      <w:proofErr w:type="spellEnd"/>
      <w:r>
        <w:t xml:space="preserve"> </w:t>
      </w:r>
      <w:proofErr w:type="spellStart"/>
      <w:r>
        <w:t>pancreatitis</w:t>
      </w:r>
      <w:proofErr w:type="spellEnd"/>
      <w:r>
        <w:t xml:space="preserve"> jellemző tünetéről, a tartós, erős hasi fájdalomról. A </w:t>
      </w:r>
      <w:proofErr w:type="spellStart"/>
      <w:r>
        <w:t>szitagliptin</w:t>
      </w:r>
      <w:proofErr w:type="spellEnd"/>
      <w:r>
        <w:t xml:space="preserve"> szedésének leállítását követően (szupportív kezeléssel vagy anélkül) a </w:t>
      </w:r>
      <w:proofErr w:type="spellStart"/>
      <w:r>
        <w:t>pancreatitis</w:t>
      </w:r>
      <w:proofErr w:type="spellEnd"/>
      <w:r>
        <w:t xml:space="preserve"> gyógyulását figyelték meg, de nagyon ritka esetekben </w:t>
      </w:r>
      <w:proofErr w:type="spellStart"/>
      <w:r>
        <w:t>nekrotizáló</w:t>
      </w:r>
      <w:proofErr w:type="spellEnd"/>
      <w:r>
        <w:t xml:space="preserve"> vagy </w:t>
      </w:r>
      <w:proofErr w:type="spellStart"/>
      <w:r>
        <w:t>haemorrhagiás</w:t>
      </w:r>
      <w:proofErr w:type="spellEnd"/>
      <w:r>
        <w:t xml:space="preserve"> </w:t>
      </w:r>
      <w:proofErr w:type="spellStart"/>
      <w:r>
        <w:t>pancreatitist</w:t>
      </w:r>
      <w:proofErr w:type="spellEnd"/>
      <w:r>
        <w:t xml:space="preserve"> és/vagy halálesetet is jelentettek. Ha </w:t>
      </w:r>
      <w:proofErr w:type="spellStart"/>
      <w:r>
        <w:t>pancreatitis</w:t>
      </w:r>
      <w:proofErr w:type="spellEnd"/>
      <w:r>
        <w:t xml:space="preserve"> gyanúja áll fenn, a </w:t>
      </w:r>
      <w:proofErr w:type="spellStart"/>
      <w:r>
        <w:t>Maysiglu</w:t>
      </w:r>
      <w:proofErr w:type="spellEnd"/>
      <w:r>
        <w:t xml:space="preserve"> és más potenciálisan gyanúsítható gyógyszerek szedését abba kell hagyni. Amennyiben igazolódik az </w:t>
      </w:r>
      <w:proofErr w:type="spellStart"/>
      <w:r>
        <w:t>acut</w:t>
      </w:r>
      <w:proofErr w:type="spellEnd"/>
      <w:r>
        <w:t xml:space="preserve"> </w:t>
      </w:r>
      <w:proofErr w:type="spellStart"/>
      <w:r>
        <w:t>pancreatitis</w:t>
      </w:r>
      <w:proofErr w:type="spellEnd"/>
      <w:r>
        <w:t xml:space="preserve">, a </w:t>
      </w:r>
      <w:proofErr w:type="spellStart"/>
      <w:r>
        <w:t>Maysiglu</w:t>
      </w:r>
      <w:proofErr w:type="spellEnd"/>
      <w:r>
        <w:t xml:space="preserve"> szedését nem szabad újra elkezdeni. Körültekintően kell eljárni olyan betegeknél, akiknek a kórtörténetében </w:t>
      </w:r>
      <w:proofErr w:type="spellStart"/>
      <w:r>
        <w:t>pancreatitis</w:t>
      </w:r>
      <w:proofErr w:type="spellEnd"/>
      <w:r>
        <w:t xml:space="preserve"> szerepel.</w:t>
      </w:r>
    </w:p>
    <w:p w14:paraId="1DC86278" w14:textId="77777777" w:rsidR="00174605" w:rsidRDefault="00174605">
      <w:pPr>
        <w:widowControl/>
        <w:jc w:val="left"/>
      </w:pPr>
    </w:p>
    <w:p w14:paraId="2B7652D0" w14:textId="77777777" w:rsidR="00174605" w:rsidRDefault="00C8536B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Hipoglikémia</w:t>
      </w:r>
      <w:proofErr w:type="spellEnd"/>
      <w:r>
        <w:rPr>
          <w:u w:val="single"/>
        </w:rPr>
        <w:t xml:space="preserve"> a gyógyszer egyéb </w:t>
      </w:r>
      <w:proofErr w:type="spellStart"/>
      <w:r>
        <w:rPr>
          <w:u w:val="single"/>
        </w:rPr>
        <w:t>antihiperglikémiás</w:t>
      </w:r>
      <w:proofErr w:type="spellEnd"/>
      <w:r>
        <w:rPr>
          <w:u w:val="single"/>
        </w:rPr>
        <w:t xml:space="preserve"> gyógyszerekkel kombinációban való alkalmazása esetén</w:t>
      </w:r>
    </w:p>
    <w:p w14:paraId="7553B865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szitagliptinnel</w:t>
      </w:r>
      <w:proofErr w:type="spellEnd"/>
      <w:r>
        <w:t xml:space="preserve"> folytatott klinikai vizsgálatok során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monoterápiában</w:t>
      </w:r>
      <w:proofErr w:type="spellEnd"/>
      <w:r>
        <w:t xml:space="preserve">, illetve </w:t>
      </w:r>
      <w:proofErr w:type="spellStart"/>
      <w:r>
        <w:t>hipoglikémiát</w:t>
      </w:r>
      <w:proofErr w:type="spellEnd"/>
      <w:r>
        <w:t xml:space="preserve"> köztudottan nem okozó gyógyszerekkel kombinációban (pl.: </w:t>
      </w:r>
      <w:proofErr w:type="spellStart"/>
      <w:r>
        <w:t>metforminnal</w:t>
      </w:r>
      <w:proofErr w:type="spellEnd"/>
      <w:r>
        <w:t xml:space="preserve"> és/vagy egy PPAR</w:t>
      </w:r>
      <w:r>
        <w:sym w:font="Symbol" w:char="F067"/>
      </w:r>
      <w:r>
        <w:t xml:space="preserve">-agonistával) alkalmazva a </w:t>
      </w:r>
      <w:proofErr w:type="spellStart"/>
      <w:r>
        <w:t>szitagliptin</w:t>
      </w:r>
      <w:proofErr w:type="spellEnd"/>
      <w:r>
        <w:t xml:space="preserve"> használata mellett jelentett, illetve a </w:t>
      </w:r>
      <w:proofErr w:type="spellStart"/>
      <w:r>
        <w:t>placebót</w:t>
      </w:r>
      <w:proofErr w:type="spellEnd"/>
      <w:r>
        <w:t xml:space="preserve"> szedő betegek körében előforduló </w:t>
      </w:r>
      <w:proofErr w:type="spellStart"/>
      <w:r>
        <w:t>hipoglikémiás</w:t>
      </w:r>
      <w:proofErr w:type="spellEnd"/>
      <w:r>
        <w:t xml:space="preserve"> esetek aránya hasonló volt. </w:t>
      </w:r>
      <w:proofErr w:type="spellStart"/>
      <w:r>
        <w:t>Szitagliptin</w:t>
      </w:r>
      <w:proofErr w:type="spellEnd"/>
      <w:r>
        <w:t xml:space="preserve"> inzulinnal vagy egy </w:t>
      </w:r>
      <w:proofErr w:type="spellStart"/>
      <w:r>
        <w:t>szulfonilureával</w:t>
      </w:r>
      <w:proofErr w:type="spellEnd"/>
      <w:r>
        <w:t xml:space="preserve"> kombinációban történő alkalmazásakor </w:t>
      </w:r>
      <w:proofErr w:type="spellStart"/>
      <w:r>
        <w:t>hipoglikémiát</w:t>
      </w:r>
      <w:proofErr w:type="spellEnd"/>
      <w:r>
        <w:t xml:space="preserve"> figyeltek meg. Ezért a </w:t>
      </w:r>
      <w:proofErr w:type="spellStart"/>
      <w:r>
        <w:t>hipoglikémia</w:t>
      </w:r>
      <w:proofErr w:type="spellEnd"/>
      <w:r>
        <w:t xml:space="preserve"> kockázatának a csökkentése érdekében, megfontolandó a </w:t>
      </w:r>
      <w:proofErr w:type="spellStart"/>
      <w:r>
        <w:t>szulfonilurea</w:t>
      </w:r>
      <w:proofErr w:type="spellEnd"/>
      <w:r>
        <w:t xml:space="preserve"> vagy az inzulin dózisának a csökkentése (lásd 4.2 pont).</w:t>
      </w:r>
    </w:p>
    <w:p w14:paraId="27D5FBCB" w14:textId="77777777" w:rsidR="00174605" w:rsidRDefault="00174605">
      <w:pPr>
        <w:widowControl/>
        <w:jc w:val="left"/>
      </w:pPr>
    </w:p>
    <w:p w14:paraId="57297363" w14:textId="77777777" w:rsidR="00174605" w:rsidRDefault="00C8536B">
      <w:pPr>
        <w:keepNext/>
        <w:widowControl/>
        <w:jc w:val="left"/>
        <w:rPr>
          <w:u w:val="single"/>
        </w:rPr>
      </w:pPr>
      <w:r>
        <w:rPr>
          <w:u w:val="single"/>
        </w:rPr>
        <w:lastRenderedPageBreak/>
        <w:t>Vesekárosodás</w:t>
      </w:r>
    </w:p>
    <w:p w14:paraId="6C3C723B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a veséken keresztül </w:t>
      </w:r>
      <w:proofErr w:type="spellStart"/>
      <w:r>
        <w:t>választódik</w:t>
      </w:r>
      <w:proofErr w:type="spellEnd"/>
      <w:r>
        <w:t xml:space="preserve"> ki. A normál vesefunkciójú betegeknél megfigyeltekhez hasonló </w:t>
      </w:r>
      <w:proofErr w:type="spellStart"/>
      <w:r>
        <w:t>szitagliptin</w:t>
      </w:r>
      <w:proofErr w:type="spellEnd"/>
      <w:r>
        <w:t xml:space="preserve">-plazmakoncentrációk eléréséhez alacsonyabb dózisok javasoltak a </w:t>
      </w:r>
      <w:proofErr w:type="gramStart"/>
      <w:r>
        <w:t>&lt; 45</w:t>
      </w:r>
      <w:proofErr w:type="gramEnd"/>
      <w:r>
        <w:t xml:space="preserve"> ml/perc GFR értékkel rendelkező, illetve </w:t>
      </w:r>
      <w:proofErr w:type="spellStart"/>
      <w:r>
        <w:t>hemodialízist</w:t>
      </w:r>
      <w:proofErr w:type="spellEnd"/>
      <w:r>
        <w:t xml:space="preserve"> vagy </w:t>
      </w:r>
      <w:proofErr w:type="spellStart"/>
      <w:r>
        <w:t>peritoneális</w:t>
      </w:r>
      <w:proofErr w:type="spellEnd"/>
      <w:r>
        <w:t xml:space="preserve"> dialízist igénylő, végstádiumú vesebetegségben (ESRD) szenvedő betegeknél (lásd 4.2 és 5.2 pont).</w:t>
      </w:r>
    </w:p>
    <w:p w14:paraId="65F73665" w14:textId="77777777" w:rsidR="00174605" w:rsidRDefault="00174605">
      <w:pPr>
        <w:widowControl/>
        <w:jc w:val="left"/>
      </w:pPr>
    </w:p>
    <w:p w14:paraId="57EEAF5C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és egyéb </w:t>
      </w:r>
      <w:proofErr w:type="spellStart"/>
      <w:r>
        <w:t>antidiabetikum</w:t>
      </w:r>
      <w:proofErr w:type="spellEnd"/>
      <w:r>
        <w:t xml:space="preserve"> együttes alkalmazásának megfontolásakor ellenőrizni kell a </w:t>
      </w:r>
      <w:proofErr w:type="spellStart"/>
      <w:r>
        <w:t>szitagliptin</w:t>
      </w:r>
      <w:proofErr w:type="spellEnd"/>
      <w:r>
        <w:t xml:space="preserve"> vesekárosodásban szenvedő betegeknél történő alkalmazásának feltételeit.</w:t>
      </w:r>
    </w:p>
    <w:p w14:paraId="7ACA411F" w14:textId="77777777" w:rsidR="00174605" w:rsidRDefault="00174605">
      <w:pPr>
        <w:widowControl/>
        <w:jc w:val="left"/>
      </w:pPr>
    </w:p>
    <w:p w14:paraId="3C314743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Túlérzékenységi reakciók</w:t>
      </w:r>
    </w:p>
    <w:p w14:paraId="498798B3" w14:textId="77777777" w:rsidR="00174605" w:rsidRDefault="00C8536B">
      <w:pPr>
        <w:widowControl/>
        <w:jc w:val="left"/>
      </w:pPr>
      <w:proofErr w:type="spellStart"/>
      <w:r>
        <w:t>Szitagliptinnel</w:t>
      </w:r>
      <w:proofErr w:type="spellEnd"/>
      <w:r>
        <w:t xml:space="preserve"> kezelt betegeknél a forgalomba hozatalt követően súlyos túlérzékenységi reakciókat jelentettek. E reakciók közé tartoznak az </w:t>
      </w:r>
      <w:proofErr w:type="spellStart"/>
      <w:r>
        <w:t>anafilaxia</w:t>
      </w:r>
      <w:proofErr w:type="spellEnd"/>
      <w:r>
        <w:t xml:space="preserve">, </w:t>
      </w:r>
      <w:proofErr w:type="spellStart"/>
      <w:r>
        <w:t>angioödéma</w:t>
      </w:r>
      <w:proofErr w:type="spellEnd"/>
      <w:r>
        <w:t xml:space="preserve"> és </w:t>
      </w:r>
      <w:proofErr w:type="spellStart"/>
      <w:r>
        <w:t>exfoliatív</w:t>
      </w:r>
      <w:proofErr w:type="spellEnd"/>
      <w:r>
        <w:t xml:space="preserve"> bőrelváltozások, beleértve a </w:t>
      </w:r>
      <w:proofErr w:type="spellStart"/>
      <w:r>
        <w:t>Stevens</w:t>
      </w:r>
      <w:proofErr w:type="spellEnd"/>
      <w:r>
        <w:t xml:space="preserve">–Johnson-szindrómát. E reakciók a kezelés megkezdését követő első 3 hónapon belül – egyes jelentések szerint az első adagot követően – alakultak ki. Amennyiben túlérzékenységi reakció gyanúja merül fel, a </w:t>
      </w:r>
      <w:proofErr w:type="spellStart"/>
      <w:r>
        <w:t>Maysiglu</w:t>
      </w:r>
      <w:proofErr w:type="spellEnd"/>
      <w:r>
        <w:t xml:space="preserve"> szedését abba kell hagyni. Meg kell állapítani a reakció egyéb lehetséges okait, és a diabetes kezelésének más módját kell megkezdeni.</w:t>
      </w:r>
    </w:p>
    <w:p w14:paraId="71F9F02E" w14:textId="77777777" w:rsidR="00174605" w:rsidRDefault="00174605">
      <w:pPr>
        <w:widowControl/>
        <w:jc w:val="left"/>
      </w:pPr>
    </w:p>
    <w:p w14:paraId="1C7FF6CB" w14:textId="77777777" w:rsidR="00174605" w:rsidRDefault="00C8536B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Bullosus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pemphigoid</w:t>
      </w:r>
      <w:proofErr w:type="spellEnd"/>
    </w:p>
    <w:p w14:paraId="742B9ABE" w14:textId="77777777" w:rsidR="00174605" w:rsidRDefault="00C8536B">
      <w:pPr>
        <w:widowControl/>
        <w:jc w:val="left"/>
      </w:pPr>
      <w:r>
        <w:t xml:space="preserve">A DPP-4-gátlókat – beleértve a </w:t>
      </w:r>
      <w:proofErr w:type="spellStart"/>
      <w:r>
        <w:t>szitagliptint</w:t>
      </w:r>
      <w:proofErr w:type="spellEnd"/>
      <w:r>
        <w:t xml:space="preserve"> is – szedő betegeknél a forgalomba hozatalt követően </w:t>
      </w:r>
      <w:proofErr w:type="spellStart"/>
      <w:r>
        <w:t>bullosus</w:t>
      </w:r>
      <w:proofErr w:type="spellEnd"/>
      <w:r>
        <w:t xml:space="preserve"> </w:t>
      </w:r>
      <w:proofErr w:type="spellStart"/>
      <w:r>
        <w:t>pemphigoidról</w:t>
      </w:r>
      <w:proofErr w:type="spellEnd"/>
      <w:r>
        <w:t xml:space="preserve"> számoltak be. Ha </w:t>
      </w:r>
      <w:proofErr w:type="spellStart"/>
      <w:r>
        <w:t>bullosus</w:t>
      </w:r>
      <w:proofErr w:type="spellEnd"/>
      <w:r>
        <w:t xml:space="preserve"> </w:t>
      </w:r>
      <w:proofErr w:type="spellStart"/>
      <w:r>
        <w:t>pemphigoid</w:t>
      </w:r>
      <w:proofErr w:type="spellEnd"/>
      <w:r>
        <w:t xml:space="preserve"> gyanúja áll fenn, a </w:t>
      </w:r>
      <w:proofErr w:type="spellStart"/>
      <w:r>
        <w:t>Maysiglu</w:t>
      </w:r>
      <w:proofErr w:type="spellEnd"/>
      <w:r>
        <w:t xml:space="preserve"> szedését abba kell hagyni.</w:t>
      </w:r>
    </w:p>
    <w:p w14:paraId="47DC526D" w14:textId="77777777" w:rsidR="00174605" w:rsidRDefault="00174605">
      <w:pPr>
        <w:widowControl/>
        <w:jc w:val="left"/>
      </w:pPr>
    </w:p>
    <w:p w14:paraId="6A52EC8C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Segédanyagok</w:t>
      </w:r>
    </w:p>
    <w:p w14:paraId="0A49A59B" w14:textId="77777777" w:rsidR="00174605" w:rsidRDefault="00C8536B">
      <w:pPr>
        <w:widowControl/>
        <w:jc w:val="left"/>
      </w:pPr>
      <w:r>
        <w:t xml:space="preserve">A készítmény kevesebb mint 1 </w:t>
      </w:r>
      <w:proofErr w:type="spellStart"/>
      <w:r>
        <w:t>mmol</w:t>
      </w:r>
      <w:proofErr w:type="spellEnd"/>
      <w:r>
        <w:t xml:space="preserve"> (23 mg) nátriumot tartalmaz </w:t>
      </w:r>
      <w:proofErr w:type="spellStart"/>
      <w:r>
        <w:t>tablettánként</w:t>
      </w:r>
      <w:proofErr w:type="spellEnd"/>
      <w:r>
        <w:t>, azaz gyakorlatilag „nátriummentes”.</w:t>
      </w:r>
    </w:p>
    <w:p w14:paraId="4662F09E" w14:textId="77777777" w:rsidR="00174605" w:rsidRDefault="00174605">
      <w:pPr>
        <w:pStyle w:val="Cmsor2"/>
      </w:pPr>
    </w:p>
    <w:p w14:paraId="5CB5B7E9" w14:textId="77777777" w:rsidR="00174605" w:rsidRDefault="00C8536B">
      <w:pPr>
        <w:pStyle w:val="Cmsor2"/>
      </w:pPr>
      <w:r>
        <w:t>4.5</w:t>
      </w:r>
      <w:r>
        <w:tab/>
        <w:t>Gyógyszerkölcsönhatások és egyéb interakciók</w:t>
      </w:r>
    </w:p>
    <w:p w14:paraId="425D4FAB" w14:textId="77777777" w:rsidR="00174605" w:rsidRDefault="00174605">
      <w:pPr>
        <w:jc w:val="left"/>
      </w:pPr>
    </w:p>
    <w:p w14:paraId="10C62DCA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 xml:space="preserve">Más gyógyszerek hatása a </w:t>
      </w:r>
      <w:proofErr w:type="spellStart"/>
      <w:r>
        <w:rPr>
          <w:u w:val="single"/>
        </w:rPr>
        <w:t>szitagliptinre</w:t>
      </w:r>
      <w:proofErr w:type="spellEnd"/>
    </w:p>
    <w:p w14:paraId="1DD7499E" w14:textId="77777777" w:rsidR="00174605" w:rsidRDefault="00C8536B">
      <w:pPr>
        <w:widowControl/>
        <w:jc w:val="left"/>
      </w:pPr>
      <w:r>
        <w:t xml:space="preserve">Az alábbiakban ismertetett klinikai adatok arra utalnak, hogy alacsony annak a kockázata, hogy a </w:t>
      </w:r>
      <w:proofErr w:type="spellStart"/>
      <w:r>
        <w:t>szitagliptin</w:t>
      </w:r>
      <w:proofErr w:type="spellEnd"/>
      <w:r>
        <w:t xml:space="preserve"> az együttesen alkalmazott gyógyszerekkel klinikailag jelentős kölcsönhatásba lép.</w:t>
      </w:r>
    </w:p>
    <w:p w14:paraId="673004D1" w14:textId="77777777" w:rsidR="00174605" w:rsidRDefault="00174605">
      <w:pPr>
        <w:widowControl/>
        <w:jc w:val="left"/>
      </w:pPr>
    </w:p>
    <w:p w14:paraId="3835BEA3" w14:textId="77777777" w:rsidR="00174605" w:rsidRDefault="00C8536B">
      <w:pPr>
        <w:widowControl/>
        <w:jc w:val="left"/>
      </w:pPr>
      <w:r>
        <w:t xml:space="preserve">Az </w:t>
      </w:r>
      <w:r>
        <w:rPr>
          <w:i/>
        </w:rPr>
        <w:t>in vitro</w:t>
      </w:r>
      <w:r>
        <w:t xml:space="preserve"> vizsgálatok kimutatták, hogy a </w:t>
      </w:r>
      <w:proofErr w:type="spellStart"/>
      <w:r>
        <w:t>szitagliptin</w:t>
      </w:r>
      <w:proofErr w:type="spellEnd"/>
      <w:r>
        <w:t xml:space="preserve"> korlátozott metabolizmusáért elsődlegesen a CYP3A4 enzim felelős, a CYP2C8 közreműködésével. A normál vesefunkcióval bíró betegek esetében a metabolizmus – beleértve a CYP3A4-en keresztül történő metabolizmust – csak kis szerepet játszik a </w:t>
      </w:r>
      <w:proofErr w:type="spellStart"/>
      <w:r>
        <w:t>szitagliptin</w:t>
      </w:r>
      <w:proofErr w:type="spellEnd"/>
      <w:r>
        <w:t xml:space="preserve"> kiürülésében. Súlyos vesekárosodás, illetve végstádiumú vesebetegség („end </w:t>
      </w:r>
      <w:proofErr w:type="spellStart"/>
      <w:r>
        <w:t>stage</w:t>
      </w:r>
      <w:proofErr w:type="spellEnd"/>
      <w:r>
        <w:t xml:space="preserve"> </w:t>
      </w:r>
      <w:proofErr w:type="spellStart"/>
      <w:r>
        <w:t>renal</w:t>
      </w:r>
      <w:proofErr w:type="spellEnd"/>
      <w:r>
        <w:t xml:space="preserve"> </w:t>
      </w:r>
      <w:proofErr w:type="spellStart"/>
      <w:r>
        <w:t>disease</w:t>
      </w:r>
      <w:proofErr w:type="spellEnd"/>
      <w:r>
        <w:t xml:space="preserve">” – ESRD) esetén a metabolizmus a </w:t>
      </w:r>
      <w:proofErr w:type="spellStart"/>
      <w:r>
        <w:t>szitagliptin</w:t>
      </w:r>
      <w:proofErr w:type="spellEnd"/>
      <w:r>
        <w:t xml:space="preserve"> kiválasztásában jelentősebb szerepet játszhat. Ezért lehetséges, hogy az erős CYP3A4-inhibitorok (pl.: </w:t>
      </w:r>
      <w:proofErr w:type="spellStart"/>
      <w:r>
        <w:t>ketokonazol</w:t>
      </w:r>
      <w:proofErr w:type="spellEnd"/>
      <w:r>
        <w:t xml:space="preserve">, </w:t>
      </w:r>
      <w:proofErr w:type="spellStart"/>
      <w:r>
        <w:t>itrakonazol</w:t>
      </w:r>
      <w:proofErr w:type="spellEnd"/>
      <w:r>
        <w:t xml:space="preserve">, ritonavir, </w:t>
      </w:r>
      <w:proofErr w:type="spellStart"/>
      <w:r>
        <w:t>klaritromicin</w:t>
      </w:r>
      <w:proofErr w:type="spellEnd"/>
      <w:r>
        <w:t xml:space="preserve">) a súlyos vesekárosodásban vagy ESRD-ben szenvedő betegek esetében megváltoztathatják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 Az erős CYP3A4-inhibitorok hatásait vesekárosodásban szenvedők esetében klinikai vizsgálatokban nem vizsgálták.</w:t>
      </w:r>
    </w:p>
    <w:p w14:paraId="00DF3E99" w14:textId="77777777" w:rsidR="00174605" w:rsidRDefault="00174605">
      <w:pPr>
        <w:widowControl/>
        <w:jc w:val="left"/>
      </w:pPr>
    </w:p>
    <w:p w14:paraId="0F711CB9" w14:textId="77777777" w:rsidR="00174605" w:rsidRDefault="00C8536B">
      <w:pPr>
        <w:widowControl/>
        <w:jc w:val="left"/>
      </w:pPr>
      <w:r>
        <w:t xml:space="preserve">Az </w:t>
      </w:r>
      <w:r>
        <w:rPr>
          <w:i/>
        </w:rPr>
        <w:t>in vitro</w:t>
      </w:r>
      <w:r>
        <w:t xml:space="preserve"> transzport vizsgálatok azt mutatták, hogy a </w:t>
      </w:r>
      <w:proofErr w:type="spellStart"/>
      <w:r>
        <w:t>szitagliptin</w:t>
      </w:r>
      <w:proofErr w:type="spellEnd"/>
      <w:r>
        <w:t xml:space="preserve"> a p-</w:t>
      </w:r>
      <w:proofErr w:type="spellStart"/>
      <w:r>
        <w:t>glikoprotein</w:t>
      </w:r>
      <w:proofErr w:type="spellEnd"/>
      <w:r>
        <w:t xml:space="preserve"> és az organikus anion transzporter-3 (OAT3) </w:t>
      </w:r>
      <w:proofErr w:type="spellStart"/>
      <w:r>
        <w:t>szubsztrátja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OAT3-mediált transzportját a </w:t>
      </w:r>
      <w:proofErr w:type="spellStart"/>
      <w:r>
        <w:t>probenecid</w:t>
      </w:r>
      <w:proofErr w:type="spellEnd"/>
      <w:r>
        <w:t xml:space="preserve"> </w:t>
      </w:r>
      <w:r>
        <w:rPr>
          <w:i/>
        </w:rPr>
        <w:t>in vitro</w:t>
      </w:r>
      <w:r>
        <w:t xml:space="preserve"> gátolta, noha a klinikailag jelentős kölcsönhatások kockázata alacsonynak bizonyult. Az OAT3-inhibitorok együttes alkalmazását </w:t>
      </w:r>
      <w:r>
        <w:rPr>
          <w:i/>
        </w:rPr>
        <w:t>in vivo</w:t>
      </w:r>
      <w:r>
        <w:t xml:space="preserve"> nem értékelték.</w:t>
      </w:r>
    </w:p>
    <w:p w14:paraId="01678DF9" w14:textId="77777777" w:rsidR="00174605" w:rsidRDefault="00174605">
      <w:pPr>
        <w:widowControl/>
        <w:jc w:val="left"/>
      </w:pPr>
    </w:p>
    <w:p w14:paraId="7CBE413D" w14:textId="77777777" w:rsidR="00174605" w:rsidRDefault="00C8536B">
      <w:pPr>
        <w:widowControl/>
        <w:jc w:val="left"/>
      </w:pPr>
      <w:proofErr w:type="spellStart"/>
      <w:r>
        <w:rPr>
          <w:i/>
        </w:rPr>
        <w:t>Metformin</w:t>
      </w:r>
      <w:proofErr w:type="spellEnd"/>
      <w:r>
        <w:rPr>
          <w:i/>
        </w:rPr>
        <w:t>:</w:t>
      </w:r>
      <w:r>
        <w:t xml:space="preserve"> Napi kétszeri 1000 mg </w:t>
      </w:r>
      <w:proofErr w:type="spellStart"/>
      <w:r>
        <w:t>metformin</w:t>
      </w:r>
      <w:proofErr w:type="spellEnd"/>
      <w:r>
        <w:t xml:space="preserve"> ismételt adagolása nem változtatta meg jelentősen az együtt adott 50 mg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a 2-es típusú diabetesben szenvedő betegekben.</w:t>
      </w:r>
    </w:p>
    <w:p w14:paraId="29D9B710" w14:textId="77777777" w:rsidR="00174605" w:rsidRDefault="00174605">
      <w:pPr>
        <w:widowControl/>
        <w:jc w:val="left"/>
      </w:pPr>
    </w:p>
    <w:p w14:paraId="2050ABD1" w14:textId="77777777" w:rsidR="00174605" w:rsidRDefault="00C8536B">
      <w:pPr>
        <w:widowControl/>
        <w:jc w:val="left"/>
      </w:pPr>
      <w:proofErr w:type="spellStart"/>
      <w:r>
        <w:rPr>
          <w:i/>
        </w:rPr>
        <w:t>Ciklosporin</w:t>
      </w:r>
      <w:proofErr w:type="spellEnd"/>
      <w:r>
        <w:rPr>
          <w:i/>
        </w:rPr>
        <w:t>:</w:t>
      </w:r>
      <w:r>
        <w:t xml:space="preserve"> Elvégeztek egy vizsgálatot arra vonatkozóan, hogy megállapítsák az erős p-</w:t>
      </w:r>
      <w:proofErr w:type="spellStart"/>
      <w:r>
        <w:t>glikoprotein</w:t>
      </w:r>
      <w:proofErr w:type="spellEnd"/>
      <w:r>
        <w:t xml:space="preserve">-inhibitornak minősülő </w:t>
      </w:r>
      <w:proofErr w:type="spellStart"/>
      <w:r>
        <w:t>ciklosporin</w:t>
      </w:r>
      <w:proofErr w:type="spellEnd"/>
      <w:r>
        <w:t xml:space="preserve"> hatását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egyszeri, orálisan adott 100 mg-os adagjának együttes alkalmazása egyszeri, orálisan adott 600 mg </w:t>
      </w:r>
      <w:proofErr w:type="spellStart"/>
      <w:r>
        <w:t>ciklosporinnal</w:t>
      </w:r>
      <w:proofErr w:type="spellEnd"/>
      <w:r>
        <w:t xml:space="preserve"> körülbelül 29%-kal emelte meg a </w:t>
      </w:r>
      <w:proofErr w:type="spellStart"/>
      <w:r>
        <w:t>szitagliptin</w:t>
      </w:r>
      <w:proofErr w:type="spellEnd"/>
      <w:r>
        <w:t xml:space="preserve"> AUC-értékét, és 68%-kal 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-értékét.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farmakokinetikájának</w:t>
      </w:r>
      <w:proofErr w:type="spellEnd"/>
      <w:r>
        <w:t xml:space="preserve"> ezen változásai nem tekinthetők klinikailag jelentősnek, a </w:t>
      </w:r>
      <w:proofErr w:type="spellStart"/>
      <w:r>
        <w:t>szitagliptin</w:t>
      </w:r>
      <w:proofErr w:type="spellEnd"/>
      <w:r>
        <w:t xml:space="preserve"> vese-</w:t>
      </w:r>
      <w:proofErr w:type="spellStart"/>
      <w:r>
        <w:t>clearance</w:t>
      </w:r>
      <w:proofErr w:type="spellEnd"/>
      <w:r>
        <w:t>-e nem módosult jelentős mértékben. Nem várható tehát jelentős interakció egyéb p-</w:t>
      </w:r>
      <w:proofErr w:type="spellStart"/>
      <w:r>
        <w:t>glikoprotein</w:t>
      </w:r>
      <w:proofErr w:type="spellEnd"/>
      <w:r>
        <w:t>-inhibitorokkal.</w:t>
      </w:r>
    </w:p>
    <w:p w14:paraId="51DC43F2" w14:textId="77777777" w:rsidR="00174605" w:rsidRDefault="00174605">
      <w:pPr>
        <w:widowControl/>
        <w:jc w:val="left"/>
      </w:pPr>
    </w:p>
    <w:p w14:paraId="0A277EA6" w14:textId="77777777" w:rsidR="00174605" w:rsidRDefault="00C8536B">
      <w:pPr>
        <w:widowControl/>
        <w:jc w:val="left"/>
        <w:rPr>
          <w:i/>
        </w:rPr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szitagliptin</w:t>
      </w:r>
      <w:proofErr w:type="spellEnd"/>
      <w:r>
        <w:rPr>
          <w:u w:val="single"/>
        </w:rPr>
        <w:t xml:space="preserve"> hatása más gyógyszerekre </w:t>
      </w:r>
    </w:p>
    <w:p w14:paraId="283250B7" w14:textId="77777777" w:rsidR="00174605" w:rsidRDefault="00C8536B">
      <w:pPr>
        <w:widowControl/>
        <w:jc w:val="left"/>
      </w:pPr>
      <w:proofErr w:type="spellStart"/>
      <w:r>
        <w:rPr>
          <w:i/>
        </w:rPr>
        <w:t>Digoxin</w:t>
      </w:r>
      <w:proofErr w:type="spellEnd"/>
      <w:r>
        <w:rPr>
          <w:i/>
        </w:rPr>
        <w:t>:</w:t>
      </w:r>
      <w:r>
        <w:t xml:space="preserve"> A </w:t>
      </w:r>
      <w:proofErr w:type="spellStart"/>
      <w:r>
        <w:t>szitagliptin</w:t>
      </w:r>
      <w:proofErr w:type="spellEnd"/>
      <w:r>
        <w:t xml:space="preserve"> csekély mértékben befolyásolta a plazma-</w:t>
      </w:r>
      <w:proofErr w:type="spellStart"/>
      <w:r>
        <w:t>digoxin</w:t>
      </w:r>
      <w:proofErr w:type="spellEnd"/>
      <w:r>
        <w:t xml:space="preserve">-koncentrációt. Napi 0,25 mg </w:t>
      </w:r>
      <w:proofErr w:type="spellStart"/>
      <w:r>
        <w:t>digoxin</w:t>
      </w:r>
      <w:proofErr w:type="spellEnd"/>
      <w:r>
        <w:t xml:space="preserve"> és 100 mg </w:t>
      </w:r>
      <w:proofErr w:type="spellStart"/>
      <w:r>
        <w:t>szitagliptin</w:t>
      </w:r>
      <w:proofErr w:type="spellEnd"/>
      <w:r>
        <w:t xml:space="preserve"> 10 napon át történő együttes alkalmazása a </w:t>
      </w:r>
      <w:proofErr w:type="spellStart"/>
      <w:r>
        <w:t>digoxin</w:t>
      </w:r>
      <w:proofErr w:type="spellEnd"/>
      <w:r>
        <w:t xml:space="preserve"> plazma AUC-értékét átlagosan 11%-kal, míg a plazma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-értékét átlagosan 18%-kal emelte. A </w:t>
      </w:r>
      <w:proofErr w:type="spellStart"/>
      <w:r>
        <w:t>digoxin</w:t>
      </w:r>
      <w:proofErr w:type="spellEnd"/>
      <w:r>
        <w:t xml:space="preserve"> dózismódosítása nem ajánlott. A </w:t>
      </w:r>
      <w:proofErr w:type="spellStart"/>
      <w:r>
        <w:t>digoxin</w:t>
      </w:r>
      <w:proofErr w:type="spellEnd"/>
      <w:r>
        <w:t xml:space="preserve">-toxicitás kockázatának kitett betegeket </w:t>
      </w:r>
      <w:proofErr w:type="spellStart"/>
      <w:r>
        <w:t>monitorozni</w:t>
      </w:r>
      <w:proofErr w:type="spellEnd"/>
      <w:r>
        <w:t xml:space="preserve"> kell, ha a </w:t>
      </w:r>
      <w:proofErr w:type="spellStart"/>
      <w:r>
        <w:t>szitagliptin</w:t>
      </w:r>
      <w:proofErr w:type="spellEnd"/>
      <w:r>
        <w:t xml:space="preserve"> és a </w:t>
      </w:r>
      <w:proofErr w:type="spellStart"/>
      <w:r>
        <w:t>digoxin</w:t>
      </w:r>
      <w:proofErr w:type="spellEnd"/>
      <w:r>
        <w:t xml:space="preserve"> együttes alkalmazására kerül sor.</w:t>
      </w:r>
    </w:p>
    <w:p w14:paraId="2D4F4EFA" w14:textId="77777777" w:rsidR="00174605" w:rsidRDefault="00174605">
      <w:pPr>
        <w:widowControl/>
        <w:jc w:val="left"/>
      </w:pPr>
    </w:p>
    <w:p w14:paraId="5695A622" w14:textId="77777777" w:rsidR="00174605" w:rsidRDefault="00C8536B">
      <w:pPr>
        <w:widowControl/>
        <w:jc w:val="left"/>
      </w:pPr>
      <w:r>
        <w:t xml:space="preserve">Az </w:t>
      </w:r>
      <w:r>
        <w:rPr>
          <w:i/>
        </w:rPr>
        <w:t>in vitro</w:t>
      </w:r>
      <w:r>
        <w:t xml:space="preserve"> adatok alapján a </w:t>
      </w:r>
      <w:proofErr w:type="spellStart"/>
      <w:r>
        <w:t>szitagliptin</w:t>
      </w:r>
      <w:proofErr w:type="spellEnd"/>
      <w:r>
        <w:t xml:space="preserve"> nem gátolja és nem is indukálja a CYP450 </w:t>
      </w:r>
      <w:proofErr w:type="spellStart"/>
      <w:r>
        <w:t>izoenzimeket</w:t>
      </w:r>
      <w:proofErr w:type="spellEnd"/>
      <w:r>
        <w:t xml:space="preserve">. A klinikai vizsgálatok során a </w:t>
      </w:r>
      <w:proofErr w:type="spellStart"/>
      <w:r>
        <w:t>szitagliptin</w:t>
      </w:r>
      <w:proofErr w:type="spellEnd"/>
      <w:r>
        <w:t xml:space="preserve"> nem változtatta meg jelentős mértékben a </w:t>
      </w:r>
      <w:proofErr w:type="spellStart"/>
      <w:r>
        <w:t>metformin</w:t>
      </w:r>
      <w:proofErr w:type="spellEnd"/>
      <w:r>
        <w:t xml:space="preserve">, a </w:t>
      </w:r>
      <w:proofErr w:type="spellStart"/>
      <w:r>
        <w:t>gliburid</w:t>
      </w:r>
      <w:proofErr w:type="spellEnd"/>
      <w:r>
        <w:t xml:space="preserve">, a </w:t>
      </w:r>
      <w:proofErr w:type="spellStart"/>
      <w:r>
        <w:t>szimvasztatin</w:t>
      </w:r>
      <w:proofErr w:type="spellEnd"/>
      <w:r>
        <w:t xml:space="preserve">, a </w:t>
      </w:r>
      <w:proofErr w:type="spellStart"/>
      <w:r>
        <w:t>roziglitazon</w:t>
      </w:r>
      <w:proofErr w:type="spellEnd"/>
      <w:r>
        <w:t xml:space="preserve">, a </w:t>
      </w:r>
      <w:proofErr w:type="spellStart"/>
      <w:r>
        <w:t>warfarin</w:t>
      </w:r>
      <w:proofErr w:type="spellEnd"/>
      <w:r>
        <w:t xml:space="preserve"> vagy az orális fogamzásgátlók </w:t>
      </w:r>
      <w:proofErr w:type="spellStart"/>
      <w:r>
        <w:t>farmakokinetikáját</w:t>
      </w:r>
      <w:proofErr w:type="spellEnd"/>
      <w:r>
        <w:t xml:space="preserve">, ami </w:t>
      </w:r>
      <w:r>
        <w:rPr>
          <w:i/>
        </w:rPr>
        <w:t>in vivo</w:t>
      </w:r>
      <w:r>
        <w:t xml:space="preserve"> bizonyítja a CYP3A4, CYP2C8, CYP2C9 és az organikus kation-</w:t>
      </w:r>
      <w:proofErr w:type="spellStart"/>
      <w:r>
        <w:t>transzporter</w:t>
      </w:r>
      <w:proofErr w:type="spellEnd"/>
      <w:r>
        <w:t xml:space="preserve"> („</w:t>
      </w:r>
      <w:proofErr w:type="spellStart"/>
      <w:r>
        <w:t>organic</w:t>
      </w:r>
      <w:proofErr w:type="spellEnd"/>
      <w:r>
        <w:t xml:space="preserve"> </w:t>
      </w:r>
      <w:proofErr w:type="spellStart"/>
      <w:r>
        <w:t>cationic</w:t>
      </w:r>
      <w:proofErr w:type="spellEnd"/>
      <w:r>
        <w:t xml:space="preserve"> </w:t>
      </w:r>
      <w:proofErr w:type="spellStart"/>
      <w:r>
        <w:t>transporter</w:t>
      </w:r>
      <w:proofErr w:type="spellEnd"/>
      <w:r>
        <w:t xml:space="preserve">” – OCT) </w:t>
      </w:r>
      <w:proofErr w:type="spellStart"/>
      <w:r>
        <w:t>szubsztrátokkal</w:t>
      </w:r>
      <w:proofErr w:type="spellEnd"/>
      <w:r>
        <w:t xml:space="preserve"> szemben mutatott alacsony interakciós hajlamot. </w:t>
      </w:r>
      <w:r>
        <w:rPr>
          <w:i/>
        </w:rPr>
        <w:t>In vivo</w:t>
      </w:r>
      <w:r>
        <w:t xml:space="preserve"> a </w:t>
      </w:r>
      <w:proofErr w:type="spellStart"/>
      <w:r>
        <w:t>szitagliptin</w:t>
      </w:r>
      <w:proofErr w:type="spellEnd"/>
      <w:r>
        <w:t xml:space="preserve"> a p-</w:t>
      </w:r>
      <w:proofErr w:type="spellStart"/>
      <w:r>
        <w:t>glikoproteint</w:t>
      </w:r>
      <w:proofErr w:type="spellEnd"/>
      <w:r>
        <w:t xml:space="preserve"> enyhén gátolhatja.</w:t>
      </w:r>
    </w:p>
    <w:p w14:paraId="461353F9" w14:textId="77777777" w:rsidR="00174605" w:rsidRDefault="00174605">
      <w:pPr>
        <w:widowControl/>
        <w:jc w:val="left"/>
      </w:pPr>
    </w:p>
    <w:p w14:paraId="6E894754" w14:textId="77777777" w:rsidR="00174605" w:rsidRDefault="00174605">
      <w:pPr>
        <w:widowControl/>
        <w:jc w:val="left"/>
      </w:pPr>
    </w:p>
    <w:p w14:paraId="2382537C" w14:textId="77777777" w:rsidR="00174605" w:rsidRDefault="00C8536B">
      <w:pPr>
        <w:pStyle w:val="Cmsor2"/>
      </w:pPr>
      <w:r>
        <w:t>4.6</w:t>
      </w:r>
      <w:r>
        <w:tab/>
        <w:t>Termékenység, terhesség és szoptatás</w:t>
      </w:r>
    </w:p>
    <w:p w14:paraId="59C97A29" w14:textId="77777777" w:rsidR="00174605" w:rsidRDefault="00174605">
      <w:pPr>
        <w:jc w:val="left"/>
      </w:pPr>
    </w:p>
    <w:p w14:paraId="216066FD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Terhesség</w:t>
      </w:r>
    </w:p>
    <w:p w14:paraId="0A5BC790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terhes nőknél történő alkalmazása tekintetében nem áll rendelkezésre megfelelő mennyiségű információ. Állatkísérletek során reprodukciós toxicitást igazoltak nagy dózisok alkalmazása mellett (lásd 5.3 pont). Az embernél e kockázat mértéke nem ismert. Az emberekre vonatkozó adatok hiánya miatt a </w:t>
      </w:r>
      <w:proofErr w:type="spellStart"/>
      <w:r>
        <w:t>Maysiglu</w:t>
      </w:r>
      <w:proofErr w:type="spellEnd"/>
      <w:r>
        <w:t xml:space="preserve"> alkalmazása nem ajánlott a terhesség alatt.</w:t>
      </w:r>
    </w:p>
    <w:p w14:paraId="7E039602" w14:textId="77777777" w:rsidR="00174605" w:rsidRDefault="00174605">
      <w:pPr>
        <w:widowControl/>
        <w:jc w:val="left"/>
      </w:pPr>
    </w:p>
    <w:p w14:paraId="6A9EBB7E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Szoptatás</w:t>
      </w:r>
    </w:p>
    <w:p w14:paraId="668BB8D9" w14:textId="77777777" w:rsidR="00174605" w:rsidRDefault="00C8536B">
      <w:pPr>
        <w:widowControl/>
        <w:jc w:val="left"/>
      </w:pPr>
      <w:r>
        <w:t xml:space="preserve">Nem ismert, hogy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-e a humán anyatejbe. Az állatkísérletek azt mutatják, hogy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 az anyatejbe. A </w:t>
      </w:r>
      <w:proofErr w:type="spellStart"/>
      <w:r>
        <w:t>Maysiglu</w:t>
      </w:r>
      <w:proofErr w:type="spellEnd"/>
      <w:r>
        <w:t xml:space="preserve"> alkalmazása nem ajánlott a szoptatás alatt.</w:t>
      </w:r>
    </w:p>
    <w:p w14:paraId="193F4223" w14:textId="77777777" w:rsidR="00174605" w:rsidRDefault="00174605">
      <w:pPr>
        <w:widowControl/>
        <w:jc w:val="left"/>
        <w:rPr>
          <w:u w:val="single"/>
        </w:rPr>
      </w:pPr>
    </w:p>
    <w:p w14:paraId="2AD9025F" w14:textId="77777777" w:rsidR="00174605" w:rsidRDefault="00C8536B">
      <w:pPr>
        <w:widowControl/>
        <w:jc w:val="left"/>
      </w:pPr>
      <w:r>
        <w:rPr>
          <w:u w:val="single"/>
        </w:rPr>
        <w:t>Termékenység</w:t>
      </w:r>
    </w:p>
    <w:p w14:paraId="623CBF31" w14:textId="77777777" w:rsidR="00174605" w:rsidRDefault="00C8536B">
      <w:pPr>
        <w:widowControl/>
        <w:jc w:val="left"/>
      </w:pPr>
      <w:r>
        <w:t xml:space="preserve">Az állatkísérletes adatok nem utalnak arra, hogy a </w:t>
      </w:r>
      <w:proofErr w:type="spellStart"/>
      <w:r>
        <w:t>szitagliptin</w:t>
      </w:r>
      <w:proofErr w:type="spellEnd"/>
      <w:r>
        <w:t>-kezelés hatással lenne a férfi és a női termékenységre. Humán adatok nem állnak rendelkezésre.</w:t>
      </w:r>
    </w:p>
    <w:p w14:paraId="4F7F9BFB" w14:textId="77777777" w:rsidR="00174605" w:rsidRDefault="00174605">
      <w:pPr>
        <w:jc w:val="left"/>
      </w:pPr>
    </w:p>
    <w:p w14:paraId="6D8FDC93" w14:textId="77777777" w:rsidR="00174605" w:rsidRDefault="00C8536B">
      <w:pPr>
        <w:pStyle w:val="Cmsor2"/>
      </w:pPr>
      <w:r>
        <w:t>4.7</w:t>
      </w:r>
      <w:r>
        <w:tab/>
        <w:t>A készítmény hatásai a gépjárművezetéshez és a gépek kezeléséhez szükséges képességekre</w:t>
      </w:r>
    </w:p>
    <w:p w14:paraId="430DDEED" w14:textId="77777777" w:rsidR="00174605" w:rsidRDefault="00174605">
      <w:pPr>
        <w:jc w:val="left"/>
      </w:pPr>
    </w:p>
    <w:p w14:paraId="062DF6C1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Maysiglu</w:t>
      </w:r>
      <w:proofErr w:type="spellEnd"/>
      <w:r>
        <w:t xml:space="preserve"> nem, vagy csak elhanyagolható mértékben befolyásolja a gépjárművezetéshez és a gépek kezeléséhez szükséges képességeket. Gépjárművezetéskor vagy gépek kezelésekor figyelembe kell venni azonban, hogy beszámoltak szédülésről és álmosságról.</w:t>
      </w:r>
    </w:p>
    <w:p w14:paraId="2C5FF69F" w14:textId="77777777" w:rsidR="00174605" w:rsidRDefault="00174605">
      <w:pPr>
        <w:widowControl/>
        <w:jc w:val="left"/>
      </w:pPr>
    </w:p>
    <w:p w14:paraId="7885078D" w14:textId="77777777" w:rsidR="00174605" w:rsidRDefault="00C8536B">
      <w:pPr>
        <w:widowControl/>
        <w:jc w:val="left"/>
      </w:pPr>
      <w:r>
        <w:t xml:space="preserve">Továbbá a </w:t>
      </w:r>
      <w:proofErr w:type="spellStart"/>
      <w:r>
        <w:t>Maysiglu</w:t>
      </w:r>
      <w:proofErr w:type="spellEnd"/>
      <w:r>
        <w:t xml:space="preserve"> és egy </w:t>
      </w:r>
      <w:proofErr w:type="spellStart"/>
      <w:r>
        <w:t>szulfonilurea</w:t>
      </w:r>
      <w:proofErr w:type="spellEnd"/>
      <w:r>
        <w:t xml:space="preserve"> vagy inzulin együttes szedésekor a betegek figyelmét fel kell hívni a </w:t>
      </w:r>
      <w:proofErr w:type="spellStart"/>
      <w:r>
        <w:t>hipoglikémia</w:t>
      </w:r>
      <w:proofErr w:type="spellEnd"/>
      <w:r>
        <w:t xml:space="preserve"> veszélyére.</w:t>
      </w:r>
    </w:p>
    <w:p w14:paraId="227FAB9A" w14:textId="77777777" w:rsidR="00174605" w:rsidRDefault="00174605">
      <w:pPr>
        <w:jc w:val="left"/>
      </w:pPr>
    </w:p>
    <w:p w14:paraId="16E704B2" w14:textId="77777777" w:rsidR="00174605" w:rsidRDefault="00C8536B">
      <w:pPr>
        <w:pStyle w:val="Cmsor2"/>
      </w:pPr>
      <w:r>
        <w:t>4.8</w:t>
      </w:r>
      <w:r>
        <w:tab/>
        <w:t>Nemkívánatos hatások, mellékhatások</w:t>
      </w:r>
    </w:p>
    <w:p w14:paraId="37ABDAA9" w14:textId="77777777" w:rsidR="00174605" w:rsidRDefault="00174605">
      <w:pPr>
        <w:widowControl/>
        <w:jc w:val="left"/>
      </w:pPr>
    </w:p>
    <w:p w14:paraId="56F04F7F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A biztonságossági profil összefoglalása</w:t>
      </w:r>
    </w:p>
    <w:p w14:paraId="5C26ADA0" w14:textId="77777777" w:rsidR="00174605" w:rsidRDefault="00C8536B">
      <w:pPr>
        <w:widowControl/>
        <w:jc w:val="left"/>
      </w:pPr>
      <w:r>
        <w:t xml:space="preserve">Súlyos mellékhatásokról, köztük </w:t>
      </w:r>
      <w:proofErr w:type="spellStart"/>
      <w:r>
        <w:t>pancreatitisről</w:t>
      </w:r>
      <w:proofErr w:type="spellEnd"/>
      <w:r>
        <w:t xml:space="preserve"> és túlérzékenységi reakciókról számoltak be. </w:t>
      </w:r>
      <w:proofErr w:type="spellStart"/>
      <w:r>
        <w:t>Hipoglikémiáról</w:t>
      </w:r>
      <w:proofErr w:type="spellEnd"/>
      <w:r>
        <w:t xml:space="preserve"> számoltak be </w:t>
      </w:r>
      <w:proofErr w:type="spellStart"/>
      <w:r>
        <w:t>szulfonilureával</w:t>
      </w:r>
      <w:proofErr w:type="spellEnd"/>
      <w:r>
        <w:t xml:space="preserve"> (4,7% – 13,8%) és inzulinnal (9,6%) való kombinációban történő alkalmazásnál (lásd 4.4 pont).</w:t>
      </w:r>
    </w:p>
    <w:p w14:paraId="52DFC1F1" w14:textId="77777777" w:rsidR="00174605" w:rsidRDefault="00174605">
      <w:pPr>
        <w:widowControl/>
        <w:jc w:val="left"/>
      </w:pPr>
    </w:p>
    <w:p w14:paraId="6D202D30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A mellékhatások táblázatos felsorolása</w:t>
      </w:r>
    </w:p>
    <w:p w14:paraId="06728732" w14:textId="77777777" w:rsidR="00174605" w:rsidRDefault="00C8536B">
      <w:pPr>
        <w:widowControl/>
        <w:jc w:val="left"/>
        <w:rPr>
          <w:b/>
          <w:bCs/>
        </w:rPr>
      </w:pPr>
      <w:r>
        <w:t>A mellékhatások az 1. táblázatban szervrendszer és gyakoriság szerint vannak felsorolva. Az előfordulási arányok meghatározása a következő: nagyon gyakori (≥1/10); gyakori (≥1/100 – &lt;1/10); nem gyakori (≥1/1000 – &lt;1/100); ritka (≥1/10 000 – &lt;1/1000); nagyon ritka (&lt;1/10 000) és nem ismert (a rendelkezésre álló adatokból nem állapítható meg).</w:t>
      </w:r>
    </w:p>
    <w:p w14:paraId="72B94D45" w14:textId="77777777" w:rsidR="00174605" w:rsidRDefault="00174605">
      <w:pPr>
        <w:widowControl/>
        <w:jc w:val="left"/>
      </w:pPr>
    </w:p>
    <w:p w14:paraId="49D6548A" w14:textId="77777777" w:rsidR="00174605" w:rsidRDefault="00C8536B">
      <w:pPr>
        <w:keepNext/>
        <w:widowControl/>
        <w:ind w:left="1134" w:hanging="1134"/>
        <w:jc w:val="left"/>
        <w:rPr>
          <w:b/>
          <w:bCs/>
        </w:rPr>
      </w:pPr>
      <w:r>
        <w:rPr>
          <w:b/>
        </w:rPr>
        <w:lastRenderedPageBreak/>
        <w:t xml:space="preserve">1. </w:t>
      </w:r>
      <w:r>
        <w:rPr>
          <w:b/>
          <w:bCs/>
        </w:rPr>
        <w:t>táblázat</w:t>
      </w:r>
      <w:r>
        <w:rPr>
          <w:b/>
          <w:bCs/>
        </w:rPr>
        <w:tab/>
        <w:t xml:space="preserve">A placebokontrollos, </w:t>
      </w:r>
      <w:proofErr w:type="spellStart"/>
      <w:r>
        <w:rPr>
          <w:b/>
          <w:bCs/>
        </w:rPr>
        <w:t>szitagliptin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monoterápiát</w:t>
      </w:r>
      <w:proofErr w:type="spellEnd"/>
      <w:r>
        <w:rPr>
          <w:b/>
          <w:bCs/>
        </w:rPr>
        <w:t xml:space="preserve"> alkalmazó klinikai vizsgálatokban és a forgalomba hozatalt követően felismert mellékhatások gyakorisága</w:t>
      </w:r>
    </w:p>
    <w:p w14:paraId="3E76115E" w14:textId="77777777" w:rsidR="00174605" w:rsidRDefault="00174605">
      <w:pPr>
        <w:keepNext/>
        <w:widowControl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8"/>
      </w:tblGrid>
      <w:tr w:rsidR="00174605" w14:paraId="3F878E10" w14:textId="77777777">
        <w:tc>
          <w:tcPr>
            <w:tcW w:w="4605" w:type="dxa"/>
          </w:tcPr>
          <w:p w14:paraId="528517D1" w14:textId="77777777" w:rsidR="00174605" w:rsidRDefault="00C8536B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Mellékhatás</w:t>
            </w:r>
          </w:p>
        </w:tc>
        <w:tc>
          <w:tcPr>
            <w:tcW w:w="4606" w:type="dxa"/>
          </w:tcPr>
          <w:p w14:paraId="56EF9081" w14:textId="77777777" w:rsidR="00174605" w:rsidRDefault="00C8536B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A mellékhatások gyakorisága</w:t>
            </w:r>
          </w:p>
        </w:tc>
      </w:tr>
      <w:tr w:rsidR="00174605" w14:paraId="1A70B7CA" w14:textId="77777777">
        <w:tc>
          <w:tcPr>
            <w:tcW w:w="9211" w:type="dxa"/>
            <w:gridSpan w:val="2"/>
          </w:tcPr>
          <w:p w14:paraId="4E61D68D" w14:textId="77777777" w:rsidR="00174605" w:rsidRDefault="00C8536B">
            <w:pPr>
              <w:keepNext/>
              <w:jc w:val="left"/>
              <w:rPr>
                <w:b/>
              </w:rPr>
            </w:pPr>
            <w:r>
              <w:rPr>
                <w:b/>
                <w:bCs/>
              </w:rPr>
              <w:t>Vérképzőszervi és nyirokrendszeri betegségek és tünetek</w:t>
            </w:r>
          </w:p>
        </w:tc>
      </w:tr>
      <w:tr w:rsidR="00174605" w14:paraId="7B140576" w14:textId="77777777">
        <w:tc>
          <w:tcPr>
            <w:tcW w:w="4605" w:type="dxa"/>
          </w:tcPr>
          <w:p w14:paraId="71478EAE" w14:textId="77777777" w:rsidR="00174605" w:rsidRDefault="00C8536B">
            <w:pPr>
              <w:jc w:val="left"/>
            </w:pPr>
            <w:proofErr w:type="spellStart"/>
            <w:r>
              <w:t>thrombocytopenia</w:t>
            </w:r>
            <w:proofErr w:type="spellEnd"/>
          </w:p>
        </w:tc>
        <w:tc>
          <w:tcPr>
            <w:tcW w:w="4606" w:type="dxa"/>
          </w:tcPr>
          <w:p w14:paraId="6139A24B" w14:textId="77777777" w:rsidR="00174605" w:rsidRDefault="00C8536B">
            <w:pPr>
              <w:jc w:val="left"/>
            </w:pPr>
            <w:r>
              <w:t>Ritka</w:t>
            </w:r>
          </w:p>
        </w:tc>
      </w:tr>
      <w:tr w:rsidR="00174605" w14:paraId="29B4978F" w14:textId="77777777">
        <w:tc>
          <w:tcPr>
            <w:tcW w:w="9211" w:type="dxa"/>
            <w:gridSpan w:val="2"/>
          </w:tcPr>
          <w:p w14:paraId="4A22877D" w14:textId="77777777" w:rsidR="00174605" w:rsidRDefault="00174605">
            <w:pPr>
              <w:jc w:val="left"/>
            </w:pPr>
          </w:p>
        </w:tc>
      </w:tr>
      <w:tr w:rsidR="00174605" w14:paraId="46CDA3CF" w14:textId="77777777">
        <w:tc>
          <w:tcPr>
            <w:tcW w:w="9211" w:type="dxa"/>
            <w:gridSpan w:val="2"/>
          </w:tcPr>
          <w:p w14:paraId="102717ED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>Immunrendszeri betegségek és tünetek</w:t>
            </w:r>
          </w:p>
        </w:tc>
      </w:tr>
      <w:tr w:rsidR="00174605" w14:paraId="7C6CFF1B" w14:textId="77777777">
        <w:tc>
          <w:tcPr>
            <w:tcW w:w="4605" w:type="dxa"/>
          </w:tcPr>
          <w:p w14:paraId="5A120554" w14:textId="77777777" w:rsidR="00174605" w:rsidRDefault="00C8536B">
            <w:pPr>
              <w:widowControl/>
              <w:jc w:val="left"/>
            </w:pPr>
            <w:r>
              <w:t xml:space="preserve">túlérzékenységi reakciók, beleértve az </w:t>
            </w:r>
            <w:proofErr w:type="spellStart"/>
            <w:r>
              <w:t>anaphylaxiás</w:t>
            </w:r>
            <w:proofErr w:type="spellEnd"/>
            <w:r>
              <w:t xml:space="preserve"> reakciókat is</w:t>
            </w:r>
            <w:r>
              <w:rPr>
                <w:vertAlign w:val="superscript"/>
              </w:rPr>
              <w:t xml:space="preserve"> </w:t>
            </w:r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00634C26" w14:textId="77777777" w:rsidR="00174605" w:rsidRDefault="00C8536B">
            <w:pPr>
              <w:tabs>
                <w:tab w:val="left" w:pos="567"/>
              </w:tabs>
              <w:jc w:val="left"/>
            </w:pPr>
            <w:r>
              <w:t>Gyakoriság nem ismert</w:t>
            </w:r>
          </w:p>
        </w:tc>
      </w:tr>
      <w:tr w:rsidR="00174605" w14:paraId="601AC609" w14:textId="77777777">
        <w:tc>
          <w:tcPr>
            <w:tcW w:w="9211" w:type="dxa"/>
            <w:gridSpan w:val="2"/>
          </w:tcPr>
          <w:p w14:paraId="7C839C94" w14:textId="77777777" w:rsidR="00174605" w:rsidRDefault="00174605">
            <w:pPr>
              <w:jc w:val="left"/>
            </w:pPr>
          </w:p>
        </w:tc>
      </w:tr>
      <w:tr w:rsidR="00174605" w14:paraId="00B6A18D" w14:textId="77777777">
        <w:tc>
          <w:tcPr>
            <w:tcW w:w="9211" w:type="dxa"/>
            <w:gridSpan w:val="2"/>
          </w:tcPr>
          <w:p w14:paraId="7E2C333D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>Anyagcsere- és táplálkozási betegségek és tünetek</w:t>
            </w:r>
          </w:p>
        </w:tc>
      </w:tr>
      <w:tr w:rsidR="00174605" w14:paraId="79393D64" w14:textId="77777777">
        <w:tc>
          <w:tcPr>
            <w:tcW w:w="4605" w:type="dxa"/>
          </w:tcPr>
          <w:p w14:paraId="79605165" w14:textId="77777777" w:rsidR="00174605" w:rsidRDefault="00C8536B">
            <w:pPr>
              <w:jc w:val="left"/>
            </w:pPr>
            <w:proofErr w:type="spellStart"/>
            <w:r>
              <w:t>hypoglycaemia</w:t>
            </w:r>
            <w:proofErr w:type="spellEnd"/>
            <w:r>
              <w:rPr>
                <w:vertAlign w:val="superscript"/>
              </w:rPr>
              <w:t>†</w:t>
            </w:r>
          </w:p>
        </w:tc>
        <w:tc>
          <w:tcPr>
            <w:tcW w:w="4606" w:type="dxa"/>
          </w:tcPr>
          <w:p w14:paraId="7F1F9237" w14:textId="77777777" w:rsidR="00174605" w:rsidRDefault="00C8536B">
            <w:pPr>
              <w:jc w:val="left"/>
            </w:pPr>
            <w:r>
              <w:t>Gyakori</w:t>
            </w:r>
          </w:p>
        </w:tc>
      </w:tr>
      <w:tr w:rsidR="00174605" w14:paraId="0C913C78" w14:textId="77777777">
        <w:tc>
          <w:tcPr>
            <w:tcW w:w="9211" w:type="dxa"/>
            <w:gridSpan w:val="2"/>
          </w:tcPr>
          <w:p w14:paraId="23F51772" w14:textId="77777777" w:rsidR="00174605" w:rsidRDefault="00174605">
            <w:pPr>
              <w:jc w:val="left"/>
            </w:pPr>
          </w:p>
        </w:tc>
      </w:tr>
      <w:tr w:rsidR="00174605" w14:paraId="609CBB06" w14:textId="77777777">
        <w:tc>
          <w:tcPr>
            <w:tcW w:w="9211" w:type="dxa"/>
            <w:gridSpan w:val="2"/>
          </w:tcPr>
          <w:p w14:paraId="3AC98915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>Idegrendszeri betegségek és tünetek</w:t>
            </w:r>
          </w:p>
        </w:tc>
      </w:tr>
      <w:tr w:rsidR="00174605" w14:paraId="22135879" w14:textId="77777777">
        <w:tc>
          <w:tcPr>
            <w:tcW w:w="4605" w:type="dxa"/>
          </w:tcPr>
          <w:p w14:paraId="77BFD18F" w14:textId="77777777" w:rsidR="00174605" w:rsidRDefault="00C8536B">
            <w:pPr>
              <w:jc w:val="left"/>
            </w:pPr>
            <w:r>
              <w:t>fejfájás</w:t>
            </w:r>
          </w:p>
        </w:tc>
        <w:tc>
          <w:tcPr>
            <w:tcW w:w="4606" w:type="dxa"/>
          </w:tcPr>
          <w:p w14:paraId="14D748DF" w14:textId="77777777" w:rsidR="00174605" w:rsidRDefault="00C8536B">
            <w:pPr>
              <w:tabs>
                <w:tab w:val="left" w:pos="567"/>
              </w:tabs>
              <w:jc w:val="left"/>
            </w:pPr>
            <w:r>
              <w:t>Gyakori</w:t>
            </w:r>
          </w:p>
        </w:tc>
      </w:tr>
      <w:tr w:rsidR="00174605" w14:paraId="1C3174B5" w14:textId="77777777">
        <w:tc>
          <w:tcPr>
            <w:tcW w:w="4605" w:type="dxa"/>
          </w:tcPr>
          <w:p w14:paraId="5B35DC0B" w14:textId="77777777" w:rsidR="00174605" w:rsidRDefault="00C8536B">
            <w:pPr>
              <w:jc w:val="left"/>
            </w:pPr>
            <w:r>
              <w:t>szédülés</w:t>
            </w:r>
          </w:p>
        </w:tc>
        <w:tc>
          <w:tcPr>
            <w:tcW w:w="4606" w:type="dxa"/>
          </w:tcPr>
          <w:p w14:paraId="3C4773C7" w14:textId="77777777" w:rsidR="00174605" w:rsidRDefault="00C8536B">
            <w:pPr>
              <w:jc w:val="left"/>
            </w:pPr>
            <w:r>
              <w:t>Nem gyakori</w:t>
            </w:r>
          </w:p>
        </w:tc>
      </w:tr>
      <w:tr w:rsidR="00174605" w14:paraId="16CCBC47" w14:textId="77777777">
        <w:tc>
          <w:tcPr>
            <w:tcW w:w="9211" w:type="dxa"/>
            <w:gridSpan w:val="2"/>
          </w:tcPr>
          <w:p w14:paraId="30570E4F" w14:textId="77777777" w:rsidR="00174605" w:rsidRDefault="00174605">
            <w:pPr>
              <w:jc w:val="left"/>
            </w:pPr>
          </w:p>
        </w:tc>
      </w:tr>
      <w:tr w:rsidR="00174605" w14:paraId="3A77A635" w14:textId="77777777">
        <w:tc>
          <w:tcPr>
            <w:tcW w:w="9211" w:type="dxa"/>
            <w:gridSpan w:val="2"/>
          </w:tcPr>
          <w:p w14:paraId="475F9F86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 xml:space="preserve">Légzőrendszeri, mellkasi és </w:t>
            </w:r>
            <w:proofErr w:type="spellStart"/>
            <w:r>
              <w:rPr>
                <w:b/>
                <w:bCs/>
              </w:rPr>
              <w:t>mediastinalis</w:t>
            </w:r>
            <w:proofErr w:type="spellEnd"/>
            <w:r>
              <w:rPr>
                <w:b/>
                <w:bCs/>
              </w:rPr>
              <w:t xml:space="preserve"> betegségek és tünetek</w:t>
            </w:r>
          </w:p>
        </w:tc>
      </w:tr>
      <w:tr w:rsidR="00174605" w14:paraId="17CF4C95" w14:textId="77777777">
        <w:tc>
          <w:tcPr>
            <w:tcW w:w="4605" w:type="dxa"/>
          </w:tcPr>
          <w:p w14:paraId="1B300085" w14:textId="77777777" w:rsidR="00174605" w:rsidRDefault="00C8536B">
            <w:pPr>
              <w:jc w:val="left"/>
            </w:pPr>
            <w:proofErr w:type="spellStart"/>
            <w:r>
              <w:t>interstitialis</w:t>
            </w:r>
            <w:proofErr w:type="spellEnd"/>
            <w:r>
              <w:t xml:space="preserve"> tüdőbetegség</w:t>
            </w:r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1B90A9D0" w14:textId="77777777" w:rsidR="00174605" w:rsidRDefault="00C8536B">
            <w:pPr>
              <w:jc w:val="left"/>
            </w:pPr>
            <w:r>
              <w:t xml:space="preserve">Gyakoriság nem ismert </w:t>
            </w:r>
          </w:p>
        </w:tc>
      </w:tr>
      <w:tr w:rsidR="00174605" w14:paraId="1D9D8243" w14:textId="77777777">
        <w:tc>
          <w:tcPr>
            <w:tcW w:w="9211" w:type="dxa"/>
            <w:gridSpan w:val="2"/>
          </w:tcPr>
          <w:p w14:paraId="06B9B691" w14:textId="77777777" w:rsidR="00174605" w:rsidRDefault="00174605">
            <w:pPr>
              <w:jc w:val="left"/>
            </w:pPr>
          </w:p>
        </w:tc>
      </w:tr>
      <w:tr w:rsidR="00174605" w14:paraId="5ECAC8ED" w14:textId="77777777">
        <w:tc>
          <w:tcPr>
            <w:tcW w:w="9211" w:type="dxa"/>
            <w:gridSpan w:val="2"/>
          </w:tcPr>
          <w:p w14:paraId="3E9B16E9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>Emésztőrendszeri betegségek és tünetek</w:t>
            </w:r>
          </w:p>
        </w:tc>
      </w:tr>
      <w:tr w:rsidR="00174605" w14:paraId="4FEAD976" w14:textId="77777777">
        <w:tc>
          <w:tcPr>
            <w:tcW w:w="4605" w:type="dxa"/>
          </w:tcPr>
          <w:p w14:paraId="248B1599" w14:textId="77777777" w:rsidR="00174605" w:rsidRDefault="00C8536B">
            <w:pPr>
              <w:jc w:val="left"/>
            </w:pPr>
            <w:r>
              <w:t>székrekedés</w:t>
            </w:r>
          </w:p>
        </w:tc>
        <w:tc>
          <w:tcPr>
            <w:tcW w:w="4606" w:type="dxa"/>
          </w:tcPr>
          <w:p w14:paraId="06C85ED6" w14:textId="77777777" w:rsidR="00174605" w:rsidRDefault="00C8536B">
            <w:pPr>
              <w:jc w:val="left"/>
            </w:pPr>
            <w:r>
              <w:t>Nem gyakori</w:t>
            </w:r>
          </w:p>
        </w:tc>
      </w:tr>
      <w:tr w:rsidR="00174605" w14:paraId="5F0953A3" w14:textId="77777777">
        <w:tc>
          <w:tcPr>
            <w:tcW w:w="4605" w:type="dxa"/>
          </w:tcPr>
          <w:p w14:paraId="7FA553AA" w14:textId="77777777" w:rsidR="00174605" w:rsidRDefault="00C8536B">
            <w:pPr>
              <w:jc w:val="left"/>
            </w:pPr>
            <w:r>
              <w:t>hányás</w:t>
            </w:r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04878BC2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3AC39C1C" w14:textId="77777777">
        <w:tc>
          <w:tcPr>
            <w:tcW w:w="4605" w:type="dxa"/>
          </w:tcPr>
          <w:p w14:paraId="03DA7CF8" w14:textId="77777777" w:rsidR="00174605" w:rsidRDefault="00C8536B">
            <w:pPr>
              <w:jc w:val="left"/>
            </w:pPr>
            <w:proofErr w:type="spellStart"/>
            <w:r>
              <w:t>acute</w:t>
            </w:r>
            <w:proofErr w:type="spellEnd"/>
            <w:r>
              <w:t xml:space="preserve"> </w:t>
            </w:r>
            <w:proofErr w:type="spellStart"/>
            <w:r>
              <w:t>pancreatitis</w:t>
            </w:r>
            <w:proofErr w:type="spellEnd"/>
            <w:proofErr w:type="gramStart"/>
            <w:r>
              <w:rPr>
                <w:vertAlign w:val="superscript"/>
              </w:rPr>
              <w:t>*,†</w:t>
            </w:r>
            <w:proofErr w:type="gramEnd"/>
            <w:r>
              <w:rPr>
                <w:vertAlign w:val="superscript"/>
              </w:rPr>
              <w:t>,‡</w:t>
            </w:r>
          </w:p>
        </w:tc>
        <w:tc>
          <w:tcPr>
            <w:tcW w:w="4606" w:type="dxa"/>
          </w:tcPr>
          <w:p w14:paraId="6FF8E705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7A68227E" w14:textId="77777777">
        <w:tc>
          <w:tcPr>
            <w:tcW w:w="4605" w:type="dxa"/>
          </w:tcPr>
          <w:p w14:paraId="7D48AA38" w14:textId="77777777" w:rsidR="00174605" w:rsidRDefault="00C8536B">
            <w:pPr>
              <w:widowControl/>
              <w:jc w:val="left"/>
            </w:pPr>
            <w:r>
              <w:t xml:space="preserve">fatális és nem fatális kimenetelű </w:t>
            </w:r>
            <w:proofErr w:type="spellStart"/>
            <w:r>
              <w:t>haemorrhagiás</w:t>
            </w:r>
            <w:proofErr w:type="spellEnd"/>
            <w:r>
              <w:t xml:space="preserve"> és </w:t>
            </w:r>
            <w:proofErr w:type="spellStart"/>
            <w:r>
              <w:t>nekrotizáló</w:t>
            </w:r>
            <w:proofErr w:type="spellEnd"/>
            <w:r>
              <w:t xml:space="preserve"> </w:t>
            </w:r>
            <w:proofErr w:type="spellStart"/>
            <w:r>
              <w:t>pancreatitis</w:t>
            </w:r>
            <w:proofErr w:type="spellEnd"/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67B7348E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0D8DC630" w14:textId="77777777">
        <w:tc>
          <w:tcPr>
            <w:tcW w:w="9211" w:type="dxa"/>
            <w:gridSpan w:val="2"/>
          </w:tcPr>
          <w:p w14:paraId="08004618" w14:textId="77777777" w:rsidR="00174605" w:rsidRDefault="00174605">
            <w:pPr>
              <w:jc w:val="left"/>
            </w:pPr>
          </w:p>
        </w:tc>
      </w:tr>
      <w:tr w:rsidR="00174605" w14:paraId="6DE2D6A3" w14:textId="77777777">
        <w:tc>
          <w:tcPr>
            <w:tcW w:w="9211" w:type="dxa"/>
            <w:gridSpan w:val="2"/>
          </w:tcPr>
          <w:p w14:paraId="12F8CD26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>A bőr és a bőr alatti szövet betegségei és tünetei</w:t>
            </w:r>
          </w:p>
        </w:tc>
      </w:tr>
      <w:tr w:rsidR="00174605" w14:paraId="7E33DE52" w14:textId="77777777">
        <w:tc>
          <w:tcPr>
            <w:tcW w:w="4605" w:type="dxa"/>
          </w:tcPr>
          <w:p w14:paraId="32510F05" w14:textId="77777777" w:rsidR="00174605" w:rsidRDefault="00C8536B">
            <w:pPr>
              <w:jc w:val="left"/>
            </w:pPr>
            <w:proofErr w:type="spellStart"/>
            <w:r>
              <w:t>pruritus</w:t>
            </w:r>
            <w:proofErr w:type="spellEnd"/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6ABA0A8E" w14:textId="77777777" w:rsidR="00174605" w:rsidRDefault="00C8536B">
            <w:pPr>
              <w:jc w:val="left"/>
            </w:pPr>
            <w:r>
              <w:t>Nem gyakori</w:t>
            </w:r>
          </w:p>
        </w:tc>
      </w:tr>
      <w:tr w:rsidR="00174605" w14:paraId="0CBB8D65" w14:textId="77777777">
        <w:tc>
          <w:tcPr>
            <w:tcW w:w="4605" w:type="dxa"/>
          </w:tcPr>
          <w:p w14:paraId="26E4EFD8" w14:textId="77777777" w:rsidR="00174605" w:rsidRDefault="00C8536B">
            <w:pPr>
              <w:jc w:val="left"/>
            </w:pPr>
            <w:proofErr w:type="spellStart"/>
            <w:r>
              <w:t>angioedema</w:t>
            </w:r>
            <w:proofErr w:type="spellEnd"/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37D1F548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1204FCB6" w14:textId="77777777">
        <w:tc>
          <w:tcPr>
            <w:tcW w:w="4605" w:type="dxa"/>
          </w:tcPr>
          <w:p w14:paraId="122C250D" w14:textId="77777777" w:rsidR="00174605" w:rsidRDefault="00C8536B">
            <w:pPr>
              <w:jc w:val="left"/>
            </w:pPr>
            <w:r>
              <w:t>kiütés</w:t>
            </w:r>
            <w:r>
              <w:rPr>
                <w:vertAlign w:val="superscript"/>
              </w:rPr>
              <w:t xml:space="preserve"> </w:t>
            </w:r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42961088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5A27E47E" w14:textId="77777777">
        <w:tc>
          <w:tcPr>
            <w:tcW w:w="4605" w:type="dxa"/>
          </w:tcPr>
          <w:p w14:paraId="645F9AA5" w14:textId="77777777" w:rsidR="00174605" w:rsidRDefault="00C8536B">
            <w:pPr>
              <w:jc w:val="left"/>
            </w:pPr>
            <w:proofErr w:type="spellStart"/>
            <w:r>
              <w:t>urticaria</w:t>
            </w:r>
            <w:proofErr w:type="spellEnd"/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42BCA58D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4D75B36F" w14:textId="77777777">
        <w:tc>
          <w:tcPr>
            <w:tcW w:w="4605" w:type="dxa"/>
          </w:tcPr>
          <w:p w14:paraId="4775A08C" w14:textId="77777777" w:rsidR="00174605" w:rsidRDefault="00C8536B">
            <w:pPr>
              <w:jc w:val="left"/>
            </w:pPr>
            <w:proofErr w:type="spellStart"/>
            <w:r>
              <w:t>cutaneous</w:t>
            </w:r>
            <w:proofErr w:type="spellEnd"/>
            <w:r>
              <w:t xml:space="preserve"> </w:t>
            </w:r>
            <w:proofErr w:type="spellStart"/>
            <w:r>
              <w:t>vasculitis</w:t>
            </w:r>
            <w:proofErr w:type="spellEnd"/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069CEE7C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3EA64635" w14:textId="77777777">
        <w:tc>
          <w:tcPr>
            <w:tcW w:w="4605" w:type="dxa"/>
          </w:tcPr>
          <w:p w14:paraId="37717F7E" w14:textId="77777777" w:rsidR="00174605" w:rsidRDefault="00C8536B">
            <w:pPr>
              <w:widowControl/>
              <w:jc w:val="left"/>
            </w:pPr>
            <w:proofErr w:type="spellStart"/>
            <w:r>
              <w:t>exfoliatív</w:t>
            </w:r>
            <w:proofErr w:type="spellEnd"/>
            <w:r>
              <w:t xml:space="preserve"> bőrelváltozások, beleértve a </w:t>
            </w:r>
            <w:proofErr w:type="spellStart"/>
            <w:r>
              <w:t>Stevens</w:t>
            </w:r>
            <w:proofErr w:type="spellEnd"/>
            <w:r>
              <w:t>-Johnson szindrómát is</w:t>
            </w:r>
            <w:r>
              <w:rPr>
                <w:vertAlign w:val="superscript"/>
              </w:rPr>
              <w:t xml:space="preserve"> </w:t>
            </w:r>
            <w:proofErr w:type="gramStart"/>
            <w:r>
              <w:rPr>
                <w:vertAlign w:val="superscript"/>
              </w:rPr>
              <w:t>*,†</w:t>
            </w:r>
            <w:proofErr w:type="gramEnd"/>
          </w:p>
        </w:tc>
        <w:tc>
          <w:tcPr>
            <w:tcW w:w="4606" w:type="dxa"/>
          </w:tcPr>
          <w:p w14:paraId="1834DA45" w14:textId="77777777" w:rsidR="00174605" w:rsidRDefault="00C8536B">
            <w:pPr>
              <w:tabs>
                <w:tab w:val="left" w:pos="567"/>
              </w:tabs>
              <w:jc w:val="left"/>
            </w:pPr>
            <w:r>
              <w:t>Gyakoriság nem ismert</w:t>
            </w:r>
          </w:p>
        </w:tc>
      </w:tr>
      <w:tr w:rsidR="00174605" w14:paraId="02BE6C7A" w14:textId="77777777">
        <w:tc>
          <w:tcPr>
            <w:tcW w:w="4605" w:type="dxa"/>
          </w:tcPr>
          <w:p w14:paraId="0BE0417D" w14:textId="77777777" w:rsidR="00174605" w:rsidRDefault="00C8536B">
            <w:pPr>
              <w:jc w:val="left"/>
            </w:pPr>
            <w:proofErr w:type="spellStart"/>
            <w:r>
              <w:t>bullous</w:t>
            </w:r>
            <w:proofErr w:type="spellEnd"/>
            <w:r>
              <w:t xml:space="preserve"> </w:t>
            </w:r>
            <w:proofErr w:type="spellStart"/>
            <w:r>
              <w:t>pemphigoid</w:t>
            </w:r>
            <w:proofErr w:type="spellEnd"/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353D10E8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5EB9CC9F" w14:textId="77777777">
        <w:tc>
          <w:tcPr>
            <w:tcW w:w="9211" w:type="dxa"/>
            <w:gridSpan w:val="2"/>
          </w:tcPr>
          <w:p w14:paraId="5E542FC7" w14:textId="77777777" w:rsidR="00174605" w:rsidRDefault="00174605">
            <w:pPr>
              <w:jc w:val="left"/>
            </w:pPr>
          </w:p>
        </w:tc>
      </w:tr>
      <w:tr w:rsidR="00174605" w14:paraId="291AA530" w14:textId="77777777">
        <w:tc>
          <w:tcPr>
            <w:tcW w:w="9211" w:type="dxa"/>
            <w:gridSpan w:val="2"/>
          </w:tcPr>
          <w:p w14:paraId="18EBCCC0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>A csont- és izomrendszer, valamint a kötőszövet betegségei és tünetei</w:t>
            </w:r>
          </w:p>
        </w:tc>
      </w:tr>
      <w:tr w:rsidR="00174605" w14:paraId="5D943112" w14:textId="77777777">
        <w:tc>
          <w:tcPr>
            <w:tcW w:w="4605" w:type="dxa"/>
          </w:tcPr>
          <w:p w14:paraId="7E3FE831" w14:textId="77777777" w:rsidR="00174605" w:rsidRDefault="00C8536B">
            <w:pPr>
              <w:jc w:val="left"/>
            </w:pPr>
            <w:proofErr w:type="spellStart"/>
            <w:r>
              <w:t>arthralgia</w:t>
            </w:r>
            <w:proofErr w:type="spellEnd"/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74BBA41F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64EFA61A" w14:textId="77777777">
        <w:tc>
          <w:tcPr>
            <w:tcW w:w="4605" w:type="dxa"/>
          </w:tcPr>
          <w:p w14:paraId="192B6A77" w14:textId="77777777" w:rsidR="00174605" w:rsidRDefault="00C8536B">
            <w:pPr>
              <w:jc w:val="left"/>
            </w:pPr>
            <w:proofErr w:type="spellStart"/>
            <w:r>
              <w:t>myalgia</w:t>
            </w:r>
            <w:proofErr w:type="spellEnd"/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31A0126D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5C228679" w14:textId="77777777">
        <w:tc>
          <w:tcPr>
            <w:tcW w:w="4605" w:type="dxa"/>
          </w:tcPr>
          <w:p w14:paraId="58C430B9" w14:textId="77777777" w:rsidR="00174605" w:rsidRDefault="00C8536B">
            <w:pPr>
              <w:jc w:val="left"/>
            </w:pPr>
            <w:r>
              <w:t>hátfájás</w:t>
            </w:r>
            <w:r>
              <w:rPr>
                <w:vertAlign w:val="superscript"/>
              </w:rPr>
              <w:t xml:space="preserve"> *</w:t>
            </w:r>
          </w:p>
        </w:tc>
        <w:tc>
          <w:tcPr>
            <w:tcW w:w="4606" w:type="dxa"/>
          </w:tcPr>
          <w:p w14:paraId="798E1E04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36BA501E" w14:textId="77777777">
        <w:tc>
          <w:tcPr>
            <w:tcW w:w="4605" w:type="dxa"/>
          </w:tcPr>
          <w:p w14:paraId="338DB616" w14:textId="77777777" w:rsidR="00174605" w:rsidRDefault="00C8536B">
            <w:pPr>
              <w:jc w:val="left"/>
            </w:pPr>
            <w:proofErr w:type="spellStart"/>
            <w:r>
              <w:t>arthropathia</w:t>
            </w:r>
            <w:proofErr w:type="spellEnd"/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5E8F3392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34D6FAC3" w14:textId="77777777">
        <w:tc>
          <w:tcPr>
            <w:tcW w:w="9211" w:type="dxa"/>
            <w:gridSpan w:val="2"/>
          </w:tcPr>
          <w:p w14:paraId="24A04DD7" w14:textId="77777777" w:rsidR="00174605" w:rsidRDefault="00174605">
            <w:pPr>
              <w:jc w:val="left"/>
            </w:pPr>
          </w:p>
        </w:tc>
      </w:tr>
      <w:tr w:rsidR="00174605" w14:paraId="6EE5767F" w14:textId="77777777">
        <w:tc>
          <w:tcPr>
            <w:tcW w:w="9211" w:type="dxa"/>
            <w:gridSpan w:val="2"/>
          </w:tcPr>
          <w:p w14:paraId="365ED385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  <w:bCs/>
              </w:rPr>
              <w:t xml:space="preserve">Vese- és </w:t>
            </w:r>
            <w:proofErr w:type="spellStart"/>
            <w:r>
              <w:rPr>
                <w:b/>
                <w:bCs/>
              </w:rPr>
              <w:t>húgyúti</w:t>
            </w:r>
            <w:proofErr w:type="spellEnd"/>
            <w:r>
              <w:rPr>
                <w:b/>
                <w:bCs/>
              </w:rPr>
              <w:t xml:space="preserve"> betegségek és tünetek</w:t>
            </w:r>
          </w:p>
        </w:tc>
      </w:tr>
      <w:tr w:rsidR="00174605" w14:paraId="00AE5B55" w14:textId="77777777">
        <w:tc>
          <w:tcPr>
            <w:tcW w:w="4605" w:type="dxa"/>
          </w:tcPr>
          <w:p w14:paraId="73FFD687" w14:textId="77777777" w:rsidR="00174605" w:rsidRDefault="00C8536B">
            <w:pPr>
              <w:jc w:val="left"/>
            </w:pPr>
            <w:r>
              <w:t>vesefunkció-károsodás</w:t>
            </w:r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38D5E491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  <w:tr w:rsidR="00174605" w14:paraId="2B914DF5" w14:textId="77777777">
        <w:tc>
          <w:tcPr>
            <w:tcW w:w="4605" w:type="dxa"/>
          </w:tcPr>
          <w:p w14:paraId="3BF27863" w14:textId="77777777" w:rsidR="00174605" w:rsidRDefault="00C8536B">
            <w:pPr>
              <w:jc w:val="left"/>
            </w:pPr>
            <w:proofErr w:type="spellStart"/>
            <w:r>
              <w:t>acut</w:t>
            </w:r>
            <w:proofErr w:type="spellEnd"/>
            <w:r>
              <w:t xml:space="preserve"> veseelégtelenség</w:t>
            </w:r>
            <w:r>
              <w:rPr>
                <w:vertAlign w:val="superscript"/>
              </w:rPr>
              <w:t>*</w:t>
            </w:r>
          </w:p>
        </w:tc>
        <w:tc>
          <w:tcPr>
            <w:tcW w:w="4606" w:type="dxa"/>
          </w:tcPr>
          <w:p w14:paraId="600143C2" w14:textId="77777777" w:rsidR="00174605" w:rsidRDefault="00C8536B">
            <w:pPr>
              <w:jc w:val="left"/>
            </w:pPr>
            <w:r>
              <w:t>Gyakoriság nem ismert</w:t>
            </w:r>
          </w:p>
        </w:tc>
      </w:tr>
    </w:tbl>
    <w:p w14:paraId="006879BD" w14:textId="77777777" w:rsidR="00174605" w:rsidRDefault="00C8536B">
      <w:pPr>
        <w:widowControl/>
        <w:jc w:val="left"/>
      </w:pPr>
      <w:r>
        <w:t>*Ezt a mellékhatást a forgalomba hozatalt követően azonosították.</w:t>
      </w:r>
    </w:p>
    <w:p w14:paraId="4312F0F2" w14:textId="77777777" w:rsidR="00174605" w:rsidRDefault="00C8536B">
      <w:pPr>
        <w:widowControl/>
        <w:jc w:val="left"/>
        <w:rPr>
          <w:b/>
          <w:bCs/>
        </w:rPr>
      </w:pPr>
      <w:r>
        <w:t xml:space="preserve">† </w:t>
      </w:r>
      <w:r>
        <w:rPr>
          <w:b/>
          <w:bCs/>
        </w:rPr>
        <w:t>Lásd 4.4 pont.</w:t>
      </w:r>
    </w:p>
    <w:p w14:paraId="48B250FA" w14:textId="77777777" w:rsidR="00174605" w:rsidRDefault="00C8536B">
      <w:pPr>
        <w:widowControl/>
        <w:jc w:val="left"/>
      </w:pPr>
      <w:r>
        <w:t xml:space="preserve">‡ Lásd alább, a </w:t>
      </w:r>
      <w:r>
        <w:rPr>
          <w:rFonts w:eastAsia="TimesNewRoman,Italic"/>
          <w:i/>
          <w:iCs/>
        </w:rPr>
        <w:t xml:space="preserve">TECOS </w:t>
      </w:r>
      <w:proofErr w:type="spellStart"/>
      <w:r>
        <w:rPr>
          <w:rFonts w:eastAsia="TimesNewRoman,Italic"/>
          <w:i/>
          <w:iCs/>
        </w:rPr>
        <w:t>cardiovascularis</w:t>
      </w:r>
      <w:proofErr w:type="spellEnd"/>
      <w:r>
        <w:rPr>
          <w:rFonts w:eastAsia="TimesNewRoman,Italic"/>
          <w:i/>
          <w:iCs/>
        </w:rPr>
        <w:t xml:space="preserve"> biztonságossági vizsgálatra </w:t>
      </w:r>
      <w:r>
        <w:t>vonatkozó részt.</w:t>
      </w:r>
    </w:p>
    <w:p w14:paraId="7BD95F9B" w14:textId="77777777" w:rsidR="00174605" w:rsidRDefault="00174605">
      <w:pPr>
        <w:widowControl/>
        <w:jc w:val="left"/>
        <w:rPr>
          <w:u w:val="single"/>
        </w:rPr>
      </w:pPr>
    </w:p>
    <w:p w14:paraId="5D35C6E0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A kiválasztott mellékhatások leírása</w:t>
      </w:r>
    </w:p>
    <w:p w14:paraId="731B6C18" w14:textId="77777777" w:rsidR="00174605" w:rsidRDefault="00C8536B">
      <w:pPr>
        <w:widowControl/>
        <w:jc w:val="left"/>
      </w:pPr>
      <w:r>
        <w:t xml:space="preserve">A fent ismertetett, gyógyszerrel összefüggő mellékhatások mellett a gyógyszerrel történő ok-okozati viszony feltüntetése nélkül jelentett, és </w:t>
      </w:r>
      <w:proofErr w:type="spellStart"/>
      <w:r>
        <w:t>szitagliptinnel</w:t>
      </w:r>
      <w:proofErr w:type="spellEnd"/>
      <w:r>
        <w:t xml:space="preserve"> kezelt betegek legalább 5%-</w:t>
      </w:r>
      <w:proofErr w:type="spellStart"/>
      <w:r>
        <w:t>ánál</w:t>
      </w:r>
      <w:proofErr w:type="spellEnd"/>
      <w:r>
        <w:t xml:space="preserve"> vagy ennél gyakrabban fellépő nemkívánatos események közé tartozott a felső légúti fertőzés és a </w:t>
      </w:r>
      <w:proofErr w:type="spellStart"/>
      <w:r>
        <w:t>nasopharyngitis</w:t>
      </w:r>
      <w:proofErr w:type="spellEnd"/>
      <w:r>
        <w:t xml:space="preserve">. A </w:t>
      </w:r>
      <w:r>
        <w:lastRenderedPageBreak/>
        <w:t xml:space="preserve">további, a gyógyszerrel történő ok-okozati összefüggéstől függetlenül jelentett, és a </w:t>
      </w:r>
      <w:proofErr w:type="spellStart"/>
      <w:r>
        <w:t>szitagliptinnel</w:t>
      </w:r>
      <w:proofErr w:type="spellEnd"/>
      <w:r>
        <w:t xml:space="preserve"> kezelt betegeknél gyakrabban (a kontrollcsoporthoz képest a </w:t>
      </w:r>
      <w:proofErr w:type="spellStart"/>
      <w:r>
        <w:t>szitagliptin</w:t>
      </w:r>
      <w:proofErr w:type="spellEnd"/>
      <w:r>
        <w:t xml:space="preserve"> mellett az 5%-os szintet el nem érő, de &gt; 0,5%-</w:t>
      </w:r>
      <w:proofErr w:type="spellStart"/>
      <w:r>
        <w:t>nál</w:t>
      </w:r>
      <w:proofErr w:type="spellEnd"/>
      <w:r>
        <w:t xml:space="preserve"> magasabb gyakoriság mellett) előforduló mellékhatások közé tartozott az </w:t>
      </w:r>
      <w:proofErr w:type="spellStart"/>
      <w:r>
        <w:t>osteoarthritis</w:t>
      </w:r>
      <w:proofErr w:type="spellEnd"/>
      <w:r>
        <w:t xml:space="preserve"> és a végtagfájdalom.</w:t>
      </w:r>
    </w:p>
    <w:p w14:paraId="7E0EC40F" w14:textId="77777777" w:rsidR="00174605" w:rsidRDefault="00174605">
      <w:pPr>
        <w:widowControl/>
        <w:jc w:val="left"/>
      </w:pPr>
    </w:p>
    <w:p w14:paraId="178470A8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és más </w:t>
      </w:r>
      <w:proofErr w:type="spellStart"/>
      <w:r>
        <w:t>antidiabetikumok</w:t>
      </w:r>
      <w:proofErr w:type="spellEnd"/>
      <w:r>
        <w:t xml:space="preserve"> kombinációjának alkalmazását értékelő vizsgálatok során egyes mellékhatásokat gyakrabban figyeltek meg, mint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monoterápiás</w:t>
      </w:r>
      <w:proofErr w:type="spellEnd"/>
      <w:r>
        <w:t xml:space="preserve"> vizsgálatokban.</w:t>
      </w:r>
    </w:p>
    <w:p w14:paraId="4EE2A496" w14:textId="77777777" w:rsidR="00174605" w:rsidRDefault="00C8536B">
      <w:pPr>
        <w:widowControl/>
        <w:jc w:val="left"/>
      </w:pPr>
      <w:r>
        <w:t xml:space="preserve">Ezek közé tartozik a </w:t>
      </w:r>
      <w:proofErr w:type="spellStart"/>
      <w:r>
        <w:t>hypoglykaemia</w:t>
      </w:r>
      <w:proofErr w:type="spellEnd"/>
      <w:r>
        <w:t xml:space="preserve"> (</w:t>
      </w:r>
      <w:proofErr w:type="spellStart"/>
      <w:r>
        <w:t>szulfonilurea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kombinációja mellett „nagyon gyakori” előfordulással), influenza ((</w:t>
      </w:r>
      <w:proofErr w:type="spellStart"/>
      <w:r>
        <w:t>metforminnal</w:t>
      </w:r>
      <w:proofErr w:type="spellEnd"/>
      <w:r>
        <w:t xml:space="preserve"> vagy anélkül kapott) inzulin mellett „gyakori” előfordulással), hányinger és hányás (</w:t>
      </w:r>
      <w:proofErr w:type="spellStart"/>
      <w:r>
        <w:t>metformin</w:t>
      </w:r>
      <w:proofErr w:type="spellEnd"/>
      <w:r>
        <w:t xml:space="preserve"> mellett „gyakori” előfordulással), </w:t>
      </w:r>
      <w:proofErr w:type="spellStart"/>
      <w:r>
        <w:t>flatulencia</w:t>
      </w:r>
      <w:proofErr w:type="spellEnd"/>
      <w:r>
        <w:t xml:space="preserve"> (</w:t>
      </w:r>
      <w:proofErr w:type="spellStart"/>
      <w:r>
        <w:t>metformin</w:t>
      </w:r>
      <w:proofErr w:type="spellEnd"/>
      <w:r>
        <w:t xml:space="preserve"> vagy </w:t>
      </w:r>
      <w:proofErr w:type="spellStart"/>
      <w:r>
        <w:t>pioglitazon</w:t>
      </w:r>
      <w:proofErr w:type="spellEnd"/>
      <w:r>
        <w:t xml:space="preserve"> mellett „gyakori” előfordulással), székrekedés (</w:t>
      </w:r>
      <w:proofErr w:type="spellStart"/>
      <w:r>
        <w:t>szulfonilurea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kombinációja mellett „gyakori” előfordulással), perifériás </w:t>
      </w:r>
      <w:proofErr w:type="spellStart"/>
      <w:r>
        <w:t>oedema</w:t>
      </w:r>
      <w:proofErr w:type="spellEnd"/>
      <w:r>
        <w:t xml:space="preserve"> (</w:t>
      </w:r>
      <w:proofErr w:type="spellStart"/>
      <w:r>
        <w:t>pioglitazon</w:t>
      </w:r>
      <w:proofErr w:type="spellEnd"/>
      <w:r>
        <w:t xml:space="preserve"> vagy a </w:t>
      </w:r>
      <w:proofErr w:type="spellStart"/>
      <w:r>
        <w:t>pioglitazon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kombinációja mellett „gyakori” előfordulással), aluszékonyság és hasmenés (</w:t>
      </w:r>
      <w:proofErr w:type="spellStart"/>
      <w:r>
        <w:t>metformin</w:t>
      </w:r>
      <w:proofErr w:type="spellEnd"/>
      <w:r>
        <w:t xml:space="preserve"> mellett „nem gyakori” előfordulással), valamint a szájszárazság (</w:t>
      </w:r>
      <w:proofErr w:type="spellStart"/>
      <w:r>
        <w:t>metforminnal</w:t>
      </w:r>
      <w:proofErr w:type="spellEnd"/>
      <w:r>
        <w:t xml:space="preserve"> vagy anélkül kapott) inzulin mellett „nem gyakori” előfordulással).</w:t>
      </w:r>
    </w:p>
    <w:p w14:paraId="67D0FA3D" w14:textId="77777777" w:rsidR="00174605" w:rsidRDefault="00174605">
      <w:pPr>
        <w:widowControl/>
        <w:jc w:val="left"/>
      </w:pPr>
    </w:p>
    <w:p w14:paraId="571CD7A4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Gyermekek és serdülők</w:t>
      </w:r>
    </w:p>
    <w:p w14:paraId="0889947C" w14:textId="77777777" w:rsidR="00174605" w:rsidRDefault="00C8536B">
      <w:pPr>
        <w:widowControl/>
        <w:jc w:val="left"/>
      </w:pPr>
      <w:r>
        <w:t xml:space="preserve">A 2-es típusú diabetes mellitusban szenvedő, 10–17 éves gyermekeknél és serdülőknél </w:t>
      </w:r>
      <w:proofErr w:type="spellStart"/>
      <w:r>
        <w:t>szitagliptinnel</w:t>
      </w:r>
      <w:proofErr w:type="spellEnd"/>
      <w:r>
        <w:t xml:space="preserve"> végzett klinikai vizsgálatokban a mellékhatásprofil hasonló volt a felnőtteknél megfigyelthez.</w:t>
      </w:r>
    </w:p>
    <w:p w14:paraId="21120DB9" w14:textId="77777777" w:rsidR="00174605" w:rsidRDefault="00174605">
      <w:pPr>
        <w:widowControl/>
        <w:jc w:val="left"/>
      </w:pPr>
    </w:p>
    <w:p w14:paraId="4CA54048" w14:textId="77777777" w:rsidR="00174605" w:rsidRDefault="00C8536B">
      <w:pPr>
        <w:widowControl/>
        <w:jc w:val="left"/>
        <w:rPr>
          <w:rFonts w:eastAsia="TimesNewRoman,Italic"/>
          <w:i/>
          <w:iCs/>
        </w:rPr>
      </w:pPr>
      <w:r>
        <w:rPr>
          <w:rFonts w:eastAsia="TimesNewRoman,Italic"/>
          <w:i/>
          <w:iCs/>
        </w:rPr>
        <w:t xml:space="preserve">TECOS </w:t>
      </w:r>
      <w:proofErr w:type="spellStart"/>
      <w:r>
        <w:rPr>
          <w:rFonts w:eastAsia="TimesNewRoman,Italic"/>
          <w:i/>
          <w:iCs/>
        </w:rPr>
        <w:t>cardiovascularis</w:t>
      </w:r>
      <w:proofErr w:type="spellEnd"/>
      <w:r>
        <w:rPr>
          <w:rFonts w:eastAsia="TimesNewRoman,Italic"/>
          <w:i/>
          <w:iCs/>
        </w:rPr>
        <w:t xml:space="preserve"> biztonságossági vizsgálat</w:t>
      </w:r>
    </w:p>
    <w:p w14:paraId="7A9FEE55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mellett megfigyelt </w:t>
      </w:r>
      <w:proofErr w:type="spellStart"/>
      <w:r>
        <w:t>cardiovascularis</w:t>
      </w:r>
      <w:proofErr w:type="spellEnd"/>
      <w:r>
        <w:t xml:space="preserve"> végpontokat értékelő vizsgálatban (TECOS – </w:t>
      </w:r>
      <w:proofErr w:type="spellStart"/>
      <w:r>
        <w:t>Trial</w:t>
      </w:r>
      <w:proofErr w:type="spellEnd"/>
      <w:r>
        <w:t xml:space="preserve"> </w:t>
      </w:r>
      <w:proofErr w:type="spellStart"/>
      <w:r>
        <w:t>Evaluating</w:t>
      </w:r>
      <w:proofErr w:type="spellEnd"/>
      <w:r>
        <w:t xml:space="preserve"> </w:t>
      </w:r>
      <w:proofErr w:type="spellStart"/>
      <w:r>
        <w:t>Cardiovascular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sitagliptin</w:t>
      </w:r>
      <w:proofErr w:type="spellEnd"/>
      <w:r>
        <w:t xml:space="preserve">) 7332, napi 100 mg (vagy ≥ 30 és </w:t>
      </w:r>
      <w:proofErr w:type="gramStart"/>
      <w:r>
        <w:t>&lt; 50</w:t>
      </w:r>
      <w:proofErr w:type="gramEnd"/>
      <w:r>
        <w:t> ml/perc/1,73 m</w:t>
      </w:r>
      <w:r>
        <w:rPr>
          <w:vertAlign w:val="superscript"/>
        </w:rPr>
        <w:t>2</w:t>
      </w:r>
      <w:r>
        <w:t xml:space="preserve"> értékű kiindulási </w:t>
      </w:r>
      <w:proofErr w:type="spellStart"/>
      <w:r>
        <w:t>eGFR</w:t>
      </w:r>
      <w:proofErr w:type="spellEnd"/>
      <w:r>
        <w:t xml:space="preserve"> esetén napi 50 mg) </w:t>
      </w:r>
      <w:proofErr w:type="spellStart"/>
      <w:r>
        <w:t>szitagliptinnel</w:t>
      </w:r>
      <w:proofErr w:type="spellEnd"/>
      <w:r>
        <w:t xml:space="preserve"> kezelt, valamint 7339, </w:t>
      </w:r>
      <w:proofErr w:type="spellStart"/>
      <w:r>
        <w:t>placebóval</w:t>
      </w:r>
      <w:proofErr w:type="spellEnd"/>
      <w:r>
        <w:t xml:space="preserve"> kezelt beteg vett részt. Mindkét kezelést a HbA</w:t>
      </w:r>
      <w:r>
        <w:rPr>
          <w:vertAlign w:val="subscript"/>
        </w:rPr>
        <w:t>1c</w:t>
      </w:r>
      <w:r>
        <w:t xml:space="preserve"> és CV kockázati tényezőkre vonatkozó regionális standardokat célzó általános kezelés mellett alkalmazták. A </w:t>
      </w:r>
      <w:proofErr w:type="spellStart"/>
      <w:r>
        <w:t>szitagliptint</w:t>
      </w:r>
      <w:proofErr w:type="spellEnd"/>
      <w:r>
        <w:t xml:space="preserve"> kapó betegeknél fellépő, súlyos nemkívánatos események összesített előfordulási aránya hasonló volt a </w:t>
      </w:r>
      <w:proofErr w:type="spellStart"/>
      <w:r>
        <w:t>placebót</w:t>
      </w:r>
      <w:proofErr w:type="spellEnd"/>
      <w:r>
        <w:t xml:space="preserve"> kapóknál tapasztaltakhoz.</w:t>
      </w:r>
    </w:p>
    <w:p w14:paraId="64872D76" w14:textId="77777777" w:rsidR="00174605" w:rsidRDefault="00174605">
      <w:pPr>
        <w:widowControl/>
        <w:jc w:val="left"/>
      </w:pPr>
    </w:p>
    <w:p w14:paraId="30E7E800" w14:textId="77777777" w:rsidR="00174605" w:rsidRDefault="00C8536B">
      <w:pPr>
        <w:widowControl/>
        <w:jc w:val="left"/>
      </w:pPr>
      <w:r>
        <w:t xml:space="preserve">A beválasztás szerinti populációban a kiinduláskor inzulint és/vagy </w:t>
      </w:r>
      <w:proofErr w:type="spellStart"/>
      <w:r>
        <w:t>szulfonilureát</w:t>
      </w:r>
      <w:proofErr w:type="spellEnd"/>
      <w:r>
        <w:t xml:space="preserve"> kapó betegeknél a súlyos </w:t>
      </w:r>
      <w:proofErr w:type="spellStart"/>
      <w:r>
        <w:t>hypoglykaemia</w:t>
      </w:r>
      <w:proofErr w:type="spellEnd"/>
      <w:r>
        <w:t xml:space="preserve"> előfordulási aránya 2,7% volt a </w:t>
      </w:r>
      <w:proofErr w:type="spellStart"/>
      <w:r>
        <w:t>szitagliptinnel</w:t>
      </w:r>
      <w:proofErr w:type="spellEnd"/>
      <w:r>
        <w:t xml:space="preserve"> kezelt betegeknél, és 2,5% a </w:t>
      </w:r>
      <w:proofErr w:type="spellStart"/>
      <w:r>
        <w:t>placebóval</w:t>
      </w:r>
      <w:proofErr w:type="spellEnd"/>
      <w:r>
        <w:t xml:space="preserve"> kezelteknél. Az inzulint és/vagy </w:t>
      </w:r>
      <w:proofErr w:type="spellStart"/>
      <w:r>
        <w:t>szulfonilureát</w:t>
      </w:r>
      <w:proofErr w:type="spellEnd"/>
      <w:r>
        <w:t xml:space="preserve"> a kiinduláskor nem kapó betegeknél a súlyos </w:t>
      </w:r>
      <w:proofErr w:type="spellStart"/>
      <w:r>
        <w:t>hypoglykaemia</w:t>
      </w:r>
      <w:proofErr w:type="spellEnd"/>
      <w:r>
        <w:t xml:space="preserve"> előfordulási aránya 1,0% volt a </w:t>
      </w:r>
      <w:proofErr w:type="spellStart"/>
      <w:r>
        <w:t>szitagliptinnel</w:t>
      </w:r>
      <w:proofErr w:type="spellEnd"/>
      <w:r>
        <w:t xml:space="preserve"> kezelt betegeknél, és 0,7% a </w:t>
      </w:r>
      <w:proofErr w:type="spellStart"/>
      <w:r>
        <w:t>placebóval</w:t>
      </w:r>
      <w:proofErr w:type="spellEnd"/>
      <w:r>
        <w:t xml:space="preserve"> kezelteknél. Az igazolt </w:t>
      </w:r>
      <w:proofErr w:type="spellStart"/>
      <w:r>
        <w:t>pancreatitis</w:t>
      </w:r>
      <w:proofErr w:type="spellEnd"/>
      <w:r>
        <w:t xml:space="preserve"> események előfordulási aránya 0,3% volt a </w:t>
      </w:r>
      <w:proofErr w:type="spellStart"/>
      <w:r>
        <w:t>szitagliptinnel</w:t>
      </w:r>
      <w:proofErr w:type="spellEnd"/>
      <w:r>
        <w:t xml:space="preserve"> kezelt betegeknél, és 0,2% a </w:t>
      </w:r>
      <w:proofErr w:type="spellStart"/>
      <w:r>
        <w:t>placebóval</w:t>
      </w:r>
      <w:proofErr w:type="spellEnd"/>
      <w:r>
        <w:t xml:space="preserve"> kezelteknél.</w:t>
      </w:r>
    </w:p>
    <w:p w14:paraId="4BBC2390" w14:textId="77777777" w:rsidR="00174605" w:rsidRDefault="00174605">
      <w:pPr>
        <w:widowControl/>
        <w:jc w:val="left"/>
      </w:pPr>
    </w:p>
    <w:p w14:paraId="0BAD23CE" w14:textId="77777777" w:rsidR="00174605" w:rsidRDefault="00C8536B">
      <w:pPr>
        <w:jc w:val="left"/>
        <w:rPr>
          <w:u w:val="single"/>
        </w:rPr>
      </w:pPr>
      <w:r>
        <w:rPr>
          <w:u w:val="single"/>
        </w:rPr>
        <w:t>Feltételezett mellékhatások bejelentése</w:t>
      </w:r>
    </w:p>
    <w:p w14:paraId="0C435D2C" w14:textId="77777777" w:rsidR="00174605" w:rsidRDefault="00C8536B">
      <w:pPr>
        <w:jc w:val="left"/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0F5A1177" w14:textId="77777777" w:rsidR="00174605" w:rsidRDefault="00C8536B">
      <w:pPr>
        <w:jc w:val="left"/>
      </w:pPr>
      <w: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található elérhetőségek valamelyikén keresztül</w:t>
      </w:r>
      <w:r>
        <w:t>.</w:t>
      </w:r>
    </w:p>
    <w:p w14:paraId="0D5CC9B7" w14:textId="77777777" w:rsidR="00174605" w:rsidRDefault="00174605">
      <w:pPr>
        <w:jc w:val="left"/>
      </w:pPr>
    </w:p>
    <w:p w14:paraId="3BB32FE5" w14:textId="77777777" w:rsidR="00174605" w:rsidRDefault="00C8536B">
      <w:pPr>
        <w:pStyle w:val="Cmsor2"/>
      </w:pPr>
      <w:r>
        <w:t>4.9</w:t>
      </w:r>
      <w:r>
        <w:tab/>
        <w:t>Túladagolás</w:t>
      </w:r>
    </w:p>
    <w:p w14:paraId="644149CB" w14:textId="77777777" w:rsidR="00174605" w:rsidRDefault="00174605">
      <w:pPr>
        <w:jc w:val="left"/>
      </w:pPr>
    </w:p>
    <w:p w14:paraId="37B8D646" w14:textId="77777777" w:rsidR="00174605" w:rsidRDefault="00C8536B">
      <w:pPr>
        <w:jc w:val="left"/>
        <w:rPr>
          <w:u w:val="single"/>
        </w:rPr>
      </w:pPr>
      <w:r>
        <w:rPr>
          <w:u w:val="single"/>
        </w:rPr>
        <w:t>Tünetek</w:t>
      </w:r>
    </w:p>
    <w:p w14:paraId="490119FD" w14:textId="77777777" w:rsidR="00174605" w:rsidRDefault="00C8536B">
      <w:pPr>
        <w:widowControl/>
        <w:jc w:val="left"/>
      </w:pPr>
      <w:r>
        <w:t xml:space="preserve">A kontrollos klinikai vizsgálatok során egészséges résztvevők legfeljebb 800 mg, egyszeri </w:t>
      </w:r>
      <w:proofErr w:type="spellStart"/>
      <w:r>
        <w:t>szitagliptin</w:t>
      </w:r>
      <w:proofErr w:type="spellEnd"/>
      <w:r>
        <w:t xml:space="preserve"> dózist kaptak. Egy vizsgálatban a </w:t>
      </w:r>
      <w:proofErr w:type="spellStart"/>
      <w:r>
        <w:t>szitagliptin</w:t>
      </w:r>
      <w:proofErr w:type="spellEnd"/>
      <w:r>
        <w:t xml:space="preserve"> 800 mg-os adagja mellett minimális, klinikailag nem releváns mértékű </w:t>
      </w:r>
      <w:proofErr w:type="spellStart"/>
      <w:r>
        <w:t>QTc</w:t>
      </w:r>
      <w:proofErr w:type="spellEnd"/>
      <w:r>
        <w:t xml:space="preserve">-emelkedést figyeltek meg. Klinikai vizsgálatokban 800 mg feletti dózissal kapcsolatban nincs tapasztalat. Az I. fázisú, dóziskereső vizsgálatok során a legfeljebb 10 napig adagolt, naponta legfeljebb 600 mg </w:t>
      </w:r>
      <w:proofErr w:type="spellStart"/>
      <w:r>
        <w:t>szitagliptin</w:t>
      </w:r>
      <w:proofErr w:type="spellEnd"/>
      <w:r>
        <w:t xml:space="preserve">-dózis, illetve a legfeljebb 28 napig adagolt, naponta legfeljebb 400 mg </w:t>
      </w:r>
      <w:proofErr w:type="spellStart"/>
      <w:r>
        <w:t>szitagliptin</w:t>
      </w:r>
      <w:proofErr w:type="spellEnd"/>
      <w:r>
        <w:t>-dózis mellett nem figyeltek meg dózisfüggő mellékhatásokat.</w:t>
      </w:r>
    </w:p>
    <w:p w14:paraId="4A4EE197" w14:textId="77777777" w:rsidR="00174605" w:rsidRDefault="00174605">
      <w:pPr>
        <w:widowControl/>
        <w:jc w:val="left"/>
      </w:pPr>
    </w:p>
    <w:p w14:paraId="4F314029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Kezelés</w:t>
      </w:r>
    </w:p>
    <w:p w14:paraId="2F774AB9" w14:textId="77777777" w:rsidR="00174605" w:rsidRDefault="00C8536B">
      <w:pPr>
        <w:widowControl/>
        <w:jc w:val="left"/>
      </w:pPr>
      <w:r>
        <w:t>Túladagolás esetén az általános szupportív eljárások alkalmazása javasolt pl.: a fel nem szívódott anyag eltávolítása a tápcsatornából, klinikai megfigyelés (elektrokardiogram készítését is beleértve) valamint szükség esetén szupportív terápia bevezetése.</w:t>
      </w:r>
    </w:p>
    <w:p w14:paraId="0E7A6F48" w14:textId="77777777" w:rsidR="00174605" w:rsidRDefault="00174605">
      <w:pPr>
        <w:widowControl/>
        <w:jc w:val="left"/>
      </w:pPr>
    </w:p>
    <w:p w14:paraId="0A0BC8FE" w14:textId="77777777" w:rsidR="00174605" w:rsidRDefault="00C8536B">
      <w:pPr>
        <w:widowControl/>
        <w:jc w:val="left"/>
      </w:pPr>
      <w:r>
        <w:lastRenderedPageBreak/>
        <w:t xml:space="preserve">A </w:t>
      </w:r>
      <w:proofErr w:type="spellStart"/>
      <w:r>
        <w:t>szitagliptin</w:t>
      </w:r>
      <w:proofErr w:type="spellEnd"/>
      <w:r>
        <w:t xml:space="preserve"> közepes mértékben </w:t>
      </w:r>
      <w:proofErr w:type="spellStart"/>
      <w:r>
        <w:t>dializálható</w:t>
      </w:r>
      <w:proofErr w:type="spellEnd"/>
      <w:r>
        <w:t xml:space="preserve">. A klinikai vizsgálatokban a dózis hozzávetőleg 13,5%-a volt eltávolítható egy 3-4 órás </w:t>
      </w:r>
      <w:proofErr w:type="spellStart"/>
      <w:r>
        <w:t>hemodialízis</w:t>
      </w:r>
      <w:proofErr w:type="spellEnd"/>
      <w:r>
        <w:t xml:space="preserve">-kezelés során. Amennyiben klinikailag indokolt, fontolóra kell venni a hosszabb ideig tartó </w:t>
      </w:r>
      <w:proofErr w:type="spellStart"/>
      <w:r>
        <w:t>hemodialízis</w:t>
      </w:r>
      <w:proofErr w:type="spellEnd"/>
      <w:r>
        <w:t xml:space="preserve"> lehetőségét. Nem ismeretes, hogy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dializálható</w:t>
      </w:r>
      <w:proofErr w:type="spellEnd"/>
      <w:r>
        <w:t xml:space="preserve">-e </w:t>
      </w:r>
      <w:proofErr w:type="spellStart"/>
      <w:r>
        <w:t>peritoneális</w:t>
      </w:r>
      <w:proofErr w:type="spellEnd"/>
      <w:r>
        <w:t xml:space="preserve"> dialízissel.</w:t>
      </w:r>
    </w:p>
    <w:p w14:paraId="012A75B8" w14:textId="77777777" w:rsidR="00174605" w:rsidRDefault="00174605">
      <w:pPr>
        <w:jc w:val="left"/>
      </w:pPr>
    </w:p>
    <w:p w14:paraId="54F2C538" w14:textId="77777777" w:rsidR="00174605" w:rsidRDefault="00174605">
      <w:pPr>
        <w:jc w:val="left"/>
      </w:pPr>
    </w:p>
    <w:p w14:paraId="0084EA16" w14:textId="77777777" w:rsidR="00174605" w:rsidRDefault="00C8536B">
      <w:pPr>
        <w:pStyle w:val="Cmsor1"/>
      </w:pPr>
      <w:r>
        <w:t>5.</w:t>
      </w:r>
      <w:r>
        <w:tab/>
        <w:t>FARMAKOLÓGIAI TULAJDONSÁGOK</w:t>
      </w:r>
    </w:p>
    <w:p w14:paraId="06150CC9" w14:textId="77777777" w:rsidR="00174605" w:rsidRDefault="00174605">
      <w:pPr>
        <w:jc w:val="left"/>
      </w:pPr>
    </w:p>
    <w:p w14:paraId="709836BC" w14:textId="77777777" w:rsidR="00174605" w:rsidRDefault="00C8536B">
      <w:pPr>
        <w:pStyle w:val="Cmsor2"/>
      </w:pPr>
      <w:r>
        <w:t>5.1</w:t>
      </w:r>
      <w:r>
        <w:tab/>
      </w:r>
      <w:proofErr w:type="spellStart"/>
      <w:r>
        <w:t>Farmakodinámiás</w:t>
      </w:r>
      <w:proofErr w:type="spellEnd"/>
      <w:r>
        <w:t xml:space="preserve"> tulajdonságok</w:t>
      </w:r>
    </w:p>
    <w:p w14:paraId="1A78CD15" w14:textId="77777777" w:rsidR="00174605" w:rsidRDefault="00174605">
      <w:pPr>
        <w:jc w:val="left"/>
      </w:pPr>
    </w:p>
    <w:p w14:paraId="27605FBE" w14:textId="77777777" w:rsidR="00174605" w:rsidRDefault="00C8536B">
      <w:pPr>
        <w:widowControl/>
        <w:jc w:val="left"/>
      </w:pPr>
      <w:proofErr w:type="spellStart"/>
      <w:r>
        <w:t>Farmakoterápiás</w:t>
      </w:r>
      <w:proofErr w:type="spellEnd"/>
      <w:r>
        <w:t xml:space="preserve"> csoport: Antidiabetikus terápia, vércukorszint-csökkentő gyógyszerek, kivéve inzulinok, ATC kód: A10BH01.</w:t>
      </w:r>
    </w:p>
    <w:p w14:paraId="3745CFF2" w14:textId="77777777" w:rsidR="00174605" w:rsidRDefault="00174605">
      <w:pPr>
        <w:widowControl/>
        <w:jc w:val="left"/>
      </w:pPr>
    </w:p>
    <w:p w14:paraId="0C473B2D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Hatásmechanizmus</w:t>
      </w:r>
    </w:p>
    <w:p w14:paraId="23B5F308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a dipeptidil-peptidáz-4 (DPP-</w:t>
      </w:r>
      <w:proofErr w:type="gramStart"/>
      <w:r>
        <w:t>4)-</w:t>
      </w:r>
      <w:proofErr w:type="gramEnd"/>
      <w:r>
        <w:t xml:space="preserve">inhibitorként ismert orális </w:t>
      </w:r>
      <w:proofErr w:type="spellStart"/>
      <w:r>
        <w:t>antidiabetikumok</w:t>
      </w:r>
      <w:proofErr w:type="spellEnd"/>
      <w:r>
        <w:t xml:space="preserve"> osztályának a tagja. A </w:t>
      </w:r>
      <w:proofErr w:type="spellStart"/>
      <w:r>
        <w:t>glikémiás</w:t>
      </w:r>
      <w:proofErr w:type="spellEnd"/>
      <w:r>
        <w:t xml:space="preserve"> kontroll e gyógyszer alkalmazása mellett megfigyelt javulása az aktív </w:t>
      </w:r>
      <w:proofErr w:type="spellStart"/>
      <w:r>
        <w:t>inkretin</w:t>
      </w:r>
      <w:proofErr w:type="spellEnd"/>
      <w:r>
        <w:t xml:space="preserve"> hormonok szintjének növelésével állhat összefüggésben. Az </w:t>
      </w:r>
      <w:proofErr w:type="spellStart"/>
      <w:r>
        <w:t>inkretin</w:t>
      </w:r>
      <w:proofErr w:type="spellEnd"/>
      <w:r>
        <w:t xml:space="preserve"> hormonokat – beleértve az 1. típusú </w:t>
      </w:r>
      <w:proofErr w:type="spellStart"/>
      <w:r>
        <w:t>glukagonszerű</w:t>
      </w:r>
      <w:proofErr w:type="spellEnd"/>
      <w:r>
        <w:t xml:space="preserve"> </w:t>
      </w:r>
      <w:proofErr w:type="spellStart"/>
      <w:r>
        <w:t>peptidet</w:t>
      </w:r>
      <w:proofErr w:type="spellEnd"/>
      <w:r>
        <w:t xml:space="preserve"> (GLP-1) és a </w:t>
      </w:r>
      <w:proofErr w:type="spellStart"/>
      <w:r>
        <w:t>glükózdependens</w:t>
      </w:r>
      <w:proofErr w:type="spellEnd"/>
      <w:r>
        <w:t xml:space="preserve"> </w:t>
      </w:r>
      <w:proofErr w:type="spellStart"/>
      <w:r>
        <w:t>inzulinotróp</w:t>
      </w:r>
      <w:proofErr w:type="spellEnd"/>
      <w:r>
        <w:t xml:space="preserve"> </w:t>
      </w:r>
      <w:proofErr w:type="spellStart"/>
      <w:r>
        <w:t>polipeptidet</w:t>
      </w:r>
      <w:proofErr w:type="spellEnd"/>
      <w:r>
        <w:t xml:space="preserve"> (GIP) – a bél egész nap termeli, és szintjük az étkezést követően megnő. Az </w:t>
      </w:r>
      <w:proofErr w:type="spellStart"/>
      <w:r>
        <w:t>inkretinek</w:t>
      </w:r>
      <w:proofErr w:type="spellEnd"/>
      <w:r>
        <w:t xml:space="preserve"> a glükóz-homeosztázis fiziológiai szabályozásában szerepet játszó endogén rendszer részei. Normál vagy emelkedett vércukor-koncentráció esetén a GLP-1 és a GIP, a ciklikus AMP-vel működő </w:t>
      </w:r>
      <w:proofErr w:type="spellStart"/>
      <w:r>
        <w:t>intracelluláris</w:t>
      </w:r>
      <w:proofErr w:type="spellEnd"/>
      <w:r>
        <w:t xml:space="preserve"> jelátviteli rendszeren keresztül fokozzák a </w:t>
      </w:r>
      <w:proofErr w:type="spellStart"/>
      <w:r>
        <w:t>pancreas</w:t>
      </w:r>
      <w:proofErr w:type="spellEnd"/>
      <w:r>
        <w:t xml:space="preserve"> béta-sejtjeiben az inzulin termelését és felszabadulását. A GLP-1 vagy a DPP-4-inhibitorokkal történő kezelés a 2-es típusú diabeteses állatokkal végzett kísérletek során javította a béta-sejtek glükózzal szemben mutatott válaszkészségét, valamint stimulálta az inzulin bioszintézisét és felszabadulását. A magasabb inzulinszint mellett megélénkül a szövetek glükózfelvétele. A GLP-1 ezen kívül csökkenti a </w:t>
      </w:r>
      <w:proofErr w:type="spellStart"/>
      <w:r>
        <w:t>pancreas</w:t>
      </w:r>
      <w:proofErr w:type="spellEnd"/>
      <w:r>
        <w:t xml:space="preserve"> alfa-sejtjeinek </w:t>
      </w:r>
      <w:proofErr w:type="spellStart"/>
      <w:r>
        <w:t>glukagon</w:t>
      </w:r>
      <w:proofErr w:type="spellEnd"/>
      <w:r>
        <w:t xml:space="preserve">-kiválasztását. A csökkent </w:t>
      </w:r>
      <w:proofErr w:type="spellStart"/>
      <w:r>
        <w:t>glukagon</w:t>
      </w:r>
      <w:proofErr w:type="spellEnd"/>
      <w:r>
        <w:t>-koncentráció és a magasabb inzulinszint a máj glükóztermelésének a visszaeséséhez vezet, ami a vércukorszint csökkenését eredményezi. A GLP-1 és a GIP hatását tekintve glükóz-</w:t>
      </w:r>
      <w:proofErr w:type="spellStart"/>
      <w:r>
        <w:t>dependens</w:t>
      </w:r>
      <w:proofErr w:type="spellEnd"/>
      <w:r>
        <w:t xml:space="preserve">, mert alacsony vércukor-koncentráció esetén a GLP-1 nem stimulálja az inzulinfelszabadulást, és nem </w:t>
      </w:r>
      <w:proofErr w:type="spellStart"/>
      <w:r>
        <w:t>szupprimálja</w:t>
      </w:r>
      <w:proofErr w:type="spellEnd"/>
      <w:r>
        <w:t xml:space="preserve"> a </w:t>
      </w:r>
      <w:proofErr w:type="spellStart"/>
      <w:r>
        <w:t>glukagonelválasztást</w:t>
      </w:r>
      <w:proofErr w:type="spellEnd"/>
      <w:r>
        <w:t xml:space="preserve">. Mind a GLP-1, mind a GIP esetében az inzulinfelszabadulás stimulálása felerősödik, ahogy a glükózkoncentráció a normálérték fölé emelkedik. Továbbá a GLP-1 a </w:t>
      </w:r>
      <w:proofErr w:type="spellStart"/>
      <w:r>
        <w:t>hipoglikémiára</w:t>
      </w:r>
      <w:proofErr w:type="spellEnd"/>
      <w:r>
        <w:t xml:space="preserve"> adott normális </w:t>
      </w:r>
      <w:proofErr w:type="spellStart"/>
      <w:r>
        <w:t>glukagon</w:t>
      </w:r>
      <w:proofErr w:type="spellEnd"/>
      <w:r>
        <w:t xml:space="preserve">-választ nem gátolja. A GLP-1 és a GIP aktivitását a DPP-4 enzim korlátozza, mely gyorsan </w:t>
      </w:r>
      <w:proofErr w:type="spellStart"/>
      <w:r>
        <w:t>hidrolizálja</w:t>
      </w:r>
      <w:proofErr w:type="spellEnd"/>
      <w:r>
        <w:t xml:space="preserve"> az </w:t>
      </w:r>
      <w:proofErr w:type="spellStart"/>
      <w:r>
        <w:t>inkretin</w:t>
      </w:r>
      <w:proofErr w:type="spellEnd"/>
      <w:r>
        <w:t xml:space="preserve"> hormonokat, így inaktív termékek képződnek. A </w:t>
      </w:r>
      <w:proofErr w:type="spellStart"/>
      <w:r>
        <w:t>szitagliptin</w:t>
      </w:r>
      <w:proofErr w:type="spellEnd"/>
      <w:r>
        <w:t xml:space="preserve"> megakadályozza az </w:t>
      </w:r>
      <w:proofErr w:type="spellStart"/>
      <w:r>
        <w:t>inkretin</w:t>
      </w:r>
      <w:proofErr w:type="spellEnd"/>
      <w:r>
        <w:t xml:space="preserve"> hormonok DPP-4 általi hidrolízisét, ezáltal növelve az aktív GLP-1 és a GIP plazmakoncentrációját. Az aktív </w:t>
      </w:r>
      <w:proofErr w:type="spellStart"/>
      <w:r>
        <w:t>inkretinek</w:t>
      </w:r>
      <w:proofErr w:type="spellEnd"/>
      <w:r>
        <w:t xml:space="preserve"> szintjének növelésével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glükózdependens</w:t>
      </w:r>
      <w:proofErr w:type="spellEnd"/>
      <w:r>
        <w:t xml:space="preserve"> módon növeli az inzulin felszabadulását, és csökkenti a </w:t>
      </w:r>
      <w:proofErr w:type="spellStart"/>
      <w:r>
        <w:t>glukagon</w:t>
      </w:r>
      <w:proofErr w:type="spellEnd"/>
      <w:r>
        <w:t xml:space="preserve"> szintjét. 2-es típusú diabetesben szenvedő, </w:t>
      </w:r>
      <w:proofErr w:type="spellStart"/>
      <w:r>
        <w:t>hiperglikémiás</w:t>
      </w:r>
      <w:proofErr w:type="spellEnd"/>
      <w:r>
        <w:t xml:space="preserve"> betegeknél az inzulin és </w:t>
      </w:r>
      <w:proofErr w:type="spellStart"/>
      <w:r>
        <w:t>glukagon</w:t>
      </w:r>
      <w:proofErr w:type="spellEnd"/>
      <w:r>
        <w:t xml:space="preserve"> szintjének ezen változásai alacsonyabb hemoglobin A</w:t>
      </w:r>
      <w:r>
        <w:rPr>
          <w:vertAlign w:val="subscript"/>
        </w:rPr>
        <w:t>1c</w:t>
      </w:r>
      <w:r>
        <w:t xml:space="preserve"> (HbA</w:t>
      </w:r>
      <w:r>
        <w:rPr>
          <w:vertAlign w:val="subscript"/>
        </w:rPr>
        <w:t>1</w:t>
      </w:r>
      <w:proofErr w:type="gramStart"/>
      <w:r>
        <w:rPr>
          <w:vertAlign w:val="subscript"/>
        </w:rPr>
        <w:t>c</w:t>
      </w:r>
      <w:r>
        <w:t>)-</w:t>
      </w:r>
      <w:proofErr w:type="gramEnd"/>
      <w:r>
        <w:t xml:space="preserve">szinthez, valamint alacsonyabb </w:t>
      </w:r>
      <w:proofErr w:type="spellStart"/>
      <w:r>
        <w:t>éhomi</w:t>
      </w:r>
      <w:proofErr w:type="spellEnd"/>
      <w:r>
        <w:t xml:space="preserve"> és </w:t>
      </w:r>
      <w:proofErr w:type="spellStart"/>
      <w:r>
        <w:t>posztprandiális</w:t>
      </w:r>
      <w:proofErr w:type="spellEnd"/>
      <w:r>
        <w:t xml:space="preserve"> glükóz-koncentrációhoz vezetnek. A </w:t>
      </w:r>
      <w:proofErr w:type="spellStart"/>
      <w:r>
        <w:t>szitagliptin</w:t>
      </w:r>
      <w:proofErr w:type="spellEnd"/>
      <w:r>
        <w:t xml:space="preserve"> glükóz-</w:t>
      </w:r>
      <w:proofErr w:type="spellStart"/>
      <w:r>
        <w:t>dependens</w:t>
      </w:r>
      <w:proofErr w:type="spellEnd"/>
      <w:r>
        <w:t xml:space="preserve"> mechanizmusa különbözik a </w:t>
      </w:r>
      <w:proofErr w:type="spellStart"/>
      <w:r>
        <w:t>szulfonilureák</w:t>
      </w:r>
      <w:proofErr w:type="spellEnd"/>
      <w:r>
        <w:t xml:space="preserve"> mechanizmusától, amely még alacsony glükózszint mellett is növeli az inzulinkiválasztást, ami 2-es típusú cukorbetegségben szenvedő betegeknél és egészséges személyeknél is </w:t>
      </w:r>
      <w:proofErr w:type="spellStart"/>
      <w:r>
        <w:t>hipoglikémiához</w:t>
      </w:r>
      <w:proofErr w:type="spellEnd"/>
      <w:r>
        <w:t xml:space="preserve"> vezethet. A </w:t>
      </w:r>
      <w:proofErr w:type="spellStart"/>
      <w:r>
        <w:t>szitagliptin</w:t>
      </w:r>
      <w:proofErr w:type="spellEnd"/>
      <w:r>
        <w:t xml:space="preserve"> a DPP-4 enzim hatékony és igen szelektív inhibitora, és terápiás koncentrációban nem gátolja a nagyon hasonló DPP-8 és DPP-9 enzimeket.</w:t>
      </w:r>
    </w:p>
    <w:p w14:paraId="163950E7" w14:textId="77777777" w:rsidR="00174605" w:rsidRDefault="00174605">
      <w:pPr>
        <w:widowControl/>
        <w:jc w:val="left"/>
      </w:pPr>
    </w:p>
    <w:p w14:paraId="2FE15CF9" w14:textId="77777777" w:rsidR="00174605" w:rsidRDefault="00C8536B">
      <w:pPr>
        <w:widowControl/>
        <w:jc w:val="left"/>
      </w:pPr>
      <w:r>
        <w:t xml:space="preserve">Egy egészséges önkéntesekkel folytatott kétnapos vizsgálat során, az önmagában adagolt </w:t>
      </w:r>
      <w:proofErr w:type="spellStart"/>
      <w:r>
        <w:t>szitagliptin</w:t>
      </w:r>
      <w:proofErr w:type="spellEnd"/>
      <w:r>
        <w:t xml:space="preserve"> növelte az aktív GLP-1-koncentrációkat, míg az önmagában adagolt </w:t>
      </w:r>
      <w:proofErr w:type="spellStart"/>
      <w:r>
        <w:t>metformin</w:t>
      </w:r>
      <w:proofErr w:type="spellEnd"/>
      <w:r>
        <w:t xml:space="preserve"> hasonló mértékben növelte mind az aktív GLP-1-koncentrációt, mind pedig a GLP-1 </w:t>
      </w:r>
      <w:proofErr w:type="spellStart"/>
      <w:r>
        <w:t>összkoncentrációt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metforminnal</w:t>
      </w:r>
      <w:proofErr w:type="spellEnd"/>
      <w:r>
        <w:t xml:space="preserve"> történő együttes adása additív hatással volt az aktív GLP-1-koncentrációkra. Az aktív GIP-koncentrációkat a </w:t>
      </w:r>
      <w:proofErr w:type="spellStart"/>
      <w:r>
        <w:t>szitagliptin</w:t>
      </w:r>
      <w:proofErr w:type="spellEnd"/>
      <w:r>
        <w:t xml:space="preserve"> növelte, de a </w:t>
      </w:r>
      <w:proofErr w:type="spellStart"/>
      <w:r>
        <w:t>metformin</w:t>
      </w:r>
      <w:proofErr w:type="spellEnd"/>
      <w:r>
        <w:t xml:space="preserve"> nem.</w:t>
      </w:r>
    </w:p>
    <w:p w14:paraId="73B898FE" w14:textId="77777777" w:rsidR="00174605" w:rsidRDefault="00174605">
      <w:pPr>
        <w:widowControl/>
        <w:jc w:val="left"/>
      </w:pPr>
    </w:p>
    <w:p w14:paraId="0BD22EA1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Klinikai hatásosság és biztonságosság</w:t>
      </w:r>
    </w:p>
    <w:p w14:paraId="19538EC3" w14:textId="77777777" w:rsidR="00174605" w:rsidRDefault="00C8536B">
      <w:pPr>
        <w:widowControl/>
        <w:jc w:val="left"/>
      </w:pPr>
      <w:r>
        <w:t xml:space="preserve">Összességében véve a </w:t>
      </w:r>
      <w:proofErr w:type="spellStart"/>
      <w:r>
        <w:t>szitagliptin</w:t>
      </w:r>
      <w:proofErr w:type="spellEnd"/>
      <w:r>
        <w:t xml:space="preserve"> 2-es típusú diabetesben szenvedő felnőtt betegeknél </w:t>
      </w:r>
      <w:proofErr w:type="spellStart"/>
      <w:r>
        <w:t>monoterápiában</w:t>
      </w:r>
      <w:proofErr w:type="spellEnd"/>
      <w:r>
        <w:t xml:space="preserve"> vagy kombinációs terápiában alkalmazva javította a </w:t>
      </w:r>
      <w:proofErr w:type="spellStart"/>
      <w:r>
        <w:t>glikémiás</w:t>
      </w:r>
      <w:proofErr w:type="spellEnd"/>
      <w:r>
        <w:t xml:space="preserve"> kontrollt (lásd 2. táblázat).</w:t>
      </w:r>
    </w:p>
    <w:p w14:paraId="35989220" w14:textId="77777777" w:rsidR="00174605" w:rsidRDefault="00174605">
      <w:pPr>
        <w:widowControl/>
        <w:jc w:val="left"/>
      </w:pPr>
    </w:p>
    <w:p w14:paraId="392AB3D0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szitagliptin-monoterápia</w:t>
      </w:r>
      <w:proofErr w:type="spellEnd"/>
      <w:r>
        <w:t xml:space="preserve"> hatásosságát és biztonságosságát két vizsgálat során értékelték. A két, egyenként 18 és 24 hetes vizsgálatban a napi egyszeri 100 mg </w:t>
      </w:r>
      <w:proofErr w:type="spellStart"/>
      <w:r>
        <w:t>szitagliptinnel</w:t>
      </w:r>
      <w:proofErr w:type="spellEnd"/>
      <w:r>
        <w:t xml:space="preserve"> történő </w:t>
      </w:r>
      <w:proofErr w:type="spellStart"/>
      <w:r>
        <w:t>monoterápiás</w:t>
      </w:r>
      <w:proofErr w:type="spellEnd"/>
      <w:r>
        <w:t xml:space="preserve"> kezelés a </w:t>
      </w:r>
      <w:proofErr w:type="spellStart"/>
      <w:r>
        <w:t>placebóval</w:t>
      </w:r>
      <w:proofErr w:type="spellEnd"/>
      <w:r>
        <w:t xml:space="preserve"> összehasonlítva jelentős mértékben javította a HbA</w:t>
      </w:r>
      <w:r>
        <w:rPr>
          <w:vertAlign w:val="subscript"/>
        </w:rPr>
        <w:t>1c</w:t>
      </w:r>
      <w:r>
        <w:t xml:space="preserve">, az </w:t>
      </w:r>
      <w:proofErr w:type="spellStart"/>
      <w:r>
        <w:t>éhomi</w:t>
      </w:r>
      <w:proofErr w:type="spellEnd"/>
      <w:r>
        <w:t xml:space="preserve"> plazma-glükóz (FPG) és az étkezést követő 2 órán belül mért glükóz (2 órás PPG) szintjét. Javulás mutatkozott a bétasejt-funkcióra </w:t>
      </w:r>
      <w:r>
        <w:lastRenderedPageBreak/>
        <w:t>utaló helyettes markerek, beleértve a HOMA-β („</w:t>
      </w:r>
      <w:proofErr w:type="spellStart"/>
      <w:r>
        <w:t>Homeostasis</w:t>
      </w:r>
      <w:proofErr w:type="spellEnd"/>
      <w:r>
        <w:t xml:space="preserve"> </w:t>
      </w:r>
      <w:proofErr w:type="spellStart"/>
      <w:r>
        <w:t>Model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-β”) mutató markert, a </w:t>
      </w:r>
      <w:proofErr w:type="spellStart"/>
      <w:r>
        <w:t>proinzulin</w:t>
      </w:r>
      <w:proofErr w:type="spellEnd"/>
      <w:r>
        <w:t xml:space="preserve">-inzulin arány, valamint a gyakori mintavétellel </w:t>
      </w:r>
      <w:proofErr w:type="spellStart"/>
      <w:r>
        <w:t>együttjáró</w:t>
      </w:r>
      <w:proofErr w:type="spellEnd"/>
      <w:r>
        <w:t xml:space="preserve"> étkezési tolerancia-teszt során mért béta-sejt válaszkészség terén. A </w:t>
      </w:r>
      <w:proofErr w:type="spellStart"/>
      <w:r>
        <w:t>szitagliptinnel</w:t>
      </w:r>
      <w:proofErr w:type="spellEnd"/>
      <w:r>
        <w:t xml:space="preserve"> kezelt betegek között előforduló </w:t>
      </w:r>
      <w:proofErr w:type="spellStart"/>
      <w:r>
        <w:t>hipoglikémiás</w:t>
      </w:r>
      <w:proofErr w:type="spellEnd"/>
      <w:r>
        <w:t xml:space="preserve"> esetek száma hasonló volt a </w:t>
      </w:r>
      <w:proofErr w:type="spellStart"/>
      <w:r>
        <w:t>placebóval</w:t>
      </w:r>
      <w:proofErr w:type="spellEnd"/>
      <w:r>
        <w:t xml:space="preserve"> kezeltekéhez. A </w:t>
      </w:r>
      <w:proofErr w:type="spellStart"/>
      <w:r>
        <w:t>szitagliptin</w:t>
      </w:r>
      <w:proofErr w:type="spellEnd"/>
      <w:r>
        <w:t xml:space="preserve">-terápia mellett – a </w:t>
      </w:r>
      <w:proofErr w:type="spellStart"/>
      <w:r>
        <w:t>placebóval</w:t>
      </w:r>
      <w:proofErr w:type="spellEnd"/>
      <w:r>
        <w:t xml:space="preserve"> kezelt betegek enyhe testsúlycsökkenésével összehasonlítva – egyik vizsgálatban sem nőtt a kiindulási testsúly.</w:t>
      </w:r>
    </w:p>
    <w:p w14:paraId="3640F267" w14:textId="77777777" w:rsidR="00174605" w:rsidRDefault="00174605">
      <w:pPr>
        <w:widowControl/>
        <w:jc w:val="left"/>
      </w:pPr>
    </w:p>
    <w:p w14:paraId="74A029F7" w14:textId="77777777" w:rsidR="00174605" w:rsidRDefault="00C8536B">
      <w:pPr>
        <w:widowControl/>
        <w:jc w:val="left"/>
      </w:pPr>
      <w:r>
        <w:t xml:space="preserve">Két, 24 hetes vizsgálatban, melyek során a napi egyszer 100 mg </w:t>
      </w:r>
      <w:proofErr w:type="spellStart"/>
      <w:r>
        <w:t>szitagliptint</w:t>
      </w:r>
      <w:proofErr w:type="spellEnd"/>
      <w:r>
        <w:t xml:space="preserve"> hozzáadott terápiaként </w:t>
      </w:r>
      <w:proofErr w:type="spellStart"/>
      <w:r>
        <w:t>metforminnal</w:t>
      </w:r>
      <w:proofErr w:type="spellEnd"/>
      <w:r>
        <w:t xml:space="preserve">, illetve </w:t>
      </w:r>
      <w:proofErr w:type="spellStart"/>
      <w:r>
        <w:t>pioglitazonnal</w:t>
      </w:r>
      <w:proofErr w:type="spellEnd"/>
      <w:r>
        <w:t xml:space="preserve"> kombinációban alkalmazták, a </w:t>
      </w:r>
      <w:proofErr w:type="spellStart"/>
      <w:r>
        <w:t>glikémiás</w:t>
      </w:r>
      <w:proofErr w:type="spellEnd"/>
      <w:r>
        <w:t xml:space="preserve"> paraméterek jelentős javulását figyelték meg. A testsúlyban a vizsgálat megkezdése óta bekövetkezett változás a </w:t>
      </w:r>
      <w:proofErr w:type="spellStart"/>
      <w:r>
        <w:t>szitagliptinnel</w:t>
      </w:r>
      <w:proofErr w:type="spellEnd"/>
      <w:r>
        <w:t xml:space="preserve"> kezelt betegek esetén hasonló volt a </w:t>
      </w:r>
      <w:proofErr w:type="spellStart"/>
      <w:r>
        <w:t>placebóval</w:t>
      </w:r>
      <w:proofErr w:type="spellEnd"/>
      <w:r>
        <w:t xml:space="preserve"> kezeltekéhez. E vizsgálatokban hasonló arányban jelentettek </w:t>
      </w:r>
      <w:proofErr w:type="spellStart"/>
      <w:r>
        <w:t>hipoglikémiát</w:t>
      </w:r>
      <w:proofErr w:type="spellEnd"/>
      <w:r>
        <w:t xml:space="preserve"> a </w:t>
      </w:r>
      <w:proofErr w:type="spellStart"/>
      <w:r>
        <w:t>szitagliptinnel</w:t>
      </w:r>
      <w:proofErr w:type="spellEnd"/>
      <w:r>
        <w:t xml:space="preserve"> vagy a </w:t>
      </w:r>
      <w:proofErr w:type="spellStart"/>
      <w:r>
        <w:t>placebóval</w:t>
      </w:r>
      <w:proofErr w:type="spellEnd"/>
      <w:r>
        <w:t xml:space="preserve"> kezelt betegek között.</w:t>
      </w:r>
    </w:p>
    <w:p w14:paraId="3F76CCAF" w14:textId="77777777" w:rsidR="00174605" w:rsidRDefault="00174605">
      <w:pPr>
        <w:widowControl/>
        <w:jc w:val="left"/>
      </w:pPr>
    </w:p>
    <w:p w14:paraId="4B973B67" w14:textId="77777777" w:rsidR="00174605" w:rsidRDefault="00C8536B">
      <w:pPr>
        <w:widowControl/>
        <w:jc w:val="left"/>
      </w:pPr>
      <w:r>
        <w:t xml:space="preserve">Az egyedül a </w:t>
      </w:r>
      <w:proofErr w:type="spellStart"/>
      <w:proofErr w:type="gramStart"/>
      <w:r>
        <w:t>glimepiridhez</w:t>
      </w:r>
      <w:proofErr w:type="spellEnd"/>
      <w:proofErr w:type="gramEnd"/>
      <w:r>
        <w:t xml:space="preserve"> illetve a </w:t>
      </w:r>
      <w:proofErr w:type="spellStart"/>
      <w:r>
        <w:t>glimepirid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kombinációjához adott (napi egyszer 100 mg) </w:t>
      </w:r>
      <w:proofErr w:type="spellStart"/>
      <w:r>
        <w:t>szitagliptin</w:t>
      </w:r>
      <w:proofErr w:type="spellEnd"/>
      <w:r>
        <w:t xml:space="preserve"> hatásosságának és biztonságosságának értékelésére egy 24 hetes, placebokontrollos vizsgálatot végeztek. Az egyedül a </w:t>
      </w:r>
      <w:proofErr w:type="spellStart"/>
      <w:r>
        <w:t>glimepiridhez</w:t>
      </w:r>
      <w:proofErr w:type="spellEnd"/>
      <w:r>
        <w:t xml:space="preserve"> vagy a </w:t>
      </w:r>
      <w:proofErr w:type="spellStart"/>
      <w:r>
        <w:t>glimepirid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kombinációjához adott </w:t>
      </w:r>
      <w:proofErr w:type="spellStart"/>
      <w:r>
        <w:t>szitagliptin</w:t>
      </w:r>
      <w:proofErr w:type="spellEnd"/>
      <w:r>
        <w:t xml:space="preserve"> jelentős javulást eredményezett a </w:t>
      </w:r>
      <w:proofErr w:type="spellStart"/>
      <w:r>
        <w:t>glikémiás</w:t>
      </w:r>
      <w:proofErr w:type="spellEnd"/>
      <w:r>
        <w:t xml:space="preserve"> paraméterek terén. A </w:t>
      </w:r>
      <w:proofErr w:type="spellStart"/>
      <w:r>
        <w:t>szitagliptinnel</w:t>
      </w:r>
      <w:proofErr w:type="spellEnd"/>
      <w:r>
        <w:t xml:space="preserve"> kezelt betegek a </w:t>
      </w:r>
      <w:proofErr w:type="spellStart"/>
      <w:r>
        <w:t>placebót</w:t>
      </w:r>
      <w:proofErr w:type="spellEnd"/>
      <w:r>
        <w:t xml:space="preserve"> kapókhoz képest enyhe testsúlynövekedést mutattak.</w:t>
      </w:r>
    </w:p>
    <w:p w14:paraId="03CEB27E" w14:textId="77777777" w:rsidR="00174605" w:rsidRDefault="00C8536B">
      <w:pPr>
        <w:widowControl/>
        <w:jc w:val="left"/>
      </w:pPr>
      <w:proofErr w:type="spellStart"/>
      <w:r>
        <w:t>Pioglitazon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kombinációjához adott (napi egyszer 100 mg) </w:t>
      </w:r>
      <w:proofErr w:type="spellStart"/>
      <w:r>
        <w:t>szitagliptin</w:t>
      </w:r>
      <w:proofErr w:type="spellEnd"/>
      <w:r>
        <w:t xml:space="preserve"> hatásosságának és biztonságosságának értékelésére egy 26 hetes, placebokontrollos vizsgálatot terveztek. A </w:t>
      </w:r>
      <w:proofErr w:type="spellStart"/>
      <w:r>
        <w:t>pioglitazon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kombinációjához adott </w:t>
      </w:r>
      <w:proofErr w:type="spellStart"/>
      <w:r>
        <w:t>szitagliptin</w:t>
      </w:r>
      <w:proofErr w:type="spellEnd"/>
      <w:r>
        <w:t xml:space="preserve"> a </w:t>
      </w:r>
      <w:proofErr w:type="spellStart"/>
      <w:r>
        <w:t>glikémiás</w:t>
      </w:r>
      <w:proofErr w:type="spellEnd"/>
      <w:r>
        <w:t xml:space="preserve"> paraméterek jelentős javulását eredményezte. A kiindulási testsúly-értékekben bekövetkező változás hasonló volt a </w:t>
      </w:r>
      <w:proofErr w:type="spellStart"/>
      <w:r>
        <w:t>szitagliptinnel</w:t>
      </w:r>
      <w:proofErr w:type="spellEnd"/>
      <w:r>
        <w:t xml:space="preserve"> kezelt betegek és a </w:t>
      </w:r>
      <w:proofErr w:type="spellStart"/>
      <w:r>
        <w:t>placebót</w:t>
      </w:r>
      <w:proofErr w:type="spellEnd"/>
      <w:r>
        <w:t xml:space="preserve"> kapó betegek esetében. A </w:t>
      </w:r>
      <w:proofErr w:type="spellStart"/>
      <w:r>
        <w:t>hypoglykaemia</w:t>
      </w:r>
      <w:proofErr w:type="spellEnd"/>
      <w:r>
        <w:t xml:space="preserve"> előfordulási gyakorisága szintén hasonló volt a </w:t>
      </w:r>
      <w:proofErr w:type="spellStart"/>
      <w:r>
        <w:t>szitagliptinnel</w:t>
      </w:r>
      <w:proofErr w:type="spellEnd"/>
      <w:r>
        <w:t xml:space="preserve"> kezelt betegek és a </w:t>
      </w:r>
      <w:proofErr w:type="spellStart"/>
      <w:r>
        <w:t>placebót</w:t>
      </w:r>
      <w:proofErr w:type="spellEnd"/>
      <w:r>
        <w:t xml:space="preserve"> kapó betegek esetében.</w:t>
      </w:r>
    </w:p>
    <w:p w14:paraId="2BA2379C" w14:textId="77777777" w:rsidR="00174605" w:rsidRDefault="00174605">
      <w:pPr>
        <w:widowControl/>
        <w:jc w:val="left"/>
      </w:pPr>
    </w:p>
    <w:p w14:paraId="093C191E" w14:textId="77777777" w:rsidR="00174605" w:rsidRDefault="00C8536B">
      <w:pPr>
        <w:widowControl/>
        <w:jc w:val="left"/>
      </w:pPr>
      <w:r>
        <w:t xml:space="preserve">Egy 24 hetes, placebokontrollos vizsgálatot állítottak össze (legalább 10 hete állandó </w:t>
      </w:r>
      <w:proofErr w:type="spellStart"/>
      <w:r>
        <w:t>adagolású</w:t>
      </w:r>
      <w:proofErr w:type="spellEnd"/>
      <w:r>
        <w:t xml:space="preserve">) inzulin mellett és (legalább 1500 mg) </w:t>
      </w:r>
      <w:proofErr w:type="spellStart"/>
      <w:r>
        <w:t>metforminnal</w:t>
      </w:r>
      <w:proofErr w:type="spellEnd"/>
      <w:r>
        <w:t xml:space="preserve"> vagy anélkül adott </w:t>
      </w:r>
      <w:proofErr w:type="spellStart"/>
      <w:r>
        <w:t>szitagliptin</w:t>
      </w:r>
      <w:proofErr w:type="spellEnd"/>
      <w:r>
        <w:t xml:space="preserve"> (100 mg naponta egyszer) hatásosságának és biztonságosságának megállapítása céljából. Az előkevert inzulint alkalmazó betegeknél az átlagos napi adag 70,9 E volt. A nem előkevert (közepes/hosszú hatású) inzulint alkalmazó betegeknél az átlagos napi adag 44,3 E volt. </w:t>
      </w:r>
      <w:proofErr w:type="spellStart"/>
      <w:r>
        <w:t>Szitagliptin</w:t>
      </w:r>
      <w:proofErr w:type="spellEnd"/>
      <w:r>
        <w:t xml:space="preserve"> inzulinhoz történő hozzáadása a </w:t>
      </w:r>
      <w:proofErr w:type="spellStart"/>
      <w:r>
        <w:t>glikémiás</w:t>
      </w:r>
      <w:proofErr w:type="spellEnd"/>
      <w:r>
        <w:t xml:space="preserve"> paraméterek szignifikáns javulását eredményezte. A vizsgálat megkezdésekor mért testtömegben egyik csoportban sem következett be jelentős változás.</w:t>
      </w:r>
    </w:p>
    <w:p w14:paraId="619C4546" w14:textId="77777777" w:rsidR="00174605" w:rsidRDefault="00174605">
      <w:pPr>
        <w:widowControl/>
        <w:jc w:val="left"/>
      </w:pPr>
    </w:p>
    <w:p w14:paraId="431A832B" w14:textId="77777777" w:rsidR="00174605" w:rsidRDefault="00C8536B">
      <w:pPr>
        <w:widowControl/>
        <w:jc w:val="left"/>
      </w:pPr>
      <w:r>
        <w:t xml:space="preserve">A kezdő kezelés egy 24 hetes, placebokontrollos, faktoriális elrendezésű vizsgálata során a </w:t>
      </w:r>
      <w:proofErr w:type="spellStart"/>
      <w:r>
        <w:t>metforminnal</w:t>
      </w:r>
      <w:proofErr w:type="spellEnd"/>
      <w:r>
        <w:t xml:space="preserve"> (napi kétszer 500 mg vagy 1000 mg) kombinációban adott napi kétszer 50 mg </w:t>
      </w:r>
      <w:proofErr w:type="spellStart"/>
      <w:r>
        <w:t>szitagliptin</w:t>
      </w:r>
      <w:proofErr w:type="spellEnd"/>
      <w:r>
        <w:t xml:space="preserve"> bármelyik </w:t>
      </w:r>
      <w:proofErr w:type="spellStart"/>
      <w:r>
        <w:t>monoterápiával</w:t>
      </w:r>
      <w:proofErr w:type="spellEnd"/>
      <w:r>
        <w:t xml:space="preserve"> összehasonlítva jelentős javulást eredményezett a </w:t>
      </w:r>
      <w:proofErr w:type="spellStart"/>
      <w:r>
        <w:t>glikémiás</w:t>
      </w:r>
      <w:proofErr w:type="spellEnd"/>
      <w:r>
        <w:t xml:space="preserve"> paraméterekben. A </w:t>
      </w:r>
      <w:proofErr w:type="spellStart"/>
      <w:r>
        <w:t>szitagliptin</w:t>
      </w:r>
      <w:proofErr w:type="spellEnd"/>
      <w:r>
        <w:t xml:space="preserve"> és </w:t>
      </w:r>
      <w:proofErr w:type="spellStart"/>
      <w:r>
        <w:t>metformin</w:t>
      </w:r>
      <w:proofErr w:type="spellEnd"/>
      <w:r>
        <w:t xml:space="preserve"> kombinációjával elért testsúlycsökkenés hasonló volt a csak </w:t>
      </w:r>
      <w:proofErr w:type="spellStart"/>
      <w:r>
        <w:t>metformin</w:t>
      </w:r>
      <w:proofErr w:type="spellEnd"/>
      <w:r>
        <w:t xml:space="preserve"> vagy </w:t>
      </w:r>
      <w:proofErr w:type="spellStart"/>
      <w:r>
        <w:t>placebó</w:t>
      </w:r>
      <w:proofErr w:type="spellEnd"/>
      <w:r>
        <w:t xml:space="preserve"> alkalmazása mellett megfigyelthez, míg a </w:t>
      </w:r>
      <w:proofErr w:type="spellStart"/>
      <w:r>
        <w:t>szitagliptin</w:t>
      </w:r>
      <w:proofErr w:type="spellEnd"/>
      <w:r>
        <w:t xml:space="preserve"> önmagában történő alkalmazásakor az alapértékekben nem mutatkozott változás. A </w:t>
      </w:r>
      <w:proofErr w:type="spellStart"/>
      <w:r>
        <w:t>hipoglikémia</w:t>
      </w:r>
      <w:proofErr w:type="spellEnd"/>
      <w:r>
        <w:t xml:space="preserve"> az egyes kezelési csoportokban hasonló arányban fordult elő.</w:t>
      </w:r>
    </w:p>
    <w:p w14:paraId="6B26E24F" w14:textId="77777777" w:rsidR="00174605" w:rsidRDefault="00174605">
      <w:pPr>
        <w:jc w:val="left"/>
      </w:pPr>
    </w:p>
    <w:p w14:paraId="4DC4DACC" w14:textId="77777777" w:rsidR="00174605" w:rsidRDefault="00C8536B">
      <w:pPr>
        <w:widowControl/>
        <w:ind w:left="1134" w:hanging="1134"/>
        <w:jc w:val="left"/>
        <w:rPr>
          <w:rFonts w:eastAsia="TimesNewRoman,Bold"/>
          <w:b/>
          <w:bCs/>
        </w:rPr>
      </w:pPr>
      <w:r>
        <w:rPr>
          <w:rFonts w:eastAsia="TimesNewRoman,Bold"/>
          <w:b/>
          <w:bCs/>
        </w:rPr>
        <w:t>2. táblázat</w:t>
      </w:r>
      <w:r>
        <w:rPr>
          <w:rFonts w:eastAsia="TimesNewRoman,Bold"/>
          <w:b/>
          <w:bCs/>
        </w:rPr>
        <w:tab/>
        <w:t xml:space="preserve">A placebokontrollos </w:t>
      </w:r>
      <w:proofErr w:type="spellStart"/>
      <w:r>
        <w:rPr>
          <w:rFonts w:eastAsia="TimesNewRoman,Bold"/>
          <w:b/>
          <w:bCs/>
        </w:rPr>
        <w:t>monoterápiát</w:t>
      </w:r>
      <w:proofErr w:type="spellEnd"/>
      <w:r>
        <w:rPr>
          <w:rFonts w:eastAsia="TimesNewRoman,Bold"/>
          <w:b/>
          <w:bCs/>
        </w:rPr>
        <w:t xml:space="preserve"> és kombinációs terápiát alkalmazó vizsgálatokban mért HbA</w:t>
      </w:r>
      <w:r>
        <w:rPr>
          <w:rFonts w:eastAsia="TimesNewRoman,Bold"/>
          <w:b/>
          <w:bCs/>
          <w:vertAlign w:val="subscript"/>
        </w:rPr>
        <w:t>1c</w:t>
      </w:r>
      <w:r>
        <w:rPr>
          <w:rFonts w:eastAsia="TimesNewRoman,Bold"/>
          <w:b/>
          <w:bCs/>
        </w:rPr>
        <w:t xml:space="preserve"> eredmények</w:t>
      </w:r>
      <w:r>
        <w:rPr>
          <w:rFonts w:eastAsia="TimesNewRoman,Bold"/>
        </w:rPr>
        <w:t>*</w:t>
      </w:r>
    </w:p>
    <w:p w14:paraId="140AA5BE" w14:textId="77777777" w:rsidR="00174605" w:rsidRDefault="00174605">
      <w:pPr>
        <w:jc w:val="left"/>
        <w:rPr>
          <w:rFonts w:eastAsia="TimesNewRoman,Bol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4"/>
        <w:gridCol w:w="1270"/>
        <w:gridCol w:w="2083"/>
        <w:gridCol w:w="2254"/>
      </w:tblGrid>
      <w:tr w:rsidR="00174605" w14:paraId="782B4550" w14:textId="77777777">
        <w:tc>
          <w:tcPr>
            <w:tcW w:w="3510" w:type="dxa"/>
          </w:tcPr>
          <w:p w14:paraId="7785377F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Vizsgálat</w:t>
            </w:r>
          </w:p>
        </w:tc>
        <w:tc>
          <w:tcPr>
            <w:tcW w:w="1276" w:type="dxa"/>
          </w:tcPr>
          <w:p w14:paraId="4CAEFC4C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Átlagos kiindulási HbA</w:t>
            </w:r>
            <w:r>
              <w:rPr>
                <w:rFonts w:eastAsia="TimesNewRoman,Bold"/>
                <w:b/>
                <w:bCs/>
                <w:vertAlign w:val="subscript"/>
              </w:rPr>
              <w:t>1c</w:t>
            </w:r>
            <w:r>
              <w:rPr>
                <w:rFonts w:eastAsia="TimesNewRoman,Bold"/>
                <w:b/>
                <w:bCs/>
              </w:rPr>
              <w:t xml:space="preserve"> (%)</w:t>
            </w:r>
          </w:p>
        </w:tc>
        <w:tc>
          <w:tcPr>
            <w:tcW w:w="2122" w:type="dxa"/>
          </w:tcPr>
          <w:p w14:paraId="7011BE82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A kiindulási HbA</w:t>
            </w:r>
            <w:r>
              <w:rPr>
                <w:rFonts w:eastAsia="TimesNewRoman,Bold"/>
                <w:b/>
                <w:bCs/>
                <w:vertAlign w:val="subscript"/>
              </w:rPr>
              <w:t>1c</w:t>
            </w:r>
            <w:r>
              <w:rPr>
                <w:rFonts w:eastAsia="TimesNewRoman,Bold"/>
                <w:b/>
                <w:bCs/>
              </w:rPr>
              <w:t xml:space="preserve"> (%) értékekhez képest mutatkozó átlagos eltérés</w:t>
            </w:r>
            <w:r>
              <w:rPr>
                <w:rFonts w:eastAsia="TimesNewRoman,Bold"/>
                <w:b/>
                <w:bCs/>
                <w:vertAlign w:val="superscript"/>
              </w:rPr>
              <w:t>†</w:t>
            </w:r>
          </w:p>
        </w:tc>
        <w:tc>
          <w:tcPr>
            <w:tcW w:w="2303" w:type="dxa"/>
          </w:tcPr>
          <w:p w14:paraId="73C66554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 xml:space="preserve">A </w:t>
            </w:r>
            <w:proofErr w:type="spellStart"/>
            <w:r>
              <w:rPr>
                <w:rFonts w:eastAsia="TimesNewRoman,Bold"/>
                <w:b/>
                <w:bCs/>
              </w:rPr>
              <w:t>placebóra</w:t>
            </w:r>
            <w:proofErr w:type="spellEnd"/>
            <w:r>
              <w:rPr>
                <w:rFonts w:eastAsia="TimesNewRoman,Bold"/>
                <w:b/>
                <w:bCs/>
              </w:rPr>
              <w:t xml:space="preserve"> korrigált HbA</w:t>
            </w:r>
            <w:r>
              <w:rPr>
                <w:rFonts w:eastAsia="TimesNewRoman,Bold"/>
                <w:b/>
                <w:bCs/>
                <w:vertAlign w:val="subscript"/>
              </w:rPr>
              <w:t>1c</w:t>
            </w:r>
            <w:r>
              <w:rPr>
                <w:rFonts w:eastAsia="TimesNewRoman,Bold"/>
                <w:b/>
                <w:bCs/>
              </w:rPr>
              <w:t xml:space="preserve"> (%) értékek terén mutatkozó átlagos eltérés</w:t>
            </w:r>
            <w:r>
              <w:rPr>
                <w:rFonts w:eastAsia="TimesNewRoman,Bold"/>
                <w:b/>
                <w:bCs/>
                <w:vertAlign w:val="superscript"/>
              </w:rPr>
              <w:t>†</w:t>
            </w:r>
          </w:p>
          <w:p w14:paraId="1D2A3B22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(95% CI)</w:t>
            </w:r>
          </w:p>
        </w:tc>
      </w:tr>
      <w:tr w:rsidR="00174605" w14:paraId="70E22A2B" w14:textId="77777777">
        <w:tc>
          <w:tcPr>
            <w:tcW w:w="9211" w:type="dxa"/>
            <w:gridSpan w:val="4"/>
          </w:tcPr>
          <w:p w14:paraId="2F0F1695" w14:textId="77777777" w:rsidR="00174605" w:rsidRDefault="00C8536B">
            <w:pPr>
              <w:jc w:val="left"/>
              <w:rPr>
                <w:b/>
              </w:rPr>
            </w:pPr>
            <w:proofErr w:type="spellStart"/>
            <w:r>
              <w:rPr>
                <w:rFonts w:eastAsia="TimesNewRoman,Bold"/>
                <w:b/>
                <w:bCs/>
              </w:rPr>
              <w:t>Monoterápiás</w:t>
            </w:r>
            <w:proofErr w:type="spellEnd"/>
            <w:r>
              <w:rPr>
                <w:rFonts w:eastAsia="TimesNewRoman,Bold"/>
                <w:b/>
                <w:bCs/>
              </w:rPr>
              <w:t xml:space="preserve"> vizsgálatok</w:t>
            </w:r>
          </w:p>
        </w:tc>
      </w:tr>
      <w:tr w:rsidR="00174605" w14:paraId="70CA7E7E" w14:textId="77777777">
        <w:tc>
          <w:tcPr>
            <w:tcW w:w="3510" w:type="dxa"/>
          </w:tcPr>
          <w:p w14:paraId="2F789DDF" w14:textId="77777777" w:rsidR="00174605" w:rsidRDefault="00C8536B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rPr>
                <w:vertAlign w:val="superscript"/>
              </w:rPr>
              <w:t>§</w:t>
            </w:r>
            <w:r>
              <w:t xml:space="preserve"> (N= 193)</w:t>
            </w:r>
          </w:p>
        </w:tc>
        <w:tc>
          <w:tcPr>
            <w:tcW w:w="1276" w:type="dxa"/>
          </w:tcPr>
          <w:p w14:paraId="414D3D5E" w14:textId="77777777" w:rsidR="00174605" w:rsidRDefault="00C8536B">
            <w:pPr>
              <w:jc w:val="left"/>
            </w:pPr>
            <w:r>
              <w:t>8,0</w:t>
            </w:r>
          </w:p>
        </w:tc>
        <w:tc>
          <w:tcPr>
            <w:tcW w:w="2122" w:type="dxa"/>
          </w:tcPr>
          <w:p w14:paraId="4B381252" w14:textId="77777777" w:rsidR="00174605" w:rsidRDefault="00C8536B">
            <w:pPr>
              <w:jc w:val="left"/>
            </w:pPr>
            <w:r>
              <w:t xml:space="preserve">-0,5 </w:t>
            </w:r>
          </w:p>
        </w:tc>
        <w:tc>
          <w:tcPr>
            <w:tcW w:w="2303" w:type="dxa"/>
          </w:tcPr>
          <w:p w14:paraId="41239F18" w14:textId="77777777" w:rsidR="00174605" w:rsidRDefault="00C8536B">
            <w:pPr>
              <w:jc w:val="left"/>
            </w:pPr>
            <w:r>
              <w:t>-0,6</w:t>
            </w:r>
            <w:r>
              <w:rPr>
                <w:vertAlign w:val="superscript"/>
              </w:rPr>
              <w:t>‡</w:t>
            </w:r>
          </w:p>
          <w:p w14:paraId="0E9B2441" w14:textId="77777777" w:rsidR="00174605" w:rsidRDefault="00C8536B">
            <w:pPr>
              <w:jc w:val="left"/>
            </w:pPr>
            <w:r>
              <w:t>(-0,8, -0,4)</w:t>
            </w:r>
          </w:p>
        </w:tc>
      </w:tr>
      <w:tr w:rsidR="00174605" w14:paraId="72CF58A2" w14:textId="77777777">
        <w:tc>
          <w:tcPr>
            <w:tcW w:w="3510" w:type="dxa"/>
          </w:tcPr>
          <w:p w14:paraId="2363A069" w14:textId="77777777" w:rsidR="00174605" w:rsidRDefault="00C8536B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rPr>
                <w:vertAlign w:val="superscript"/>
              </w:rPr>
              <w:t>||</w:t>
            </w:r>
            <w:r>
              <w:t xml:space="preserve"> (N= 229)</w:t>
            </w:r>
          </w:p>
        </w:tc>
        <w:tc>
          <w:tcPr>
            <w:tcW w:w="1276" w:type="dxa"/>
          </w:tcPr>
          <w:p w14:paraId="400DA0B4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lang w:val="en-GB" w:eastAsia="en-US"/>
              </w:rPr>
            </w:pPr>
            <w:r>
              <w:rPr>
                <w:lang w:val="en-GB" w:eastAsia="en-US"/>
              </w:rPr>
              <w:t>8,0</w:t>
            </w:r>
          </w:p>
        </w:tc>
        <w:tc>
          <w:tcPr>
            <w:tcW w:w="2122" w:type="dxa"/>
          </w:tcPr>
          <w:p w14:paraId="65DAFAF2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lang w:val="en-GB" w:eastAsia="en-US"/>
              </w:rPr>
            </w:pPr>
            <w:r>
              <w:rPr>
                <w:lang w:val="en-GB" w:eastAsia="en-US"/>
              </w:rPr>
              <w:t>-0,6</w:t>
            </w:r>
          </w:p>
        </w:tc>
        <w:tc>
          <w:tcPr>
            <w:tcW w:w="2303" w:type="dxa"/>
          </w:tcPr>
          <w:p w14:paraId="1CDA02CA" w14:textId="77777777" w:rsidR="00174605" w:rsidRDefault="00C8536B">
            <w:pPr>
              <w:jc w:val="left"/>
            </w:pPr>
            <w:r>
              <w:t>-0,8</w:t>
            </w:r>
            <w:r>
              <w:rPr>
                <w:vertAlign w:val="superscript"/>
              </w:rPr>
              <w:t>‡</w:t>
            </w:r>
          </w:p>
          <w:p w14:paraId="72A9AFEF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(-1,0, -0,6)</w:t>
            </w:r>
          </w:p>
        </w:tc>
      </w:tr>
      <w:tr w:rsidR="00174605" w14:paraId="61F041EF" w14:textId="77777777">
        <w:tc>
          <w:tcPr>
            <w:tcW w:w="9211" w:type="dxa"/>
            <w:gridSpan w:val="4"/>
          </w:tcPr>
          <w:p w14:paraId="178845F3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Kombinációs terápiás vizsgálatok</w:t>
            </w:r>
          </w:p>
        </w:tc>
      </w:tr>
      <w:tr w:rsidR="00174605" w14:paraId="5A3E7E8D" w14:textId="77777777">
        <w:tc>
          <w:tcPr>
            <w:tcW w:w="3510" w:type="dxa"/>
          </w:tcPr>
          <w:p w14:paraId="591E52AD" w14:textId="77777777" w:rsidR="00174605" w:rsidRDefault="00C8536B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metformin</w:t>
            </w:r>
            <w:proofErr w:type="spellEnd"/>
            <w:r>
              <w:t>-terápiához adva</w:t>
            </w:r>
            <w:r>
              <w:rPr>
                <w:vertAlign w:val="superscript"/>
              </w:rPr>
              <w:t>||</w:t>
            </w:r>
          </w:p>
          <w:p w14:paraId="7B56A36A" w14:textId="77777777" w:rsidR="00174605" w:rsidRDefault="00C8536B">
            <w:pPr>
              <w:widowControl/>
              <w:jc w:val="left"/>
            </w:pPr>
            <w:r>
              <w:t>(N=453)</w:t>
            </w:r>
          </w:p>
        </w:tc>
        <w:tc>
          <w:tcPr>
            <w:tcW w:w="1276" w:type="dxa"/>
          </w:tcPr>
          <w:p w14:paraId="45C82147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lang w:val="en-GB" w:eastAsia="en-US"/>
              </w:rPr>
            </w:pPr>
            <w:r>
              <w:rPr>
                <w:lang w:val="en-GB" w:eastAsia="en-US"/>
              </w:rPr>
              <w:t>8,0</w:t>
            </w:r>
          </w:p>
        </w:tc>
        <w:tc>
          <w:tcPr>
            <w:tcW w:w="2122" w:type="dxa"/>
          </w:tcPr>
          <w:p w14:paraId="29B17FBB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lang w:val="en-GB" w:eastAsia="en-US"/>
              </w:rPr>
            </w:pPr>
            <w:r>
              <w:rPr>
                <w:lang w:val="en-GB" w:eastAsia="en-US"/>
              </w:rPr>
              <w:t>-0,7</w:t>
            </w:r>
          </w:p>
        </w:tc>
        <w:tc>
          <w:tcPr>
            <w:tcW w:w="2303" w:type="dxa"/>
          </w:tcPr>
          <w:p w14:paraId="197DE1BB" w14:textId="77777777" w:rsidR="00174605" w:rsidRDefault="00C8536B">
            <w:pPr>
              <w:jc w:val="left"/>
            </w:pPr>
            <w:r>
              <w:t>-0,7</w:t>
            </w:r>
            <w:r>
              <w:rPr>
                <w:vertAlign w:val="superscript"/>
              </w:rPr>
              <w:t>‡</w:t>
            </w:r>
          </w:p>
          <w:p w14:paraId="0D4990A3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(-0,8, -0,5)</w:t>
            </w:r>
          </w:p>
        </w:tc>
      </w:tr>
      <w:tr w:rsidR="00174605" w14:paraId="75AA01B2" w14:textId="77777777">
        <w:tc>
          <w:tcPr>
            <w:tcW w:w="3510" w:type="dxa"/>
          </w:tcPr>
          <w:p w14:paraId="2A89D00D" w14:textId="77777777" w:rsidR="00174605" w:rsidRDefault="00C8536B">
            <w:pPr>
              <w:widowControl/>
              <w:jc w:val="left"/>
            </w:pPr>
            <w:r>
              <w:lastRenderedPageBreak/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pioglitazon</w:t>
            </w:r>
            <w:proofErr w:type="spellEnd"/>
            <w:r>
              <w:t>-terápiához adva</w:t>
            </w:r>
            <w:r>
              <w:rPr>
                <w:vertAlign w:val="superscript"/>
              </w:rPr>
              <w:t>||</w:t>
            </w:r>
          </w:p>
          <w:p w14:paraId="03FF3AA0" w14:textId="77777777" w:rsidR="00174605" w:rsidRDefault="00C8536B">
            <w:pPr>
              <w:widowControl/>
              <w:jc w:val="left"/>
            </w:pPr>
            <w:r>
              <w:t>(N=163)</w:t>
            </w:r>
          </w:p>
        </w:tc>
        <w:tc>
          <w:tcPr>
            <w:tcW w:w="1276" w:type="dxa"/>
          </w:tcPr>
          <w:p w14:paraId="7178AC91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8,1</w:t>
            </w:r>
          </w:p>
        </w:tc>
        <w:tc>
          <w:tcPr>
            <w:tcW w:w="2122" w:type="dxa"/>
          </w:tcPr>
          <w:p w14:paraId="3D812977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-0,9</w:t>
            </w:r>
          </w:p>
        </w:tc>
        <w:tc>
          <w:tcPr>
            <w:tcW w:w="2303" w:type="dxa"/>
          </w:tcPr>
          <w:p w14:paraId="1F209E90" w14:textId="77777777" w:rsidR="00174605" w:rsidRDefault="00C8536B">
            <w:pPr>
              <w:jc w:val="left"/>
            </w:pPr>
            <w:r>
              <w:t>-0,7</w:t>
            </w:r>
            <w:r>
              <w:rPr>
                <w:vertAlign w:val="superscript"/>
              </w:rPr>
              <w:t>‡</w:t>
            </w:r>
            <w:r>
              <w:t xml:space="preserve"> </w:t>
            </w:r>
          </w:p>
          <w:p w14:paraId="416FB61B" w14:textId="77777777" w:rsidR="00174605" w:rsidRDefault="00C8536B">
            <w:pPr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(-0,9, -0,5)</w:t>
            </w:r>
          </w:p>
        </w:tc>
      </w:tr>
      <w:tr w:rsidR="00174605" w14:paraId="29806D4C" w14:textId="77777777">
        <w:tc>
          <w:tcPr>
            <w:tcW w:w="3510" w:type="dxa"/>
          </w:tcPr>
          <w:p w14:paraId="16100C58" w14:textId="77777777" w:rsidR="00174605" w:rsidRDefault="00C8536B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glimepirid</w:t>
            </w:r>
            <w:proofErr w:type="spellEnd"/>
            <w:r>
              <w:t>-terápiához adva</w:t>
            </w:r>
            <w:r>
              <w:rPr>
                <w:vertAlign w:val="superscript"/>
              </w:rPr>
              <w:t>||</w:t>
            </w:r>
          </w:p>
          <w:p w14:paraId="00B6370F" w14:textId="77777777" w:rsidR="00174605" w:rsidRDefault="00C8536B">
            <w:pPr>
              <w:jc w:val="left"/>
            </w:pPr>
            <w:r>
              <w:t>(N=102)</w:t>
            </w:r>
          </w:p>
        </w:tc>
        <w:tc>
          <w:tcPr>
            <w:tcW w:w="1276" w:type="dxa"/>
          </w:tcPr>
          <w:p w14:paraId="696AD891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8,4</w:t>
            </w:r>
          </w:p>
        </w:tc>
        <w:tc>
          <w:tcPr>
            <w:tcW w:w="2122" w:type="dxa"/>
          </w:tcPr>
          <w:p w14:paraId="430333A1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-0,3</w:t>
            </w:r>
          </w:p>
        </w:tc>
        <w:tc>
          <w:tcPr>
            <w:tcW w:w="2303" w:type="dxa"/>
          </w:tcPr>
          <w:p w14:paraId="6CE07D94" w14:textId="77777777" w:rsidR="00174605" w:rsidRDefault="00C8536B">
            <w:pPr>
              <w:jc w:val="left"/>
            </w:pPr>
            <w:r>
              <w:t>-0,6</w:t>
            </w:r>
            <w:r>
              <w:rPr>
                <w:vertAlign w:val="superscript"/>
              </w:rPr>
              <w:t>‡</w:t>
            </w:r>
            <w:r>
              <w:t xml:space="preserve"> </w:t>
            </w:r>
          </w:p>
          <w:p w14:paraId="7B3E8BA7" w14:textId="77777777" w:rsidR="00174605" w:rsidRDefault="00C8536B">
            <w:pPr>
              <w:jc w:val="left"/>
            </w:pPr>
            <w:r>
              <w:t>(-0,8, -0,3)</w:t>
            </w:r>
          </w:p>
        </w:tc>
      </w:tr>
      <w:tr w:rsidR="00174605" w14:paraId="604A2B13" w14:textId="77777777">
        <w:tc>
          <w:tcPr>
            <w:tcW w:w="3510" w:type="dxa"/>
          </w:tcPr>
          <w:p w14:paraId="3EEDB82E" w14:textId="77777777" w:rsidR="00174605" w:rsidRDefault="00C8536B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glimepirid+metformin-terápiához</w:t>
            </w:r>
            <w:proofErr w:type="spellEnd"/>
            <w:r>
              <w:t xml:space="preserve"> adva</w:t>
            </w:r>
            <w:r>
              <w:rPr>
                <w:vertAlign w:val="superscript"/>
              </w:rPr>
              <w:t>||</w:t>
            </w:r>
          </w:p>
          <w:p w14:paraId="40BF7FB2" w14:textId="77777777" w:rsidR="00174605" w:rsidRDefault="00C8536B">
            <w:pPr>
              <w:jc w:val="left"/>
            </w:pPr>
            <w:r>
              <w:t>(N=115)</w:t>
            </w:r>
          </w:p>
        </w:tc>
        <w:tc>
          <w:tcPr>
            <w:tcW w:w="1276" w:type="dxa"/>
          </w:tcPr>
          <w:p w14:paraId="0D92B858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8,3</w:t>
            </w:r>
          </w:p>
        </w:tc>
        <w:tc>
          <w:tcPr>
            <w:tcW w:w="2122" w:type="dxa"/>
          </w:tcPr>
          <w:p w14:paraId="50B6B1EE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-0,6</w:t>
            </w:r>
          </w:p>
        </w:tc>
        <w:tc>
          <w:tcPr>
            <w:tcW w:w="2303" w:type="dxa"/>
          </w:tcPr>
          <w:p w14:paraId="0BD4C684" w14:textId="77777777" w:rsidR="00174605" w:rsidRDefault="00C8536B">
            <w:pPr>
              <w:jc w:val="left"/>
            </w:pPr>
            <w:r>
              <w:t>-0,9</w:t>
            </w:r>
            <w:r>
              <w:rPr>
                <w:vertAlign w:val="superscript"/>
              </w:rPr>
              <w:t>‡</w:t>
            </w:r>
          </w:p>
          <w:p w14:paraId="7CD05B44" w14:textId="77777777" w:rsidR="00174605" w:rsidRDefault="00C8536B">
            <w:pPr>
              <w:jc w:val="left"/>
            </w:pPr>
            <w:r>
              <w:t>(-1,1, -0,7)</w:t>
            </w:r>
          </w:p>
        </w:tc>
      </w:tr>
      <w:tr w:rsidR="00174605" w14:paraId="3DCEFAF8" w14:textId="77777777">
        <w:tc>
          <w:tcPr>
            <w:tcW w:w="3510" w:type="dxa"/>
          </w:tcPr>
          <w:p w14:paraId="18635CFC" w14:textId="77777777" w:rsidR="00174605" w:rsidRDefault="00C8536B">
            <w:pPr>
              <w:widowControl/>
              <w:jc w:val="left"/>
            </w:pPr>
            <w:r>
              <w:t xml:space="preserve">Napi egyszer 100 mg </w:t>
            </w:r>
            <w:proofErr w:type="spellStart"/>
            <w:r>
              <w:t>szitagliptin</w:t>
            </w:r>
            <w:proofErr w:type="spellEnd"/>
            <w:r>
              <w:t xml:space="preserve"> a folyamatban lévő </w:t>
            </w:r>
            <w:proofErr w:type="spellStart"/>
            <w:r>
              <w:t>pioglitazon</w:t>
            </w:r>
            <w:proofErr w:type="spellEnd"/>
            <w:r>
              <w:t xml:space="preserve"> + </w:t>
            </w:r>
            <w:proofErr w:type="spellStart"/>
            <w:r>
              <w:t>metformin</w:t>
            </w:r>
            <w:proofErr w:type="spellEnd"/>
            <w:r>
              <w:t>-terápiához adva</w:t>
            </w:r>
            <w:r>
              <w:rPr>
                <w:vertAlign w:val="superscript"/>
              </w:rPr>
              <w:t>#</w:t>
            </w:r>
          </w:p>
          <w:p w14:paraId="36F2E44C" w14:textId="77777777" w:rsidR="00174605" w:rsidRDefault="00C8536B">
            <w:pPr>
              <w:jc w:val="left"/>
            </w:pPr>
            <w:r>
              <w:t>(N=152)</w:t>
            </w:r>
          </w:p>
        </w:tc>
        <w:tc>
          <w:tcPr>
            <w:tcW w:w="1276" w:type="dxa"/>
          </w:tcPr>
          <w:p w14:paraId="1F2D0CA8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8,8</w:t>
            </w:r>
          </w:p>
        </w:tc>
        <w:tc>
          <w:tcPr>
            <w:tcW w:w="2122" w:type="dxa"/>
          </w:tcPr>
          <w:p w14:paraId="1E4B42BA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-1,2</w:t>
            </w:r>
          </w:p>
        </w:tc>
        <w:tc>
          <w:tcPr>
            <w:tcW w:w="2303" w:type="dxa"/>
          </w:tcPr>
          <w:p w14:paraId="484BAE2A" w14:textId="77777777" w:rsidR="00174605" w:rsidRDefault="00C8536B">
            <w:pPr>
              <w:jc w:val="left"/>
            </w:pPr>
            <w:r>
              <w:t>-0,7</w:t>
            </w:r>
            <w:r>
              <w:rPr>
                <w:vertAlign w:val="superscript"/>
              </w:rPr>
              <w:t>‡</w:t>
            </w:r>
          </w:p>
          <w:p w14:paraId="1A655DDF" w14:textId="77777777" w:rsidR="00174605" w:rsidRDefault="00C8536B">
            <w:pPr>
              <w:jc w:val="left"/>
            </w:pPr>
            <w:r>
              <w:t>(-1,0, -0,5)</w:t>
            </w:r>
          </w:p>
        </w:tc>
      </w:tr>
      <w:tr w:rsidR="00174605" w14:paraId="44CA1D68" w14:textId="77777777">
        <w:tc>
          <w:tcPr>
            <w:tcW w:w="3510" w:type="dxa"/>
          </w:tcPr>
          <w:p w14:paraId="487ED675" w14:textId="77777777" w:rsidR="00174605" w:rsidRDefault="00C8536B">
            <w:pPr>
              <w:widowControl/>
              <w:jc w:val="left"/>
            </w:pPr>
            <w:r>
              <w:t xml:space="preserve">Kezdő terápia (naponta kétszer) </w:t>
            </w:r>
            <w:r>
              <w:rPr>
                <w:vertAlign w:val="superscript"/>
              </w:rPr>
              <w:t>||</w:t>
            </w:r>
            <w:r>
              <w:t xml:space="preserve">: </w:t>
            </w:r>
            <w:proofErr w:type="spellStart"/>
            <w:r>
              <w:t>szitagliptin</w:t>
            </w:r>
            <w:proofErr w:type="spellEnd"/>
            <w:r>
              <w:t xml:space="preserve"> 50 mg + </w:t>
            </w:r>
            <w:proofErr w:type="spellStart"/>
            <w:r>
              <w:t>metformin</w:t>
            </w:r>
            <w:proofErr w:type="spellEnd"/>
            <w:r>
              <w:t xml:space="preserve"> 500 mg</w:t>
            </w:r>
          </w:p>
          <w:p w14:paraId="44F62297" w14:textId="77777777" w:rsidR="00174605" w:rsidRDefault="00C8536B">
            <w:pPr>
              <w:jc w:val="left"/>
            </w:pPr>
            <w:r>
              <w:t>(N=183)</w:t>
            </w:r>
          </w:p>
        </w:tc>
        <w:tc>
          <w:tcPr>
            <w:tcW w:w="1276" w:type="dxa"/>
          </w:tcPr>
          <w:p w14:paraId="3199DDC3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8,8</w:t>
            </w:r>
          </w:p>
        </w:tc>
        <w:tc>
          <w:tcPr>
            <w:tcW w:w="2122" w:type="dxa"/>
          </w:tcPr>
          <w:p w14:paraId="76DD52AF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-1,4</w:t>
            </w:r>
          </w:p>
        </w:tc>
        <w:tc>
          <w:tcPr>
            <w:tcW w:w="2303" w:type="dxa"/>
          </w:tcPr>
          <w:p w14:paraId="23BA0367" w14:textId="77777777" w:rsidR="00174605" w:rsidRDefault="00C8536B">
            <w:pPr>
              <w:jc w:val="left"/>
            </w:pPr>
            <w:r>
              <w:t>-1,6</w:t>
            </w:r>
            <w:r>
              <w:rPr>
                <w:vertAlign w:val="superscript"/>
              </w:rPr>
              <w:t>‡</w:t>
            </w:r>
          </w:p>
          <w:p w14:paraId="32215BC3" w14:textId="77777777" w:rsidR="00174605" w:rsidRDefault="00C8536B">
            <w:pPr>
              <w:jc w:val="left"/>
            </w:pPr>
            <w:r>
              <w:t>(-1,8, -1,3)</w:t>
            </w:r>
          </w:p>
        </w:tc>
      </w:tr>
      <w:tr w:rsidR="00174605" w14:paraId="5D6F0202" w14:textId="77777777">
        <w:tc>
          <w:tcPr>
            <w:tcW w:w="3510" w:type="dxa"/>
          </w:tcPr>
          <w:p w14:paraId="18D70942" w14:textId="77777777" w:rsidR="00174605" w:rsidRDefault="00C8536B">
            <w:pPr>
              <w:widowControl/>
              <w:jc w:val="left"/>
            </w:pPr>
            <w:r>
              <w:t xml:space="preserve">Kezdő terápia (naponta kétszer) </w:t>
            </w:r>
            <w:r>
              <w:rPr>
                <w:vertAlign w:val="superscript"/>
              </w:rPr>
              <w:t>||</w:t>
            </w:r>
            <w:r>
              <w:t xml:space="preserve">: </w:t>
            </w:r>
            <w:proofErr w:type="spellStart"/>
            <w:r>
              <w:t>szitagliptin</w:t>
            </w:r>
            <w:proofErr w:type="spellEnd"/>
            <w:r>
              <w:t xml:space="preserve"> 50 mg + </w:t>
            </w:r>
            <w:proofErr w:type="spellStart"/>
            <w:r>
              <w:t>metformin</w:t>
            </w:r>
            <w:proofErr w:type="spellEnd"/>
            <w:r>
              <w:t xml:space="preserve"> 1000 mg</w:t>
            </w:r>
          </w:p>
          <w:p w14:paraId="0C8AE0BA" w14:textId="77777777" w:rsidR="00174605" w:rsidRDefault="00C8536B">
            <w:pPr>
              <w:jc w:val="left"/>
            </w:pPr>
            <w:r>
              <w:t>(N=178)</w:t>
            </w:r>
          </w:p>
        </w:tc>
        <w:tc>
          <w:tcPr>
            <w:tcW w:w="1276" w:type="dxa"/>
          </w:tcPr>
          <w:p w14:paraId="46DBF871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8,8</w:t>
            </w:r>
          </w:p>
        </w:tc>
        <w:tc>
          <w:tcPr>
            <w:tcW w:w="2122" w:type="dxa"/>
          </w:tcPr>
          <w:p w14:paraId="7FD6DBB7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-1,9</w:t>
            </w:r>
          </w:p>
        </w:tc>
        <w:tc>
          <w:tcPr>
            <w:tcW w:w="2303" w:type="dxa"/>
          </w:tcPr>
          <w:p w14:paraId="70B8056C" w14:textId="77777777" w:rsidR="00174605" w:rsidRDefault="00C8536B">
            <w:pPr>
              <w:jc w:val="left"/>
            </w:pPr>
            <w:r>
              <w:t>-2,1</w:t>
            </w:r>
            <w:r>
              <w:rPr>
                <w:vertAlign w:val="superscript"/>
              </w:rPr>
              <w:t>‡</w:t>
            </w:r>
          </w:p>
          <w:p w14:paraId="5EB4E982" w14:textId="77777777" w:rsidR="00174605" w:rsidRDefault="00C8536B">
            <w:pPr>
              <w:jc w:val="left"/>
            </w:pPr>
            <w:r>
              <w:t>(-2,3, -1,8)</w:t>
            </w:r>
          </w:p>
        </w:tc>
      </w:tr>
      <w:tr w:rsidR="00174605" w14:paraId="193389A7" w14:textId="77777777">
        <w:tc>
          <w:tcPr>
            <w:tcW w:w="3510" w:type="dxa"/>
          </w:tcPr>
          <w:p w14:paraId="06ACE225" w14:textId="77777777" w:rsidR="00174605" w:rsidRDefault="00C8536B">
            <w:pPr>
              <w:widowControl/>
              <w:jc w:val="left"/>
            </w:pPr>
            <w:proofErr w:type="spellStart"/>
            <w:r>
              <w:t>Szitagliptin</w:t>
            </w:r>
            <w:proofErr w:type="spellEnd"/>
            <w:r>
              <w:t xml:space="preserve"> 100 mg naponta egyszer folyamatban lévő inzulin- (+/- </w:t>
            </w:r>
            <w:proofErr w:type="spellStart"/>
            <w:proofErr w:type="gramStart"/>
            <w:r>
              <w:t>metformin</w:t>
            </w:r>
            <w:proofErr w:type="spellEnd"/>
            <w:r>
              <w:t>)-</w:t>
            </w:r>
            <w:proofErr w:type="gramEnd"/>
            <w:r>
              <w:t>terápiához adva</w:t>
            </w:r>
            <w:r>
              <w:rPr>
                <w:vertAlign w:val="superscript"/>
              </w:rPr>
              <w:t>||</w:t>
            </w:r>
          </w:p>
          <w:p w14:paraId="316C49A2" w14:textId="77777777" w:rsidR="00174605" w:rsidRDefault="00C8536B">
            <w:pPr>
              <w:jc w:val="left"/>
            </w:pPr>
            <w:r>
              <w:t>(N=305)</w:t>
            </w:r>
          </w:p>
        </w:tc>
        <w:tc>
          <w:tcPr>
            <w:tcW w:w="1276" w:type="dxa"/>
          </w:tcPr>
          <w:p w14:paraId="22519B6D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8,7</w:t>
            </w:r>
          </w:p>
        </w:tc>
        <w:tc>
          <w:tcPr>
            <w:tcW w:w="2122" w:type="dxa"/>
          </w:tcPr>
          <w:p w14:paraId="2FC47AB1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-0,6</w:t>
            </w:r>
            <w:r>
              <w:rPr>
                <w:vertAlign w:val="superscript"/>
              </w:rPr>
              <w:t xml:space="preserve">¶ </w:t>
            </w:r>
          </w:p>
        </w:tc>
        <w:tc>
          <w:tcPr>
            <w:tcW w:w="2303" w:type="dxa"/>
          </w:tcPr>
          <w:p w14:paraId="1FA3A6D4" w14:textId="77777777" w:rsidR="00174605" w:rsidRDefault="00C8536B">
            <w:pPr>
              <w:jc w:val="left"/>
            </w:pPr>
            <w:r>
              <w:t>-0,6</w:t>
            </w:r>
            <w:r>
              <w:rPr>
                <w:vertAlign w:val="superscript"/>
              </w:rPr>
              <w:t>‡¶</w:t>
            </w:r>
          </w:p>
          <w:p w14:paraId="6443D447" w14:textId="77777777" w:rsidR="00174605" w:rsidRDefault="00C8536B">
            <w:pPr>
              <w:jc w:val="left"/>
            </w:pPr>
            <w:r>
              <w:t>(-0,7, -0,4)</w:t>
            </w:r>
          </w:p>
        </w:tc>
      </w:tr>
    </w:tbl>
    <w:p w14:paraId="693487AF" w14:textId="77777777" w:rsidR="00174605" w:rsidRDefault="00C8536B">
      <w:pPr>
        <w:widowControl/>
        <w:jc w:val="left"/>
      </w:pPr>
      <w:r>
        <w:rPr>
          <w:vertAlign w:val="superscript"/>
        </w:rPr>
        <w:t>*</w:t>
      </w:r>
      <w:r>
        <w:t>A kezelt populáció minden betege (kezelési szándék szerinti analízis).</w:t>
      </w:r>
    </w:p>
    <w:p w14:paraId="1F46315F" w14:textId="77777777" w:rsidR="00174605" w:rsidRDefault="00C8536B">
      <w:pPr>
        <w:widowControl/>
        <w:jc w:val="left"/>
      </w:pPr>
      <w:r>
        <w:rPr>
          <w:vertAlign w:val="superscript"/>
        </w:rPr>
        <w:t>†</w:t>
      </w:r>
      <w:r>
        <w:t xml:space="preserve">Az előzőleg adott </w:t>
      </w:r>
      <w:proofErr w:type="spellStart"/>
      <w:r>
        <w:t>antihiperglikémiás</w:t>
      </w:r>
      <w:proofErr w:type="spellEnd"/>
      <w:r>
        <w:t xml:space="preserve"> terápiás státuszhoz és a vizsgálatba történő belépéskor mért értékhez igazított legkisebb négyzetek módszere.</w:t>
      </w:r>
    </w:p>
    <w:p w14:paraId="62E0D975" w14:textId="77777777" w:rsidR="00174605" w:rsidRDefault="00C8536B">
      <w:pPr>
        <w:widowControl/>
        <w:jc w:val="left"/>
      </w:pPr>
      <w:r>
        <w:rPr>
          <w:vertAlign w:val="superscript"/>
        </w:rPr>
        <w:t>‡</w:t>
      </w:r>
      <w:r>
        <w:t xml:space="preserve"> p&lt;0,001 a </w:t>
      </w:r>
      <w:proofErr w:type="spellStart"/>
      <w:r>
        <w:t>placebóval</w:t>
      </w:r>
      <w:proofErr w:type="spellEnd"/>
      <w:r>
        <w:t xml:space="preserve"> vagy </w:t>
      </w:r>
      <w:proofErr w:type="spellStart"/>
      <w:r>
        <w:t>placebó</w:t>
      </w:r>
      <w:proofErr w:type="spellEnd"/>
      <w:r>
        <w:t xml:space="preserve"> + kombinációs kezeléssel összehasonlítva.</w:t>
      </w:r>
    </w:p>
    <w:p w14:paraId="67035670" w14:textId="77777777" w:rsidR="00174605" w:rsidRDefault="00C8536B">
      <w:pPr>
        <w:widowControl/>
        <w:jc w:val="left"/>
      </w:pPr>
      <w:r>
        <w:rPr>
          <w:vertAlign w:val="superscript"/>
        </w:rPr>
        <w:t>§</w:t>
      </w:r>
      <w:r>
        <w:t>A 18. héten mért HbA</w:t>
      </w:r>
      <w:r>
        <w:rPr>
          <w:vertAlign w:val="subscript"/>
        </w:rPr>
        <w:t>1c</w:t>
      </w:r>
      <w:r>
        <w:t xml:space="preserve"> (%).</w:t>
      </w:r>
    </w:p>
    <w:p w14:paraId="0617E6F9" w14:textId="77777777" w:rsidR="00174605" w:rsidRDefault="00C8536B">
      <w:pPr>
        <w:widowControl/>
        <w:jc w:val="left"/>
      </w:pPr>
      <w:r>
        <w:rPr>
          <w:vertAlign w:val="superscript"/>
        </w:rPr>
        <w:t>||</w:t>
      </w:r>
      <w:r>
        <w:t>A 24. héten mért HbA</w:t>
      </w:r>
      <w:r>
        <w:rPr>
          <w:vertAlign w:val="subscript"/>
        </w:rPr>
        <w:t>1c</w:t>
      </w:r>
      <w:r>
        <w:t xml:space="preserve"> (%).</w:t>
      </w:r>
    </w:p>
    <w:p w14:paraId="5E04A197" w14:textId="77777777" w:rsidR="00174605" w:rsidRDefault="00C8536B">
      <w:pPr>
        <w:widowControl/>
        <w:jc w:val="left"/>
      </w:pPr>
      <w:r>
        <w:rPr>
          <w:vertAlign w:val="superscript"/>
        </w:rPr>
        <w:t>#</w:t>
      </w:r>
      <w:r>
        <w:t xml:space="preserve"> A 26. héten mért HbA</w:t>
      </w:r>
      <w:r>
        <w:rPr>
          <w:vertAlign w:val="subscript"/>
        </w:rPr>
        <w:t>1c</w:t>
      </w:r>
      <w:r>
        <w:t xml:space="preserve"> (%).</w:t>
      </w:r>
    </w:p>
    <w:p w14:paraId="72B81477" w14:textId="77777777" w:rsidR="00174605" w:rsidRDefault="00C8536B">
      <w:pPr>
        <w:widowControl/>
        <w:jc w:val="left"/>
      </w:pPr>
      <w:r>
        <w:rPr>
          <w:vertAlign w:val="superscript"/>
        </w:rPr>
        <w:t xml:space="preserve">¶ </w:t>
      </w:r>
      <w:r>
        <w:t xml:space="preserve">Az 1. vizitkor alkalmazott </w:t>
      </w:r>
      <w:proofErr w:type="spellStart"/>
      <w:r>
        <w:t>metforminra</w:t>
      </w:r>
      <w:proofErr w:type="spellEnd"/>
      <w:r>
        <w:t xml:space="preserve"> (igen/nem), az 1. vizitkor alkalmazott inzulinmennyiségre (előkevert, illetve nem előkevert [közepes vagy hosszú hatástartamú]), ill. a kiindulási vizit értékére korrigált legkisebb négyzetek átlaga. A terápiás alcsoportok (</w:t>
      </w:r>
      <w:proofErr w:type="spellStart"/>
      <w:r>
        <w:t>metformin</w:t>
      </w:r>
      <w:proofErr w:type="spellEnd"/>
      <w:r>
        <w:t xml:space="preserve"> és inzulin alkalmazása) esetén észlelt interakciók nem voltak szignifikánsak (p &gt;0,10).</w:t>
      </w:r>
    </w:p>
    <w:p w14:paraId="1AF607AD" w14:textId="77777777" w:rsidR="00174605" w:rsidRDefault="00174605">
      <w:pPr>
        <w:widowControl/>
        <w:jc w:val="left"/>
      </w:pPr>
    </w:p>
    <w:p w14:paraId="6B9147CB" w14:textId="77777777" w:rsidR="00174605" w:rsidRDefault="00C8536B">
      <w:pPr>
        <w:widowControl/>
        <w:jc w:val="left"/>
      </w:pPr>
      <w:r>
        <w:t>Egy 24 hetes aktív (</w:t>
      </w:r>
      <w:proofErr w:type="spellStart"/>
      <w:r>
        <w:t>metformin</w:t>
      </w:r>
      <w:proofErr w:type="spellEnd"/>
      <w:r>
        <w:t xml:space="preserve">)-kontrollos vizsgálatot állítottak össze a napi egyszer adott 100 mg </w:t>
      </w:r>
      <w:proofErr w:type="spellStart"/>
      <w:r>
        <w:t>szitagliptin</w:t>
      </w:r>
      <w:proofErr w:type="spellEnd"/>
      <w:r>
        <w:t xml:space="preserve"> (N=528) hatásosságának és biztonságosságának kiértékelésére a </w:t>
      </w:r>
      <w:proofErr w:type="spellStart"/>
      <w:r>
        <w:t>metforminnal</w:t>
      </w:r>
      <w:proofErr w:type="spellEnd"/>
      <w:r>
        <w:t xml:space="preserve"> (N=522) összehasonlítva, diéta és testmozgás mellett nem megfelelő </w:t>
      </w:r>
      <w:proofErr w:type="spellStart"/>
      <w:r>
        <w:t>glikémiás</w:t>
      </w:r>
      <w:proofErr w:type="spellEnd"/>
      <w:r>
        <w:t xml:space="preserve"> kontrollal rendelkező betegeknél, akik nem részesültek </w:t>
      </w:r>
      <w:proofErr w:type="spellStart"/>
      <w:r>
        <w:t>antihiperglikémiás</w:t>
      </w:r>
      <w:proofErr w:type="spellEnd"/>
      <w:r>
        <w:t xml:space="preserve"> kezelésben (legalább 4 hónapja nem kaptak terápiát). A </w:t>
      </w:r>
      <w:proofErr w:type="spellStart"/>
      <w:r>
        <w:t>metformin</w:t>
      </w:r>
      <w:proofErr w:type="spellEnd"/>
      <w:r>
        <w:t xml:space="preserve"> átlagos adagja hozzávetőleg naponta 1900 mg volt. A HbA</w:t>
      </w:r>
      <w:r>
        <w:rPr>
          <w:vertAlign w:val="subscript"/>
        </w:rPr>
        <w:t>1c</w:t>
      </w:r>
      <w:r>
        <w:t xml:space="preserve"> csökkenése a kiinduláskor mért 7,2%-os átlagértékhez képest a </w:t>
      </w:r>
      <w:proofErr w:type="spellStart"/>
      <w:r>
        <w:t>szitagliptinnél</w:t>
      </w:r>
      <w:proofErr w:type="spellEnd"/>
      <w:r>
        <w:t xml:space="preserve"> -0,43% és a </w:t>
      </w:r>
      <w:proofErr w:type="spellStart"/>
      <w:r>
        <w:t>metforminnál</w:t>
      </w:r>
      <w:proofErr w:type="spellEnd"/>
      <w:r>
        <w:t xml:space="preserve"> pedig -0,57% volt (protokoll szerinti elemzés). A gyógyszerrel összefüggőnek tartott </w:t>
      </w:r>
      <w:proofErr w:type="spellStart"/>
      <w:r>
        <w:t>gasztrointesztinális</w:t>
      </w:r>
      <w:proofErr w:type="spellEnd"/>
      <w:r>
        <w:t xml:space="preserve"> mellékhatások összesített előfordulási aránya a </w:t>
      </w:r>
      <w:proofErr w:type="spellStart"/>
      <w:r>
        <w:t>szitagliptinnel</w:t>
      </w:r>
      <w:proofErr w:type="spellEnd"/>
      <w:r>
        <w:t xml:space="preserve"> kezelt betegeknél 2,7% volt, szemben a </w:t>
      </w:r>
      <w:proofErr w:type="spellStart"/>
      <w:r>
        <w:t>metforminnal</w:t>
      </w:r>
      <w:proofErr w:type="spellEnd"/>
      <w:r>
        <w:t xml:space="preserve"> kezelt betegeknél megfigyelt 12,6%-kal. A </w:t>
      </w:r>
      <w:proofErr w:type="spellStart"/>
      <w:r>
        <w:t>hipoglikémia</w:t>
      </w:r>
      <w:proofErr w:type="spellEnd"/>
      <w:r>
        <w:t xml:space="preserve"> előfordulási aránya a két kezelési csoportban nem különbözött jelentős mértékben (</w:t>
      </w:r>
      <w:proofErr w:type="spellStart"/>
      <w:r>
        <w:t>szitagliptin</w:t>
      </w:r>
      <w:proofErr w:type="spellEnd"/>
      <w:r>
        <w:t xml:space="preserve">: 1,3%, </w:t>
      </w:r>
      <w:proofErr w:type="spellStart"/>
      <w:r>
        <w:t>metformin</w:t>
      </w:r>
      <w:proofErr w:type="spellEnd"/>
      <w:r>
        <w:t>: 1,9%). A testsúly a kiindulási értékhez képest mindkét csoportban csökkent (</w:t>
      </w:r>
      <w:proofErr w:type="spellStart"/>
      <w:r>
        <w:t>szitagliptin</w:t>
      </w:r>
      <w:proofErr w:type="spellEnd"/>
      <w:r>
        <w:t xml:space="preserve">: -0,6 kg, </w:t>
      </w:r>
      <w:proofErr w:type="spellStart"/>
      <w:r>
        <w:t>metformin</w:t>
      </w:r>
      <w:proofErr w:type="spellEnd"/>
      <w:r>
        <w:t>: -1,9 kg).</w:t>
      </w:r>
    </w:p>
    <w:p w14:paraId="3F7C2FAE" w14:textId="77777777" w:rsidR="00174605" w:rsidRDefault="00174605">
      <w:pPr>
        <w:widowControl/>
        <w:jc w:val="left"/>
      </w:pPr>
    </w:p>
    <w:p w14:paraId="1A3E06A5" w14:textId="77777777" w:rsidR="00174605" w:rsidRDefault="00C8536B">
      <w:pPr>
        <w:widowControl/>
        <w:jc w:val="left"/>
      </w:pPr>
      <w:r>
        <w:t xml:space="preserve">Egy vizsgálatban, mely a hozzáadott napi egyszeri 100 mg </w:t>
      </w:r>
      <w:proofErr w:type="spellStart"/>
      <w:r>
        <w:t>szitagliptin</w:t>
      </w:r>
      <w:proofErr w:type="spellEnd"/>
      <w:r>
        <w:t xml:space="preserve"> vagy </w:t>
      </w:r>
      <w:proofErr w:type="spellStart"/>
      <w:r>
        <w:t>glipizid</w:t>
      </w:r>
      <w:proofErr w:type="spellEnd"/>
      <w:r>
        <w:t xml:space="preserve"> (</w:t>
      </w:r>
      <w:proofErr w:type="spellStart"/>
      <w:r>
        <w:t>szulfonilurea</w:t>
      </w:r>
      <w:proofErr w:type="spellEnd"/>
      <w:r>
        <w:t xml:space="preserve">) hatásosságát és biztonságosságát vizsgálta a </w:t>
      </w:r>
      <w:proofErr w:type="spellStart"/>
      <w:r>
        <w:t>metformin-monoterápia</w:t>
      </w:r>
      <w:proofErr w:type="spellEnd"/>
      <w:r>
        <w:t xml:space="preserve"> mellett nem kielégítő </w:t>
      </w:r>
      <w:proofErr w:type="spellStart"/>
      <w:r>
        <w:t>glikémiás</w:t>
      </w:r>
      <w:proofErr w:type="spellEnd"/>
      <w:r>
        <w:t xml:space="preserve"> kontrollal rendelkező betegeknél, a </w:t>
      </w:r>
      <w:proofErr w:type="spellStart"/>
      <w:r>
        <w:t>szitagliptin</w:t>
      </w:r>
      <w:proofErr w:type="spellEnd"/>
      <w:r>
        <w:t xml:space="preserve"> hasonló volt a </w:t>
      </w:r>
      <w:proofErr w:type="spellStart"/>
      <w:r>
        <w:t>glipizidhez</w:t>
      </w:r>
      <w:proofErr w:type="spellEnd"/>
      <w:r>
        <w:t xml:space="preserve"> a HbA</w:t>
      </w:r>
      <w:r>
        <w:rPr>
          <w:vertAlign w:val="subscript"/>
        </w:rPr>
        <w:t>1c</w:t>
      </w:r>
      <w:r>
        <w:t xml:space="preserve"> csökkentése terén. A komparátor csoportban a </w:t>
      </w:r>
      <w:proofErr w:type="spellStart"/>
      <w:r>
        <w:t>glipizid</w:t>
      </w:r>
      <w:proofErr w:type="spellEnd"/>
      <w:r>
        <w:t xml:space="preserve"> átlagos dózisa napi 10 mg volt, a vizsgálat alatt a betegek körülbelül 40%-</w:t>
      </w:r>
      <w:proofErr w:type="spellStart"/>
      <w:r>
        <w:lastRenderedPageBreak/>
        <w:t>ának</w:t>
      </w:r>
      <w:proofErr w:type="spellEnd"/>
      <w:r>
        <w:t xml:space="preserve"> volt szüksége naponta ≤5 mg-os </w:t>
      </w:r>
      <w:proofErr w:type="spellStart"/>
      <w:r>
        <w:t>glipizid</w:t>
      </w:r>
      <w:proofErr w:type="spellEnd"/>
      <w:r>
        <w:t xml:space="preserve">-dózisra A </w:t>
      </w:r>
      <w:proofErr w:type="spellStart"/>
      <w:r>
        <w:t>szitagliptin</w:t>
      </w:r>
      <w:proofErr w:type="spellEnd"/>
      <w:r>
        <w:t xml:space="preserve">-csoportban azonban több beteg hagyta abba a kezelést a gyógyszer hatásosságának hiánya miatt, mint a </w:t>
      </w:r>
      <w:proofErr w:type="spellStart"/>
      <w:r>
        <w:t>glipizid</w:t>
      </w:r>
      <w:proofErr w:type="spellEnd"/>
      <w:r>
        <w:t xml:space="preserve">-csoportban. A </w:t>
      </w:r>
      <w:proofErr w:type="spellStart"/>
      <w:r>
        <w:t>szitagliptinnel</w:t>
      </w:r>
      <w:proofErr w:type="spellEnd"/>
      <w:r>
        <w:t xml:space="preserve"> kezelt betegek testsúlya a kiindulási állapothoz képest jelentős mértékű átlagos csökkenést (-1,5 kg) mutatott a </w:t>
      </w:r>
      <w:proofErr w:type="spellStart"/>
      <w:r>
        <w:t>glipiziddel</w:t>
      </w:r>
      <w:proofErr w:type="spellEnd"/>
      <w:r>
        <w:t xml:space="preserve"> kezelt betegek jelentős testsúlynövekedésével (+1,1 kg) szemben. E vizsgálatban a </w:t>
      </w:r>
      <w:proofErr w:type="spellStart"/>
      <w:r>
        <w:t>proinzulin</w:t>
      </w:r>
      <w:proofErr w:type="spellEnd"/>
      <w:r>
        <w:t xml:space="preserve">-inzulin arány, mely az inzulinszintézis és -felszabadulás hatásosságának </w:t>
      </w:r>
      <w:proofErr w:type="spellStart"/>
      <w:r>
        <w:t>markere</w:t>
      </w:r>
      <w:proofErr w:type="spellEnd"/>
      <w:r>
        <w:t xml:space="preserve">, a </w:t>
      </w:r>
      <w:proofErr w:type="spellStart"/>
      <w:r>
        <w:t>szitagliptin</w:t>
      </w:r>
      <w:proofErr w:type="spellEnd"/>
      <w:r>
        <w:t xml:space="preserve">-kezelés hatására javult, míg a </w:t>
      </w:r>
      <w:proofErr w:type="spellStart"/>
      <w:r>
        <w:t>glipizid</w:t>
      </w:r>
      <w:proofErr w:type="spellEnd"/>
      <w:r>
        <w:t xml:space="preserve">-kezelés hatására romlott. A </w:t>
      </w:r>
      <w:proofErr w:type="spellStart"/>
      <w:r>
        <w:t>hipoglikémiás</w:t>
      </w:r>
      <w:proofErr w:type="spellEnd"/>
      <w:r>
        <w:t xml:space="preserve"> esetek előfordulási aránya a </w:t>
      </w:r>
      <w:proofErr w:type="spellStart"/>
      <w:r>
        <w:t>szitagliptin</w:t>
      </w:r>
      <w:proofErr w:type="spellEnd"/>
      <w:r>
        <w:t xml:space="preserve">-csoportban jelentősen alacsonyabb volt (4,9%), mint a </w:t>
      </w:r>
      <w:proofErr w:type="spellStart"/>
      <w:r>
        <w:t>glipizid</w:t>
      </w:r>
      <w:proofErr w:type="spellEnd"/>
      <w:r>
        <w:t>-csoportban (32,0%).</w:t>
      </w:r>
    </w:p>
    <w:p w14:paraId="5891B903" w14:textId="77777777" w:rsidR="00174605" w:rsidRDefault="00174605">
      <w:pPr>
        <w:widowControl/>
        <w:jc w:val="left"/>
      </w:pPr>
    </w:p>
    <w:p w14:paraId="69739675" w14:textId="77777777" w:rsidR="00174605" w:rsidRDefault="00C8536B">
      <w:pPr>
        <w:widowControl/>
        <w:jc w:val="left"/>
      </w:pPr>
      <w:r>
        <w:t xml:space="preserve">Egy 24 hetes, placebokontrollos, 660 beteg bevonásával végzett vizsgálatot úgy terveztek meg, hogy értékelje a </w:t>
      </w:r>
      <w:proofErr w:type="spellStart"/>
      <w:r>
        <w:t>glargin</w:t>
      </w:r>
      <w:proofErr w:type="spellEnd"/>
      <w:r>
        <w:t xml:space="preserve"> inzulinhoz (legalább 1500 mg) </w:t>
      </w:r>
      <w:proofErr w:type="spellStart"/>
      <w:r>
        <w:t>metforminnal</w:t>
      </w:r>
      <w:proofErr w:type="spellEnd"/>
      <w:r>
        <w:t xml:space="preserve"> vagy anélkül adott (napi egyszer 100 mg) </w:t>
      </w:r>
      <w:proofErr w:type="spellStart"/>
      <w:r>
        <w:t>szitagliptin</w:t>
      </w:r>
      <w:proofErr w:type="spellEnd"/>
      <w:r>
        <w:t xml:space="preserve"> inzulincsökkentő hatásosságát és biztonságosságát az inzulin-terápia </w:t>
      </w:r>
      <w:proofErr w:type="spellStart"/>
      <w:r>
        <w:t>intenzifikálása</w:t>
      </w:r>
      <w:proofErr w:type="spellEnd"/>
      <w:r>
        <w:t xml:space="preserve"> idején. A HbA</w:t>
      </w:r>
      <w:r>
        <w:rPr>
          <w:vertAlign w:val="subscript"/>
        </w:rPr>
        <w:t>1c</w:t>
      </w:r>
      <w:r>
        <w:t xml:space="preserve"> kiindulási értéke 8,74% volt, míg az inzulin kiindulási dózisa napi 37 NE volt. A betegeket arra utasították, hogy </w:t>
      </w:r>
      <w:proofErr w:type="spellStart"/>
      <w:r>
        <w:t>glargin</w:t>
      </w:r>
      <w:proofErr w:type="spellEnd"/>
      <w:r>
        <w:t xml:space="preserve"> inzulin adagjukat az ujjbegyből vett vérminták </w:t>
      </w:r>
      <w:proofErr w:type="spellStart"/>
      <w:r>
        <w:t>éhomi</w:t>
      </w:r>
      <w:proofErr w:type="spellEnd"/>
      <w:r>
        <w:t xml:space="preserve"> glükózértékei alapján határozzák meg. A 24. héten a napi inzulindózis növekedése a </w:t>
      </w:r>
      <w:proofErr w:type="spellStart"/>
      <w:r>
        <w:t>szitagliptinnel</w:t>
      </w:r>
      <w:proofErr w:type="spellEnd"/>
      <w:r>
        <w:t xml:space="preserve"> kezelt betegeknél napi 19 NE, míg a </w:t>
      </w:r>
      <w:proofErr w:type="spellStart"/>
      <w:r>
        <w:t>placebóval</w:t>
      </w:r>
      <w:proofErr w:type="spellEnd"/>
      <w:r>
        <w:t xml:space="preserve"> kezelt betegeknél napi 24 NE volt. A HbA</w:t>
      </w:r>
      <w:r>
        <w:rPr>
          <w:vertAlign w:val="subscript"/>
        </w:rPr>
        <w:t>1c</w:t>
      </w:r>
      <w:r>
        <w:t xml:space="preserve"> csökkenése a </w:t>
      </w:r>
      <w:proofErr w:type="spellStart"/>
      <w:r>
        <w:t>szitagliptinnel</w:t>
      </w:r>
      <w:proofErr w:type="spellEnd"/>
      <w:r>
        <w:t xml:space="preserve"> és inzulinnal (</w:t>
      </w:r>
      <w:proofErr w:type="spellStart"/>
      <w:r>
        <w:t>metforminnal</w:t>
      </w:r>
      <w:proofErr w:type="spellEnd"/>
      <w:r>
        <w:t xml:space="preserve"> vagy anélkül) kezelt betegeknél -1,31% volt, összehasonlítva a </w:t>
      </w:r>
      <w:proofErr w:type="spellStart"/>
      <w:r>
        <w:t>placebóval</w:t>
      </w:r>
      <w:proofErr w:type="spellEnd"/>
      <w:r>
        <w:t xml:space="preserve"> és inzulinnal (</w:t>
      </w:r>
      <w:proofErr w:type="spellStart"/>
      <w:r>
        <w:t>metforminnal</w:t>
      </w:r>
      <w:proofErr w:type="spellEnd"/>
      <w:r>
        <w:t xml:space="preserve"> vagy anélkül) kezelt betegeknél megfigyelt -0,87%-kal, mely -0,45%-os különbséget [95% CI: -0,60, -0,29] mutat. A </w:t>
      </w:r>
      <w:proofErr w:type="spellStart"/>
      <w:r>
        <w:t>hipoglikémia</w:t>
      </w:r>
      <w:proofErr w:type="spellEnd"/>
      <w:r>
        <w:t xml:space="preserve"> előfordulási gyakorisága a </w:t>
      </w:r>
      <w:proofErr w:type="spellStart"/>
      <w:r>
        <w:t>szitagliptinnel</w:t>
      </w:r>
      <w:proofErr w:type="spellEnd"/>
      <w:r>
        <w:t xml:space="preserve"> és inzulinnal (</w:t>
      </w:r>
      <w:proofErr w:type="spellStart"/>
      <w:r>
        <w:t>metforminnal</w:t>
      </w:r>
      <w:proofErr w:type="spellEnd"/>
      <w:r>
        <w:t xml:space="preserve"> vagy anélkül) kezelt betegeknél 25,2%, míg a </w:t>
      </w:r>
      <w:proofErr w:type="spellStart"/>
      <w:r>
        <w:t>placebóval</w:t>
      </w:r>
      <w:proofErr w:type="spellEnd"/>
      <w:r>
        <w:t xml:space="preserve"> és inzulinnal (</w:t>
      </w:r>
      <w:proofErr w:type="spellStart"/>
      <w:r>
        <w:t>metforminnal</w:t>
      </w:r>
      <w:proofErr w:type="spellEnd"/>
      <w:r>
        <w:t xml:space="preserve"> vagy anélkül) kezelt betegeknél 36,8% volt. A különbség főként annak tulajdonítható, hogy a placebo csoport betegei nagyobb arányban tapasztaltak vagy ennél több </w:t>
      </w:r>
      <w:proofErr w:type="spellStart"/>
      <w:r>
        <w:t>hipoglikémiás</w:t>
      </w:r>
      <w:proofErr w:type="spellEnd"/>
      <w:r>
        <w:t xml:space="preserve"> epizódot (9,4 </w:t>
      </w:r>
      <w:proofErr w:type="spellStart"/>
      <w:r>
        <w:t>vs</w:t>
      </w:r>
      <w:proofErr w:type="spellEnd"/>
      <w:r>
        <w:t xml:space="preserve">. 19,1%). A súlyos </w:t>
      </w:r>
      <w:proofErr w:type="spellStart"/>
      <w:r>
        <w:t>hipoglikémia</w:t>
      </w:r>
      <w:proofErr w:type="spellEnd"/>
      <w:r>
        <w:t xml:space="preserve"> gyakoriságát illetően nem mutatkozott különbség.</w:t>
      </w:r>
    </w:p>
    <w:p w14:paraId="125FF5B3" w14:textId="77777777" w:rsidR="00174605" w:rsidRDefault="00174605">
      <w:pPr>
        <w:widowControl/>
        <w:jc w:val="left"/>
      </w:pPr>
    </w:p>
    <w:p w14:paraId="06619CC9" w14:textId="77777777" w:rsidR="00174605" w:rsidRDefault="00C8536B">
      <w:pPr>
        <w:widowControl/>
        <w:jc w:val="left"/>
      </w:pPr>
      <w:r>
        <w:t xml:space="preserve">Közepesen súlyos/súlyos vesekárosodásban szenvedő betegekkel végzett vizsgálat során naponta egyszer 25 vagy 50 mg </w:t>
      </w:r>
      <w:proofErr w:type="spellStart"/>
      <w:r>
        <w:t>szitagliptint</w:t>
      </w:r>
      <w:proofErr w:type="spellEnd"/>
      <w:r>
        <w:t xml:space="preserve"> hasonlítottak össze napi 2,5-20 mg </w:t>
      </w:r>
      <w:proofErr w:type="spellStart"/>
      <w:r>
        <w:t>glipiziddel</w:t>
      </w:r>
      <w:proofErr w:type="spellEnd"/>
      <w:r>
        <w:t xml:space="preserve">. A vizsgálatba 423, krónikus vesekárosodásban szenvedő beteget (becsült </w:t>
      </w:r>
      <w:proofErr w:type="spellStart"/>
      <w:r>
        <w:t>glomeruláris</w:t>
      </w:r>
      <w:proofErr w:type="spellEnd"/>
      <w:r>
        <w:t xml:space="preserve"> filtrációs ráta &lt;50 ml/perc) vontak be. Ötvennégy hét után a HbA</w:t>
      </w:r>
      <w:r>
        <w:rPr>
          <w:vertAlign w:val="subscript"/>
        </w:rPr>
        <w:t>1c</w:t>
      </w:r>
      <w:r>
        <w:t xml:space="preserve"> kiindulási értékének átlagos csökkenése -0,76% volt a </w:t>
      </w:r>
      <w:proofErr w:type="spellStart"/>
      <w:r>
        <w:t>szitagliptin</w:t>
      </w:r>
      <w:proofErr w:type="spellEnd"/>
      <w:r>
        <w:t xml:space="preserve">, és -0,64% a </w:t>
      </w:r>
      <w:proofErr w:type="spellStart"/>
      <w:r>
        <w:t>glipizid</w:t>
      </w:r>
      <w:proofErr w:type="spellEnd"/>
      <w:r>
        <w:t xml:space="preserve"> alkalmazása mellett (protokoll szerinti analízis). Ebben a vizsgálatban a naponta egyszer alkalmazott 25 vagy 50 mg </w:t>
      </w:r>
      <w:proofErr w:type="spellStart"/>
      <w:r>
        <w:t>szitagliptin</w:t>
      </w:r>
      <w:proofErr w:type="spellEnd"/>
      <w:r>
        <w:t xml:space="preserve"> hatásossági és biztonságossági profilja általánosságban hasonló volt a normál vesefunkciójú betegeknél egyéb </w:t>
      </w:r>
      <w:proofErr w:type="spellStart"/>
      <w:r>
        <w:t>monoterápiás</w:t>
      </w:r>
      <w:proofErr w:type="spellEnd"/>
      <w:r>
        <w:t xml:space="preserve"> vizsgálatokban megfigyeltekhez. A </w:t>
      </w:r>
      <w:proofErr w:type="spellStart"/>
      <w:r>
        <w:t>hipoglikémia</w:t>
      </w:r>
      <w:proofErr w:type="spellEnd"/>
      <w:r>
        <w:t xml:space="preserve"> előfordulási aránya a </w:t>
      </w:r>
      <w:proofErr w:type="spellStart"/>
      <w:r>
        <w:t>szitagliptin</w:t>
      </w:r>
      <w:proofErr w:type="spellEnd"/>
      <w:r>
        <w:t xml:space="preserve">-csoportban lényegesen alacsonyabb volt (6,2%), mint a </w:t>
      </w:r>
      <w:proofErr w:type="spellStart"/>
      <w:r>
        <w:t>glipizid</w:t>
      </w:r>
      <w:proofErr w:type="spellEnd"/>
      <w:r>
        <w:t>-csoportban (17,0%). Szintén jelentős különbség mutatkozott a csoportok között a kiindulási testsúly változását illetően (</w:t>
      </w:r>
      <w:proofErr w:type="spellStart"/>
      <w:r>
        <w:t>szitagliptin</w:t>
      </w:r>
      <w:proofErr w:type="spellEnd"/>
      <w:r>
        <w:t xml:space="preserve">: -0,6 kg, </w:t>
      </w:r>
      <w:proofErr w:type="spellStart"/>
      <w:r>
        <w:t>glipizid</w:t>
      </w:r>
      <w:proofErr w:type="spellEnd"/>
      <w:r>
        <w:t>: +1,2 kg).</w:t>
      </w:r>
    </w:p>
    <w:p w14:paraId="69C88CCE" w14:textId="77777777" w:rsidR="00174605" w:rsidRDefault="00174605">
      <w:pPr>
        <w:widowControl/>
        <w:jc w:val="left"/>
      </w:pPr>
    </w:p>
    <w:p w14:paraId="4DCEA71B" w14:textId="77777777" w:rsidR="00174605" w:rsidRDefault="00C8536B">
      <w:pPr>
        <w:widowControl/>
        <w:jc w:val="left"/>
      </w:pPr>
      <w:r>
        <w:t xml:space="preserve">Egy másik, 129, végstádiumú vesebetegségben szenvedő, </w:t>
      </w:r>
      <w:proofErr w:type="spellStart"/>
      <w:r>
        <w:t>dializált</w:t>
      </w:r>
      <w:proofErr w:type="spellEnd"/>
      <w:r>
        <w:t xml:space="preserve"> beteggel végzett vizsgálat során napi 25 mg </w:t>
      </w:r>
      <w:proofErr w:type="spellStart"/>
      <w:r>
        <w:t>szitagliptint</w:t>
      </w:r>
      <w:proofErr w:type="spellEnd"/>
      <w:r>
        <w:t xml:space="preserve"> hasonlítottak össze napi 2,5 mg – 20 mg </w:t>
      </w:r>
      <w:proofErr w:type="spellStart"/>
      <w:r>
        <w:t>glipiziddel</w:t>
      </w:r>
      <w:proofErr w:type="spellEnd"/>
      <w:r>
        <w:t>. Ötvennégy hét után a HbA</w:t>
      </w:r>
      <w:r>
        <w:rPr>
          <w:vertAlign w:val="subscript"/>
        </w:rPr>
        <w:t>1c</w:t>
      </w:r>
      <w:r>
        <w:t xml:space="preserve"> kiindulási értékének átlagos csökkenése -0,72% volt a </w:t>
      </w:r>
      <w:proofErr w:type="spellStart"/>
      <w:r>
        <w:t>szitagliptin</w:t>
      </w:r>
      <w:proofErr w:type="spellEnd"/>
      <w:r>
        <w:t xml:space="preserve"> és -0,87% a </w:t>
      </w:r>
      <w:proofErr w:type="spellStart"/>
      <w:r>
        <w:t>glipizid</w:t>
      </w:r>
      <w:proofErr w:type="spellEnd"/>
      <w:r>
        <w:t xml:space="preserve"> alkalmazása mellett. Ebben a vizsgálatban a naponta egyszer alkalmazott 25 mg </w:t>
      </w:r>
      <w:proofErr w:type="spellStart"/>
      <w:r>
        <w:t>szitagliptin</w:t>
      </w:r>
      <w:proofErr w:type="spellEnd"/>
      <w:r>
        <w:t xml:space="preserve"> hatásossági és biztonságossági profilja általánosságban hasonló volt a normál vesefunkciójú betegeknél egyéb </w:t>
      </w:r>
      <w:proofErr w:type="spellStart"/>
      <w:r>
        <w:t>monoterápiás</w:t>
      </w:r>
      <w:proofErr w:type="spellEnd"/>
      <w:r>
        <w:t xml:space="preserve"> vizsgálatokban megfigyeltekhez. A </w:t>
      </w:r>
      <w:proofErr w:type="spellStart"/>
      <w:r>
        <w:t>hipoglikémia</w:t>
      </w:r>
      <w:proofErr w:type="spellEnd"/>
      <w:r>
        <w:t xml:space="preserve"> előfordulási aránya nem különbözött lényegesen a kezelési csoportokban (</w:t>
      </w:r>
      <w:proofErr w:type="spellStart"/>
      <w:r>
        <w:t>szitagliptin</w:t>
      </w:r>
      <w:proofErr w:type="spellEnd"/>
      <w:r>
        <w:t xml:space="preserve">: 6,3%, </w:t>
      </w:r>
      <w:proofErr w:type="spellStart"/>
      <w:r>
        <w:t>glipizid</w:t>
      </w:r>
      <w:proofErr w:type="spellEnd"/>
      <w:r>
        <w:t>: 10,8%).</w:t>
      </w:r>
    </w:p>
    <w:p w14:paraId="0BEDA2B5" w14:textId="77777777" w:rsidR="00174605" w:rsidRDefault="00174605">
      <w:pPr>
        <w:widowControl/>
        <w:jc w:val="left"/>
      </w:pPr>
    </w:p>
    <w:p w14:paraId="3687C2CF" w14:textId="77777777" w:rsidR="00174605" w:rsidRDefault="00C8536B">
      <w:pPr>
        <w:widowControl/>
        <w:jc w:val="left"/>
      </w:pPr>
      <w:r>
        <w:t>Abban a vizsgálatban, melyet 91, 2-es típusú diabetesben és krónikus vesekárosodásban (kreatinin-</w:t>
      </w:r>
      <w:proofErr w:type="spellStart"/>
      <w:r>
        <w:t>clearance</w:t>
      </w:r>
      <w:proofErr w:type="spellEnd"/>
      <w:r>
        <w:t xml:space="preserve"> &lt;50 ml/perc) szenvedő beteg részvételével folytattak, a naponta egyszer 25 vagy 50 mg </w:t>
      </w:r>
      <w:proofErr w:type="spellStart"/>
      <w:r>
        <w:t>szitagliptin</w:t>
      </w:r>
      <w:proofErr w:type="spellEnd"/>
      <w:r>
        <w:t xml:space="preserve">-kezelés biztonságossága és </w:t>
      </w:r>
      <w:proofErr w:type="spellStart"/>
      <w:r>
        <w:t>tolerálhatósága</w:t>
      </w:r>
      <w:proofErr w:type="spellEnd"/>
      <w:r>
        <w:t xml:space="preserve"> általánosságban hasonló volt a </w:t>
      </w:r>
      <w:proofErr w:type="spellStart"/>
      <w:r>
        <w:t>placebóéhoz</w:t>
      </w:r>
      <w:proofErr w:type="spellEnd"/>
      <w:r>
        <w:t>. Ezenkívül 12 hét után a HbA</w:t>
      </w:r>
      <w:r>
        <w:rPr>
          <w:vertAlign w:val="subscript"/>
        </w:rPr>
        <w:t>1c</w:t>
      </w:r>
      <w:r>
        <w:t xml:space="preserve"> (</w:t>
      </w:r>
      <w:proofErr w:type="spellStart"/>
      <w:r>
        <w:t>szitagliptin</w:t>
      </w:r>
      <w:proofErr w:type="spellEnd"/>
      <w:r>
        <w:t>: -0,59%; placebo: -0,18%) és FPG (</w:t>
      </w:r>
      <w:proofErr w:type="spellStart"/>
      <w:r>
        <w:t>szitagliptin</w:t>
      </w:r>
      <w:proofErr w:type="spellEnd"/>
      <w:r>
        <w:t xml:space="preserve">: -25,5 mg/dl; placebo: -3,0 mg/dl) átlagos csökkenése általánosságban hasonló volt a normál vesefunkciójú betegeknél egyéb </w:t>
      </w:r>
      <w:proofErr w:type="spellStart"/>
      <w:r>
        <w:t>monoterápiás</w:t>
      </w:r>
      <w:proofErr w:type="spellEnd"/>
      <w:r>
        <w:t xml:space="preserve"> vizsgálatokban megfigyeltekhez (lásd 5.2 pont).</w:t>
      </w:r>
    </w:p>
    <w:p w14:paraId="11495CDD" w14:textId="77777777" w:rsidR="00174605" w:rsidRDefault="00174605">
      <w:pPr>
        <w:widowControl/>
        <w:jc w:val="left"/>
      </w:pPr>
    </w:p>
    <w:p w14:paraId="467C3FB5" w14:textId="77777777" w:rsidR="00174605" w:rsidRDefault="00C8536B">
      <w:pPr>
        <w:widowControl/>
        <w:jc w:val="left"/>
      </w:pPr>
      <w:r>
        <w:t xml:space="preserve">A TECOS egy </w:t>
      </w:r>
      <w:proofErr w:type="spellStart"/>
      <w:r>
        <w:t>randomizált</w:t>
      </w:r>
      <w:proofErr w:type="spellEnd"/>
      <w:r>
        <w:t xml:space="preserve"> vizsgálat volt, melynek beválasztás szerinti populációjában 14 671, ≥ 6,5 – 8,0% közötti HbA</w:t>
      </w:r>
      <w:r>
        <w:rPr>
          <w:vertAlign w:val="subscript"/>
        </w:rPr>
        <w:t>1c</w:t>
      </w:r>
      <w:r>
        <w:t xml:space="preserve"> értékkel rendelkező, igazolt CV betegségben szenvedő beteg vett részt, akik (7332-en) napi 100 mg (vagy ≥ 30 és </w:t>
      </w:r>
      <w:proofErr w:type="gramStart"/>
      <w:r>
        <w:t>&lt; 50</w:t>
      </w:r>
      <w:proofErr w:type="gramEnd"/>
      <w:r>
        <w:t> ml/perc/1,73 m</w:t>
      </w:r>
      <w:r>
        <w:rPr>
          <w:vertAlign w:val="superscript"/>
        </w:rPr>
        <w:t>2</w:t>
      </w:r>
      <w:r>
        <w:t xml:space="preserve"> értékű kiindulási </w:t>
      </w:r>
      <w:proofErr w:type="spellStart"/>
      <w:r>
        <w:t>eGFR</w:t>
      </w:r>
      <w:proofErr w:type="spellEnd"/>
      <w:r>
        <w:t xml:space="preserve"> esetén napi 50 mg) </w:t>
      </w:r>
      <w:proofErr w:type="spellStart"/>
      <w:r>
        <w:t>szitagliptint</w:t>
      </w:r>
      <w:proofErr w:type="spellEnd"/>
      <w:r>
        <w:t xml:space="preserve"> vagy (7339-en) </w:t>
      </w:r>
      <w:proofErr w:type="spellStart"/>
      <w:r>
        <w:t>placebót</w:t>
      </w:r>
      <w:proofErr w:type="spellEnd"/>
      <w:r>
        <w:t xml:space="preserve"> kaptak a HbA</w:t>
      </w:r>
      <w:r>
        <w:rPr>
          <w:vertAlign w:val="subscript"/>
        </w:rPr>
        <w:t>1c</w:t>
      </w:r>
      <w:r>
        <w:t xml:space="preserve"> és CV kockázati tényezőkre vonatkozó regionális standardokat célzó általános kezelés mellé. A </w:t>
      </w:r>
      <w:proofErr w:type="gramStart"/>
      <w:r>
        <w:t>&lt; 30</w:t>
      </w:r>
      <w:proofErr w:type="gramEnd"/>
      <w:r>
        <w:t> ml/perc/1,73 m</w:t>
      </w:r>
      <w:r>
        <w:rPr>
          <w:vertAlign w:val="superscript"/>
        </w:rPr>
        <w:t>2</w:t>
      </w:r>
      <w:r>
        <w:t xml:space="preserve"> </w:t>
      </w:r>
      <w:proofErr w:type="spellStart"/>
      <w:r>
        <w:t>eGFR</w:t>
      </w:r>
      <w:proofErr w:type="spellEnd"/>
      <w:r>
        <w:t xml:space="preserve"> értékkel rendelkező betegek nem voltak bevonhatók a vizsgálatba. A vizsgálati populációba 2004, ≥ 75 éves beteg és 3324, vesekárosodásban szenvedő beteg (</w:t>
      </w:r>
      <w:proofErr w:type="spellStart"/>
      <w:r>
        <w:t>eGFR</w:t>
      </w:r>
      <w:proofErr w:type="spellEnd"/>
      <w:r>
        <w:t xml:space="preserve"> </w:t>
      </w:r>
      <w:proofErr w:type="gramStart"/>
      <w:r>
        <w:t>&lt; 60</w:t>
      </w:r>
      <w:proofErr w:type="gramEnd"/>
      <w:r>
        <w:t> ml/perc/1,73 m</w:t>
      </w:r>
      <w:r>
        <w:rPr>
          <w:vertAlign w:val="superscript"/>
        </w:rPr>
        <w:t>2</w:t>
      </w:r>
      <w:r>
        <w:t>) tartozott.</w:t>
      </w:r>
    </w:p>
    <w:p w14:paraId="27A4F027" w14:textId="77777777" w:rsidR="00174605" w:rsidRDefault="00174605">
      <w:pPr>
        <w:widowControl/>
        <w:jc w:val="left"/>
      </w:pPr>
    </w:p>
    <w:p w14:paraId="7D9DC322" w14:textId="77777777" w:rsidR="00174605" w:rsidRDefault="00C8536B">
      <w:pPr>
        <w:widowControl/>
        <w:jc w:val="left"/>
      </w:pPr>
      <w:r>
        <w:lastRenderedPageBreak/>
        <w:t xml:space="preserve">A vizsgálat folyamán a </w:t>
      </w:r>
      <w:proofErr w:type="spellStart"/>
      <w:r>
        <w:t>szitagliptin</w:t>
      </w:r>
      <w:proofErr w:type="spellEnd"/>
      <w:r>
        <w:t xml:space="preserve"> és a placebo csoportok közötti becsült átlagos </w:t>
      </w:r>
      <w:proofErr w:type="spellStart"/>
      <w:r>
        <w:t>összkülönbség</w:t>
      </w:r>
      <w:proofErr w:type="spellEnd"/>
      <w:r>
        <w:t xml:space="preserve"> (standard deviáció) 0,29% (0,01), 95%-os CI (-0,32, -0,27); p </w:t>
      </w:r>
      <w:proofErr w:type="gramStart"/>
      <w:r>
        <w:t>&lt; 0,001</w:t>
      </w:r>
      <w:proofErr w:type="gramEnd"/>
      <w:r>
        <w:t xml:space="preserve"> volt.</w:t>
      </w:r>
    </w:p>
    <w:p w14:paraId="2853EDAF" w14:textId="77777777" w:rsidR="00174605" w:rsidRDefault="00174605">
      <w:pPr>
        <w:widowControl/>
        <w:jc w:val="left"/>
      </w:pPr>
    </w:p>
    <w:p w14:paraId="36D20FA4" w14:textId="77777777" w:rsidR="00174605" w:rsidRDefault="00C8536B">
      <w:pPr>
        <w:widowControl/>
        <w:jc w:val="left"/>
      </w:pPr>
      <w:r>
        <w:t xml:space="preserve">Az elsődleges </w:t>
      </w:r>
      <w:proofErr w:type="spellStart"/>
      <w:r>
        <w:t>cardiovascularis</w:t>
      </w:r>
      <w:proofErr w:type="spellEnd"/>
      <w:r>
        <w:t xml:space="preserve"> végpont az alábbi események első előfordulására vonatkozó összetett végpont volt: </w:t>
      </w:r>
      <w:proofErr w:type="spellStart"/>
      <w:r>
        <w:t>cardiovascularis</w:t>
      </w:r>
      <w:proofErr w:type="spellEnd"/>
      <w:r>
        <w:t xml:space="preserve"> halálozás, nem halálos kimenetelű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, nem halálos kimenetelű stroke, illetve instabil angina miatti </w:t>
      </w:r>
      <w:proofErr w:type="spellStart"/>
      <w:r>
        <w:t>hospitalizáció</w:t>
      </w:r>
      <w:proofErr w:type="spellEnd"/>
      <w:r>
        <w:t xml:space="preserve">. A másodlagos </w:t>
      </w:r>
      <w:proofErr w:type="spellStart"/>
      <w:r>
        <w:t>cardiovascularis</w:t>
      </w:r>
      <w:proofErr w:type="spellEnd"/>
      <w:r>
        <w:t xml:space="preserve"> végpontok közé tartozott a </w:t>
      </w:r>
      <w:proofErr w:type="spellStart"/>
      <w:r>
        <w:t>cardiovascularis</w:t>
      </w:r>
      <w:proofErr w:type="spellEnd"/>
      <w:r>
        <w:t xml:space="preserve"> halálozás, nem halálos kimenetelű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 vagy nem halálos kimenetelű stroke; az elsődleges összetett végpont egyes összetevőinek első előfordulása; az </w:t>
      </w:r>
      <w:proofErr w:type="spellStart"/>
      <w:r>
        <w:t>összhalálozás</w:t>
      </w:r>
      <w:proofErr w:type="spellEnd"/>
      <w:r>
        <w:t xml:space="preserve">; valamint a </w:t>
      </w:r>
      <w:proofErr w:type="spellStart"/>
      <w:r>
        <w:t>pangásos</w:t>
      </w:r>
      <w:proofErr w:type="spellEnd"/>
      <w:r>
        <w:t xml:space="preserve"> szívelégtelenség miatti </w:t>
      </w:r>
      <w:proofErr w:type="spellStart"/>
      <w:r>
        <w:t>hospitalizáció</w:t>
      </w:r>
      <w:proofErr w:type="spellEnd"/>
      <w:r>
        <w:t>.</w:t>
      </w:r>
    </w:p>
    <w:p w14:paraId="33AEE1D8" w14:textId="77777777" w:rsidR="00174605" w:rsidRDefault="00174605">
      <w:pPr>
        <w:widowControl/>
        <w:jc w:val="left"/>
      </w:pPr>
    </w:p>
    <w:p w14:paraId="571AD816" w14:textId="77777777" w:rsidR="00174605" w:rsidRDefault="00C8536B">
      <w:pPr>
        <w:widowControl/>
        <w:jc w:val="left"/>
      </w:pPr>
      <w:r>
        <w:t xml:space="preserve">A 3 éves medián időtartamú követés után a szokásos kezeléssel együtt adott </w:t>
      </w:r>
      <w:proofErr w:type="spellStart"/>
      <w:r>
        <w:t>szitagliptin</w:t>
      </w:r>
      <w:proofErr w:type="spellEnd"/>
      <w:r>
        <w:t xml:space="preserve">, a </w:t>
      </w:r>
      <w:proofErr w:type="spellStart"/>
      <w:r>
        <w:t>szitagliptin</w:t>
      </w:r>
      <w:proofErr w:type="spellEnd"/>
      <w:r>
        <w:t xml:space="preserve"> nélkül adott szokásos kezeléssel összehasonlítva nem növelte a jelentősebb </w:t>
      </w:r>
      <w:proofErr w:type="spellStart"/>
      <w:r>
        <w:t>cardiovascularis</w:t>
      </w:r>
      <w:proofErr w:type="spellEnd"/>
      <w:r>
        <w:t xml:space="preserve"> nemkívánatos események kockázatát vagy a szívelégtelenség miatti </w:t>
      </w:r>
      <w:proofErr w:type="spellStart"/>
      <w:r>
        <w:t>hospitalizáció</w:t>
      </w:r>
      <w:proofErr w:type="spellEnd"/>
      <w:r>
        <w:t xml:space="preserve"> kockázatát a 2-es típusú diabetesben szenvedő betegeknél (3. táblázat).</w:t>
      </w:r>
    </w:p>
    <w:p w14:paraId="3BE09BCF" w14:textId="77777777" w:rsidR="00174605" w:rsidRDefault="00174605">
      <w:pPr>
        <w:jc w:val="left"/>
      </w:pPr>
    </w:p>
    <w:p w14:paraId="32C6298B" w14:textId="77777777" w:rsidR="00174605" w:rsidRDefault="00C8536B">
      <w:pPr>
        <w:ind w:left="1134" w:hanging="1134"/>
        <w:rPr>
          <w:b/>
        </w:rPr>
      </w:pPr>
      <w:r>
        <w:rPr>
          <w:b/>
        </w:rPr>
        <w:t>3. t</w:t>
      </w:r>
      <w:r>
        <w:rPr>
          <w:rFonts w:hint="eastAsia"/>
          <w:b/>
        </w:rPr>
        <w:t>á</w:t>
      </w:r>
      <w:r>
        <w:rPr>
          <w:b/>
        </w:rPr>
        <w:t>bl</w:t>
      </w:r>
      <w:r>
        <w:rPr>
          <w:rFonts w:hint="eastAsia"/>
          <w:b/>
        </w:rPr>
        <w:t>á</w:t>
      </w:r>
      <w:r>
        <w:rPr>
          <w:b/>
        </w:rPr>
        <w:t>zat</w:t>
      </w:r>
      <w:r>
        <w:rPr>
          <w:b/>
        </w:rPr>
        <w:tab/>
        <w:t xml:space="preserve">Az </w:t>
      </w:r>
      <w:r>
        <w:rPr>
          <w:rFonts w:hint="eastAsia"/>
          <w:b/>
        </w:rPr>
        <w:t>ö</w:t>
      </w:r>
      <w:r>
        <w:rPr>
          <w:b/>
        </w:rPr>
        <w:t xml:space="preserve">sszetett </w:t>
      </w:r>
      <w:proofErr w:type="spellStart"/>
      <w:r>
        <w:rPr>
          <w:b/>
        </w:rPr>
        <w:t>cardiovascularis</w:t>
      </w:r>
      <w:proofErr w:type="spellEnd"/>
      <w:r>
        <w:rPr>
          <w:b/>
        </w:rPr>
        <w:t xml:space="preserve"> v</w:t>
      </w:r>
      <w:r>
        <w:rPr>
          <w:rFonts w:hint="eastAsia"/>
          <w:b/>
        </w:rPr>
        <w:t>é</w:t>
      </w:r>
      <w:r>
        <w:rPr>
          <w:b/>
        </w:rPr>
        <w:t xml:space="preserve">gpontok </w:t>
      </w:r>
      <w:r>
        <w:rPr>
          <w:rFonts w:hint="eastAsia"/>
          <w:b/>
        </w:rPr>
        <w:t>é</w:t>
      </w:r>
      <w:r>
        <w:rPr>
          <w:b/>
        </w:rPr>
        <w:t>s a f</w:t>
      </w:r>
      <w:r>
        <w:rPr>
          <w:rFonts w:hint="eastAsia"/>
          <w:b/>
        </w:rPr>
        <w:t>ő</w:t>
      </w:r>
      <w:r>
        <w:rPr>
          <w:b/>
        </w:rPr>
        <w:t>bb m</w:t>
      </w:r>
      <w:r>
        <w:rPr>
          <w:rFonts w:hint="eastAsia"/>
          <w:b/>
        </w:rPr>
        <w:t>á</w:t>
      </w:r>
      <w:r>
        <w:rPr>
          <w:b/>
        </w:rPr>
        <w:t>sodlagos v</w:t>
      </w:r>
      <w:r>
        <w:rPr>
          <w:rFonts w:hint="eastAsia"/>
          <w:b/>
        </w:rPr>
        <w:t>é</w:t>
      </w:r>
      <w:r>
        <w:rPr>
          <w:b/>
        </w:rPr>
        <w:t>gpontok ar</w:t>
      </w:r>
      <w:r>
        <w:rPr>
          <w:rFonts w:hint="eastAsia"/>
          <w:b/>
        </w:rPr>
        <w:t>á</w:t>
      </w:r>
      <w:r>
        <w:rPr>
          <w:b/>
        </w:rPr>
        <w:t>nyai</w:t>
      </w:r>
    </w:p>
    <w:p w14:paraId="77348F10" w14:textId="77777777" w:rsidR="00174605" w:rsidRDefault="00174605">
      <w:pPr>
        <w:jc w:val="left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992"/>
        <w:gridCol w:w="1417"/>
        <w:gridCol w:w="851"/>
        <w:gridCol w:w="1276"/>
        <w:gridCol w:w="1275"/>
        <w:gridCol w:w="993"/>
      </w:tblGrid>
      <w:tr w:rsidR="00174605" w14:paraId="24007B3E" w14:textId="77777777">
        <w:trPr>
          <w:trHeight w:val="250"/>
        </w:trPr>
        <w:tc>
          <w:tcPr>
            <w:tcW w:w="2802" w:type="dxa"/>
            <w:vMerge w:val="restart"/>
          </w:tcPr>
          <w:p w14:paraId="36614349" w14:textId="77777777" w:rsidR="00174605" w:rsidRDefault="00174605">
            <w:pPr>
              <w:jc w:val="left"/>
              <w:rPr>
                <w:b/>
              </w:rPr>
            </w:pPr>
          </w:p>
        </w:tc>
        <w:tc>
          <w:tcPr>
            <w:tcW w:w="2409" w:type="dxa"/>
            <w:gridSpan w:val="2"/>
          </w:tcPr>
          <w:p w14:paraId="4C5F25B4" w14:textId="77777777" w:rsidR="00174605" w:rsidRDefault="00C8536B">
            <w:pPr>
              <w:jc w:val="left"/>
              <w:rPr>
                <w:b/>
              </w:rPr>
            </w:pPr>
            <w:proofErr w:type="spellStart"/>
            <w:r>
              <w:rPr>
                <w:rFonts w:eastAsia="TimesNewRoman,Bold"/>
                <w:b/>
                <w:bCs/>
              </w:rPr>
              <w:t>Szitagliptin</w:t>
            </w:r>
            <w:proofErr w:type="spellEnd"/>
            <w:r>
              <w:rPr>
                <w:rFonts w:eastAsia="TimesNewRoman,Bold"/>
                <w:b/>
                <w:bCs/>
              </w:rPr>
              <w:t xml:space="preserve"> 100 mg</w:t>
            </w:r>
          </w:p>
        </w:tc>
        <w:tc>
          <w:tcPr>
            <w:tcW w:w="2127" w:type="dxa"/>
            <w:gridSpan w:val="2"/>
          </w:tcPr>
          <w:p w14:paraId="79365097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</w:rPr>
              <w:t>Placebo</w:t>
            </w:r>
          </w:p>
        </w:tc>
        <w:tc>
          <w:tcPr>
            <w:tcW w:w="1275" w:type="dxa"/>
            <w:vMerge w:val="restart"/>
          </w:tcPr>
          <w:p w14:paraId="33BEA7C5" w14:textId="77777777" w:rsidR="00174605" w:rsidRDefault="00174605">
            <w:pPr>
              <w:jc w:val="left"/>
              <w:rPr>
                <w:b/>
              </w:rPr>
            </w:pPr>
          </w:p>
          <w:p w14:paraId="3436EE3C" w14:textId="77777777" w:rsidR="00174605" w:rsidRDefault="00174605">
            <w:pPr>
              <w:jc w:val="left"/>
              <w:rPr>
                <w:b/>
              </w:rPr>
            </w:pPr>
          </w:p>
          <w:p w14:paraId="3A5E3A15" w14:textId="77777777" w:rsidR="00174605" w:rsidRDefault="00174605">
            <w:pPr>
              <w:jc w:val="left"/>
              <w:rPr>
                <w:b/>
              </w:rPr>
            </w:pPr>
          </w:p>
          <w:p w14:paraId="4BE6F9A4" w14:textId="77777777" w:rsidR="00174605" w:rsidRDefault="00174605">
            <w:pPr>
              <w:jc w:val="left"/>
              <w:rPr>
                <w:b/>
              </w:rPr>
            </w:pPr>
          </w:p>
          <w:p w14:paraId="7703E363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Kockázati arány (95%-os CI)</w:t>
            </w:r>
          </w:p>
        </w:tc>
        <w:tc>
          <w:tcPr>
            <w:tcW w:w="993" w:type="dxa"/>
            <w:vMerge w:val="restart"/>
          </w:tcPr>
          <w:p w14:paraId="6B3752DC" w14:textId="77777777" w:rsidR="00174605" w:rsidRDefault="00174605">
            <w:pPr>
              <w:jc w:val="left"/>
              <w:rPr>
                <w:b/>
              </w:rPr>
            </w:pPr>
          </w:p>
          <w:p w14:paraId="4472B28A" w14:textId="77777777" w:rsidR="00174605" w:rsidRDefault="00174605">
            <w:pPr>
              <w:jc w:val="left"/>
              <w:rPr>
                <w:b/>
              </w:rPr>
            </w:pPr>
          </w:p>
          <w:p w14:paraId="7F383245" w14:textId="77777777" w:rsidR="00174605" w:rsidRDefault="00174605">
            <w:pPr>
              <w:jc w:val="left"/>
              <w:rPr>
                <w:b/>
              </w:rPr>
            </w:pPr>
          </w:p>
          <w:p w14:paraId="29ED6E9D" w14:textId="77777777" w:rsidR="00174605" w:rsidRDefault="00174605">
            <w:pPr>
              <w:jc w:val="left"/>
              <w:rPr>
                <w:b/>
              </w:rPr>
            </w:pPr>
          </w:p>
          <w:p w14:paraId="14B94618" w14:textId="77777777" w:rsidR="00174605" w:rsidRDefault="00174605">
            <w:pPr>
              <w:jc w:val="left"/>
              <w:rPr>
                <w:b/>
              </w:rPr>
            </w:pPr>
          </w:p>
          <w:p w14:paraId="22C2BE05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p-érték</w:t>
            </w:r>
            <w:r>
              <w:rPr>
                <w:rFonts w:eastAsia="TimesNewRoman,Bold"/>
                <w:vertAlign w:val="superscript"/>
              </w:rPr>
              <w:t>†</w:t>
            </w:r>
          </w:p>
        </w:tc>
      </w:tr>
      <w:tr w:rsidR="00174605" w14:paraId="7D93FC28" w14:textId="77777777">
        <w:trPr>
          <w:trHeight w:val="1296"/>
        </w:trPr>
        <w:tc>
          <w:tcPr>
            <w:tcW w:w="2802" w:type="dxa"/>
            <w:vMerge/>
          </w:tcPr>
          <w:p w14:paraId="4184C08E" w14:textId="77777777" w:rsidR="00174605" w:rsidRDefault="00174605">
            <w:pPr>
              <w:jc w:val="left"/>
              <w:rPr>
                <w:b/>
              </w:rPr>
            </w:pPr>
          </w:p>
        </w:tc>
        <w:tc>
          <w:tcPr>
            <w:tcW w:w="992" w:type="dxa"/>
          </w:tcPr>
          <w:p w14:paraId="1CDBE8EC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  <w:p w14:paraId="3B835756" w14:textId="77777777" w:rsidR="00174605" w:rsidRDefault="00174605">
            <w:pPr>
              <w:jc w:val="left"/>
              <w:rPr>
                <w:b/>
              </w:rPr>
            </w:pPr>
          </w:p>
          <w:p w14:paraId="38BA6186" w14:textId="77777777" w:rsidR="00174605" w:rsidRDefault="00174605">
            <w:pPr>
              <w:jc w:val="left"/>
              <w:rPr>
                <w:b/>
              </w:rPr>
            </w:pPr>
          </w:p>
          <w:p w14:paraId="613C1F01" w14:textId="77777777" w:rsidR="00174605" w:rsidRDefault="00174605">
            <w:pPr>
              <w:jc w:val="left"/>
              <w:rPr>
                <w:b/>
              </w:rPr>
            </w:pPr>
          </w:p>
          <w:p w14:paraId="5A7E5496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</w:rPr>
              <w:t>N (%)</w:t>
            </w:r>
          </w:p>
        </w:tc>
        <w:tc>
          <w:tcPr>
            <w:tcW w:w="1417" w:type="dxa"/>
          </w:tcPr>
          <w:p w14:paraId="3B7FD58F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100 beteg évre vonatkozó előfordulási arány</w:t>
            </w:r>
            <w:r>
              <w:rPr>
                <w:rFonts w:eastAsia="TimesNewRoman,Bold"/>
                <w:vertAlign w:val="superscript"/>
              </w:rPr>
              <w:t>*</w:t>
            </w:r>
          </w:p>
        </w:tc>
        <w:tc>
          <w:tcPr>
            <w:tcW w:w="851" w:type="dxa"/>
          </w:tcPr>
          <w:p w14:paraId="3230AB56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</w:rPr>
              <w:t>N (%)</w:t>
            </w:r>
          </w:p>
        </w:tc>
        <w:tc>
          <w:tcPr>
            <w:tcW w:w="1276" w:type="dxa"/>
          </w:tcPr>
          <w:p w14:paraId="1029DAA9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100 beteg évre vonatkozó előfordulási arány</w:t>
            </w:r>
            <w:r>
              <w:rPr>
                <w:rFonts w:eastAsia="TimesNewRoman,Bold"/>
                <w:vertAlign w:val="superscript"/>
              </w:rPr>
              <w:t>*</w:t>
            </w:r>
          </w:p>
        </w:tc>
        <w:tc>
          <w:tcPr>
            <w:tcW w:w="1275" w:type="dxa"/>
            <w:vMerge/>
          </w:tcPr>
          <w:p w14:paraId="30B645C2" w14:textId="77777777" w:rsidR="00174605" w:rsidRDefault="00174605">
            <w:pPr>
              <w:jc w:val="left"/>
              <w:rPr>
                <w:b/>
              </w:rPr>
            </w:pPr>
          </w:p>
        </w:tc>
        <w:tc>
          <w:tcPr>
            <w:tcW w:w="993" w:type="dxa"/>
            <w:vMerge/>
          </w:tcPr>
          <w:p w14:paraId="5B9EFE70" w14:textId="77777777" w:rsidR="00174605" w:rsidRDefault="00174605">
            <w:pPr>
              <w:jc w:val="left"/>
              <w:rPr>
                <w:b/>
              </w:rPr>
            </w:pPr>
          </w:p>
        </w:tc>
      </w:tr>
      <w:tr w:rsidR="00174605" w14:paraId="1D6B293A" w14:textId="77777777">
        <w:tc>
          <w:tcPr>
            <w:tcW w:w="9606" w:type="dxa"/>
            <w:gridSpan w:val="7"/>
          </w:tcPr>
          <w:p w14:paraId="313D72D5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A kezelési szándék szerinti populáció elemzése</w:t>
            </w:r>
          </w:p>
        </w:tc>
      </w:tr>
      <w:tr w:rsidR="00174605" w14:paraId="6770AA4B" w14:textId="77777777">
        <w:trPr>
          <w:trHeight w:val="276"/>
        </w:trPr>
        <w:tc>
          <w:tcPr>
            <w:tcW w:w="2802" w:type="dxa"/>
          </w:tcPr>
          <w:p w14:paraId="3319535D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A betegek száma</w:t>
            </w:r>
          </w:p>
        </w:tc>
        <w:tc>
          <w:tcPr>
            <w:tcW w:w="2409" w:type="dxa"/>
            <w:gridSpan w:val="2"/>
          </w:tcPr>
          <w:p w14:paraId="6D9FE096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</w:rPr>
              <w:t>7332</w:t>
            </w:r>
          </w:p>
        </w:tc>
        <w:tc>
          <w:tcPr>
            <w:tcW w:w="2127" w:type="dxa"/>
            <w:gridSpan w:val="2"/>
          </w:tcPr>
          <w:p w14:paraId="2977D779" w14:textId="77777777" w:rsidR="00174605" w:rsidRDefault="00C8536B">
            <w:pPr>
              <w:jc w:val="left"/>
              <w:rPr>
                <w:b/>
              </w:rPr>
            </w:pPr>
            <w:r>
              <w:rPr>
                <w:b/>
              </w:rPr>
              <w:t>7339</w:t>
            </w:r>
          </w:p>
        </w:tc>
        <w:tc>
          <w:tcPr>
            <w:tcW w:w="1275" w:type="dxa"/>
            <w:vMerge w:val="restart"/>
          </w:tcPr>
          <w:p w14:paraId="759215E5" w14:textId="77777777" w:rsidR="00174605" w:rsidRDefault="00174605">
            <w:pPr>
              <w:jc w:val="left"/>
            </w:pPr>
          </w:p>
          <w:p w14:paraId="005EE356" w14:textId="77777777" w:rsidR="00174605" w:rsidRDefault="00174605">
            <w:pPr>
              <w:jc w:val="left"/>
            </w:pPr>
          </w:p>
          <w:p w14:paraId="53441882" w14:textId="77777777" w:rsidR="00174605" w:rsidRDefault="00174605">
            <w:pPr>
              <w:jc w:val="left"/>
            </w:pPr>
          </w:p>
          <w:p w14:paraId="766D0AE4" w14:textId="77777777" w:rsidR="00174605" w:rsidRDefault="00174605">
            <w:pPr>
              <w:jc w:val="left"/>
            </w:pPr>
          </w:p>
          <w:p w14:paraId="5047C8FC" w14:textId="77777777" w:rsidR="00174605" w:rsidRDefault="00174605">
            <w:pPr>
              <w:jc w:val="left"/>
            </w:pPr>
          </w:p>
          <w:p w14:paraId="6CF644A2" w14:textId="77777777" w:rsidR="00174605" w:rsidRDefault="00C8536B">
            <w:pPr>
              <w:jc w:val="left"/>
            </w:pPr>
            <w:r>
              <w:t>0,98 (0,89 1,08)</w:t>
            </w:r>
          </w:p>
        </w:tc>
        <w:tc>
          <w:tcPr>
            <w:tcW w:w="993" w:type="dxa"/>
            <w:vMerge w:val="restart"/>
          </w:tcPr>
          <w:p w14:paraId="3EB3F9EE" w14:textId="77777777" w:rsidR="00174605" w:rsidRDefault="00174605">
            <w:pPr>
              <w:jc w:val="left"/>
            </w:pPr>
          </w:p>
          <w:p w14:paraId="1987FBB3" w14:textId="77777777" w:rsidR="00174605" w:rsidRDefault="00174605">
            <w:pPr>
              <w:jc w:val="left"/>
            </w:pPr>
          </w:p>
          <w:p w14:paraId="10CFCC82" w14:textId="77777777" w:rsidR="00174605" w:rsidRDefault="00174605">
            <w:pPr>
              <w:jc w:val="left"/>
            </w:pPr>
          </w:p>
          <w:p w14:paraId="0EE55FD6" w14:textId="77777777" w:rsidR="00174605" w:rsidRDefault="00174605">
            <w:pPr>
              <w:jc w:val="left"/>
            </w:pPr>
          </w:p>
          <w:p w14:paraId="109A4899" w14:textId="77777777" w:rsidR="00174605" w:rsidRDefault="00174605">
            <w:pPr>
              <w:jc w:val="left"/>
            </w:pPr>
          </w:p>
          <w:p w14:paraId="09DFBD5F" w14:textId="77777777" w:rsidR="00174605" w:rsidRDefault="00C8536B">
            <w:pPr>
              <w:jc w:val="left"/>
            </w:pPr>
            <w:r>
              <w:t>&lt;0,001</w:t>
            </w:r>
          </w:p>
        </w:tc>
      </w:tr>
      <w:tr w:rsidR="00174605" w14:paraId="2E85AFAF" w14:textId="77777777">
        <w:trPr>
          <w:trHeight w:val="1158"/>
        </w:trPr>
        <w:tc>
          <w:tcPr>
            <w:tcW w:w="2802" w:type="dxa"/>
          </w:tcPr>
          <w:p w14:paraId="6841F5B5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Elsődleges összetett végpont</w:t>
            </w:r>
          </w:p>
          <w:p w14:paraId="457C0143" w14:textId="77777777" w:rsidR="00174605" w:rsidRDefault="00C8536B">
            <w:pPr>
              <w:widowControl/>
              <w:jc w:val="left"/>
              <w:rPr>
                <w:rFonts w:eastAsia="TimesNewRoman,Bold"/>
              </w:rPr>
            </w:pPr>
            <w:r>
              <w:rPr>
                <w:rFonts w:eastAsia="TimesNewRoman,Bold"/>
              </w:rPr>
              <w:t>(</w:t>
            </w:r>
            <w:proofErr w:type="spellStart"/>
            <w:r>
              <w:rPr>
                <w:rFonts w:eastAsia="TimesNewRoman,Bold"/>
              </w:rPr>
              <w:t>Cardiovascularis</w:t>
            </w:r>
            <w:proofErr w:type="spellEnd"/>
            <w:r>
              <w:rPr>
                <w:rFonts w:eastAsia="TimesNewRoman,Bold"/>
              </w:rPr>
              <w:t xml:space="preserve"> halálozás, nem halálos kimenetelű </w:t>
            </w:r>
            <w:proofErr w:type="spellStart"/>
            <w:r>
              <w:rPr>
                <w:rFonts w:eastAsia="TimesNewRoman,Bold"/>
              </w:rPr>
              <w:t>myocardialis</w:t>
            </w:r>
            <w:proofErr w:type="spellEnd"/>
            <w:r>
              <w:rPr>
                <w:rFonts w:eastAsia="TimesNewRoman,Bold"/>
              </w:rPr>
              <w:t xml:space="preserve"> </w:t>
            </w:r>
            <w:proofErr w:type="spellStart"/>
            <w:r>
              <w:rPr>
                <w:rFonts w:eastAsia="TimesNewRoman,Bold"/>
              </w:rPr>
              <w:t>infarctus</w:t>
            </w:r>
            <w:proofErr w:type="spellEnd"/>
            <w:r>
              <w:rPr>
                <w:rFonts w:eastAsia="TimesNewRoman,Bold"/>
              </w:rPr>
              <w:t xml:space="preserve">, nem halálos kimenetelű stroke, illetve instabil angina miatti </w:t>
            </w:r>
            <w:proofErr w:type="spellStart"/>
            <w:r>
              <w:rPr>
                <w:rFonts w:eastAsia="TimesNewRoman,Bold"/>
              </w:rPr>
              <w:t>hospitalizáció</w:t>
            </w:r>
            <w:proofErr w:type="spellEnd"/>
            <w:r>
              <w:rPr>
                <w:rFonts w:eastAsia="TimesNewRoman,Bold"/>
              </w:rPr>
              <w:t>)</w:t>
            </w:r>
          </w:p>
        </w:tc>
        <w:tc>
          <w:tcPr>
            <w:tcW w:w="992" w:type="dxa"/>
          </w:tcPr>
          <w:p w14:paraId="41493F61" w14:textId="77777777" w:rsidR="00174605" w:rsidRDefault="00174605">
            <w:pPr>
              <w:jc w:val="left"/>
            </w:pPr>
          </w:p>
          <w:p w14:paraId="3211567D" w14:textId="77777777" w:rsidR="00174605" w:rsidRDefault="00174605">
            <w:pPr>
              <w:jc w:val="left"/>
            </w:pPr>
          </w:p>
          <w:p w14:paraId="5E2FC29D" w14:textId="77777777" w:rsidR="00174605" w:rsidRDefault="00174605">
            <w:pPr>
              <w:jc w:val="left"/>
            </w:pPr>
          </w:p>
          <w:p w14:paraId="6949ECA1" w14:textId="77777777" w:rsidR="00174605" w:rsidRDefault="00174605">
            <w:pPr>
              <w:jc w:val="left"/>
            </w:pPr>
          </w:p>
          <w:p w14:paraId="5407D665" w14:textId="77777777" w:rsidR="00174605" w:rsidRDefault="00C8536B">
            <w:pPr>
              <w:jc w:val="left"/>
            </w:pPr>
            <w:r>
              <w:t>839 (11,4)</w:t>
            </w:r>
          </w:p>
        </w:tc>
        <w:tc>
          <w:tcPr>
            <w:tcW w:w="1417" w:type="dxa"/>
          </w:tcPr>
          <w:p w14:paraId="4BB8CED6" w14:textId="77777777" w:rsidR="00174605" w:rsidRDefault="00174605">
            <w:pPr>
              <w:jc w:val="left"/>
            </w:pPr>
          </w:p>
          <w:p w14:paraId="0BE3C209" w14:textId="77777777" w:rsidR="00174605" w:rsidRDefault="00174605">
            <w:pPr>
              <w:jc w:val="left"/>
            </w:pPr>
          </w:p>
          <w:p w14:paraId="3B978206" w14:textId="77777777" w:rsidR="00174605" w:rsidRDefault="00174605">
            <w:pPr>
              <w:jc w:val="left"/>
            </w:pPr>
          </w:p>
          <w:p w14:paraId="3E640735" w14:textId="77777777" w:rsidR="00174605" w:rsidRDefault="00174605">
            <w:pPr>
              <w:jc w:val="left"/>
            </w:pPr>
          </w:p>
          <w:p w14:paraId="1E754CBB" w14:textId="77777777" w:rsidR="00174605" w:rsidRDefault="00C8536B">
            <w:pPr>
              <w:jc w:val="left"/>
            </w:pPr>
            <w:r>
              <w:t>4,1</w:t>
            </w:r>
          </w:p>
        </w:tc>
        <w:tc>
          <w:tcPr>
            <w:tcW w:w="851" w:type="dxa"/>
          </w:tcPr>
          <w:p w14:paraId="150D588F" w14:textId="77777777" w:rsidR="00174605" w:rsidRDefault="00174605">
            <w:pPr>
              <w:jc w:val="left"/>
            </w:pPr>
          </w:p>
          <w:p w14:paraId="3C0B2963" w14:textId="77777777" w:rsidR="00174605" w:rsidRDefault="00174605">
            <w:pPr>
              <w:jc w:val="left"/>
            </w:pPr>
          </w:p>
          <w:p w14:paraId="133F80BA" w14:textId="77777777" w:rsidR="00174605" w:rsidRDefault="00174605">
            <w:pPr>
              <w:jc w:val="left"/>
            </w:pPr>
          </w:p>
          <w:p w14:paraId="063A172C" w14:textId="77777777" w:rsidR="00174605" w:rsidRDefault="00174605">
            <w:pPr>
              <w:jc w:val="left"/>
            </w:pPr>
          </w:p>
          <w:p w14:paraId="7D979DEA" w14:textId="77777777" w:rsidR="00174605" w:rsidRDefault="00C8536B">
            <w:pPr>
              <w:jc w:val="left"/>
            </w:pPr>
            <w:r>
              <w:t>851 (11,6)</w:t>
            </w:r>
          </w:p>
        </w:tc>
        <w:tc>
          <w:tcPr>
            <w:tcW w:w="1276" w:type="dxa"/>
          </w:tcPr>
          <w:p w14:paraId="3C921D48" w14:textId="77777777" w:rsidR="00174605" w:rsidRDefault="00174605">
            <w:pPr>
              <w:jc w:val="left"/>
            </w:pPr>
          </w:p>
          <w:p w14:paraId="4C7A35FC" w14:textId="77777777" w:rsidR="00174605" w:rsidRDefault="00174605">
            <w:pPr>
              <w:jc w:val="left"/>
            </w:pPr>
          </w:p>
          <w:p w14:paraId="0775F4CB" w14:textId="77777777" w:rsidR="00174605" w:rsidRDefault="00174605">
            <w:pPr>
              <w:jc w:val="left"/>
            </w:pPr>
          </w:p>
          <w:p w14:paraId="533CC6F8" w14:textId="77777777" w:rsidR="00174605" w:rsidRDefault="00174605">
            <w:pPr>
              <w:jc w:val="left"/>
            </w:pPr>
          </w:p>
          <w:p w14:paraId="5DA9ECE9" w14:textId="77777777" w:rsidR="00174605" w:rsidRDefault="00C8536B">
            <w:pPr>
              <w:jc w:val="left"/>
            </w:pPr>
            <w:r>
              <w:t>4,2</w:t>
            </w:r>
          </w:p>
        </w:tc>
        <w:tc>
          <w:tcPr>
            <w:tcW w:w="1275" w:type="dxa"/>
            <w:vMerge/>
          </w:tcPr>
          <w:p w14:paraId="5AF29829" w14:textId="77777777" w:rsidR="00174605" w:rsidRDefault="00174605">
            <w:pPr>
              <w:jc w:val="left"/>
            </w:pPr>
          </w:p>
        </w:tc>
        <w:tc>
          <w:tcPr>
            <w:tcW w:w="993" w:type="dxa"/>
            <w:vMerge/>
          </w:tcPr>
          <w:p w14:paraId="27C43DDB" w14:textId="77777777" w:rsidR="00174605" w:rsidRDefault="00174605">
            <w:pPr>
              <w:jc w:val="left"/>
            </w:pPr>
          </w:p>
        </w:tc>
      </w:tr>
      <w:tr w:rsidR="00174605" w14:paraId="0E53D753" w14:textId="77777777">
        <w:tc>
          <w:tcPr>
            <w:tcW w:w="2802" w:type="dxa"/>
          </w:tcPr>
          <w:p w14:paraId="59B19E18" w14:textId="77777777" w:rsidR="00174605" w:rsidRDefault="00C8536B">
            <w:pPr>
              <w:widowControl/>
              <w:jc w:val="left"/>
              <w:rPr>
                <w:rFonts w:eastAsia="TimesNewRoman,Bold"/>
                <w:b/>
                <w:bCs/>
              </w:rPr>
            </w:pPr>
            <w:r>
              <w:rPr>
                <w:rFonts w:eastAsia="TimesNewRoman,Bold"/>
                <w:b/>
                <w:bCs/>
              </w:rPr>
              <w:t>Másodlagos összetett végpont</w:t>
            </w:r>
          </w:p>
          <w:p w14:paraId="0E0AF08A" w14:textId="77777777" w:rsidR="00174605" w:rsidRDefault="00C8536B">
            <w:pPr>
              <w:widowControl/>
              <w:jc w:val="left"/>
              <w:rPr>
                <w:rFonts w:eastAsia="TimesNewRoman,Bold"/>
              </w:rPr>
            </w:pPr>
            <w:r>
              <w:rPr>
                <w:rFonts w:eastAsia="TimesNewRoman,Bold"/>
              </w:rPr>
              <w:t>(</w:t>
            </w:r>
            <w:proofErr w:type="spellStart"/>
            <w:r>
              <w:rPr>
                <w:rFonts w:eastAsia="TimesNewRoman,Bold"/>
              </w:rPr>
              <w:t>Cardiovascularis</w:t>
            </w:r>
            <w:proofErr w:type="spellEnd"/>
            <w:r>
              <w:rPr>
                <w:rFonts w:eastAsia="TimesNewRoman,Bold"/>
              </w:rPr>
              <w:t xml:space="preserve"> halálozás, nem halálos kimenetelű </w:t>
            </w:r>
            <w:proofErr w:type="spellStart"/>
            <w:r>
              <w:rPr>
                <w:rFonts w:eastAsia="TimesNewRoman,Bold"/>
              </w:rPr>
              <w:t>myocardialis</w:t>
            </w:r>
            <w:proofErr w:type="spellEnd"/>
            <w:r>
              <w:rPr>
                <w:rFonts w:eastAsia="TimesNewRoman,Bold"/>
              </w:rPr>
              <w:t xml:space="preserve"> </w:t>
            </w:r>
            <w:proofErr w:type="spellStart"/>
            <w:r>
              <w:rPr>
                <w:rFonts w:eastAsia="TimesNewRoman,Bold"/>
              </w:rPr>
              <w:t>infarctus</w:t>
            </w:r>
            <w:proofErr w:type="spellEnd"/>
            <w:r>
              <w:rPr>
                <w:rFonts w:eastAsia="TimesNewRoman,Bold"/>
              </w:rPr>
              <w:t xml:space="preserve"> vagy nem halálos kimenetelű stroke)</w:t>
            </w:r>
          </w:p>
        </w:tc>
        <w:tc>
          <w:tcPr>
            <w:tcW w:w="992" w:type="dxa"/>
          </w:tcPr>
          <w:p w14:paraId="54BA8E3C" w14:textId="77777777" w:rsidR="00174605" w:rsidRDefault="00174605">
            <w:pPr>
              <w:jc w:val="left"/>
            </w:pPr>
          </w:p>
          <w:p w14:paraId="13EF852B" w14:textId="77777777" w:rsidR="00174605" w:rsidRDefault="00174605">
            <w:pPr>
              <w:jc w:val="left"/>
            </w:pPr>
          </w:p>
          <w:p w14:paraId="66D46F47" w14:textId="77777777" w:rsidR="00174605" w:rsidRDefault="00174605">
            <w:pPr>
              <w:jc w:val="left"/>
            </w:pPr>
          </w:p>
          <w:p w14:paraId="7EBDDA85" w14:textId="77777777" w:rsidR="00174605" w:rsidRDefault="00174605">
            <w:pPr>
              <w:jc w:val="left"/>
            </w:pPr>
          </w:p>
          <w:p w14:paraId="54751774" w14:textId="77777777" w:rsidR="00174605" w:rsidRDefault="00C8536B">
            <w:pPr>
              <w:jc w:val="left"/>
            </w:pPr>
            <w:r>
              <w:t>745 (10,2)</w:t>
            </w:r>
          </w:p>
        </w:tc>
        <w:tc>
          <w:tcPr>
            <w:tcW w:w="1417" w:type="dxa"/>
          </w:tcPr>
          <w:p w14:paraId="2B118FCA" w14:textId="77777777" w:rsidR="00174605" w:rsidRDefault="00174605">
            <w:pPr>
              <w:jc w:val="left"/>
            </w:pPr>
          </w:p>
          <w:p w14:paraId="5BC5F945" w14:textId="77777777" w:rsidR="00174605" w:rsidRDefault="00174605">
            <w:pPr>
              <w:jc w:val="left"/>
            </w:pPr>
          </w:p>
          <w:p w14:paraId="54F8B172" w14:textId="77777777" w:rsidR="00174605" w:rsidRDefault="00174605">
            <w:pPr>
              <w:jc w:val="left"/>
            </w:pPr>
          </w:p>
          <w:p w14:paraId="63BC3309" w14:textId="77777777" w:rsidR="00174605" w:rsidRDefault="00174605">
            <w:pPr>
              <w:jc w:val="left"/>
            </w:pPr>
          </w:p>
          <w:p w14:paraId="45FECB31" w14:textId="77777777" w:rsidR="00174605" w:rsidRDefault="00C8536B">
            <w:pPr>
              <w:jc w:val="left"/>
            </w:pPr>
            <w:r>
              <w:t>3,6</w:t>
            </w:r>
          </w:p>
        </w:tc>
        <w:tc>
          <w:tcPr>
            <w:tcW w:w="851" w:type="dxa"/>
          </w:tcPr>
          <w:p w14:paraId="5AC5F85B" w14:textId="77777777" w:rsidR="00174605" w:rsidRDefault="00174605">
            <w:pPr>
              <w:jc w:val="left"/>
            </w:pPr>
          </w:p>
          <w:p w14:paraId="77D5A7ED" w14:textId="77777777" w:rsidR="00174605" w:rsidRDefault="00174605">
            <w:pPr>
              <w:jc w:val="left"/>
            </w:pPr>
          </w:p>
          <w:p w14:paraId="5A982C60" w14:textId="77777777" w:rsidR="00174605" w:rsidRDefault="00174605">
            <w:pPr>
              <w:jc w:val="left"/>
            </w:pPr>
          </w:p>
          <w:p w14:paraId="1AEB53B1" w14:textId="77777777" w:rsidR="00174605" w:rsidRDefault="00174605">
            <w:pPr>
              <w:jc w:val="left"/>
            </w:pPr>
          </w:p>
          <w:p w14:paraId="50F66798" w14:textId="77777777" w:rsidR="00174605" w:rsidRDefault="00C8536B">
            <w:pPr>
              <w:jc w:val="left"/>
            </w:pPr>
            <w:r>
              <w:t>746 (10,2)</w:t>
            </w:r>
          </w:p>
        </w:tc>
        <w:tc>
          <w:tcPr>
            <w:tcW w:w="1276" w:type="dxa"/>
          </w:tcPr>
          <w:p w14:paraId="17F11833" w14:textId="77777777" w:rsidR="00174605" w:rsidRDefault="00174605">
            <w:pPr>
              <w:jc w:val="left"/>
            </w:pPr>
          </w:p>
          <w:p w14:paraId="173A182C" w14:textId="77777777" w:rsidR="00174605" w:rsidRDefault="00174605">
            <w:pPr>
              <w:jc w:val="left"/>
            </w:pPr>
          </w:p>
          <w:p w14:paraId="2ABE19F1" w14:textId="77777777" w:rsidR="00174605" w:rsidRDefault="00174605">
            <w:pPr>
              <w:jc w:val="left"/>
            </w:pPr>
          </w:p>
          <w:p w14:paraId="59F5F0BD" w14:textId="77777777" w:rsidR="00174605" w:rsidRDefault="00174605">
            <w:pPr>
              <w:jc w:val="left"/>
            </w:pPr>
          </w:p>
          <w:p w14:paraId="4B2179B9" w14:textId="77777777" w:rsidR="00174605" w:rsidRDefault="00C8536B">
            <w:pPr>
              <w:jc w:val="left"/>
            </w:pPr>
            <w:r>
              <w:t>3,6</w:t>
            </w:r>
          </w:p>
        </w:tc>
        <w:tc>
          <w:tcPr>
            <w:tcW w:w="1275" w:type="dxa"/>
          </w:tcPr>
          <w:p w14:paraId="5E4779BC" w14:textId="77777777" w:rsidR="00174605" w:rsidRDefault="00174605">
            <w:pPr>
              <w:jc w:val="left"/>
            </w:pPr>
          </w:p>
          <w:p w14:paraId="7715FEBB" w14:textId="77777777" w:rsidR="00174605" w:rsidRDefault="00174605">
            <w:pPr>
              <w:jc w:val="left"/>
            </w:pPr>
          </w:p>
          <w:p w14:paraId="21DA392E" w14:textId="77777777" w:rsidR="00174605" w:rsidRDefault="00174605">
            <w:pPr>
              <w:jc w:val="left"/>
            </w:pPr>
          </w:p>
          <w:p w14:paraId="4BD06D41" w14:textId="77777777" w:rsidR="00174605" w:rsidRDefault="00174605">
            <w:pPr>
              <w:jc w:val="left"/>
            </w:pPr>
          </w:p>
          <w:p w14:paraId="15FC44C3" w14:textId="77777777" w:rsidR="00174605" w:rsidRDefault="00C8536B">
            <w:pPr>
              <w:jc w:val="left"/>
            </w:pPr>
            <w:r>
              <w:t>0,99 (0,89–1,10)</w:t>
            </w:r>
          </w:p>
        </w:tc>
        <w:tc>
          <w:tcPr>
            <w:tcW w:w="993" w:type="dxa"/>
          </w:tcPr>
          <w:p w14:paraId="09E6A0C5" w14:textId="77777777" w:rsidR="00174605" w:rsidRDefault="00174605">
            <w:pPr>
              <w:jc w:val="left"/>
            </w:pPr>
          </w:p>
          <w:p w14:paraId="6FB25452" w14:textId="77777777" w:rsidR="00174605" w:rsidRDefault="00174605">
            <w:pPr>
              <w:jc w:val="left"/>
            </w:pPr>
          </w:p>
          <w:p w14:paraId="2759B4D1" w14:textId="77777777" w:rsidR="00174605" w:rsidRDefault="00174605">
            <w:pPr>
              <w:jc w:val="left"/>
            </w:pPr>
          </w:p>
          <w:p w14:paraId="377A8679" w14:textId="77777777" w:rsidR="00174605" w:rsidRDefault="00174605">
            <w:pPr>
              <w:jc w:val="left"/>
            </w:pPr>
          </w:p>
          <w:p w14:paraId="7285B3E9" w14:textId="77777777" w:rsidR="00174605" w:rsidRDefault="00C8536B">
            <w:pPr>
              <w:jc w:val="left"/>
            </w:pPr>
            <w:r>
              <w:t>&lt;0,001</w:t>
            </w:r>
          </w:p>
        </w:tc>
      </w:tr>
      <w:tr w:rsidR="00174605" w14:paraId="3FD617D4" w14:textId="77777777">
        <w:tc>
          <w:tcPr>
            <w:tcW w:w="9606" w:type="dxa"/>
            <w:gridSpan w:val="7"/>
          </w:tcPr>
          <w:p w14:paraId="4178515C" w14:textId="77777777" w:rsidR="00174605" w:rsidRDefault="00C8536B">
            <w:pPr>
              <w:jc w:val="left"/>
              <w:rPr>
                <w:b/>
              </w:rPr>
            </w:pPr>
            <w:r>
              <w:rPr>
                <w:rFonts w:eastAsia="TimesNewRoman,Bold"/>
                <w:b/>
                <w:bCs/>
              </w:rPr>
              <w:t>Másodlagos végpont</w:t>
            </w:r>
          </w:p>
        </w:tc>
      </w:tr>
      <w:tr w:rsidR="00174605" w14:paraId="18F60783" w14:textId="77777777">
        <w:tc>
          <w:tcPr>
            <w:tcW w:w="2802" w:type="dxa"/>
          </w:tcPr>
          <w:p w14:paraId="135CFEF4" w14:textId="77777777" w:rsidR="00174605" w:rsidRDefault="00C8536B">
            <w:pPr>
              <w:jc w:val="left"/>
            </w:pPr>
            <w:proofErr w:type="spellStart"/>
            <w:r>
              <w:t>Cardiovascularis</w:t>
            </w:r>
            <w:proofErr w:type="spellEnd"/>
            <w:r>
              <w:t xml:space="preserve"> halálozás</w:t>
            </w:r>
          </w:p>
        </w:tc>
        <w:tc>
          <w:tcPr>
            <w:tcW w:w="992" w:type="dxa"/>
          </w:tcPr>
          <w:p w14:paraId="71AD8F6F" w14:textId="77777777" w:rsidR="00174605" w:rsidRDefault="00C8536B">
            <w:pPr>
              <w:jc w:val="left"/>
            </w:pPr>
            <w:r>
              <w:t>380 (5,2)</w:t>
            </w:r>
          </w:p>
        </w:tc>
        <w:tc>
          <w:tcPr>
            <w:tcW w:w="1417" w:type="dxa"/>
          </w:tcPr>
          <w:p w14:paraId="2A648964" w14:textId="77777777" w:rsidR="00174605" w:rsidRDefault="00C8536B">
            <w:pPr>
              <w:jc w:val="left"/>
            </w:pPr>
            <w:r>
              <w:t>1,7</w:t>
            </w:r>
          </w:p>
        </w:tc>
        <w:tc>
          <w:tcPr>
            <w:tcW w:w="851" w:type="dxa"/>
          </w:tcPr>
          <w:p w14:paraId="6DF782BD" w14:textId="77777777" w:rsidR="00174605" w:rsidRDefault="00C8536B">
            <w:pPr>
              <w:jc w:val="left"/>
            </w:pPr>
            <w:r>
              <w:t>366 (5,0)</w:t>
            </w:r>
          </w:p>
        </w:tc>
        <w:tc>
          <w:tcPr>
            <w:tcW w:w="1276" w:type="dxa"/>
          </w:tcPr>
          <w:p w14:paraId="4B5F7C74" w14:textId="77777777" w:rsidR="00174605" w:rsidRDefault="00C8536B">
            <w:pPr>
              <w:jc w:val="left"/>
            </w:pPr>
            <w:r>
              <w:t>1,7</w:t>
            </w:r>
          </w:p>
        </w:tc>
        <w:tc>
          <w:tcPr>
            <w:tcW w:w="1275" w:type="dxa"/>
          </w:tcPr>
          <w:p w14:paraId="29364848" w14:textId="77777777" w:rsidR="00174605" w:rsidRDefault="00C8536B">
            <w:pPr>
              <w:jc w:val="left"/>
            </w:pPr>
            <w:r>
              <w:t>1,03 (0,89-1,19)</w:t>
            </w:r>
          </w:p>
        </w:tc>
        <w:tc>
          <w:tcPr>
            <w:tcW w:w="993" w:type="dxa"/>
          </w:tcPr>
          <w:p w14:paraId="227FB957" w14:textId="77777777" w:rsidR="00174605" w:rsidRDefault="00C8536B">
            <w:pPr>
              <w:jc w:val="left"/>
            </w:pPr>
            <w:r>
              <w:t>0,711</w:t>
            </w:r>
          </w:p>
        </w:tc>
      </w:tr>
      <w:tr w:rsidR="00174605" w14:paraId="7A306463" w14:textId="77777777">
        <w:tc>
          <w:tcPr>
            <w:tcW w:w="2802" w:type="dxa"/>
          </w:tcPr>
          <w:p w14:paraId="318AFC51" w14:textId="77777777" w:rsidR="00174605" w:rsidRDefault="00C8536B">
            <w:pPr>
              <w:widowControl/>
              <w:jc w:val="left"/>
            </w:pPr>
            <w:r>
              <w:t xml:space="preserve">Összes </w:t>
            </w:r>
            <w:proofErr w:type="spellStart"/>
            <w:r>
              <w:t>myocardialis</w:t>
            </w:r>
            <w:proofErr w:type="spellEnd"/>
            <w:r>
              <w:t xml:space="preserve"> </w:t>
            </w:r>
            <w:proofErr w:type="spellStart"/>
            <w:r>
              <w:t>infarctus</w:t>
            </w:r>
            <w:proofErr w:type="spellEnd"/>
            <w:r>
              <w:t xml:space="preserve"> (halálos és nem halálos)</w:t>
            </w:r>
          </w:p>
        </w:tc>
        <w:tc>
          <w:tcPr>
            <w:tcW w:w="992" w:type="dxa"/>
          </w:tcPr>
          <w:p w14:paraId="3BFE6D18" w14:textId="77777777" w:rsidR="00174605" w:rsidRDefault="00174605">
            <w:pPr>
              <w:jc w:val="left"/>
            </w:pPr>
          </w:p>
          <w:p w14:paraId="2AABF801" w14:textId="77777777" w:rsidR="00174605" w:rsidRDefault="00C8536B">
            <w:pPr>
              <w:jc w:val="left"/>
            </w:pPr>
            <w:r>
              <w:t>300 (4,1)</w:t>
            </w:r>
          </w:p>
        </w:tc>
        <w:tc>
          <w:tcPr>
            <w:tcW w:w="1417" w:type="dxa"/>
          </w:tcPr>
          <w:p w14:paraId="22560061" w14:textId="77777777" w:rsidR="00174605" w:rsidRDefault="00174605">
            <w:pPr>
              <w:jc w:val="left"/>
            </w:pPr>
          </w:p>
          <w:p w14:paraId="58593DB0" w14:textId="77777777" w:rsidR="00174605" w:rsidRDefault="00C8536B">
            <w:pPr>
              <w:jc w:val="left"/>
            </w:pPr>
            <w:r>
              <w:t>1,4</w:t>
            </w:r>
          </w:p>
        </w:tc>
        <w:tc>
          <w:tcPr>
            <w:tcW w:w="851" w:type="dxa"/>
          </w:tcPr>
          <w:p w14:paraId="72A06878" w14:textId="77777777" w:rsidR="00174605" w:rsidRDefault="00174605">
            <w:pPr>
              <w:jc w:val="left"/>
            </w:pPr>
          </w:p>
          <w:p w14:paraId="0ED4B424" w14:textId="77777777" w:rsidR="00174605" w:rsidRDefault="00C8536B">
            <w:pPr>
              <w:jc w:val="left"/>
            </w:pPr>
            <w:r>
              <w:t>316 (4,3)</w:t>
            </w:r>
          </w:p>
        </w:tc>
        <w:tc>
          <w:tcPr>
            <w:tcW w:w="1276" w:type="dxa"/>
          </w:tcPr>
          <w:p w14:paraId="110F75F7" w14:textId="77777777" w:rsidR="00174605" w:rsidRDefault="00174605">
            <w:pPr>
              <w:jc w:val="left"/>
            </w:pPr>
          </w:p>
          <w:p w14:paraId="192D30A4" w14:textId="77777777" w:rsidR="00174605" w:rsidRDefault="00C8536B">
            <w:pPr>
              <w:jc w:val="left"/>
            </w:pPr>
            <w:r>
              <w:t>1,5</w:t>
            </w:r>
          </w:p>
        </w:tc>
        <w:tc>
          <w:tcPr>
            <w:tcW w:w="1275" w:type="dxa"/>
          </w:tcPr>
          <w:p w14:paraId="75AFC7FC" w14:textId="77777777" w:rsidR="00174605" w:rsidRDefault="00174605">
            <w:pPr>
              <w:jc w:val="left"/>
            </w:pPr>
          </w:p>
          <w:p w14:paraId="73980887" w14:textId="77777777" w:rsidR="00174605" w:rsidRDefault="00C8536B">
            <w:pPr>
              <w:jc w:val="left"/>
            </w:pPr>
            <w:r>
              <w:t>0,95 (0,81–1,11)</w:t>
            </w:r>
          </w:p>
        </w:tc>
        <w:tc>
          <w:tcPr>
            <w:tcW w:w="993" w:type="dxa"/>
          </w:tcPr>
          <w:p w14:paraId="2A8C1828" w14:textId="77777777" w:rsidR="00174605" w:rsidRDefault="00174605">
            <w:pPr>
              <w:jc w:val="left"/>
            </w:pPr>
          </w:p>
          <w:p w14:paraId="5B878CC6" w14:textId="77777777" w:rsidR="00174605" w:rsidRDefault="00C8536B">
            <w:pPr>
              <w:jc w:val="left"/>
            </w:pPr>
            <w:r>
              <w:t>0,487</w:t>
            </w:r>
          </w:p>
        </w:tc>
      </w:tr>
      <w:tr w:rsidR="00174605" w14:paraId="413BA466" w14:textId="77777777">
        <w:tc>
          <w:tcPr>
            <w:tcW w:w="2802" w:type="dxa"/>
          </w:tcPr>
          <w:p w14:paraId="2D882FB7" w14:textId="77777777" w:rsidR="00174605" w:rsidRDefault="00C8536B">
            <w:pPr>
              <w:widowControl/>
              <w:jc w:val="left"/>
            </w:pPr>
            <w:r>
              <w:t>Összes stroke (halálos és nem halálos)</w:t>
            </w:r>
          </w:p>
        </w:tc>
        <w:tc>
          <w:tcPr>
            <w:tcW w:w="992" w:type="dxa"/>
          </w:tcPr>
          <w:p w14:paraId="5C9B3BCC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 xml:space="preserve">178 (2,4) </w:t>
            </w:r>
          </w:p>
        </w:tc>
        <w:tc>
          <w:tcPr>
            <w:tcW w:w="1417" w:type="dxa"/>
          </w:tcPr>
          <w:p w14:paraId="4A51E36A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0,8</w:t>
            </w:r>
          </w:p>
        </w:tc>
        <w:tc>
          <w:tcPr>
            <w:tcW w:w="851" w:type="dxa"/>
          </w:tcPr>
          <w:p w14:paraId="428E3F56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183 (2,5)</w:t>
            </w:r>
          </w:p>
        </w:tc>
        <w:tc>
          <w:tcPr>
            <w:tcW w:w="1276" w:type="dxa"/>
          </w:tcPr>
          <w:p w14:paraId="66209A4F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0,9</w:t>
            </w:r>
          </w:p>
        </w:tc>
        <w:tc>
          <w:tcPr>
            <w:tcW w:w="1275" w:type="dxa"/>
          </w:tcPr>
          <w:p w14:paraId="0BCCC143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0,97 (0,79–1,19)</w:t>
            </w:r>
          </w:p>
        </w:tc>
        <w:tc>
          <w:tcPr>
            <w:tcW w:w="993" w:type="dxa"/>
          </w:tcPr>
          <w:p w14:paraId="491EE4C8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0,760</w:t>
            </w:r>
          </w:p>
        </w:tc>
      </w:tr>
      <w:tr w:rsidR="00174605" w14:paraId="339BCE74" w14:textId="77777777">
        <w:tc>
          <w:tcPr>
            <w:tcW w:w="2802" w:type="dxa"/>
          </w:tcPr>
          <w:p w14:paraId="281EAB6E" w14:textId="77777777" w:rsidR="00174605" w:rsidRDefault="00C8536B">
            <w:pPr>
              <w:widowControl/>
              <w:jc w:val="left"/>
            </w:pPr>
            <w:r>
              <w:t xml:space="preserve">Instabil angina miatti </w:t>
            </w:r>
            <w:proofErr w:type="spellStart"/>
            <w:r>
              <w:t>hospitalizáció</w:t>
            </w:r>
            <w:proofErr w:type="spellEnd"/>
          </w:p>
        </w:tc>
        <w:tc>
          <w:tcPr>
            <w:tcW w:w="992" w:type="dxa"/>
          </w:tcPr>
          <w:p w14:paraId="3BA374A7" w14:textId="77777777" w:rsidR="00174605" w:rsidRDefault="00174605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</w:p>
          <w:p w14:paraId="08BEEE68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116 (1,6)</w:t>
            </w:r>
          </w:p>
        </w:tc>
        <w:tc>
          <w:tcPr>
            <w:tcW w:w="1417" w:type="dxa"/>
          </w:tcPr>
          <w:p w14:paraId="1FCCC70D" w14:textId="77777777" w:rsidR="00174605" w:rsidRDefault="00174605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</w:p>
          <w:p w14:paraId="0DFD0B34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0,5</w:t>
            </w:r>
          </w:p>
        </w:tc>
        <w:tc>
          <w:tcPr>
            <w:tcW w:w="851" w:type="dxa"/>
          </w:tcPr>
          <w:p w14:paraId="3FA37653" w14:textId="77777777" w:rsidR="00174605" w:rsidRDefault="00174605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</w:p>
          <w:p w14:paraId="7CFF1CF9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129 (1,8)</w:t>
            </w:r>
          </w:p>
        </w:tc>
        <w:tc>
          <w:tcPr>
            <w:tcW w:w="1276" w:type="dxa"/>
          </w:tcPr>
          <w:p w14:paraId="62077FF4" w14:textId="77777777" w:rsidR="00174605" w:rsidRDefault="00174605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</w:p>
          <w:p w14:paraId="54C4AB73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0,6</w:t>
            </w:r>
          </w:p>
        </w:tc>
        <w:tc>
          <w:tcPr>
            <w:tcW w:w="1275" w:type="dxa"/>
          </w:tcPr>
          <w:p w14:paraId="17F245A1" w14:textId="77777777" w:rsidR="00174605" w:rsidRDefault="00174605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</w:p>
          <w:p w14:paraId="4465E5B7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0,90 (0,70–1,16)</w:t>
            </w:r>
          </w:p>
        </w:tc>
        <w:tc>
          <w:tcPr>
            <w:tcW w:w="993" w:type="dxa"/>
          </w:tcPr>
          <w:p w14:paraId="142A681D" w14:textId="77777777" w:rsidR="00174605" w:rsidRDefault="00174605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</w:p>
          <w:p w14:paraId="39E8D0B7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0,419</w:t>
            </w:r>
          </w:p>
        </w:tc>
      </w:tr>
      <w:tr w:rsidR="00174605" w14:paraId="52497D39" w14:textId="77777777">
        <w:tc>
          <w:tcPr>
            <w:tcW w:w="2802" w:type="dxa"/>
          </w:tcPr>
          <w:p w14:paraId="7B4C0709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proofErr w:type="spellStart"/>
            <w:r>
              <w:t>Összhalálozás</w:t>
            </w:r>
            <w:proofErr w:type="spellEnd"/>
          </w:p>
        </w:tc>
        <w:tc>
          <w:tcPr>
            <w:tcW w:w="992" w:type="dxa"/>
          </w:tcPr>
          <w:p w14:paraId="2EB6EEBD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547 (7,5)</w:t>
            </w:r>
          </w:p>
        </w:tc>
        <w:tc>
          <w:tcPr>
            <w:tcW w:w="1417" w:type="dxa"/>
          </w:tcPr>
          <w:p w14:paraId="3AF195E9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2,5</w:t>
            </w:r>
          </w:p>
        </w:tc>
        <w:tc>
          <w:tcPr>
            <w:tcW w:w="851" w:type="dxa"/>
          </w:tcPr>
          <w:p w14:paraId="6110EFE6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537 (7,3)</w:t>
            </w:r>
          </w:p>
        </w:tc>
        <w:tc>
          <w:tcPr>
            <w:tcW w:w="1276" w:type="dxa"/>
          </w:tcPr>
          <w:p w14:paraId="61D025BE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2,5</w:t>
            </w:r>
          </w:p>
        </w:tc>
        <w:tc>
          <w:tcPr>
            <w:tcW w:w="1275" w:type="dxa"/>
          </w:tcPr>
          <w:p w14:paraId="0944C60A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1,01 (0,90–1,14)</w:t>
            </w:r>
          </w:p>
        </w:tc>
        <w:tc>
          <w:tcPr>
            <w:tcW w:w="993" w:type="dxa"/>
          </w:tcPr>
          <w:p w14:paraId="2E6E2335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0,875</w:t>
            </w:r>
          </w:p>
        </w:tc>
      </w:tr>
      <w:tr w:rsidR="00174605" w14:paraId="26CB7CA9" w14:textId="77777777">
        <w:tc>
          <w:tcPr>
            <w:tcW w:w="2802" w:type="dxa"/>
          </w:tcPr>
          <w:p w14:paraId="6855CCCB" w14:textId="77777777" w:rsidR="00174605" w:rsidRDefault="00C8536B">
            <w:pPr>
              <w:widowControl/>
              <w:jc w:val="left"/>
            </w:pPr>
            <w:r>
              <w:lastRenderedPageBreak/>
              <w:t xml:space="preserve">Szívelégtelenség miatti </w:t>
            </w:r>
            <w:proofErr w:type="spellStart"/>
            <w:r>
              <w:t>hospitalizáció</w:t>
            </w:r>
            <w:proofErr w:type="spellEnd"/>
            <w:r>
              <w:rPr>
                <w:vertAlign w:val="superscript"/>
              </w:rPr>
              <w:t>‡</w:t>
            </w:r>
          </w:p>
        </w:tc>
        <w:tc>
          <w:tcPr>
            <w:tcW w:w="992" w:type="dxa"/>
          </w:tcPr>
          <w:p w14:paraId="3E9E86D3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228 (3,1)</w:t>
            </w:r>
          </w:p>
        </w:tc>
        <w:tc>
          <w:tcPr>
            <w:tcW w:w="1417" w:type="dxa"/>
          </w:tcPr>
          <w:p w14:paraId="62A728E3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1,1</w:t>
            </w:r>
          </w:p>
        </w:tc>
        <w:tc>
          <w:tcPr>
            <w:tcW w:w="851" w:type="dxa"/>
          </w:tcPr>
          <w:p w14:paraId="41D87D4F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  <w:rPr>
                <w:highlight w:val="yellow"/>
                <w:u w:val="single"/>
                <w:lang w:val="en-GB" w:eastAsia="en-US"/>
              </w:rPr>
            </w:pPr>
            <w:r>
              <w:t>229 (3,1)</w:t>
            </w:r>
          </w:p>
        </w:tc>
        <w:tc>
          <w:tcPr>
            <w:tcW w:w="1276" w:type="dxa"/>
          </w:tcPr>
          <w:p w14:paraId="294C084E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1,1</w:t>
            </w:r>
          </w:p>
        </w:tc>
        <w:tc>
          <w:tcPr>
            <w:tcW w:w="1275" w:type="dxa"/>
          </w:tcPr>
          <w:p w14:paraId="64E7728C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1,00 (0,83–1,20)</w:t>
            </w:r>
          </w:p>
        </w:tc>
        <w:tc>
          <w:tcPr>
            <w:tcW w:w="993" w:type="dxa"/>
          </w:tcPr>
          <w:p w14:paraId="1E225960" w14:textId="77777777" w:rsidR="00174605" w:rsidRDefault="00C8536B">
            <w:pPr>
              <w:numPr>
                <w:ilvl w:val="12"/>
                <w:numId w:val="0"/>
              </w:numPr>
              <w:tabs>
                <w:tab w:val="left" w:pos="567"/>
              </w:tabs>
              <w:spacing w:line="260" w:lineRule="exact"/>
              <w:ind w:right="-2"/>
              <w:jc w:val="left"/>
            </w:pPr>
            <w:r>
              <w:t>0,983</w:t>
            </w:r>
          </w:p>
        </w:tc>
      </w:tr>
    </w:tbl>
    <w:p w14:paraId="677A2F7E" w14:textId="77777777" w:rsidR="00174605" w:rsidRDefault="00C8536B">
      <w:pPr>
        <w:widowControl/>
        <w:jc w:val="left"/>
      </w:pPr>
      <w:r>
        <w:rPr>
          <w:vertAlign w:val="superscript"/>
        </w:rPr>
        <w:t>*</w:t>
      </w:r>
      <w:r>
        <w:t xml:space="preserve"> A 100 betegévre vonatkozó előfordulási arány kiszámítása: 100 × (a beszámítható expozíciós időszak során ≥ 1 eseményt elérő betegek összesített száma elosztva a követés összes betegévének számával).</w:t>
      </w:r>
    </w:p>
    <w:p w14:paraId="557CD548" w14:textId="77777777" w:rsidR="00174605" w:rsidRDefault="00C8536B">
      <w:pPr>
        <w:widowControl/>
        <w:jc w:val="left"/>
      </w:pPr>
      <w:r>
        <w:rPr>
          <w:vertAlign w:val="superscript"/>
        </w:rPr>
        <w:t>†</w:t>
      </w:r>
      <w:r>
        <w:t xml:space="preserve"> Egy régióra </w:t>
      </w:r>
      <w:proofErr w:type="spellStart"/>
      <w:r>
        <w:t>stratifikált</w:t>
      </w:r>
      <w:proofErr w:type="spellEnd"/>
      <w:r>
        <w:t xml:space="preserve"> </w:t>
      </w:r>
      <w:proofErr w:type="spellStart"/>
      <w:r>
        <w:t>Cox</w:t>
      </w:r>
      <w:proofErr w:type="spellEnd"/>
      <w:r>
        <w:t xml:space="preserve"> modell alapján. Az összetett végpontoknál a p-értékek egy </w:t>
      </w:r>
      <w:proofErr w:type="gramStart"/>
      <w:r>
        <w:t>non-</w:t>
      </w:r>
      <w:proofErr w:type="spellStart"/>
      <w:r>
        <w:t>inferioritási</w:t>
      </w:r>
      <w:proofErr w:type="spellEnd"/>
      <w:proofErr w:type="gramEnd"/>
      <w:r>
        <w:t xml:space="preserve"> tesztnek felelnek meg, mely azt volt hivatott kimutatni, hogy a relatív hazárd 1,3-nél alacsonyabb. Az összes többi végpontnál a p-értékek a relatív hazárdok közötti különbségek tesztjének felelnek meg.</w:t>
      </w:r>
    </w:p>
    <w:p w14:paraId="310F0333" w14:textId="77777777" w:rsidR="00174605" w:rsidRDefault="00C8536B">
      <w:pPr>
        <w:widowControl/>
        <w:jc w:val="left"/>
      </w:pPr>
      <w:r>
        <w:rPr>
          <w:vertAlign w:val="superscript"/>
        </w:rPr>
        <w:t>‡</w:t>
      </w:r>
      <w:r>
        <w:t xml:space="preserve"> A szívelégtelenség miatti </w:t>
      </w:r>
      <w:proofErr w:type="spellStart"/>
      <w:r>
        <w:t>hospitalizáció</w:t>
      </w:r>
      <w:proofErr w:type="spellEnd"/>
      <w:r>
        <w:t xml:space="preserve"> elemzését a kiinduláskor a kórelőzményben fennálló szívelégtelenségre korrigálva végezték el.</w:t>
      </w:r>
    </w:p>
    <w:p w14:paraId="27FA7F6A" w14:textId="77777777" w:rsidR="00174605" w:rsidRDefault="00174605">
      <w:pPr>
        <w:widowControl/>
        <w:jc w:val="left"/>
        <w:rPr>
          <w:sz w:val="18"/>
          <w:szCs w:val="18"/>
        </w:rPr>
      </w:pPr>
    </w:p>
    <w:p w14:paraId="4FF6CEB6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Gyermekek és serdülők</w:t>
      </w:r>
    </w:p>
    <w:p w14:paraId="4A6507B7" w14:textId="77777777" w:rsidR="00174605" w:rsidRDefault="00C8536B">
      <w:pPr>
        <w:widowControl/>
        <w:jc w:val="left"/>
      </w:pPr>
      <w:r>
        <w:t xml:space="preserve">A naponta egyszer adott 100 mg </w:t>
      </w:r>
      <w:proofErr w:type="spellStart"/>
      <w:r>
        <w:t>szitagliptin</w:t>
      </w:r>
      <w:proofErr w:type="spellEnd"/>
      <w:r>
        <w:t xml:space="preserve"> hatásosságát és biztonságosságát egy 54 hetes, kettős vak vizsgálatban értékelték, 2-es típusú diabetesben szenvedő, 10–17 éves gyermekeknél és serdülőknél, akik legalább 12 hétig nem kaptak </w:t>
      </w:r>
      <w:proofErr w:type="spellStart"/>
      <w:r>
        <w:t>antihiperglikémiás</w:t>
      </w:r>
      <w:proofErr w:type="spellEnd"/>
      <w:r>
        <w:t xml:space="preserve"> kezelést (HbA1c: 6,5% – 10%) vagy legalább 12 hétig stabil dózisban kaptak inzulint (HbA1c: 7% – 10%). A betegek a </w:t>
      </w:r>
      <w:proofErr w:type="spellStart"/>
      <w:r>
        <w:t>randomizációt</w:t>
      </w:r>
      <w:proofErr w:type="spellEnd"/>
      <w:r>
        <w:t xml:space="preserve"> követően 20 héten át napi 100 mg </w:t>
      </w:r>
      <w:proofErr w:type="spellStart"/>
      <w:r>
        <w:t>szitagliptint</w:t>
      </w:r>
      <w:proofErr w:type="spellEnd"/>
      <w:r>
        <w:t xml:space="preserve"> vagy </w:t>
      </w:r>
      <w:proofErr w:type="spellStart"/>
      <w:r>
        <w:t>placebót</w:t>
      </w:r>
      <w:proofErr w:type="spellEnd"/>
      <w:r>
        <w:t xml:space="preserve"> kaptak.</w:t>
      </w:r>
    </w:p>
    <w:p w14:paraId="20E5CB07" w14:textId="77777777" w:rsidR="00174605" w:rsidRDefault="00174605">
      <w:pPr>
        <w:widowControl/>
        <w:jc w:val="left"/>
      </w:pPr>
    </w:p>
    <w:p w14:paraId="2AAA9353" w14:textId="77777777" w:rsidR="00174605" w:rsidRDefault="00C8536B">
      <w:pPr>
        <w:widowControl/>
        <w:jc w:val="left"/>
      </w:pPr>
      <w:r>
        <w:t>A vizsgálat elején az átlagos HbA</w:t>
      </w:r>
      <w:r>
        <w:rPr>
          <w:vertAlign w:val="subscript"/>
        </w:rPr>
        <w:t>1c</w:t>
      </w:r>
      <w:r>
        <w:t xml:space="preserve">-érték 7,5% volt. A 100 mg </w:t>
      </w:r>
      <w:proofErr w:type="spellStart"/>
      <w:r>
        <w:t>szitagliptinnel</w:t>
      </w:r>
      <w:proofErr w:type="spellEnd"/>
      <w:r>
        <w:t xml:space="preserve"> történő kezelés hatására a 20. héten nem mutatkozott jelentős javulás a HbA</w:t>
      </w:r>
      <w:r>
        <w:rPr>
          <w:vertAlign w:val="subscript"/>
        </w:rPr>
        <w:t>1c</w:t>
      </w:r>
      <w:r>
        <w:t xml:space="preserve"> vonatkozásában. A </w:t>
      </w:r>
      <w:proofErr w:type="spellStart"/>
      <w:r>
        <w:t>szitagliptinnel</w:t>
      </w:r>
      <w:proofErr w:type="spellEnd"/>
      <w:r>
        <w:t xml:space="preserve"> kezelt betegeknél (N = 95) a HbA</w:t>
      </w:r>
      <w:r>
        <w:rPr>
          <w:vertAlign w:val="subscript"/>
        </w:rPr>
        <w:t>1c</w:t>
      </w:r>
      <w:r>
        <w:t xml:space="preserve"> értékének csökkenése 0,0% volt, a </w:t>
      </w:r>
      <w:proofErr w:type="spellStart"/>
      <w:r>
        <w:t>placebóval</w:t>
      </w:r>
      <w:proofErr w:type="spellEnd"/>
      <w:r>
        <w:t xml:space="preserve"> kezelt betegeknél (N = 95) megfigyelt 0,2%-kal összehasonlítva, mely -0,2%-os különbség (95%-os CI: -0,7–0,3). Lásd 4.2 pont.</w:t>
      </w:r>
    </w:p>
    <w:p w14:paraId="6CE2B170" w14:textId="77777777" w:rsidR="00174605" w:rsidRDefault="00174605">
      <w:pPr>
        <w:jc w:val="left"/>
      </w:pPr>
    </w:p>
    <w:p w14:paraId="4FBE112B" w14:textId="77777777" w:rsidR="00174605" w:rsidRDefault="00C8536B">
      <w:pPr>
        <w:pStyle w:val="Cmsor2"/>
      </w:pPr>
      <w:r>
        <w:t>5.2</w:t>
      </w:r>
      <w:r>
        <w:tab/>
      </w:r>
      <w:proofErr w:type="spellStart"/>
      <w:r>
        <w:t>Farmakokinetikai</w:t>
      </w:r>
      <w:proofErr w:type="spellEnd"/>
      <w:r>
        <w:t xml:space="preserve"> tulajdonságok</w:t>
      </w:r>
    </w:p>
    <w:p w14:paraId="49A585A6" w14:textId="77777777" w:rsidR="00174605" w:rsidRDefault="00174605">
      <w:pPr>
        <w:jc w:val="left"/>
      </w:pPr>
    </w:p>
    <w:p w14:paraId="6E0501C6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Felszívódás</w:t>
      </w:r>
    </w:p>
    <w:p w14:paraId="51220C47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100 mg-os dózisa egészséges önkénteseknél az orális alkalmazást követően gyorsan felszívódott, és a dózis bevételét követő 1-4 órán belül érte el a plazma csúcskoncentrációt (átlag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 xml:space="preserve">), a </w:t>
      </w:r>
      <w:proofErr w:type="spellStart"/>
      <w:r>
        <w:t>szitagliptin</w:t>
      </w:r>
      <w:proofErr w:type="spellEnd"/>
      <w:r>
        <w:t xml:space="preserve"> átlagos plazma AUC-értéke 8,52 µ</w:t>
      </w:r>
      <w:proofErr w:type="spellStart"/>
      <w:r>
        <w:t>M•h</w:t>
      </w:r>
      <w:proofErr w:type="spellEnd"/>
      <w:r>
        <w:t xml:space="preserve">, 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értéke 950 </w:t>
      </w:r>
      <w:proofErr w:type="spellStart"/>
      <w:r>
        <w:t>nM</w:t>
      </w:r>
      <w:proofErr w:type="spellEnd"/>
      <w:r>
        <w:t xml:space="preserve"> volt. A </w:t>
      </w:r>
      <w:proofErr w:type="spellStart"/>
      <w:r>
        <w:t>szitagliptin</w:t>
      </w:r>
      <w:proofErr w:type="spellEnd"/>
      <w:r>
        <w:t xml:space="preserve"> abszolút </w:t>
      </w:r>
      <w:proofErr w:type="spellStart"/>
      <w:r>
        <w:t>biohasznosíthatósága</w:t>
      </w:r>
      <w:proofErr w:type="spellEnd"/>
      <w:r>
        <w:t xml:space="preserve"> hozzávetőleg 87%. Mivel a </w:t>
      </w:r>
      <w:proofErr w:type="spellStart"/>
      <w:r>
        <w:t>szitagliptin</w:t>
      </w:r>
      <w:proofErr w:type="spellEnd"/>
      <w:r>
        <w:t xml:space="preserve"> nagy zsírtartalmú ételekkel való egyidejű bevétele nincs kihatással a </w:t>
      </w:r>
      <w:proofErr w:type="spellStart"/>
      <w:r>
        <w:t>farmakokinetikára</w:t>
      </w:r>
      <w:proofErr w:type="spellEnd"/>
      <w:r>
        <w:t xml:space="preserve">, a </w:t>
      </w:r>
      <w:proofErr w:type="spellStart"/>
      <w:r>
        <w:t>Maysiglu</w:t>
      </w:r>
      <w:proofErr w:type="spellEnd"/>
      <w:r>
        <w:t xml:space="preserve"> étellel vagy anélkül is bevehető.</w:t>
      </w:r>
    </w:p>
    <w:p w14:paraId="223DE9AB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plazma AUC-értéke dózisarányosan növekedett. A dózisarányosságot 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és C</w:t>
      </w:r>
      <w:r>
        <w:rPr>
          <w:vertAlign w:val="subscript"/>
        </w:rPr>
        <w:t>24h</w:t>
      </w:r>
      <w:r>
        <w:t xml:space="preserve"> vonatkozásában nem állapították meg (a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a dózisarányosságnál enyhén nagyobb mértékben nőtt, és a C</w:t>
      </w:r>
      <w:r>
        <w:rPr>
          <w:vertAlign w:val="subscript"/>
        </w:rPr>
        <w:t>24h</w:t>
      </w:r>
      <w:r>
        <w:t xml:space="preserve"> a dózisarányosságnál enyhén kisebb mértékben nőtt).</w:t>
      </w:r>
    </w:p>
    <w:p w14:paraId="3C3A11D9" w14:textId="77777777" w:rsidR="00174605" w:rsidRDefault="00174605">
      <w:pPr>
        <w:widowControl/>
        <w:jc w:val="left"/>
      </w:pPr>
    </w:p>
    <w:p w14:paraId="1ACB8BAC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Eloszlás</w:t>
      </w:r>
    </w:p>
    <w:p w14:paraId="0DBA1729" w14:textId="77777777" w:rsidR="00174605" w:rsidRDefault="00C8536B">
      <w:pPr>
        <w:widowControl/>
        <w:jc w:val="left"/>
      </w:pPr>
      <w:r>
        <w:t xml:space="preserve">Egészséges emberekben a </w:t>
      </w:r>
      <w:proofErr w:type="spellStart"/>
      <w:r>
        <w:t>szitagliptin</w:t>
      </w:r>
      <w:proofErr w:type="spellEnd"/>
      <w:r>
        <w:t xml:space="preserve"> egyszeri 100 mg-os dózisának intravénás beadását követően az átlagos elosztási térfogat egyensúlyi állapotban hozzávetőleg 198 liter. A </w:t>
      </w:r>
      <w:proofErr w:type="spellStart"/>
      <w:r>
        <w:t>szitagliptin</w:t>
      </w:r>
      <w:proofErr w:type="spellEnd"/>
      <w:r>
        <w:t xml:space="preserve"> plazmafehérjékhez reverzibilisen kötődő része alacsony (38%).</w:t>
      </w:r>
    </w:p>
    <w:p w14:paraId="371732EC" w14:textId="77777777" w:rsidR="00174605" w:rsidRDefault="00174605">
      <w:pPr>
        <w:widowControl/>
        <w:jc w:val="left"/>
      </w:pPr>
    </w:p>
    <w:p w14:paraId="100955F6" w14:textId="77777777" w:rsidR="00174605" w:rsidRDefault="00C8536B">
      <w:pPr>
        <w:widowControl/>
        <w:jc w:val="left"/>
        <w:rPr>
          <w:u w:val="single"/>
        </w:rPr>
      </w:pPr>
      <w:proofErr w:type="spellStart"/>
      <w:r>
        <w:rPr>
          <w:u w:val="single"/>
        </w:rPr>
        <w:t>Biotranszformáció</w:t>
      </w:r>
      <w:proofErr w:type="spellEnd"/>
    </w:p>
    <w:p w14:paraId="51338A1E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elsősorban változatlan formában a vizelettel ürül, a metabolizmus kevésbé jellemző. A </w:t>
      </w:r>
      <w:proofErr w:type="spellStart"/>
      <w:r>
        <w:t>szitagliptin</w:t>
      </w:r>
      <w:proofErr w:type="spellEnd"/>
      <w:r>
        <w:t xml:space="preserve"> hozzávetőleg 79%-a ürül változatlan formában a vizelettel.</w:t>
      </w:r>
    </w:p>
    <w:p w14:paraId="4146933D" w14:textId="77777777" w:rsidR="00174605" w:rsidRDefault="00174605">
      <w:pPr>
        <w:widowControl/>
        <w:jc w:val="left"/>
      </w:pPr>
    </w:p>
    <w:p w14:paraId="4B8B6C0B" w14:textId="77777777" w:rsidR="00174605" w:rsidRDefault="00C8536B">
      <w:pPr>
        <w:widowControl/>
        <w:jc w:val="left"/>
      </w:pPr>
      <w:r>
        <w:t>Egy adag [</w:t>
      </w:r>
      <w:r>
        <w:rPr>
          <w:vertAlign w:val="superscript"/>
        </w:rPr>
        <w:t>14</w:t>
      </w:r>
      <w:r>
        <w:t xml:space="preserve">C] </w:t>
      </w:r>
      <w:proofErr w:type="spellStart"/>
      <w:r>
        <w:t>szitagliptin</w:t>
      </w:r>
      <w:proofErr w:type="spellEnd"/>
      <w:r>
        <w:t xml:space="preserve"> orális bevételét követően a radioaktivitás hozzávetőleg 16%-a ürült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metabolitjaként</w:t>
      </w:r>
      <w:proofErr w:type="spellEnd"/>
      <w:r>
        <w:t xml:space="preserve">. Hat </w:t>
      </w:r>
      <w:proofErr w:type="spellStart"/>
      <w:r>
        <w:t>metabolitot</w:t>
      </w:r>
      <w:proofErr w:type="spellEnd"/>
      <w:r>
        <w:t xml:space="preserve"> tudtak nyomokban kimutatni, melyek várhatóan nem járulnak hozzá a </w:t>
      </w:r>
      <w:proofErr w:type="spellStart"/>
      <w:r>
        <w:t>szitagliptin</w:t>
      </w:r>
      <w:proofErr w:type="spellEnd"/>
      <w:r>
        <w:t xml:space="preserve"> plazma DPP-4-gátló tevékenységéhez. Az </w:t>
      </w:r>
      <w:r>
        <w:rPr>
          <w:rFonts w:eastAsia="TimesNewRoman,Italic"/>
          <w:i/>
          <w:iCs/>
        </w:rPr>
        <w:t xml:space="preserve">in vitro </w:t>
      </w:r>
      <w:r>
        <w:t xml:space="preserve">vizsgálatok szerint a </w:t>
      </w:r>
      <w:proofErr w:type="spellStart"/>
      <w:r>
        <w:t>szitagliptin</w:t>
      </w:r>
      <w:proofErr w:type="spellEnd"/>
      <w:r>
        <w:t xml:space="preserve"> limitált metabolizmusáért felelős fő enzim a CYP3A4 volt a CYP2C8 közreműködésével.</w:t>
      </w:r>
    </w:p>
    <w:p w14:paraId="3EBCB684" w14:textId="77777777" w:rsidR="00174605" w:rsidRDefault="00174605">
      <w:pPr>
        <w:widowControl/>
        <w:jc w:val="left"/>
      </w:pPr>
    </w:p>
    <w:p w14:paraId="68B2BB98" w14:textId="77777777" w:rsidR="00174605" w:rsidRDefault="00C8536B">
      <w:pPr>
        <w:widowControl/>
        <w:jc w:val="left"/>
      </w:pPr>
      <w:r>
        <w:rPr>
          <w:rFonts w:eastAsia="TimesNewRoman,Italic"/>
          <w:i/>
          <w:iCs/>
        </w:rPr>
        <w:t xml:space="preserve">In vitro </w:t>
      </w:r>
      <w:r>
        <w:t xml:space="preserve">adatok alapján a </w:t>
      </w:r>
      <w:proofErr w:type="spellStart"/>
      <w:r>
        <w:t>szitagliptin</w:t>
      </w:r>
      <w:proofErr w:type="spellEnd"/>
      <w:r>
        <w:t xml:space="preserve"> nem gátolja a CYP </w:t>
      </w:r>
      <w:proofErr w:type="spellStart"/>
      <w:r>
        <w:t>izoenzimeket</w:t>
      </w:r>
      <w:proofErr w:type="spellEnd"/>
      <w:r>
        <w:t xml:space="preserve"> (CYP3A4, 2C8, 2C9, 2D6, 1A2, 2C19 vagy 2B6), és nem indukálja a </w:t>
      </w:r>
      <w:proofErr w:type="gramStart"/>
      <w:r>
        <w:t>CYP3A4-et</w:t>
      </w:r>
      <w:proofErr w:type="gramEnd"/>
      <w:r>
        <w:t xml:space="preserve"> valamint a CYP1A2-t.</w:t>
      </w:r>
    </w:p>
    <w:p w14:paraId="2BD3A7A9" w14:textId="77777777" w:rsidR="00174605" w:rsidRDefault="00174605">
      <w:pPr>
        <w:widowControl/>
        <w:jc w:val="left"/>
      </w:pPr>
    </w:p>
    <w:p w14:paraId="71D3D861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Elimináció</w:t>
      </w:r>
    </w:p>
    <w:p w14:paraId="67210735" w14:textId="77777777" w:rsidR="00174605" w:rsidRDefault="00C8536B">
      <w:pPr>
        <w:widowControl/>
        <w:jc w:val="left"/>
      </w:pPr>
      <w:r>
        <w:t>Egy adag [</w:t>
      </w:r>
      <w:r>
        <w:rPr>
          <w:vertAlign w:val="superscript"/>
        </w:rPr>
        <w:t>14</w:t>
      </w:r>
      <w:r>
        <w:t xml:space="preserve">C] </w:t>
      </w:r>
      <w:proofErr w:type="spellStart"/>
      <w:r>
        <w:t>szitagliptin</w:t>
      </w:r>
      <w:proofErr w:type="spellEnd"/>
      <w:r>
        <w:t xml:space="preserve"> egészséges résztvevőknek történő orális beadását követően az alkalmazott radioaktivitás megközelítőleg 100%-a ürült a széklettel (13%) vagy vizelettel (87%) a dózis beadását követő héten belül. A </w:t>
      </w:r>
      <w:proofErr w:type="spellStart"/>
      <w:r>
        <w:t>szitagliptin</w:t>
      </w:r>
      <w:proofErr w:type="spellEnd"/>
      <w:r>
        <w:t xml:space="preserve"> 100 mg-os orális dózisát követő látszólagos terminális t</w:t>
      </w:r>
      <w:r>
        <w:rPr>
          <w:vertAlign w:val="subscript"/>
        </w:rPr>
        <w:t>1/2</w:t>
      </w:r>
      <w:r>
        <w:t xml:space="preserve"> hozzávetőleg 12,4 óra volt. A </w:t>
      </w:r>
      <w:proofErr w:type="spellStart"/>
      <w:r>
        <w:t>szitagliptin</w:t>
      </w:r>
      <w:proofErr w:type="spellEnd"/>
      <w:r>
        <w:t xml:space="preserve"> többszörös dózisok esetén csak minimális mértékben halmozódik fel. A </w:t>
      </w:r>
      <w:proofErr w:type="spellStart"/>
      <w:r>
        <w:t>renális</w:t>
      </w:r>
      <w:proofErr w:type="spellEnd"/>
      <w:r>
        <w:t xml:space="preserve"> </w:t>
      </w:r>
      <w:proofErr w:type="spellStart"/>
      <w:r>
        <w:t>clearance</w:t>
      </w:r>
      <w:proofErr w:type="spellEnd"/>
      <w:r>
        <w:t xml:space="preserve"> megközelítőleg 350 ml/perc volt.</w:t>
      </w:r>
    </w:p>
    <w:p w14:paraId="791E73C3" w14:textId="77777777" w:rsidR="00174605" w:rsidRDefault="00174605">
      <w:pPr>
        <w:widowControl/>
        <w:jc w:val="left"/>
      </w:pPr>
    </w:p>
    <w:p w14:paraId="204BF52E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elsősorban a vesén keresztül ürül, aktív </w:t>
      </w:r>
      <w:proofErr w:type="spellStart"/>
      <w:r>
        <w:t>tubuláris</w:t>
      </w:r>
      <w:proofErr w:type="spellEnd"/>
      <w:r>
        <w:t xml:space="preserve"> szekrécióval. A </w:t>
      </w:r>
      <w:proofErr w:type="spellStart"/>
      <w:r>
        <w:t>szitagliptin</w:t>
      </w:r>
      <w:proofErr w:type="spellEnd"/>
      <w:r>
        <w:t xml:space="preserve"> a humán organikus anion transzporter-3 (hOAT-3) </w:t>
      </w:r>
      <w:proofErr w:type="spellStart"/>
      <w:r>
        <w:t>szubsztrátja</w:t>
      </w:r>
      <w:proofErr w:type="spellEnd"/>
      <w:r>
        <w:t xml:space="preserve">, mely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renális</w:t>
      </w:r>
      <w:proofErr w:type="spellEnd"/>
      <w:r>
        <w:t xml:space="preserve"> kiválasztódásában játszhat szerepet. A hOAT-3 klinikai jelentőségét a </w:t>
      </w:r>
      <w:proofErr w:type="spellStart"/>
      <w:r>
        <w:t>szitagliptin</w:t>
      </w:r>
      <w:proofErr w:type="spellEnd"/>
      <w:r>
        <w:t xml:space="preserve">-transzport terén még nem állapították meg. A </w:t>
      </w:r>
      <w:proofErr w:type="spellStart"/>
      <w:r>
        <w:t>szitagliptin</w:t>
      </w:r>
      <w:proofErr w:type="spellEnd"/>
      <w:r>
        <w:t xml:space="preserve"> egyben a </w:t>
      </w:r>
      <w:proofErr w:type="spellStart"/>
      <w:r>
        <w:t>renális</w:t>
      </w:r>
      <w:proofErr w:type="spellEnd"/>
      <w:r>
        <w:t xml:space="preserve"> kiválasztódásában esetlegesen közvetítőszerepet játszó p-</w:t>
      </w:r>
      <w:proofErr w:type="spellStart"/>
      <w:r>
        <w:t>glikoprotein</w:t>
      </w:r>
      <w:proofErr w:type="spellEnd"/>
      <w:r>
        <w:t xml:space="preserve"> </w:t>
      </w:r>
      <w:proofErr w:type="spellStart"/>
      <w:r>
        <w:t>szubsztrátja</w:t>
      </w:r>
      <w:proofErr w:type="spellEnd"/>
      <w:r>
        <w:t xml:space="preserve"> is. A p-</w:t>
      </w:r>
      <w:proofErr w:type="spellStart"/>
      <w:r>
        <w:t>glikoprotein</w:t>
      </w:r>
      <w:proofErr w:type="spellEnd"/>
      <w:r>
        <w:t xml:space="preserve">-inhibitornak minősülő </w:t>
      </w:r>
      <w:proofErr w:type="spellStart"/>
      <w:r>
        <w:t>ciklosporin</w:t>
      </w:r>
      <w:proofErr w:type="spellEnd"/>
      <w:r>
        <w:t xml:space="preserve"> azonban nem csökkentette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renális</w:t>
      </w:r>
      <w:proofErr w:type="spellEnd"/>
      <w:r>
        <w:t xml:space="preserve"> </w:t>
      </w:r>
      <w:proofErr w:type="spellStart"/>
      <w:r>
        <w:t>clearance</w:t>
      </w:r>
      <w:proofErr w:type="spellEnd"/>
      <w:r>
        <w:t xml:space="preserve">-ét. A </w:t>
      </w:r>
      <w:proofErr w:type="spellStart"/>
      <w:r>
        <w:t>szitagliptin</w:t>
      </w:r>
      <w:proofErr w:type="spellEnd"/>
      <w:r>
        <w:t xml:space="preserve"> nem </w:t>
      </w:r>
      <w:proofErr w:type="spellStart"/>
      <w:r>
        <w:t>szubsztrátja</w:t>
      </w:r>
      <w:proofErr w:type="spellEnd"/>
      <w:r>
        <w:t xml:space="preserve"> az OCT2 vagy OAT1, illetve a PEPT1/2 transzportereknek. A </w:t>
      </w:r>
      <w:proofErr w:type="spellStart"/>
      <w:r>
        <w:t>szitagliptin</w:t>
      </w:r>
      <w:proofErr w:type="spellEnd"/>
      <w:r>
        <w:t xml:space="preserve"> </w:t>
      </w:r>
      <w:r>
        <w:rPr>
          <w:rFonts w:eastAsia="TimesNewRoman,Italic"/>
          <w:i/>
          <w:iCs/>
        </w:rPr>
        <w:t xml:space="preserve">in vitro </w:t>
      </w:r>
      <w:r>
        <w:t>nem gátolta az OAT3 (IC50=160 µM) vagy a p-</w:t>
      </w:r>
      <w:proofErr w:type="spellStart"/>
      <w:r>
        <w:t>glikoprotein</w:t>
      </w:r>
      <w:proofErr w:type="spellEnd"/>
      <w:r>
        <w:t xml:space="preserve"> (legfeljebb 250 µM) által közvetített transzportot a kezelés szempontjából releváns plazmakoncentrációban. Egy klinikai vizsgálatban a </w:t>
      </w:r>
      <w:proofErr w:type="spellStart"/>
      <w:r>
        <w:t>szitagliptin</w:t>
      </w:r>
      <w:proofErr w:type="spellEnd"/>
      <w:r>
        <w:t xml:space="preserve"> csekély mértékben befolyásolta a plazma-</w:t>
      </w:r>
      <w:proofErr w:type="spellStart"/>
      <w:r>
        <w:t>digoxin</w:t>
      </w:r>
      <w:proofErr w:type="spellEnd"/>
      <w:r>
        <w:t xml:space="preserve">-koncentrációt, mely azt jelzi, hogy a </w:t>
      </w:r>
      <w:proofErr w:type="spellStart"/>
      <w:r>
        <w:t>szitagliptin</w:t>
      </w:r>
      <w:proofErr w:type="spellEnd"/>
      <w:r>
        <w:t xml:space="preserve"> a p-</w:t>
      </w:r>
      <w:proofErr w:type="spellStart"/>
      <w:r>
        <w:t>glikoproteint</w:t>
      </w:r>
      <w:proofErr w:type="spellEnd"/>
      <w:r>
        <w:t xml:space="preserve"> enyhén gátolhatja.</w:t>
      </w:r>
    </w:p>
    <w:p w14:paraId="1D09AA93" w14:textId="77777777" w:rsidR="00174605" w:rsidRDefault="00174605">
      <w:pPr>
        <w:widowControl/>
        <w:jc w:val="left"/>
      </w:pPr>
    </w:p>
    <w:p w14:paraId="16E17A1C" w14:textId="77777777" w:rsidR="00174605" w:rsidRDefault="00C8536B">
      <w:pPr>
        <w:widowControl/>
        <w:jc w:val="left"/>
        <w:rPr>
          <w:u w:val="single"/>
        </w:rPr>
      </w:pPr>
      <w:r>
        <w:rPr>
          <w:u w:val="single"/>
        </w:rPr>
        <w:t>Különleges betegcsoportok</w:t>
      </w:r>
    </w:p>
    <w:p w14:paraId="63163A32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farmakokinetikája</w:t>
      </w:r>
      <w:proofErr w:type="spellEnd"/>
      <w:r>
        <w:t xml:space="preserve"> általában hasonló volt az egészséges önkéntesek és a 2-es típusú diabetesben szenvedő betegek esetén.</w:t>
      </w:r>
    </w:p>
    <w:p w14:paraId="66C36894" w14:textId="77777777" w:rsidR="00174605" w:rsidRDefault="00174605">
      <w:pPr>
        <w:widowControl/>
        <w:jc w:val="left"/>
      </w:pPr>
    </w:p>
    <w:p w14:paraId="718FDC7D" w14:textId="77777777" w:rsidR="00174605" w:rsidRDefault="00C8536B">
      <w:pPr>
        <w:widowControl/>
        <w:jc w:val="left"/>
        <w:rPr>
          <w:rFonts w:eastAsia="TimesNewRoman,Italic"/>
          <w:iCs/>
          <w:u w:val="single"/>
        </w:rPr>
      </w:pPr>
      <w:r>
        <w:rPr>
          <w:rFonts w:eastAsia="TimesNewRoman,Italic"/>
          <w:iCs/>
          <w:u w:val="single"/>
        </w:rPr>
        <w:t>Vesekárosodás</w:t>
      </w:r>
    </w:p>
    <w:p w14:paraId="370AA8BD" w14:textId="77777777" w:rsidR="00174605" w:rsidRDefault="00C8536B">
      <w:pPr>
        <w:widowControl/>
        <w:jc w:val="left"/>
      </w:pPr>
      <w:r>
        <w:t xml:space="preserve">Egy nyílt elrendezésű, egyszeri adagot alkalmazó vizsgálatot végeztek a csökkentett dózisú </w:t>
      </w:r>
      <w:proofErr w:type="spellStart"/>
      <w:r>
        <w:t>szitagliptin</w:t>
      </w:r>
      <w:proofErr w:type="spellEnd"/>
      <w:r>
        <w:t xml:space="preserve"> (50 mg) </w:t>
      </w:r>
      <w:proofErr w:type="spellStart"/>
      <w:r>
        <w:t>farmakokinetikájának</w:t>
      </w:r>
      <w:proofErr w:type="spellEnd"/>
      <w:r>
        <w:t xml:space="preserve"> értékelésére, különböző fokú krónikus vesekárosodásban szenvedő betegek és egészséges kontrollalanyok összehasonlításával. A vizsgálatban enyhe, közepesen súlyos és súlyos vesekárosodásban, valamint végstádiumú vesebetegségben (ESRD) szenvedő, </w:t>
      </w:r>
      <w:proofErr w:type="spellStart"/>
      <w:r>
        <w:t>hemodialízisre</w:t>
      </w:r>
      <w:proofErr w:type="spellEnd"/>
      <w:r>
        <w:t xml:space="preserve"> szoruló betegek vettek részt. Ezen kívül populációs </w:t>
      </w:r>
      <w:proofErr w:type="spellStart"/>
      <w:r>
        <w:t>farmakokinetikai</w:t>
      </w:r>
      <w:proofErr w:type="spellEnd"/>
      <w:r>
        <w:t xml:space="preserve"> elemzésekkel értékelték a vesekárosodás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 gyakorolt hatását a 2-es típusú diabetesben és enyhe, közepesen súlyos vagy súlyos vesekárosodásban (beleértve az ESRD-t is) szenvedő betegeknél.</w:t>
      </w:r>
    </w:p>
    <w:p w14:paraId="2EF821EB" w14:textId="77777777" w:rsidR="00174605" w:rsidRDefault="00174605">
      <w:pPr>
        <w:widowControl/>
        <w:jc w:val="left"/>
      </w:pPr>
    </w:p>
    <w:p w14:paraId="003A0440" w14:textId="77777777" w:rsidR="00174605" w:rsidRDefault="00C8536B">
      <w:pPr>
        <w:widowControl/>
        <w:jc w:val="left"/>
      </w:pPr>
      <w:r>
        <w:t>Az egészséges kontroll-alanyokhoz képest az enyhe vesekárosodásban szenvedő betegeknél (GFR ≥ 60 - </w:t>
      </w:r>
      <w:proofErr w:type="gramStart"/>
      <w:r>
        <w:t>&lt; 90</w:t>
      </w:r>
      <w:proofErr w:type="gramEnd"/>
      <w:r>
        <w:t xml:space="preserve"> ml/perc) a </w:t>
      </w:r>
      <w:proofErr w:type="spellStart"/>
      <w:r>
        <w:t>szitagliptin</w:t>
      </w:r>
      <w:proofErr w:type="spellEnd"/>
      <w:r>
        <w:t xml:space="preserve"> plazma AUC-értéke hozzávetőleg 1,2-szeresére, míg a közepesen súlyos vesekárosodásban szenvedő betegeknél (GFR ≥ 45 - </w:t>
      </w:r>
      <w:proofErr w:type="gramStart"/>
      <w:r>
        <w:t>&lt; 60</w:t>
      </w:r>
      <w:proofErr w:type="gramEnd"/>
      <w:r>
        <w:t> ml/perc) hozzávetőleg 1,6-szeresére emelkedett. Mivel az ilyen mértékű emelkedés klinikailag nem jelentős, ezeknél a betegeknél nincs szükség a dózis módosítására.</w:t>
      </w:r>
    </w:p>
    <w:p w14:paraId="4CC1B07D" w14:textId="77777777" w:rsidR="00174605" w:rsidRDefault="00174605">
      <w:pPr>
        <w:widowControl/>
        <w:jc w:val="left"/>
      </w:pPr>
    </w:p>
    <w:p w14:paraId="3D9C8FD1" w14:textId="77777777" w:rsidR="00174605" w:rsidRDefault="00C8536B">
      <w:pPr>
        <w:widowControl/>
        <w:jc w:val="left"/>
      </w:pPr>
      <w:r>
        <w:t xml:space="preserve">A közepesen súlyos vesekárosodásban szenvedő betegeknél (GFR ≥ 30 - </w:t>
      </w:r>
      <w:proofErr w:type="gramStart"/>
      <w:r>
        <w:t>&lt; 45</w:t>
      </w:r>
      <w:proofErr w:type="gramEnd"/>
      <w:r>
        <w:t xml:space="preserve"> ml/perc) a </w:t>
      </w:r>
      <w:proofErr w:type="spellStart"/>
      <w:r>
        <w:t>szitagliptin</w:t>
      </w:r>
      <w:proofErr w:type="spellEnd"/>
      <w:r>
        <w:t xml:space="preserve"> plazma AUC-értéke hozzávetőleg a 2-szeresére, míg a súlyos vesekárosodásban szenvedő betegeknél (GFR </w:t>
      </w:r>
      <w:proofErr w:type="gramStart"/>
      <w:r>
        <w:t>&lt; 30</w:t>
      </w:r>
      <w:proofErr w:type="gramEnd"/>
      <w:r>
        <w:t xml:space="preserve"> ml/perc), beleértve az ESRD-ben szenvedő, </w:t>
      </w:r>
      <w:proofErr w:type="spellStart"/>
      <w:r>
        <w:t>hemodialízisre</w:t>
      </w:r>
      <w:proofErr w:type="spellEnd"/>
      <w:r>
        <w:t xml:space="preserve"> szoruló betegeket is, hozzávetőleg a 4-szeresére emelkedett. A </w:t>
      </w:r>
      <w:proofErr w:type="spellStart"/>
      <w:r>
        <w:t>szitagliptin</w:t>
      </w:r>
      <w:proofErr w:type="spellEnd"/>
      <w:r>
        <w:t xml:space="preserve"> közepes mértékben volt </w:t>
      </w:r>
      <w:proofErr w:type="spellStart"/>
      <w:r>
        <w:t>hemodialízis</w:t>
      </w:r>
      <w:proofErr w:type="spellEnd"/>
      <w:r>
        <w:t xml:space="preserve"> útján eltávolítható (13,5% egy 3-4 órás, 4 órával a bevételt követően megkezdett </w:t>
      </w:r>
      <w:proofErr w:type="spellStart"/>
      <w:r>
        <w:t>hemodialízis</w:t>
      </w:r>
      <w:proofErr w:type="spellEnd"/>
      <w:r>
        <w:t xml:space="preserve">-kezelés során). A normál vesefunkciójú betegeknél megfigyeltekhez hasonló </w:t>
      </w:r>
      <w:proofErr w:type="spellStart"/>
      <w:r>
        <w:t>szitagliptin</w:t>
      </w:r>
      <w:proofErr w:type="spellEnd"/>
      <w:r>
        <w:t xml:space="preserve">-plazmakoncentrációk eléréséhez alacsonyabb dózisok javasoltak a </w:t>
      </w:r>
      <w:proofErr w:type="gramStart"/>
      <w:r>
        <w:t>&lt; 45</w:t>
      </w:r>
      <w:proofErr w:type="gramEnd"/>
      <w:r>
        <w:t> ml/perc GFR értékkel rendelkező betegeknél (lásd 4.2 pont).</w:t>
      </w:r>
    </w:p>
    <w:p w14:paraId="3A461613" w14:textId="77777777" w:rsidR="00174605" w:rsidRDefault="00174605">
      <w:pPr>
        <w:widowControl/>
        <w:jc w:val="left"/>
      </w:pPr>
    </w:p>
    <w:p w14:paraId="2DC9A5E1" w14:textId="77777777" w:rsidR="00174605" w:rsidRDefault="00C8536B">
      <w:pPr>
        <w:widowControl/>
        <w:jc w:val="left"/>
        <w:rPr>
          <w:rFonts w:eastAsia="TimesNewRoman,Italic"/>
          <w:iCs/>
          <w:u w:val="single"/>
        </w:rPr>
      </w:pPr>
      <w:r>
        <w:rPr>
          <w:rFonts w:eastAsia="TimesNewRoman,Italic"/>
          <w:iCs/>
          <w:u w:val="single"/>
        </w:rPr>
        <w:t>Májkárosodás</w:t>
      </w:r>
    </w:p>
    <w:p w14:paraId="2BED6D73" w14:textId="77777777" w:rsidR="00174605" w:rsidRDefault="00C8536B">
      <w:pPr>
        <w:widowControl/>
        <w:jc w:val="left"/>
      </w:pPr>
      <w:r>
        <w:t>Az enyhe vagy közepesen súlyos májkárosodásban (</w:t>
      </w:r>
      <w:proofErr w:type="spellStart"/>
      <w:r>
        <w:t>Child-Pugh</w:t>
      </w:r>
      <w:proofErr w:type="spellEnd"/>
      <w:r>
        <w:t xml:space="preserve"> érték ≤9) szenvedő betegek esetében nincs szükség a </w:t>
      </w:r>
      <w:proofErr w:type="spellStart"/>
      <w:r>
        <w:t>Maysiglu</w:t>
      </w:r>
      <w:proofErr w:type="spellEnd"/>
      <w:r>
        <w:t xml:space="preserve"> dózismódosítására. Súlyos májkárosodásban (</w:t>
      </w:r>
      <w:proofErr w:type="spellStart"/>
      <w:r>
        <w:t>Child-Pugh</w:t>
      </w:r>
      <w:proofErr w:type="spellEnd"/>
      <w:r>
        <w:t xml:space="preserve"> érték &gt;9) szenvedő betegeket illetően nem áll rendelkezésre klinikai tapasztalat. Mivel a </w:t>
      </w:r>
      <w:proofErr w:type="spellStart"/>
      <w:r>
        <w:t>szitagliptin</w:t>
      </w:r>
      <w:proofErr w:type="spellEnd"/>
      <w:r>
        <w:t xml:space="preserve"> elsősorban a vesén keresztül ürül, a súlyos májkárosodás várhatóan nem befolyásolja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</w:t>
      </w:r>
    </w:p>
    <w:p w14:paraId="4E8C9DE8" w14:textId="77777777" w:rsidR="00174605" w:rsidRDefault="00174605">
      <w:pPr>
        <w:widowControl/>
        <w:jc w:val="left"/>
        <w:rPr>
          <w:rFonts w:eastAsia="TimesNewRoman,Italic"/>
          <w:i/>
          <w:iCs/>
        </w:rPr>
      </w:pPr>
    </w:p>
    <w:p w14:paraId="0392B1EA" w14:textId="77777777" w:rsidR="00174605" w:rsidRDefault="00C8536B">
      <w:pPr>
        <w:widowControl/>
        <w:jc w:val="left"/>
        <w:rPr>
          <w:rFonts w:eastAsia="TimesNewRoman,Italic"/>
          <w:iCs/>
          <w:u w:val="single"/>
        </w:rPr>
      </w:pPr>
      <w:r>
        <w:rPr>
          <w:rFonts w:eastAsia="TimesNewRoman,Italic"/>
          <w:iCs/>
          <w:u w:val="single"/>
        </w:rPr>
        <w:t>Idősek</w:t>
      </w:r>
    </w:p>
    <w:p w14:paraId="2DC00F50" w14:textId="77777777" w:rsidR="00174605" w:rsidRDefault="00C8536B">
      <w:pPr>
        <w:widowControl/>
        <w:jc w:val="left"/>
      </w:pPr>
      <w:r>
        <w:t xml:space="preserve">Nincs szükség az életkor függvényében történő dózismódosításra. Az I. és II. fázisú adatokra támaszkodó populációs </w:t>
      </w:r>
      <w:proofErr w:type="spellStart"/>
      <w:r>
        <w:t>farmakokinetikai</w:t>
      </w:r>
      <w:proofErr w:type="spellEnd"/>
      <w:r>
        <w:t xml:space="preserve"> analízis alapján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az életkor nem befolyásolta jelentős mértékben. A fiatalabb korú résztvevőkkel összehasonlítva, az időskorú (65-80 éves) résztvevők </w:t>
      </w:r>
      <w:proofErr w:type="spellStart"/>
      <w:r>
        <w:t>szitagliptin</w:t>
      </w:r>
      <w:proofErr w:type="spellEnd"/>
      <w:r>
        <w:t>-plazmakoncentrációja hozzávetőleg 19%-kal volt magasabb.</w:t>
      </w:r>
    </w:p>
    <w:p w14:paraId="3C183778" w14:textId="77777777" w:rsidR="00174605" w:rsidRDefault="00174605">
      <w:pPr>
        <w:widowControl/>
        <w:jc w:val="left"/>
        <w:rPr>
          <w:rFonts w:eastAsia="TimesNewRoman,Italic"/>
          <w:i/>
          <w:iCs/>
        </w:rPr>
      </w:pPr>
    </w:p>
    <w:p w14:paraId="0814D468" w14:textId="77777777" w:rsidR="00174605" w:rsidRDefault="00C8536B">
      <w:pPr>
        <w:widowControl/>
        <w:jc w:val="left"/>
        <w:rPr>
          <w:rFonts w:eastAsia="TimesNewRoman,Italic"/>
          <w:iCs/>
          <w:u w:val="single"/>
        </w:rPr>
      </w:pPr>
      <w:r>
        <w:rPr>
          <w:rFonts w:eastAsia="TimesNewRoman,Italic"/>
          <w:iCs/>
          <w:u w:val="single"/>
        </w:rPr>
        <w:t>Gyermekek és serdülők</w:t>
      </w:r>
    </w:p>
    <w:p w14:paraId="22255D25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(50 mg, 100 mg vagy 200 mg egyszeri dózis) </w:t>
      </w:r>
      <w:proofErr w:type="spellStart"/>
      <w:r>
        <w:t>farmakokinetikáját</w:t>
      </w:r>
      <w:proofErr w:type="spellEnd"/>
      <w:r>
        <w:t xml:space="preserve"> 2-es típusú diabetesben szenvedő 10–17 éves gyermekeknél és serdülőknél vizsgálták. E populációban a </w:t>
      </w:r>
      <w:proofErr w:type="spellStart"/>
      <w:r>
        <w:t>szitagliptin</w:t>
      </w:r>
      <w:proofErr w:type="spellEnd"/>
      <w:r>
        <w:t xml:space="preserve"> dózishoz igazított plazma-AUC-értéke hozzávetőleg 18%-kal alacsonyabb volt a 2-es típusú diabeteses felnőtteknél alkalmazott 100 mg-os dózis mellett megfigyelthez képest. Ez nem tekinthető klinikailag jelentős </w:t>
      </w:r>
      <w:r>
        <w:lastRenderedPageBreak/>
        <w:t xml:space="preserve">különbségnek a felnőtt betegekkel összehasonlítva, az 50 mg-os és 100 mg-os dózisok közti kapcsolat lapos PK/PD görbéje alapján. A </w:t>
      </w:r>
      <w:proofErr w:type="spellStart"/>
      <w:r>
        <w:t>szitagliptinnel</w:t>
      </w:r>
      <w:proofErr w:type="spellEnd"/>
      <w:r>
        <w:t xml:space="preserve"> 10 évesnél fiatalabb gyermekeknél nem végeztek vizsgálatokat.</w:t>
      </w:r>
    </w:p>
    <w:p w14:paraId="0E73133C" w14:textId="77777777" w:rsidR="00174605" w:rsidRDefault="00174605">
      <w:pPr>
        <w:widowControl/>
        <w:jc w:val="left"/>
        <w:rPr>
          <w:rFonts w:eastAsia="TimesNewRoman,Italic"/>
          <w:iCs/>
        </w:rPr>
      </w:pPr>
    </w:p>
    <w:p w14:paraId="6FB5A083" w14:textId="77777777" w:rsidR="00174605" w:rsidRDefault="00C8536B">
      <w:pPr>
        <w:widowControl/>
        <w:jc w:val="left"/>
        <w:rPr>
          <w:rFonts w:eastAsia="TimesNewRoman,Italic"/>
          <w:iCs/>
          <w:u w:val="single"/>
        </w:rPr>
      </w:pPr>
      <w:r>
        <w:rPr>
          <w:rFonts w:eastAsia="TimesNewRoman,Italic"/>
          <w:iCs/>
          <w:u w:val="single"/>
        </w:rPr>
        <w:t>Egyéb betegcsoportok</w:t>
      </w:r>
    </w:p>
    <w:p w14:paraId="25DBB8E1" w14:textId="77777777" w:rsidR="00174605" w:rsidRDefault="00C8536B">
      <w:pPr>
        <w:widowControl/>
        <w:jc w:val="left"/>
      </w:pPr>
      <w:r>
        <w:t xml:space="preserve">Nincs szükség a nem, rassz vagy testtömeg-index (BMI) szerinti dózismódosításra. Az I. fázisú </w:t>
      </w:r>
      <w:proofErr w:type="spellStart"/>
      <w:r>
        <w:t>farmakokinetikai</w:t>
      </w:r>
      <w:proofErr w:type="spellEnd"/>
      <w:r>
        <w:t xml:space="preserve"> adatok összesített analízise, valamint az I. és II. fázisú adatok populációs </w:t>
      </w:r>
      <w:proofErr w:type="spellStart"/>
      <w:r>
        <w:t>farmakokinetikai</w:t>
      </w:r>
      <w:proofErr w:type="spellEnd"/>
      <w:r>
        <w:t xml:space="preserve"> analízise alapján a </w:t>
      </w:r>
      <w:proofErr w:type="spellStart"/>
      <w:r>
        <w:t>szitagliptin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 ezen tényezők nem voltak klinikailag jelentős hatással.</w:t>
      </w:r>
    </w:p>
    <w:p w14:paraId="795049CE" w14:textId="77777777" w:rsidR="00174605" w:rsidRDefault="00174605">
      <w:pPr>
        <w:jc w:val="left"/>
      </w:pPr>
    </w:p>
    <w:p w14:paraId="182C5B46" w14:textId="77777777" w:rsidR="00174605" w:rsidRDefault="00174605">
      <w:pPr>
        <w:jc w:val="left"/>
      </w:pPr>
    </w:p>
    <w:p w14:paraId="78B65495" w14:textId="77777777" w:rsidR="00174605" w:rsidRDefault="00C8536B">
      <w:pPr>
        <w:pStyle w:val="Cmsor2"/>
      </w:pPr>
      <w:r>
        <w:t>5.3</w:t>
      </w:r>
      <w:r>
        <w:tab/>
        <w:t xml:space="preserve">A </w:t>
      </w:r>
      <w:proofErr w:type="spellStart"/>
      <w:r>
        <w:t>preklinikai</w:t>
      </w:r>
      <w:proofErr w:type="spellEnd"/>
      <w:r>
        <w:t xml:space="preserve"> biztonságossági vizsgálatok eredményei</w:t>
      </w:r>
    </w:p>
    <w:p w14:paraId="05D7D543" w14:textId="77777777" w:rsidR="00174605" w:rsidRDefault="00174605">
      <w:pPr>
        <w:jc w:val="left"/>
      </w:pPr>
    </w:p>
    <w:p w14:paraId="441D2C01" w14:textId="77777777" w:rsidR="00174605" w:rsidRDefault="00C8536B">
      <w:pPr>
        <w:widowControl/>
        <w:jc w:val="left"/>
      </w:pPr>
      <w:r>
        <w:t xml:space="preserve">A rágcsálókban a humán szisztémás expozíciós szint 58-szorosánál vese- és májtoxicitást figyeltek meg, míg a hatással nem rendelkező dózisszint a humán expozíciós szint 19-szerese volt. A patkányokban a klinikai expozíciós szint 67-szerese mellett metszőfog-rendellenességeket figyeltek meg. A patkányokon végzett 14 hetes vizsgálat alapján e megfigyelés esetén a hatással nem rendelkező dózisszint 58-szoros volt. Nem ismert, hogy e megfigyelések milyen mértékben vonatkoznak az emberre. A kutyákban a klinikai expozíciós szint körülbelül 23-szorosánál a kezeléssel összefüggő, múló fizikai tüneteket figyeltek meg, melyek közül néhány neurológiai toxicitásra utal, például: nyitott szájjal történő lélegzés, nyálzás, fehér habszerű hányás, </w:t>
      </w:r>
      <w:proofErr w:type="spellStart"/>
      <w:r>
        <w:t>ataxia</w:t>
      </w:r>
      <w:proofErr w:type="spellEnd"/>
      <w:r>
        <w:t xml:space="preserve">, remegés, csökkent aktivitás és/vagy összegömbölyödött testtartás. Továbbá, olyan dózisok mellett, melyek a humán expozíciós szint körülbelül 23-szorosának megfelelő szisztémás expozíciós szintet eredményeztek, </w:t>
      </w:r>
      <w:proofErr w:type="spellStart"/>
      <w:r>
        <w:t>szövettanilag</w:t>
      </w:r>
      <w:proofErr w:type="spellEnd"/>
      <w:r>
        <w:t xml:space="preserve"> minimális vagy enyhe mértékű vázizom-degenerációt észleltek. Az ilyen hatással már nem rendelkező dózisszint a klinikai expozíciós szint 6-szorosa volt.</w:t>
      </w:r>
    </w:p>
    <w:p w14:paraId="2E2DF2D6" w14:textId="77777777" w:rsidR="00174605" w:rsidRDefault="00C8536B">
      <w:pPr>
        <w:widowControl/>
        <w:jc w:val="left"/>
      </w:pPr>
      <w:r>
        <w:t xml:space="preserve">A </w:t>
      </w:r>
      <w:proofErr w:type="spellStart"/>
      <w:r>
        <w:t>szitagliptin</w:t>
      </w:r>
      <w:proofErr w:type="spellEnd"/>
      <w:r>
        <w:t xml:space="preserve"> a </w:t>
      </w:r>
      <w:proofErr w:type="spellStart"/>
      <w:r>
        <w:t>preklinikai</w:t>
      </w:r>
      <w:proofErr w:type="spellEnd"/>
      <w:r>
        <w:t xml:space="preserve"> vizsgálatok során nem bizonyult </w:t>
      </w:r>
      <w:proofErr w:type="spellStart"/>
      <w:r>
        <w:t>genotoxikusnak</w:t>
      </w:r>
      <w:proofErr w:type="spellEnd"/>
      <w:r>
        <w:t xml:space="preserve">. A </w:t>
      </w:r>
      <w:proofErr w:type="spellStart"/>
      <w:r>
        <w:t>szitagliptin</w:t>
      </w:r>
      <w:proofErr w:type="spellEnd"/>
      <w:r>
        <w:t xml:space="preserve"> egerekben nem volt karcinogén. Patkányokban a humán expozíciós szint 58-szorosa mellett megnövekedett a máj-</w:t>
      </w:r>
      <w:proofErr w:type="spellStart"/>
      <w:r>
        <w:t>adenoma</w:t>
      </w:r>
      <w:proofErr w:type="spellEnd"/>
      <w:r>
        <w:t xml:space="preserve"> és -</w:t>
      </w:r>
      <w:proofErr w:type="spellStart"/>
      <w:r>
        <w:t>karcinoma</w:t>
      </w:r>
      <w:proofErr w:type="spellEnd"/>
      <w:r>
        <w:t xml:space="preserve"> előfordulási gyakorisága. Mivel kimutatták, hogy a </w:t>
      </w:r>
      <w:proofErr w:type="spellStart"/>
      <w:r>
        <w:t>hepatotoxicitás</w:t>
      </w:r>
      <w:proofErr w:type="spellEnd"/>
      <w:r>
        <w:t xml:space="preserve"> a patkányok esetében korrelációt mutat a </w:t>
      </w:r>
      <w:proofErr w:type="spellStart"/>
      <w:r>
        <w:t>hepatikus</w:t>
      </w:r>
      <w:proofErr w:type="spellEnd"/>
      <w:r>
        <w:t xml:space="preserve"> </w:t>
      </w:r>
      <w:proofErr w:type="spellStart"/>
      <w:r>
        <w:t>neopláziák</w:t>
      </w:r>
      <w:proofErr w:type="spellEnd"/>
      <w:r>
        <w:t xml:space="preserve"> kialakulásával, a májtumorok ezen megnövekedett előfordulási aránya nagy valószínűséggel az ilyen nagy dózisnál fellépő krónikus </w:t>
      </w:r>
      <w:proofErr w:type="spellStart"/>
      <w:r>
        <w:t>hepatotoxicitás</w:t>
      </w:r>
      <w:proofErr w:type="spellEnd"/>
      <w:r>
        <w:t xml:space="preserve"> következménye. A magas biztonságossági küszöb (ennek a hatással nem rendelkező dózisszintnek a 19-szerese) miatt e </w:t>
      </w:r>
      <w:proofErr w:type="spellStart"/>
      <w:r>
        <w:t>neoplasztikus</w:t>
      </w:r>
      <w:proofErr w:type="spellEnd"/>
      <w:r>
        <w:t xml:space="preserve"> elváltozások emberek vonatkozásában nem tekintendőek relevánsnak.</w:t>
      </w:r>
    </w:p>
    <w:p w14:paraId="33C9D8BB" w14:textId="77777777" w:rsidR="00174605" w:rsidRDefault="00174605">
      <w:pPr>
        <w:widowControl/>
        <w:jc w:val="left"/>
      </w:pPr>
    </w:p>
    <w:p w14:paraId="618C415E" w14:textId="77777777" w:rsidR="00174605" w:rsidRDefault="00C8536B">
      <w:pPr>
        <w:widowControl/>
        <w:jc w:val="left"/>
      </w:pPr>
      <w:r>
        <w:t xml:space="preserve">Nem figyeltek meg a termékenységre gyakorolt nemkívánatos hatást, ha a hím és nőstény patkányoknak a párzási időszak előtt és közben adtak </w:t>
      </w:r>
      <w:proofErr w:type="spellStart"/>
      <w:r>
        <w:t>szitagliptint</w:t>
      </w:r>
      <w:proofErr w:type="spellEnd"/>
      <w:r>
        <w:t>.</w:t>
      </w:r>
    </w:p>
    <w:p w14:paraId="5CB49F45" w14:textId="77777777" w:rsidR="00174605" w:rsidRDefault="00174605">
      <w:pPr>
        <w:widowControl/>
        <w:jc w:val="left"/>
      </w:pPr>
    </w:p>
    <w:p w14:paraId="184EF807" w14:textId="77777777" w:rsidR="00174605" w:rsidRDefault="00C8536B">
      <w:pPr>
        <w:widowControl/>
        <w:jc w:val="left"/>
      </w:pPr>
      <w:r>
        <w:t xml:space="preserve">Egy, a patkányok </w:t>
      </w:r>
      <w:proofErr w:type="spellStart"/>
      <w:r>
        <w:t>pre</w:t>
      </w:r>
      <w:proofErr w:type="spellEnd"/>
      <w:r>
        <w:t xml:space="preserve">- és </w:t>
      </w:r>
      <w:proofErr w:type="spellStart"/>
      <w:r>
        <w:t>posztnatális</w:t>
      </w:r>
      <w:proofErr w:type="spellEnd"/>
      <w:r>
        <w:t xml:space="preserve"> fejlődésére irányuló vizsgálatban a </w:t>
      </w:r>
      <w:proofErr w:type="spellStart"/>
      <w:r>
        <w:t>szitagliptin</w:t>
      </w:r>
      <w:proofErr w:type="spellEnd"/>
      <w:r>
        <w:t xml:space="preserve"> nem okozott nemkívánatos hatásokat.</w:t>
      </w:r>
    </w:p>
    <w:p w14:paraId="288DF5D8" w14:textId="77777777" w:rsidR="00174605" w:rsidRDefault="00174605">
      <w:pPr>
        <w:widowControl/>
        <w:jc w:val="left"/>
      </w:pPr>
    </w:p>
    <w:p w14:paraId="691D1604" w14:textId="77777777" w:rsidR="00174605" w:rsidRDefault="00C8536B">
      <w:pPr>
        <w:widowControl/>
        <w:jc w:val="left"/>
      </w:pPr>
      <w:r>
        <w:t xml:space="preserve">A reproduktív toxicitási vizsgálatok a kezeléssel összefüggő magzati borda-rendellenességek (hiányzó, </w:t>
      </w:r>
      <w:proofErr w:type="spellStart"/>
      <w:r>
        <w:t>hypoplasiás</w:t>
      </w:r>
      <w:proofErr w:type="spellEnd"/>
      <w:r>
        <w:t xml:space="preserve"> és lengőbordák) előfordulásának enyhe növekedését mutatták patkányok utódaiban, a humán expozíciós szint 29-szeresét meghaladó szisztémás expozíciós szintnél. Nyulakban anyai toxicitást figyeltek meg a humán expozíciós szint több mint 29-szeresénél. A magas biztonságossági határértékek miatt e megfigyelések nem utalnak hasonló kockázatra az emberi reprodukció terén. A </w:t>
      </w:r>
      <w:proofErr w:type="spellStart"/>
      <w:r>
        <w:t>szitagliptin</w:t>
      </w:r>
      <w:proofErr w:type="spellEnd"/>
      <w:r>
        <w:t xml:space="preserve"> a laktáló patkányok tejébe jelentős mértékben kiválasztódott (tej/plazma arány: 4:1).</w:t>
      </w:r>
    </w:p>
    <w:p w14:paraId="1BE27A49" w14:textId="77777777" w:rsidR="00174605" w:rsidRDefault="00174605">
      <w:pPr>
        <w:jc w:val="left"/>
      </w:pPr>
    </w:p>
    <w:p w14:paraId="5A7A0C66" w14:textId="77777777" w:rsidR="00174605" w:rsidRDefault="00C8536B">
      <w:pPr>
        <w:pStyle w:val="Cmsor1"/>
      </w:pPr>
      <w:r>
        <w:t>6.</w:t>
      </w:r>
      <w:r>
        <w:tab/>
        <w:t>GYÓGYSZERÉSZETI JELLEMZŐK</w:t>
      </w:r>
    </w:p>
    <w:p w14:paraId="173A82A5" w14:textId="77777777" w:rsidR="00174605" w:rsidRDefault="00174605">
      <w:pPr>
        <w:jc w:val="left"/>
      </w:pPr>
    </w:p>
    <w:p w14:paraId="3AB2A266" w14:textId="77777777" w:rsidR="00174605" w:rsidRDefault="00C8536B">
      <w:pPr>
        <w:pStyle w:val="Cmsor2"/>
      </w:pPr>
      <w:r>
        <w:t>6.1</w:t>
      </w:r>
      <w:r>
        <w:tab/>
        <w:t>Segédanyagok felsorolása</w:t>
      </w:r>
    </w:p>
    <w:p w14:paraId="720CEE34" w14:textId="77777777" w:rsidR="00174605" w:rsidRDefault="00174605">
      <w:pPr>
        <w:jc w:val="left"/>
      </w:pPr>
    </w:p>
    <w:p w14:paraId="751B4835" w14:textId="77777777" w:rsidR="00174605" w:rsidRDefault="00C8536B">
      <w:pPr>
        <w:rPr>
          <w:noProof/>
          <w:lang w:eastAsia="en-US"/>
        </w:rPr>
      </w:pPr>
      <w:r>
        <w:rPr>
          <w:noProof/>
          <w:u w:val="single"/>
          <w:lang w:eastAsia="en-US"/>
        </w:rPr>
        <w:t>Tablettamag</w:t>
      </w:r>
      <w:r>
        <w:rPr>
          <w:noProof/>
          <w:lang w:eastAsia="en-US"/>
        </w:rPr>
        <w:t>:</w:t>
      </w:r>
    </w:p>
    <w:p w14:paraId="32AE1B41" w14:textId="77777777" w:rsidR="00174605" w:rsidRDefault="00C8536B">
      <w:pPr>
        <w:tabs>
          <w:tab w:val="left" w:pos="1080"/>
        </w:tabs>
        <w:jc w:val="left"/>
      </w:pPr>
      <w:r>
        <w:t>mikrokristályos cellulóz</w:t>
      </w:r>
    </w:p>
    <w:p w14:paraId="5C586C25" w14:textId="77777777" w:rsidR="00174605" w:rsidRDefault="00C8536B">
      <w:pPr>
        <w:tabs>
          <w:tab w:val="left" w:pos="1080"/>
        </w:tabs>
        <w:jc w:val="left"/>
      </w:pPr>
      <w:r>
        <w:t>kalcium-hidrogén-foszfát</w:t>
      </w:r>
    </w:p>
    <w:p w14:paraId="4739B7FC" w14:textId="77777777" w:rsidR="00174605" w:rsidRDefault="00C8536B">
      <w:pPr>
        <w:tabs>
          <w:tab w:val="left" w:pos="1080"/>
        </w:tabs>
        <w:jc w:val="left"/>
      </w:pPr>
      <w:proofErr w:type="spellStart"/>
      <w:r>
        <w:t>kroszkarmellóz</w:t>
      </w:r>
      <w:proofErr w:type="spellEnd"/>
      <w:r>
        <w:t>-nátrium</w:t>
      </w:r>
    </w:p>
    <w:p w14:paraId="0C5411A5" w14:textId="77777777" w:rsidR="00174605" w:rsidRDefault="00C8536B">
      <w:pPr>
        <w:tabs>
          <w:tab w:val="left" w:pos="1080"/>
        </w:tabs>
        <w:jc w:val="left"/>
      </w:pPr>
      <w:r>
        <w:t>nátrium-</w:t>
      </w:r>
      <w:proofErr w:type="spellStart"/>
      <w:r>
        <w:t>sztearil</w:t>
      </w:r>
      <w:proofErr w:type="spellEnd"/>
      <w:r>
        <w:t>-</w:t>
      </w:r>
      <w:proofErr w:type="spellStart"/>
      <w:r>
        <w:t>fumarát</w:t>
      </w:r>
      <w:proofErr w:type="spellEnd"/>
    </w:p>
    <w:p w14:paraId="1035AB47" w14:textId="77777777" w:rsidR="00174605" w:rsidRDefault="00C8536B">
      <w:pPr>
        <w:tabs>
          <w:tab w:val="left" w:pos="1080"/>
        </w:tabs>
        <w:jc w:val="left"/>
      </w:pPr>
      <w:r>
        <w:t>magnézium-</w:t>
      </w:r>
      <w:proofErr w:type="spellStart"/>
      <w:r>
        <w:t>sztearát</w:t>
      </w:r>
      <w:proofErr w:type="spellEnd"/>
    </w:p>
    <w:p w14:paraId="75F88F71" w14:textId="77777777" w:rsidR="00174605" w:rsidRDefault="00174605">
      <w:pPr>
        <w:rPr>
          <w:noProof/>
          <w:lang w:eastAsia="en-US"/>
        </w:rPr>
      </w:pPr>
    </w:p>
    <w:p w14:paraId="5BA3DB49" w14:textId="77777777" w:rsidR="00174605" w:rsidRDefault="00C8536B">
      <w:pPr>
        <w:rPr>
          <w:noProof/>
          <w:lang w:eastAsia="en-US"/>
        </w:rPr>
      </w:pPr>
      <w:r>
        <w:rPr>
          <w:noProof/>
          <w:u w:val="single"/>
          <w:lang w:eastAsia="en-US"/>
        </w:rPr>
        <w:t>Filmbevonat</w:t>
      </w:r>
      <w:r>
        <w:rPr>
          <w:noProof/>
          <w:lang w:eastAsia="en-US"/>
        </w:rPr>
        <w:t xml:space="preserve">: </w:t>
      </w:r>
    </w:p>
    <w:p w14:paraId="38205577" w14:textId="77777777" w:rsidR="00174605" w:rsidRDefault="00C8536B">
      <w:pPr>
        <w:tabs>
          <w:tab w:val="left" w:pos="1080"/>
        </w:tabs>
        <w:jc w:val="left"/>
      </w:pPr>
      <w:r>
        <w:rPr>
          <w:lang w:val="en-GB"/>
        </w:rPr>
        <w:t>Opadry 85F280010 II HP white:</w:t>
      </w:r>
    </w:p>
    <w:p w14:paraId="4B7B76D1" w14:textId="77777777" w:rsidR="00174605" w:rsidRDefault="00C8536B">
      <w:pPr>
        <w:tabs>
          <w:tab w:val="left" w:pos="1080"/>
        </w:tabs>
        <w:ind w:left="284"/>
        <w:jc w:val="left"/>
      </w:pPr>
      <w:proofErr w:type="spellStart"/>
      <w:r>
        <w:lastRenderedPageBreak/>
        <w:t>poli</w:t>
      </w:r>
      <w:proofErr w:type="spellEnd"/>
      <w:r>
        <w:t>(</w:t>
      </w:r>
      <w:proofErr w:type="spellStart"/>
      <w:r>
        <w:t>vinil</w:t>
      </w:r>
      <w:proofErr w:type="spellEnd"/>
      <w:r>
        <w:t>-alkohol)</w:t>
      </w:r>
    </w:p>
    <w:p w14:paraId="5A8A1FCB" w14:textId="77777777" w:rsidR="00174605" w:rsidRDefault="00C8536B">
      <w:pPr>
        <w:tabs>
          <w:tab w:val="left" w:pos="1080"/>
        </w:tabs>
        <w:ind w:left="284"/>
        <w:jc w:val="left"/>
      </w:pPr>
      <w:proofErr w:type="spellStart"/>
      <w:r>
        <w:t>makrogol</w:t>
      </w:r>
      <w:proofErr w:type="spellEnd"/>
      <w:r>
        <w:t xml:space="preserve"> 3350</w:t>
      </w:r>
    </w:p>
    <w:p w14:paraId="7FF28FD9" w14:textId="77777777" w:rsidR="00174605" w:rsidRDefault="00C8536B">
      <w:pPr>
        <w:tabs>
          <w:tab w:val="left" w:pos="1080"/>
        </w:tabs>
        <w:ind w:left="284"/>
        <w:jc w:val="left"/>
      </w:pPr>
      <w:r>
        <w:t>titán-dioxid (E171)</w:t>
      </w:r>
    </w:p>
    <w:p w14:paraId="1785879F" w14:textId="77777777" w:rsidR="00174605" w:rsidRDefault="00C8536B">
      <w:pPr>
        <w:tabs>
          <w:tab w:val="left" w:pos="1080"/>
        </w:tabs>
        <w:ind w:left="284"/>
        <w:jc w:val="left"/>
      </w:pPr>
      <w:r>
        <w:t>talkum</w:t>
      </w:r>
    </w:p>
    <w:p w14:paraId="78B0A81D" w14:textId="77777777" w:rsidR="00174605" w:rsidRDefault="00C8536B">
      <w:pPr>
        <w:tabs>
          <w:tab w:val="left" w:pos="1080"/>
        </w:tabs>
        <w:jc w:val="left"/>
      </w:pPr>
      <w:r>
        <w:t>vörös vas-oxid (E172)</w:t>
      </w:r>
    </w:p>
    <w:p w14:paraId="2C2E5A12" w14:textId="77777777" w:rsidR="00174605" w:rsidRDefault="00C8536B">
      <w:pPr>
        <w:rPr>
          <w:noProof/>
          <w:lang w:val="en-GB" w:eastAsia="en-US"/>
        </w:rPr>
      </w:pPr>
      <w:r>
        <w:t>sárga vas-oxid (E172)</w:t>
      </w:r>
    </w:p>
    <w:p w14:paraId="09422FFF" w14:textId="77777777" w:rsidR="00174605" w:rsidRDefault="00174605">
      <w:pPr>
        <w:jc w:val="left"/>
      </w:pPr>
    </w:p>
    <w:p w14:paraId="4B37F9BE" w14:textId="77777777" w:rsidR="00174605" w:rsidRDefault="00C8536B">
      <w:pPr>
        <w:pStyle w:val="Cmsor2"/>
      </w:pPr>
      <w:r>
        <w:t>6.2</w:t>
      </w:r>
      <w:r>
        <w:tab/>
        <w:t>Inkompatibilitások</w:t>
      </w:r>
    </w:p>
    <w:p w14:paraId="3D74B907" w14:textId="77777777" w:rsidR="00174605" w:rsidRDefault="00174605">
      <w:pPr>
        <w:jc w:val="left"/>
      </w:pPr>
    </w:p>
    <w:p w14:paraId="41EB1490" w14:textId="77777777" w:rsidR="00174605" w:rsidRDefault="00C8536B">
      <w:pPr>
        <w:jc w:val="left"/>
      </w:pPr>
      <w:r>
        <w:t>Nem értelmezhető.</w:t>
      </w:r>
    </w:p>
    <w:p w14:paraId="7280BC0A" w14:textId="77777777" w:rsidR="00174605" w:rsidRDefault="00174605">
      <w:pPr>
        <w:jc w:val="left"/>
      </w:pPr>
    </w:p>
    <w:p w14:paraId="4FBAC2C5" w14:textId="77777777" w:rsidR="00174605" w:rsidRDefault="00C8536B">
      <w:pPr>
        <w:pStyle w:val="Cmsor2"/>
      </w:pPr>
      <w:r>
        <w:t>6.3</w:t>
      </w:r>
      <w:r>
        <w:tab/>
        <w:t>Felhasználhatósági időtartam</w:t>
      </w:r>
    </w:p>
    <w:p w14:paraId="4ACED236" w14:textId="77777777" w:rsidR="00174605" w:rsidRDefault="00174605">
      <w:pPr>
        <w:jc w:val="left"/>
      </w:pPr>
    </w:p>
    <w:p w14:paraId="7B6348DD" w14:textId="77777777" w:rsidR="00174605" w:rsidRDefault="00C8536B">
      <w:pPr>
        <w:jc w:val="left"/>
      </w:pPr>
      <w:r>
        <w:t>2 év.</w:t>
      </w:r>
    </w:p>
    <w:p w14:paraId="2AEF5207" w14:textId="77777777" w:rsidR="00174605" w:rsidRDefault="00174605">
      <w:pPr>
        <w:jc w:val="left"/>
      </w:pPr>
    </w:p>
    <w:p w14:paraId="3A2AA73E" w14:textId="77777777" w:rsidR="00174605" w:rsidRDefault="00C8536B">
      <w:pPr>
        <w:pStyle w:val="Cmsor2"/>
      </w:pPr>
      <w:r>
        <w:t>6.4</w:t>
      </w:r>
      <w:r>
        <w:tab/>
        <w:t>Különleges tárolási előírások</w:t>
      </w:r>
    </w:p>
    <w:p w14:paraId="115EC10E" w14:textId="77777777" w:rsidR="00174605" w:rsidRDefault="00174605">
      <w:pPr>
        <w:jc w:val="left"/>
      </w:pPr>
    </w:p>
    <w:p w14:paraId="7B20ED28" w14:textId="77777777" w:rsidR="00174605" w:rsidRDefault="00C8536B">
      <w:pPr>
        <w:jc w:val="left"/>
      </w:pPr>
      <w:r>
        <w:t>Legfeljebb 25°C-on tárolandó.</w:t>
      </w:r>
    </w:p>
    <w:p w14:paraId="393704C7" w14:textId="77777777" w:rsidR="00174605" w:rsidRDefault="00C8536B">
      <w:pPr>
        <w:tabs>
          <w:tab w:val="left" w:pos="567"/>
        </w:tabs>
        <w:jc w:val="left"/>
        <w:rPr>
          <w:noProof/>
        </w:rPr>
      </w:pPr>
      <w:r>
        <w:rPr>
          <w:noProof/>
        </w:rPr>
        <w:t>A nedvességtől való védelem érdekében az eredeti csomagolásban tárolandó.</w:t>
      </w:r>
    </w:p>
    <w:p w14:paraId="0EBF19D7" w14:textId="77777777" w:rsidR="00174605" w:rsidRDefault="00174605">
      <w:pPr>
        <w:jc w:val="left"/>
      </w:pPr>
    </w:p>
    <w:p w14:paraId="544F14E3" w14:textId="77777777" w:rsidR="00174605" w:rsidRDefault="00C8536B">
      <w:pPr>
        <w:pStyle w:val="Cmsor2"/>
      </w:pPr>
      <w:r>
        <w:t>6.5</w:t>
      </w:r>
      <w:r>
        <w:tab/>
        <w:t>Csomagolás típusa és kiszerelése</w:t>
      </w:r>
    </w:p>
    <w:p w14:paraId="78E122C0" w14:textId="77777777" w:rsidR="00174605" w:rsidRDefault="00174605">
      <w:pPr>
        <w:jc w:val="left"/>
      </w:pPr>
    </w:p>
    <w:p w14:paraId="6FFF1B3B" w14:textId="77777777" w:rsidR="00174605" w:rsidRDefault="00C8536B">
      <w:pPr>
        <w:tabs>
          <w:tab w:val="left" w:pos="567"/>
        </w:tabs>
        <w:jc w:val="left"/>
        <w:rPr>
          <w:noProof/>
          <w:highlight w:val="yellow"/>
        </w:rPr>
      </w:pPr>
      <w:r>
        <w:rPr>
          <w:lang w:eastAsia="en-US"/>
        </w:rPr>
        <w:t>Buborékcsomagolás (OPA/</w:t>
      </w:r>
      <w:proofErr w:type="spellStart"/>
      <w:r>
        <w:rPr>
          <w:lang w:eastAsia="en-US"/>
        </w:rPr>
        <w:t>Al</w:t>
      </w:r>
      <w:proofErr w:type="spellEnd"/>
      <w:r>
        <w:rPr>
          <w:lang w:eastAsia="en-US"/>
        </w:rPr>
        <w:t>/PVC//</w:t>
      </w:r>
      <w:proofErr w:type="spellStart"/>
      <w:r>
        <w:rPr>
          <w:lang w:eastAsia="en-US"/>
        </w:rPr>
        <w:t>Al</w:t>
      </w:r>
      <w:proofErr w:type="spellEnd"/>
      <w:r>
        <w:rPr>
          <w:lang w:eastAsia="en-US"/>
        </w:rPr>
        <w:t xml:space="preserve">): </w:t>
      </w:r>
      <w:r>
        <w:rPr>
          <w:noProof/>
        </w:rPr>
        <w:t>14 db, 28 db, 30 db, 56 db, 60 db, 90 db és 98 db filmtabletta, dobozban.</w:t>
      </w:r>
    </w:p>
    <w:p w14:paraId="28C48D76" w14:textId="77777777" w:rsidR="00174605" w:rsidRDefault="00174605">
      <w:pPr>
        <w:tabs>
          <w:tab w:val="left" w:pos="567"/>
        </w:tabs>
        <w:jc w:val="left"/>
        <w:rPr>
          <w:lang w:eastAsia="en-US"/>
        </w:rPr>
      </w:pPr>
    </w:p>
    <w:p w14:paraId="1773B86B" w14:textId="77777777" w:rsidR="00174605" w:rsidRDefault="00C8536B">
      <w:pPr>
        <w:jc w:val="left"/>
      </w:pPr>
      <w:r>
        <w:t>Nem feltétlenül mindegyik kiszerelés kerül kereskedelmi forgalomba.</w:t>
      </w:r>
    </w:p>
    <w:p w14:paraId="4D769E76" w14:textId="77777777" w:rsidR="00174605" w:rsidRDefault="00174605">
      <w:pPr>
        <w:jc w:val="left"/>
      </w:pPr>
    </w:p>
    <w:p w14:paraId="5AA9FA8B" w14:textId="77777777" w:rsidR="00174605" w:rsidRDefault="00C8536B">
      <w:pPr>
        <w:pStyle w:val="Cmsor2"/>
      </w:pPr>
      <w:r>
        <w:t>6.6</w:t>
      </w:r>
      <w:r>
        <w:tab/>
        <w:t>A megsemmisítésre vonatkozó különleges óvintézkedések és egyéb, a készítmény kezelésé</w:t>
      </w:r>
      <w:r>
        <w:rPr>
          <w:spacing w:val="-1"/>
        </w:rPr>
        <w:t>v</w:t>
      </w:r>
      <w:r>
        <w:t>el kapcsolatos információk</w:t>
      </w:r>
    </w:p>
    <w:p w14:paraId="45FD92FE" w14:textId="77777777" w:rsidR="00174605" w:rsidRDefault="00174605">
      <w:pPr>
        <w:jc w:val="left"/>
      </w:pPr>
    </w:p>
    <w:p w14:paraId="2BFCF4B7" w14:textId="77777777" w:rsidR="00174605" w:rsidRDefault="00C8536B">
      <w:pPr>
        <w:jc w:val="left"/>
        <w:rPr>
          <w:noProof/>
          <w:lang w:eastAsia="en-US"/>
        </w:rPr>
      </w:pPr>
      <w:r>
        <w:rPr>
          <w:noProof/>
          <w:lang w:eastAsia="en-US"/>
        </w:rPr>
        <w:t>Bármilyen fel nem használt gyógyszer, illetve hulladékanyag megsemmisítését a gyógyszerekre vonatkozó előírások szerint kell végrehajtani.</w:t>
      </w:r>
    </w:p>
    <w:p w14:paraId="2244CD2D" w14:textId="77777777" w:rsidR="00174605" w:rsidRDefault="00174605">
      <w:pPr>
        <w:jc w:val="left"/>
        <w:rPr>
          <w:noProof/>
          <w:lang w:eastAsia="en-US"/>
        </w:rPr>
      </w:pPr>
    </w:p>
    <w:p w14:paraId="447FEFC5" w14:textId="77777777" w:rsidR="00174605" w:rsidRDefault="00C8536B">
      <w:pPr>
        <w:widowControl/>
        <w:suppressAutoHyphens/>
        <w:autoSpaceDE/>
        <w:autoSpaceDN/>
        <w:adjustRightInd/>
        <w:ind w:left="1"/>
        <w:jc w:val="left"/>
        <w:rPr>
          <w:lang w:eastAsia="ar-SA"/>
        </w:rPr>
      </w:pPr>
      <w:r>
        <w:rPr>
          <w:b/>
          <w:lang w:eastAsia="ar-SA"/>
        </w:rPr>
        <w:t>Megjegyzés:</w:t>
      </w:r>
      <w:r>
        <w:rPr>
          <w:lang w:eastAsia="ar-SA"/>
        </w:rPr>
        <w:t xml:space="preserve"> </w:t>
      </w:r>
      <w:r>
        <w:rPr>
          <w:rFonts w:ascii="Wingdings" w:eastAsia="Wingdings" w:hAnsi="Wingdings"/>
          <w:lang w:eastAsia="ar-SA"/>
        </w:rPr>
        <w:t></w:t>
      </w:r>
      <w:r>
        <w:rPr>
          <w:rFonts w:eastAsia="Wingdings"/>
          <w:lang w:eastAsia="ar-SA"/>
        </w:rPr>
        <w:t xml:space="preserve"> </w:t>
      </w:r>
      <w:r>
        <w:rPr>
          <w:lang w:eastAsia="ar-SA"/>
        </w:rPr>
        <w:t>(egy keresztes)</w:t>
      </w:r>
    </w:p>
    <w:p w14:paraId="7B1E29C9" w14:textId="66038217" w:rsidR="00174605" w:rsidRDefault="00C8536B">
      <w:pPr>
        <w:widowControl/>
        <w:suppressAutoHyphens/>
        <w:autoSpaceDE/>
        <w:autoSpaceDN/>
        <w:adjustRightInd/>
        <w:ind w:left="1"/>
        <w:jc w:val="left"/>
        <w:rPr>
          <w:b/>
          <w:lang w:eastAsia="ar-SA"/>
        </w:rPr>
      </w:pPr>
      <w:r w:rsidRPr="004D7B47">
        <w:rPr>
          <w:b/>
          <w:bCs/>
          <w:lang w:eastAsia="ar-SA"/>
        </w:rPr>
        <w:t xml:space="preserve">Osztályozás: </w:t>
      </w:r>
      <w:r w:rsidRPr="00C8536B">
        <w:rPr>
          <w:b/>
          <w:bCs/>
          <w:lang w:eastAsia="ar-SA"/>
        </w:rPr>
        <w:t>II</w:t>
      </w:r>
      <w:r>
        <w:rPr>
          <w:b/>
          <w:lang w:eastAsia="ar-SA"/>
        </w:rPr>
        <w:t>. csoport</w:t>
      </w:r>
    </w:p>
    <w:p w14:paraId="4F360053" w14:textId="2FA2A13F" w:rsidR="00174605" w:rsidRDefault="00C8536B">
      <w:pPr>
        <w:widowControl/>
        <w:suppressAutoHyphens/>
        <w:autoSpaceDE/>
        <w:autoSpaceDN/>
        <w:adjustRightInd/>
        <w:ind w:left="1"/>
        <w:jc w:val="left"/>
        <w:rPr>
          <w:lang w:eastAsia="ar-SA"/>
        </w:rPr>
      </w:pPr>
      <w:r>
        <w:t>Kizárólag orvosi rendelvényhez kötött gyógyszer (V).</w:t>
      </w:r>
    </w:p>
    <w:p w14:paraId="65B7572D" w14:textId="77777777" w:rsidR="00174605" w:rsidRDefault="00174605">
      <w:pPr>
        <w:jc w:val="left"/>
      </w:pPr>
    </w:p>
    <w:p w14:paraId="4598502F" w14:textId="77777777" w:rsidR="00174605" w:rsidRDefault="00174605">
      <w:pPr>
        <w:jc w:val="left"/>
      </w:pPr>
    </w:p>
    <w:p w14:paraId="7F48F80F" w14:textId="77777777" w:rsidR="00174605" w:rsidRDefault="00C8536B">
      <w:pPr>
        <w:pStyle w:val="Cmsor1"/>
        <w:rPr>
          <w:lang w:eastAsia="en-US"/>
        </w:rPr>
      </w:pPr>
      <w:r>
        <w:rPr>
          <w:lang w:eastAsia="en-US"/>
        </w:rPr>
        <w:t>7.</w:t>
      </w:r>
      <w:r>
        <w:rPr>
          <w:lang w:eastAsia="en-US"/>
        </w:rPr>
        <w:tab/>
        <w:t>A FORGALOMBA HOZATALI ENGEDÉLY JOGOSULTJA</w:t>
      </w:r>
    </w:p>
    <w:p w14:paraId="2D614140" w14:textId="77777777" w:rsidR="00174605" w:rsidRDefault="00174605">
      <w:pPr>
        <w:jc w:val="left"/>
        <w:rPr>
          <w:lang w:eastAsia="en-US"/>
        </w:rPr>
      </w:pPr>
    </w:p>
    <w:p w14:paraId="0710FA03" w14:textId="77777777" w:rsidR="00174605" w:rsidRDefault="00C8536B">
      <w:pPr>
        <w:jc w:val="left"/>
      </w:pPr>
      <w:r>
        <w:t xml:space="preserve">KRKA, </w:t>
      </w:r>
      <w:proofErr w:type="spellStart"/>
      <w:r>
        <w:t>d.d</w:t>
      </w:r>
      <w:proofErr w:type="spellEnd"/>
      <w:r>
        <w:t xml:space="preserve">., Novo </w:t>
      </w:r>
      <w:proofErr w:type="spellStart"/>
      <w:r>
        <w:t>mesto</w:t>
      </w:r>
      <w:proofErr w:type="spellEnd"/>
      <w:r>
        <w:t>,</w:t>
      </w:r>
    </w:p>
    <w:p w14:paraId="3153FCB0" w14:textId="77777777" w:rsidR="00174605" w:rsidRDefault="00C8536B">
      <w:pPr>
        <w:jc w:val="left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6,</w:t>
      </w:r>
    </w:p>
    <w:p w14:paraId="7E11BD3B" w14:textId="77777777" w:rsidR="00174605" w:rsidRDefault="00C8536B">
      <w:pPr>
        <w:jc w:val="left"/>
      </w:pPr>
      <w:r>
        <w:t xml:space="preserve">8501 Novo </w:t>
      </w:r>
      <w:proofErr w:type="spellStart"/>
      <w:r>
        <w:t>mesto</w:t>
      </w:r>
      <w:proofErr w:type="spellEnd"/>
      <w:r>
        <w:t>,</w:t>
      </w:r>
    </w:p>
    <w:p w14:paraId="099583B6" w14:textId="77777777" w:rsidR="00174605" w:rsidRDefault="00C8536B">
      <w:pPr>
        <w:jc w:val="left"/>
        <w:rPr>
          <w:lang w:eastAsia="en-US"/>
        </w:rPr>
      </w:pPr>
      <w:r>
        <w:t>Szlovénia</w:t>
      </w:r>
    </w:p>
    <w:p w14:paraId="47EA9996" w14:textId="77777777" w:rsidR="00174605" w:rsidRDefault="00174605">
      <w:pPr>
        <w:jc w:val="left"/>
        <w:rPr>
          <w:lang w:eastAsia="en-US"/>
        </w:rPr>
      </w:pPr>
    </w:p>
    <w:p w14:paraId="0E12D960" w14:textId="77777777" w:rsidR="00174605" w:rsidRDefault="00C8536B">
      <w:pPr>
        <w:pStyle w:val="Cmsor1"/>
        <w:rPr>
          <w:lang w:eastAsia="en-US"/>
        </w:rPr>
      </w:pPr>
      <w:r>
        <w:rPr>
          <w:lang w:eastAsia="en-US"/>
        </w:rPr>
        <w:t>8.</w:t>
      </w:r>
      <w:r>
        <w:rPr>
          <w:lang w:eastAsia="en-US"/>
        </w:rPr>
        <w:tab/>
        <w:t>A FORGALOMBA HOZATALI ENGEDÉLY SZÁMA(I)</w:t>
      </w:r>
    </w:p>
    <w:p w14:paraId="0429EF1A" w14:textId="77777777" w:rsidR="00174605" w:rsidRDefault="00174605">
      <w:pPr>
        <w:jc w:val="left"/>
        <w:rPr>
          <w:lang w:eastAsia="en-US"/>
        </w:rPr>
      </w:pPr>
    </w:p>
    <w:p w14:paraId="57C666E6" w14:textId="77777777" w:rsidR="00174605" w:rsidRDefault="00C8536B">
      <w:pPr>
        <w:jc w:val="left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Maysiglu</w:t>
      </w:r>
      <w:proofErr w:type="spellEnd"/>
      <w:r>
        <w:rPr>
          <w:i/>
          <w:sz w:val="24"/>
          <w:szCs w:val="24"/>
        </w:rPr>
        <w:t xml:space="preserve"> 25 mg filmtabletta  </w:t>
      </w:r>
    </w:p>
    <w:p w14:paraId="71667711" w14:textId="77777777" w:rsidR="00174605" w:rsidRDefault="00C8536B">
      <w:r>
        <w:t>OGYI-T-23635/01</w:t>
      </w:r>
      <w:r>
        <w:tab/>
        <w:t>14×</w:t>
      </w:r>
    </w:p>
    <w:p w14:paraId="02F2CE80" w14:textId="77777777" w:rsidR="00174605" w:rsidRDefault="00C8536B">
      <w:r>
        <w:t>OGYI-T-23635/02</w:t>
      </w:r>
      <w:r>
        <w:tab/>
        <w:t>28×</w:t>
      </w:r>
    </w:p>
    <w:p w14:paraId="37E8B9C6" w14:textId="77777777" w:rsidR="00174605" w:rsidRDefault="00C8536B">
      <w:r>
        <w:t>OGYI-T-23635/03</w:t>
      </w:r>
      <w:r>
        <w:tab/>
        <w:t>30×</w:t>
      </w:r>
    </w:p>
    <w:p w14:paraId="762BC063" w14:textId="77777777" w:rsidR="00174605" w:rsidRDefault="00C8536B">
      <w:r>
        <w:t>OGYI-T-23635/04</w:t>
      </w:r>
      <w:r>
        <w:tab/>
        <w:t>56×</w:t>
      </w:r>
    </w:p>
    <w:p w14:paraId="0780968C" w14:textId="77777777" w:rsidR="00174605" w:rsidRDefault="00C8536B">
      <w:r>
        <w:t>OGYI-T-23635/05</w:t>
      </w:r>
      <w:r>
        <w:tab/>
        <w:t>60×</w:t>
      </w:r>
    </w:p>
    <w:p w14:paraId="6B1C20A5" w14:textId="77777777" w:rsidR="00174605" w:rsidRDefault="00C8536B">
      <w:r>
        <w:t>OGYI-T-23635/06</w:t>
      </w:r>
      <w:r>
        <w:tab/>
        <w:t>90×</w:t>
      </w:r>
    </w:p>
    <w:p w14:paraId="311D4517" w14:textId="77777777" w:rsidR="00174605" w:rsidRDefault="00174605">
      <w:pPr>
        <w:jc w:val="left"/>
        <w:rPr>
          <w:i/>
          <w:lang w:eastAsia="en-US"/>
        </w:rPr>
      </w:pPr>
    </w:p>
    <w:p w14:paraId="4AF0539A" w14:textId="77777777" w:rsidR="00174605" w:rsidRDefault="00C8536B">
      <w:pPr>
        <w:jc w:val="left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Maysiglu</w:t>
      </w:r>
      <w:proofErr w:type="spellEnd"/>
      <w:r>
        <w:rPr>
          <w:i/>
          <w:sz w:val="24"/>
          <w:szCs w:val="24"/>
        </w:rPr>
        <w:t xml:space="preserve"> 50 mg filmtabletta  </w:t>
      </w:r>
    </w:p>
    <w:p w14:paraId="00C42965" w14:textId="77777777" w:rsidR="00174605" w:rsidRDefault="00C8536B">
      <w:r>
        <w:t>OGYI-T-23635/07</w:t>
      </w:r>
      <w:r>
        <w:tab/>
        <w:t>14×</w:t>
      </w:r>
    </w:p>
    <w:p w14:paraId="0074B122" w14:textId="77777777" w:rsidR="00174605" w:rsidRDefault="00C8536B">
      <w:r>
        <w:lastRenderedPageBreak/>
        <w:t>OGYI-T-23635/08</w:t>
      </w:r>
      <w:r>
        <w:tab/>
        <w:t>28×</w:t>
      </w:r>
    </w:p>
    <w:p w14:paraId="17BC03A0" w14:textId="77777777" w:rsidR="00174605" w:rsidRDefault="00C8536B">
      <w:r>
        <w:t>OGYI-T-23635/09</w:t>
      </w:r>
      <w:r>
        <w:tab/>
        <w:t>30×</w:t>
      </w:r>
    </w:p>
    <w:p w14:paraId="22E3DECA" w14:textId="77777777" w:rsidR="00174605" w:rsidRDefault="00C8536B">
      <w:r>
        <w:t>OGYI-T-23635/10</w:t>
      </w:r>
      <w:r>
        <w:tab/>
        <w:t>56×</w:t>
      </w:r>
    </w:p>
    <w:p w14:paraId="1AE6A56B" w14:textId="77777777" w:rsidR="00174605" w:rsidRDefault="00C8536B">
      <w:r>
        <w:t>OGYI-T-23635/11</w:t>
      </w:r>
      <w:r>
        <w:tab/>
        <w:t>60×</w:t>
      </w:r>
    </w:p>
    <w:p w14:paraId="1D64B448" w14:textId="77777777" w:rsidR="00174605" w:rsidRDefault="00C8536B">
      <w:r>
        <w:t>OGYI-T-23635/12</w:t>
      </w:r>
      <w:r>
        <w:tab/>
        <w:t>90×</w:t>
      </w:r>
    </w:p>
    <w:p w14:paraId="3B64E50B" w14:textId="77777777" w:rsidR="00174605" w:rsidRDefault="00174605">
      <w:pPr>
        <w:jc w:val="left"/>
        <w:rPr>
          <w:i/>
          <w:sz w:val="24"/>
          <w:szCs w:val="24"/>
        </w:rPr>
      </w:pPr>
    </w:p>
    <w:p w14:paraId="28B39FA4" w14:textId="77777777" w:rsidR="00174605" w:rsidRDefault="00C8536B">
      <w:pPr>
        <w:jc w:val="left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Maysiglu</w:t>
      </w:r>
      <w:proofErr w:type="spellEnd"/>
      <w:r>
        <w:rPr>
          <w:i/>
          <w:sz w:val="24"/>
          <w:szCs w:val="24"/>
        </w:rPr>
        <w:t xml:space="preserve"> 100 mg filmtabletta  </w:t>
      </w:r>
    </w:p>
    <w:p w14:paraId="0E00210F" w14:textId="77777777" w:rsidR="00174605" w:rsidRDefault="00C8536B">
      <w:r>
        <w:t>OGYI-T-23635/13</w:t>
      </w:r>
      <w:r>
        <w:tab/>
        <w:t>14×</w:t>
      </w:r>
    </w:p>
    <w:p w14:paraId="3601050E" w14:textId="77777777" w:rsidR="00174605" w:rsidRDefault="00C8536B">
      <w:r>
        <w:t>OGYI-T-23635/14</w:t>
      </w:r>
      <w:r>
        <w:tab/>
        <w:t>28×</w:t>
      </w:r>
    </w:p>
    <w:p w14:paraId="602BC44C" w14:textId="77777777" w:rsidR="00174605" w:rsidRDefault="00C8536B">
      <w:r>
        <w:t>OGYI-T-23635/15</w:t>
      </w:r>
      <w:r>
        <w:tab/>
        <w:t>30×</w:t>
      </w:r>
    </w:p>
    <w:p w14:paraId="0A168C20" w14:textId="77777777" w:rsidR="00174605" w:rsidRDefault="00C8536B">
      <w:r>
        <w:t>OGYI-T-23635/16</w:t>
      </w:r>
      <w:r>
        <w:tab/>
        <w:t>56×</w:t>
      </w:r>
    </w:p>
    <w:p w14:paraId="1E0A6C69" w14:textId="77777777" w:rsidR="00174605" w:rsidRDefault="00C8536B">
      <w:r>
        <w:t>OGYI-T-23635/17</w:t>
      </w:r>
      <w:r>
        <w:tab/>
        <w:t>60×</w:t>
      </w:r>
    </w:p>
    <w:p w14:paraId="10EDC83F" w14:textId="77777777" w:rsidR="00174605" w:rsidRDefault="00C8536B">
      <w:r>
        <w:t>OGYI-T-23635/18</w:t>
      </w:r>
      <w:r>
        <w:tab/>
        <w:t>90×</w:t>
      </w:r>
    </w:p>
    <w:p w14:paraId="0D27D309" w14:textId="77777777" w:rsidR="00174605" w:rsidRDefault="00174605">
      <w:pPr>
        <w:jc w:val="left"/>
        <w:rPr>
          <w:lang w:eastAsia="en-US"/>
        </w:rPr>
      </w:pPr>
    </w:p>
    <w:p w14:paraId="4BD7B1F2" w14:textId="77777777" w:rsidR="00174605" w:rsidRDefault="00C8536B">
      <w:pPr>
        <w:pStyle w:val="Cmsor1"/>
      </w:pPr>
      <w:r>
        <w:t>9.</w:t>
      </w:r>
      <w:r>
        <w:tab/>
        <w:t>A FORGALOMBA HOZATALI ENGEDÉLY ELSŐ KIADÁSÁNAK/ MEGÚJÍTÁSÁNAK DÁTUMA</w:t>
      </w:r>
    </w:p>
    <w:p w14:paraId="2CD27B2A" w14:textId="77777777" w:rsidR="00174605" w:rsidRDefault="00174605">
      <w:pPr>
        <w:jc w:val="left"/>
      </w:pPr>
    </w:p>
    <w:p w14:paraId="21CBC377" w14:textId="77777777" w:rsidR="00174605" w:rsidRDefault="00C8536B">
      <w:pPr>
        <w:jc w:val="left"/>
        <w:rPr>
          <w:lang w:eastAsia="en-US"/>
        </w:rPr>
      </w:pPr>
      <w:r>
        <w:rPr>
          <w:lang w:eastAsia="en-US"/>
        </w:rPr>
        <w:t>A forgalomba hozatali engedély első kiadásának dátuma: 2020.január 28.</w:t>
      </w:r>
    </w:p>
    <w:p w14:paraId="21167177" w14:textId="77777777" w:rsidR="00174605" w:rsidRDefault="00174605">
      <w:pPr>
        <w:jc w:val="left"/>
      </w:pPr>
    </w:p>
    <w:p w14:paraId="70016020" w14:textId="77777777" w:rsidR="00C8536B" w:rsidRDefault="00C8536B">
      <w:pPr>
        <w:jc w:val="left"/>
      </w:pPr>
    </w:p>
    <w:p w14:paraId="750BB5C6" w14:textId="77777777" w:rsidR="00174605" w:rsidRDefault="00C8536B">
      <w:pPr>
        <w:pStyle w:val="Cmsor1"/>
        <w:rPr>
          <w:lang w:eastAsia="en-US"/>
        </w:rPr>
      </w:pPr>
      <w:r>
        <w:rPr>
          <w:lang w:eastAsia="en-US"/>
        </w:rPr>
        <w:t>10.</w:t>
      </w:r>
      <w:r>
        <w:rPr>
          <w:lang w:eastAsia="en-US"/>
        </w:rPr>
        <w:tab/>
        <w:t>A SZÖVEG ELLENŐRZÉSÉNEK DÁTUMA</w:t>
      </w:r>
    </w:p>
    <w:p w14:paraId="5D495B13" w14:textId="77777777" w:rsidR="00174605" w:rsidRDefault="00174605">
      <w:pPr>
        <w:jc w:val="left"/>
        <w:rPr>
          <w:lang w:eastAsia="en-US"/>
        </w:rPr>
      </w:pPr>
    </w:p>
    <w:p w14:paraId="6237C257" w14:textId="0D10AF27" w:rsidR="00174605" w:rsidRDefault="00C8536B">
      <w:pPr>
        <w:jc w:val="left"/>
        <w:rPr>
          <w:lang w:eastAsia="en-US"/>
        </w:rPr>
      </w:pPr>
      <w:r>
        <w:rPr>
          <w:lang w:eastAsia="en-US"/>
        </w:rPr>
        <w:t>2026. április 7.</w:t>
      </w:r>
    </w:p>
    <w:sectPr w:rsidR="00174605">
      <w:head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 w:equalWidth="0">
        <w:col w:w="9522"/>
      </w:cols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290B9" w14:textId="77777777" w:rsidR="00174605" w:rsidRDefault="00C8536B">
      <w:r>
        <w:separator/>
      </w:r>
    </w:p>
  </w:endnote>
  <w:endnote w:type="continuationSeparator" w:id="0">
    <w:p w14:paraId="57530872" w14:textId="77777777" w:rsidR="00174605" w:rsidRDefault="00C8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Italic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662ED" w14:textId="5011AFBA" w:rsidR="00C8536B" w:rsidRDefault="00C8536B">
    <w:pPr>
      <w:pStyle w:val="llb"/>
      <w:rPr>
        <w:sz w:val="18"/>
        <w:szCs w:val="18"/>
      </w:rPr>
    </w:pPr>
    <w:r w:rsidRPr="00C8536B">
      <w:rPr>
        <w:sz w:val="18"/>
        <w:szCs w:val="18"/>
      </w:rPr>
      <w:t>NNGYK/ETGY/7861/2026</w:t>
    </w:r>
  </w:p>
  <w:p w14:paraId="34B597CB" w14:textId="023F94D2" w:rsidR="00C8536B" w:rsidRDefault="00C8536B">
    <w:pPr>
      <w:tabs>
        <w:tab w:val="center" w:pos="4536"/>
        <w:tab w:val="right" w:pos="9072"/>
      </w:tabs>
      <w:rPr>
        <w:sz w:val="18"/>
        <w:szCs w:val="18"/>
        <w:lang w:eastAsia="x-none"/>
      </w:rPr>
    </w:pPr>
    <w:r w:rsidRPr="00C8536B">
      <w:rPr>
        <w:sz w:val="18"/>
        <w:szCs w:val="18"/>
        <w:lang w:eastAsia="x-none"/>
      </w:rPr>
      <w:t>NNGYK/ETGY/786</w:t>
    </w:r>
    <w:r>
      <w:rPr>
        <w:sz w:val="18"/>
        <w:szCs w:val="18"/>
        <w:lang w:eastAsia="x-none"/>
      </w:rPr>
      <w:t>4</w:t>
    </w:r>
    <w:r w:rsidRPr="00C8536B">
      <w:rPr>
        <w:sz w:val="18"/>
        <w:szCs w:val="18"/>
        <w:lang w:eastAsia="x-none"/>
      </w:rPr>
      <w:t>/2026</w:t>
    </w:r>
  </w:p>
  <w:p w14:paraId="14D3CF59" w14:textId="5DC976BF" w:rsidR="00174605" w:rsidRDefault="00C8536B" w:rsidP="004D7B47">
    <w:pPr>
      <w:rPr>
        <w:sz w:val="18"/>
        <w:szCs w:val="18"/>
      </w:rPr>
    </w:pPr>
    <w:r w:rsidRPr="00C8536B">
      <w:rPr>
        <w:sz w:val="18"/>
        <w:szCs w:val="18"/>
        <w:lang w:eastAsia="x-none"/>
      </w:rPr>
      <w:t>NNGYK/ETGY/786</w:t>
    </w:r>
    <w:r>
      <w:rPr>
        <w:sz w:val="18"/>
        <w:szCs w:val="18"/>
        <w:lang w:eastAsia="x-none"/>
      </w:rPr>
      <w:t>6</w:t>
    </w:r>
    <w:r w:rsidRPr="00C8536B">
      <w:rPr>
        <w:sz w:val="18"/>
        <w:szCs w:val="18"/>
        <w:lang w:eastAsia="x-none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B4C6F" w14:textId="77777777" w:rsidR="00174605" w:rsidRDefault="00C8536B">
      <w:r>
        <w:separator/>
      </w:r>
    </w:p>
  </w:footnote>
  <w:footnote w:type="continuationSeparator" w:id="0">
    <w:p w14:paraId="71153762" w14:textId="77777777" w:rsidR="00174605" w:rsidRDefault="00C85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A6477" w14:textId="77777777" w:rsidR="00174605" w:rsidRDefault="00C8536B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5</w:t>
    </w:r>
    <w:r>
      <w:rPr>
        <w:sz w:val="18"/>
        <w:szCs w:val="18"/>
      </w:rPr>
      <w:fldChar w:fldCharType="end"/>
    </w:r>
  </w:p>
  <w:p w14:paraId="57FCD0CB" w14:textId="77777777" w:rsidR="00174605" w:rsidRDefault="0017460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4F38"/>
    <w:multiLevelType w:val="hybridMultilevel"/>
    <w:tmpl w:val="CA720CE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9A68AA"/>
    <w:multiLevelType w:val="hybridMultilevel"/>
    <w:tmpl w:val="335E0A94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42B98"/>
    <w:multiLevelType w:val="hybridMultilevel"/>
    <w:tmpl w:val="2E1089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847B6"/>
    <w:multiLevelType w:val="hybridMultilevel"/>
    <w:tmpl w:val="9B38184A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65D34"/>
    <w:multiLevelType w:val="hybridMultilevel"/>
    <w:tmpl w:val="2E9EE958"/>
    <w:lvl w:ilvl="0" w:tplc="6F2419D4">
      <w:numFmt w:val="bullet"/>
      <w:lvlText w:val=""/>
      <w:lvlJc w:val="left"/>
      <w:pPr>
        <w:ind w:left="941" w:hanging="825"/>
      </w:pPr>
      <w:rPr>
        <w:rFonts w:ascii="MS Reference Specialty" w:eastAsia="Times New Roman" w:hAnsi="MS Reference Specialty" w:hint="default"/>
        <w:w w:val="62"/>
      </w:rPr>
    </w:lvl>
    <w:lvl w:ilvl="1" w:tplc="040E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5" w15:restartNumberingAfterBreak="0">
    <w:nsid w:val="2D8E6C15"/>
    <w:multiLevelType w:val="hybridMultilevel"/>
    <w:tmpl w:val="981C10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61DEC"/>
    <w:multiLevelType w:val="hybridMultilevel"/>
    <w:tmpl w:val="F89E79D8"/>
    <w:lvl w:ilvl="0" w:tplc="4C5E4B88">
      <w:start w:val="4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37AC0B99"/>
    <w:multiLevelType w:val="hybridMultilevel"/>
    <w:tmpl w:val="9B802BA2"/>
    <w:lvl w:ilvl="0" w:tplc="294CAA6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C5148"/>
    <w:multiLevelType w:val="hybridMultilevel"/>
    <w:tmpl w:val="01DE07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91006"/>
    <w:multiLevelType w:val="hybridMultilevel"/>
    <w:tmpl w:val="F328E8F6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2427C"/>
    <w:multiLevelType w:val="hybridMultilevel"/>
    <w:tmpl w:val="CA440CEC"/>
    <w:lvl w:ilvl="0" w:tplc="BDAC1E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F775B"/>
    <w:multiLevelType w:val="hybridMultilevel"/>
    <w:tmpl w:val="7958BA5E"/>
    <w:lvl w:ilvl="0" w:tplc="040E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2" w15:restartNumberingAfterBreak="0">
    <w:nsid w:val="56BE7DE3"/>
    <w:multiLevelType w:val="hybridMultilevel"/>
    <w:tmpl w:val="03A4EF30"/>
    <w:lvl w:ilvl="0" w:tplc="A63CBF0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831E7"/>
    <w:multiLevelType w:val="hybridMultilevel"/>
    <w:tmpl w:val="4B0EE6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228EC"/>
    <w:multiLevelType w:val="hybridMultilevel"/>
    <w:tmpl w:val="C2B096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314C6"/>
    <w:multiLevelType w:val="hybridMultilevel"/>
    <w:tmpl w:val="6AA6B89E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704A9C"/>
    <w:multiLevelType w:val="hybridMultilevel"/>
    <w:tmpl w:val="E97CE5D4"/>
    <w:lvl w:ilvl="0" w:tplc="23305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536768">
    <w:abstractNumId w:val="11"/>
  </w:num>
  <w:num w:numId="2" w16cid:durableId="1538086873">
    <w:abstractNumId w:val="4"/>
  </w:num>
  <w:num w:numId="3" w16cid:durableId="767388751">
    <w:abstractNumId w:val="2"/>
  </w:num>
  <w:num w:numId="4" w16cid:durableId="1260286404">
    <w:abstractNumId w:val="5"/>
  </w:num>
  <w:num w:numId="5" w16cid:durableId="1816137951">
    <w:abstractNumId w:val="0"/>
  </w:num>
  <w:num w:numId="6" w16cid:durableId="873537823">
    <w:abstractNumId w:val="13"/>
  </w:num>
  <w:num w:numId="7" w16cid:durableId="1518810680">
    <w:abstractNumId w:val="8"/>
  </w:num>
  <w:num w:numId="8" w16cid:durableId="1073704211">
    <w:abstractNumId w:val="16"/>
  </w:num>
  <w:num w:numId="9" w16cid:durableId="1248732941">
    <w:abstractNumId w:val="3"/>
  </w:num>
  <w:num w:numId="10" w16cid:durableId="971404123">
    <w:abstractNumId w:val="1"/>
  </w:num>
  <w:num w:numId="11" w16cid:durableId="789665025">
    <w:abstractNumId w:val="9"/>
  </w:num>
  <w:num w:numId="12" w16cid:durableId="134567448">
    <w:abstractNumId w:val="15"/>
  </w:num>
  <w:num w:numId="13" w16cid:durableId="1832217430">
    <w:abstractNumId w:val="7"/>
  </w:num>
  <w:num w:numId="14" w16cid:durableId="1568295958">
    <w:abstractNumId w:val="6"/>
  </w:num>
  <w:num w:numId="15" w16cid:durableId="331612768">
    <w:abstractNumId w:val="12"/>
  </w:num>
  <w:num w:numId="16" w16cid:durableId="1157844456">
    <w:abstractNumId w:val="10"/>
  </w:num>
  <w:num w:numId="17" w16cid:durableId="15840244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605"/>
    <w:rsid w:val="00174605"/>
    <w:rsid w:val="004D7B47"/>
    <w:rsid w:val="009D06DB"/>
    <w:rsid w:val="00C8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2B78BA9"/>
  <w15:chartTrackingRefBased/>
  <w15:docId w15:val="{3F6C3D24-C3D6-4936-B285-358FE796D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ms Rm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  <w:jc w:val="both"/>
    </w:pPr>
    <w:rPr>
      <w:rFonts w:ascii="Times New Roman" w:hAnsi="Times New Roman" w:cs="Times New Roman"/>
      <w:sz w:val="22"/>
      <w:szCs w:val="22"/>
      <w:lang w:val="hu-HU" w:eastAsia="hu-HU"/>
    </w:rPr>
  </w:style>
  <w:style w:type="paragraph" w:styleId="Cmsor1">
    <w:name w:val="heading 1"/>
    <w:basedOn w:val="Norml"/>
    <w:next w:val="Norml"/>
    <w:link w:val="Cmsor1Char"/>
    <w:qFormat/>
    <w:pPr>
      <w:keepNext/>
      <w:ind w:left="567" w:hanging="567"/>
      <w:jc w:val="left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pPr>
      <w:keepNext/>
      <w:ind w:left="567" w:hanging="567"/>
      <w:jc w:val="left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locked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Pr>
      <w:rFonts w:cs="Times New Roman"/>
      <w:lang w:val="lv-LV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lfejChar">
    <w:name w:val="Élőfej Char"/>
    <w:link w:val="lfej"/>
    <w:uiPriority w:val="99"/>
    <w:locked/>
    <w:rPr>
      <w:rFonts w:cs="Times New Roman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llbChar">
    <w:name w:val="Élőláb Char"/>
    <w:link w:val="llb"/>
    <w:uiPriority w:val="99"/>
    <w:locked/>
    <w:rPr>
      <w:rFonts w:cs="Times New Roman"/>
    </w:rPr>
  </w:style>
  <w:style w:type="character" w:styleId="Kiemels">
    <w:name w:val="Emphasis"/>
    <w:uiPriority w:val="20"/>
    <w:qFormat/>
    <w:rPr>
      <w:rFonts w:cs="Times New Roman"/>
      <w:i/>
      <w:iCs/>
    </w:rPr>
  </w:style>
  <w:style w:type="character" w:styleId="Jegyzethivatkozs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locked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Pr>
      <w:rFonts w:cs="Times New Roman"/>
      <w:b/>
      <w:bCs/>
    </w:rPr>
  </w:style>
  <w:style w:type="paragraph" w:customStyle="1" w:styleId="Sznesrnykols1jellszn1">
    <w:name w:val="Színes árnyékolás – 1. jelölőszín1"/>
    <w:hidden/>
    <w:uiPriority w:val="99"/>
    <w:semiHidden/>
    <w:rPr>
      <w:rFonts w:cs="Times New Roman"/>
      <w:sz w:val="22"/>
      <w:szCs w:val="22"/>
      <w:lang w:val="hu-HU" w:eastAsia="hu-HU"/>
    </w:rPr>
  </w:style>
  <w:style w:type="character" w:customStyle="1" w:styleId="Cmsor2Char">
    <w:name w:val="Címsor 2 Char"/>
    <w:link w:val="Cmsor2"/>
    <w:rPr>
      <w:rFonts w:ascii="Times New Roman" w:hAnsi="Times New Roman" w:cs="Times New Roman"/>
      <w:b/>
      <w:bCs/>
      <w:sz w:val="22"/>
      <w:szCs w:val="22"/>
      <w:lang w:val="hu-HU" w:eastAsia="hu-HU"/>
    </w:rPr>
  </w:style>
  <w:style w:type="character" w:styleId="Mrltotthiperhivatkozs">
    <w:name w:val="FollowedHyperlink"/>
    <w:rPr>
      <w:color w:val="954F72"/>
      <w:u w:val="single"/>
    </w:rPr>
  </w:style>
  <w:style w:type="character" w:customStyle="1" w:styleId="Cmsor1Char">
    <w:name w:val="Címsor 1 Char"/>
    <w:link w:val="Cmsor1"/>
    <w:rPr>
      <w:rFonts w:ascii="Times New Roman" w:hAnsi="Times New Roman" w:cs="Times New Roman"/>
      <w:b/>
      <w:bCs/>
      <w:sz w:val="22"/>
      <w:szCs w:val="22"/>
      <w:lang w:val="hu-HU" w:eastAsia="hu-HU"/>
    </w:rPr>
  </w:style>
  <w:style w:type="paragraph" w:styleId="Vltozat">
    <w:name w:val="Revision"/>
    <w:hidden/>
    <w:uiPriority w:val="99"/>
    <w:semiHidden/>
    <w:rPr>
      <w:rFonts w:ascii="Times New Roman" w:hAnsi="Times New Roman" w:cs="Times New Roman"/>
      <w:sz w:val="22"/>
      <w:szCs w:val="2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C437E-6B65-4151-8D51-8C842DAC1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6695</Words>
  <Characters>46203</Characters>
  <Application>Microsoft Office Word</Application>
  <DocSecurity>0</DocSecurity>
  <Lines>385</Lines>
  <Paragraphs>105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Bortzeomib Krka</vt:lpstr>
      <vt:lpstr>Bortzeomib Krka</vt:lpstr>
    </vt:vector>
  </TitlesOfParts>
  <Company>GYEMSZI</Company>
  <LinksUpToDate>false</LinksUpToDate>
  <CharactersWithSpaces>52793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Bortzeomib Krka</dc:title>
  <dc:subject>Bortezomib Krka Termékinfromáció</dc:subject>
  <dc:creator>Krka, d.d.</dc:creator>
  <cp:keywords>Krka; Bortezomib</cp:keywords>
  <cp:lastModifiedBy>HU_OGYI_64.1</cp:lastModifiedBy>
  <cp:revision>3</cp:revision>
  <cp:lastPrinted>2019-12-13T08:48:00Z</cp:lastPrinted>
  <dcterms:created xsi:type="dcterms:W3CDTF">2026-04-10T09:31:00Z</dcterms:created>
  <dcterms:modified xsi:type="dcterms:W3CDTF">2026-04-10T10:24:00Z</dcterms:modified>
</cp:coreProperties>
</file>