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2FD30" w14:textId="77777777" w:rsidR="004355C6" w:rsidRPr="00DE2A1A" w:rsidRDefault="004355C6" w:rsidP="00EE32FE">
      <w:pPr>
        <w:pStyle w:val="spc-s"/>
        <w:widowControl w:val="0"/>
        <w:tabs>
          <w:tab w:val="clear" w:pos="851"/>
        </w:tabs>
        <w:spacing w:before="0" w:after="0"/>
        <w:rPr>
          <w:rFonts w:ascii="Times New Roman" w:hAnsi="Times New Roman"/>
          <w:sz w:val="22"/>
          <w:szCs w:val="22"/>
          <w:lang w:val="hu-HU"/>
        </w:rPr>
      </w:pPr>
      <w:bookmarkStart w:id="0" w:name="_GoBack"/>
      <w:bookmarkEnd w:id="0"/>
      <w:r w:rsidRPr="00DE2A1A">
        <w:rPr>
          <w:rFonts w:ascii="Times New Roman" w:hAnsi="Times New Roman"/>
          <w:sz w:val="22"/>
          <w:szCs w:val="22"/>
          <w:lang w:val="hu-HU"/>
        </w:rPr>
        <w:t>1.</w:t>
      </w:r>
      <w:r w:rsidRPr="00DE2A1A">
        <w:rPr>
          <w:rFonts w:ascii="Times New Roman" w:hAnsi="Times New Roman"/>
          <w:sz w:val="22"/>
          <w:szCs w:val="22"/>
          <w:lang w:val="hu-HU"/>
        </w:rPr>
        <w:tab/>
      </w:r>
      <w:r w:rsidR="00E02F5B" w:rsidRPr="00DE2A1A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533E71" w:rsidRPr="00DE2A1A">
        <w:rPr>
          <w:rFonts w:ascii="Times New Roman" w:hAnsi="Times New Roman"/>
          <w:sz w:val="22"/>
          <w:szCs w:val="22"/>
          <w:lang w:val="hu-HU"/>
        </w:rPr>
        <w:t xml:space="preserve">GYÓGYSZER </w:t>
      </w:r>
      <w:r w:rsidR="00072D18" w:rsidRPr="00DE2A1A">
        <w:rPr>
          <w:rFonts w:ascii="Times New Roman" w:hAnsi="Times New Roman"/>
          <w:sz w:val="22"/>
          <w:szCs w:val="22"/>
          <w:lang w:val="hu-HU"/>
        </w:rPr>
        <w:t>NEVE</w:t>
      </w:r>
    </w:p>
    <w:p w14:paraId="3597CC57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24DA4BE6" w14:textId="23F0A962" w:rsidR="004355C6" w:rsidRPr="00DE2A1A" w:rsidRDefault="007B4A8D" w:rsidP="00EE32FE">
      <w:pPr>
        <w:pStyle w:val="lfej"/>
        <w:tabs>
          <w:tab w:val="clear" w:pos="4536"/>
          <w:tab w:val="clear" w:pos="9072"/>
        </w:tabs>
        <w:rPr>
          <w:rFonts w:ascii="Times New Roman" w:hAnsi="Times New Roman"/>
          <w:b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b/>
          <w:bCs/>
          <w:sz w:val="22"/>
          <w:szCs w:val="22"/>
          <w:lang w:val="hu-HU"/>
        </w:rPr>
        <w:t>Be Pharma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 xml:space="preserve"> 1 g </w:t>
      </w:r>
      <w:bookmarkStart w:id="1" w:name="_Hlk54950886"/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por oldatos injekcióhoz/infúzióhoz</w:t>
      </w:r>
      <w:bookmarkEnd w:id="1"/>
    </w:p>
    <w:p w14:paraId="659E7CE9" w14:textId="69656E31" w:rsidR="004355C6" w:rsidRPr="00DE2A1A" w:rsidRDefault="004355C6" w:rsidP="00EE32FE">
      <w:pPr>
        <w:pStyle w:val="lfej"/>
        <w:tabs>
          <w:tab w:val="clear" w:pos="4536"/>
          <w:tab w:val="clear" w:pos="9072"/>
        </w:tabs>
        <w:rPr>
          <w:rFonts w:ascii="Times New Roman" w:hAnsi="Times New Roman"/>
          <w:sz w:val="22"/>
          <w:szCs w:val="22"/>
          <w:lang w:val="hu-HU"/>
        </w:rPr>
      </w:pPr>
    </w:p>
    <w:p w14:paraId="73413978" w14:textId="77777777" w:rsidR="00EE32FE" w:rsidRPr="00DE2A1A" w:rsidRDefault="00EE32FE" w:rsidP="00EE32FE">
      <w:pPr>
        <w:pStyle w:val="lfej"/>
        <w:tabs>
          <w:tab w:val="clear" w:pos="4536"/>
          <w:tab w:val="clear" w:pos="9072"/>
        </w:tabs>
        <w:rPr>
          <w:rFonts w:ascii="Times New Roman" w:hAnsi="Times New Roman"/>
          <w:sz w:val="22"/>
          <w:szCs w:val="22"/>
          <w:lang w:val="hu-HU"/>
        </w:rPr>
      </w:pPr>
    </w:p>
    <w:p w14:paraId="0C2AE5FE" w14:textId="77777777" w:rsidR="004355C6" w:rsidRPr="00DE2A1A" w:rsidRDefault="004355C6" w:rsidP="00EE32FE">
      <w:pPr>
        <w:pStyle w:val="spc-s"/>
        <w:widowControl w:val="0"/>
        <w:tabs>
          <w:tab w:val="clear" w:pos="851"/>
        </w:tabs>
        <w:spacing w:before="0" w:after="0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2.</w:t>
      </w:r>
      <w:r w:rsidRPr="00DE2A1A">
        <w:rPr>
          <w:rFonts w:ascii="Times New Roman" w:hAnsi="Times New Roman"/>
          <w:sz w:val="22"/>
          <w:szCs w:val="22"/>
          <w:lang w:val="hu-HU"/>
        </w:rPr>
        <w:tab/>
      </w:r>
      <w:r w:rsidR="00E02F5B" w:rsidRPr="00DE2A1A">
        <w:rPr>
          <w:rFonts w:ascii="Times New Roman" w:hAnsi="Times New Roman"/>
          <w:sz w:val="22"/>
          <w:szCs w:val="22"/>
          <w:lang w:val="hu-HU"/>
        </w:rPr>
        <w:t>MINŐSÉGI ÉS MENNYISÉGI ÖSSZETÉTEL</w:t>
      </w:r>
    </w:p>
    <w:p w14:paraId="64C5F19A" w14:textId="77777777" w:rsidR="004355C6" w:rsidRPr="00DE2A1A" w:rsidRDefault="004355C6" w:rsidP="00EE32FE">
      <w:pPr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18D280DB" w14:textId="5BA0C49C" w:rsidR="004355C6" w:rsidRPr="00DE2A1A" w:rsidRDefault="00C23CEB" w:rsidP="00EE32FE">
      <w:pPr>
        <w:rPr>
          <w:rFonts w:ascii="Times New Roman" w:hAnsi="Times New Roman"/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1 g"/>
        </w:smartTagPr>
        <w:r w:rsidRPr="00DE2A1A">
          <w:rPr>
            <w:rFonts w:ascii="Times New Roman" w:hAnsi="Times New Roman"/>
            <w:sz w:val="22"/>
            <w:szCs w:val="22"/>
            <w:lang w:val="hu-HU"/>
          </w:rPr>
          <w:t>1</w:t>
        </w:r>
        <w:r w:rsidR="00E02F5B" w:rsidRPr="00DE2A1A">
          <w:rPr>
            <w:rFonts w:ascii="Times New Roman" w:hAnsi="Times New Roman"/>
            <w:sz w:val="22"/>
            <w:szCs w:val="22"/>
            <w:lang w:val="hu-HU"/>
          </w:rPr>
          <w:t xml:space="preserve"> g</w:t>
        </w:r>
      </w:smartTag>
      <w:r w:rsidR="00E02F5B" w:rsidRPr="00DE2A1A">
        <w:rPr>
          <w:rFonts w:ascii="Times New Roman" w:hAnsi="Times New Roman"/>
          <w:sz w:val="22"/>
          <w:szCs w:val="22"/>
          <w:lang w:val="hu-HU"/>
        </w:rPr>
        <w:t xml:space="preserve"> ceftriaxon</w:t>
      </w:r>
      <w:r w:rsidR="003240EB" w:rsidRPr="00DE2A1A">
        <w:rPr>
          <w:rFonts w:ascii="Times New Roman" w:hAnsi="Times New Roman"/>
          <w:sz w:val="22"/>
          <w:szCs w:val="22"/>
          <w:lang w:val="hu-HU"/>
        </w:rPr>
        <w:t xml:space="preserve">t tartalmaz </w:t>
      </w:r>
      <w:r w:rsidR="008E097E" w:rsidRPr="00DE2A1A">
        <w:rPr>
          <w:rFonts w:ascii="Times New Roman" w:hAnsi="Times New Roman"/>
          <w:sz w:val="22"/>
          <w:szCs w:val="22"/>
          <w:lang w:val="hu-HU"/>
        </w:rPr>
        <w:t>(</w:t>
      </w:r>
      <w:r w:rsidR="003240EB" w:rsidRPr="00DE2A1A">
        <w:rPr>
          <w:rFonts w:ascii="Times New Roman" w:hAnsi="Times New Roman"/>
          <w:sz w:val="22"/>
          <w:szCs w:val="22"/>
          <w:lang w:val="hu-HU"/>
        </w:rPr>
        <w:t>ceftriaxon</w:t>
      </w:r>
      <w:r w:rsidR="00A61406" w:rsidRPr="00DE2A1A">
        <w:rPr>
          <w:rFonts w:ascii="Times New Roman" w:hAnsi="Times New Roman"/>
          <w:sz w:val="22"/>
          <w:szCs w:val="22"/>
          <w:lang w:val="hu-HU"/>
        </w:rPr>
        <w:t>-nátrium formájában</w:t>
      </w:r>
      <w:r w:rsidR="008E097E" w:rsidRPr="00DE2A1A">
        <w:rPr>
          <w:rFonts w:ascii="Times New Roman" w:hAnsi="Times New Roman"/>
          <w:sz w:val="22"/>
          <w:szCs w:val="22"/>
          <w:lang w:val="hu-HU"/>
        </w:rPr>
        <w:t>)</w:t>
      </w:r>
      <w:r w:rsidR="00941056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0580E" w:rsidRPr="00DE2A1A">
        <w:rPr>
          <w:rFonts w:ascii="Times New Roman" w:hAnsi="Times New Roman"/>
          <w:sz w:val="22"/>
          <w:szCs w:val="22"/>
          <w:lang w:val="hu-HU"/>
        </w:rPr>
        <w:t>injekciós üvegenként</w:t>
      </w:r>
      <w:r w:rsidR="00E02F5B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1A418E4A" w14:textId="77777777" w:rsidR="004E5DEB" w:rsidRPr="00DE2A1A" w:rsidRDefault="004E5DEB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03DB2F07" w14:textId="73DA5380" w:rsidR="00ED7E13" w:rsidRPr="00DE2A1A" w:rsidRDefault="00ED7E13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bCs/>
          <w:sz w:val="22"/>
          <w:szCs w:val="22"/>
          <w:u w:val="single"/>
          <w:lang w:val="hu-HU"/>
        </w:rPr>
        <w:t>Ismert hatású segédanyag</w:t>
      </w:r>
      <w:r w:rsidRPr="00DE2A1A">
        <w:rPr>
          <w:rFonts w:ascii="Times New Roman" w:hAnsi="Times New Roman"/>
          <w:sz w:val="22"/>
          <w:szCs w:val="22"/>
          <w:lang w:val="hu-HU"/>
        </w:rPr>
        <w:t>:</w:t>
      </w:r>
    </w:p>
    <w:p w14:paraId="5EA61837" w14:textId="652864D6" w:rsidR="004355C6" w:rsidRPr="00DE2A1A" w:rsidRDefault="00F41F92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Ez a gyógyszer kb.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C23CEB" w:rsidRPr="00DE2A1A">
        <w:rPr>
          <w:rFonts w:ascii="Times New Roman" w:hAnsi="Times New Roman"/>
          <w:sz w:val="22"/>
          <w:szCs w:val="22"/>
          <w:lang w:val="hu-HU"/>
        </w:rPr>
        <w:t>83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 xml:space="preserve"> mg (</w:t>
      </w:r>
      <w:r w:rsidR="00C23CEB" w:rsidRPr="00DE2A1A">
        <w:rPr>
          <w:rFonts w:ascii="Times New Roman" w:hAnsi="Times New Roman"/>
          <w:sz w:val="22"/>
          <w:szCs w:val="22"/>
          <w:lang w:val="hu-HU"/>
        </w:rPr>
        <w:t>3,6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 xml:space="preserve"> mmol</w:t>
      </w:r>
      <w:r w:rsidR="00ED4ED7" w:rsidRPr="00DE2A1A">
        <w:rPr>
          <w:rFonts w:ascii="Times New Roman" w:hAnsi="Times New Roman"/>
          <w:sz w:val="22"/>
          <w:szCs w:val="22"/>
          <w:lang w:val="hu-HU"/>
        </w:rPr>
        <w:t>)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nátriumot tartalmaz injekciós üvegenként</w:t>
      </w:r>
      <w:r w:rsidR="0038494A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24FBDAD6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6D0709F3" w14:textId="5006C6B2" w:rsidR="004355C6" w:rsidRPr="00DE2A1A" w:rsidRDefault="00F44725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segédanyagok teljes listáját lásd a 6.1 pontban.</w:t>
      </w:r>
    </w:p>
    <w:p w14:paraId="421590AF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05C6882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04222264" w14:textId="77777777" w:rsidR="00375C43" w:rsidRPr="00DE2A1A" w:rsidRDefault="00375C43" w:rsidP="00EE32FE">
      <w:pPr>
        <w:pStyle w:val="spc-s"/>
        <w:widowControl w:val="0"/>
        <w:tabs>
          <w:tab w:val="clear" w:pos="851"/>
        </w:tabs>
        <w:spacing w:before="0" w:after="0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3.</w:t>
      </w:r>
      <w:r w:rsidRPr="00DE2A1A">
        <w:rPr>
          <w:rFonts w:ascii="Times New Roman" w:hAnsi="Times New Roman"/>
          <w:sz w:val="22"/>
          <w:szCs w:val="22"/>
          <w:lang w:val="hu-HU"/>
        </w:rPr>
        <w:tab/>
        <w:t>GYÓGYSZERFORMA</w:t>
      </w:r>
    </w:p>
    <w:p w14:paraId="2C8DFDAB" w14:textId="77777777" w:rsidR="00533E71" w:rsidRPr="00DE2A1A" w:rsidRDefault="00533E71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E494A75" w14:textId="77777777" w:rsidR="004355C6" w:rsidRPr="00DE2A1A" w:rsidRDefault="001C3C9E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Por oldatos </w:t>
      </w:r>
      <w:r w:rsidR="00A722D4" w:rsidRPr="00DE2A1A">
        <w:rPr>
          <w:rFonts w:ascii="Times New Roman" w:hAnsi="Times New Roman"/>
          <w:sz w:val="22"/>
          <w:szCs w:val="22"/>
          <w:lang w:val="hu-HU"/>
        </w:rPr>
        <w:t>injekcióhoz</w:t>
      </w:r>
      <w:r w:rsidR="00072D18" w:rsidRPr="00DE2A1A">
        <w:rPr>
          <w:rFonts w:ascii="Times New Roman" w:hAnsi="Times New Roman"/>
          <w:sz w:val="22"/>
          <w:szCs w:val="22"/>
          <w:lang w:val="hu-HU"/>
        </w:rPr>
        <w:t xml:space="preserve"> vagy </w:t>
      </w:r>
      <w:r w:rsidR="00A722D4" w:rsidRPr="00DE2A1A">
        <w:rPr>
          <w:rFonts w:ascii="Times New Roman" w:hAnsi="Times New Roman"/>
          <w:sz w:val="22"/>
          <w:szCs w:val="22"/>
          <w:lang w:val="hu-HU"/>
        </w:rPr>
        <w:t>infúzióhoz</w:t>
      </w:r>
      <w:r w:rsidR="00533E71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3CBA5354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31B9BC6" w14:textId="59B14667" w:rsidR="004355C6" w:rsidRPr="00DE2A1A" w:rsidRDefault="00F41F92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Csaknem f</w:t>
      </w:r>
      <w:r w:rsidR="002252FC" w:rsidRPr="00DE2A1A">
        <w:rPr>
          <w:rFonts w:ascii="Times New Roman" w:hAnsi="Times New Roman"/>
          <w:sz w:val="22"/>
          <w:szCs w:val="22"/>
          <w:lang w:val="hu-HU"/>
        </w:rPr>
        <w:t>ehér</w:t>
      </w:r>
      <w:r w:rsidR="001C3C9E" w:rsidRPr="00DE2A1A">
        <w:rPr>
          <w:rFonts w:ascii="Times New Roman" w:hAnsi="Times New Roman"/>
          <w:sz w:val="22"/>
          <w:szCs w:val="22"/>
          <w:lang w:val="hu-HU"/>
        </w:rPr>
        <w:t xml:space="preserve"> vagy sárgás</w:t>
      </w:r>
      <w:r w:rsidR="002252FC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F7D3C" w:rsidRPr="00DE2A1A">
        <w:rPr>
          <w:rFonts w:ascii="Times New Roman" w:hAnsi="Times New Roman"/>
          <w:sz w:val="22"/>
          <w:szCs w:val="22"/>
          <w:lang w:val="hu-HU"/>
        </w:rPr>
        <w:t>színű</w:t>
      </w:r>
      <w:r w:rsidR="00ED7E13" w:rsidRPr="00DE2A1A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6751F3" w:rsidRPr="00DE2A1A">
        <w:rPr>
          <w:rFonts w:ascii="Times New Roman" w:hAnsi="Times New Roman"/>
          <w:sz w:val="22"/>
          <w:szCs w:val="22"/>
          <w:lang w:val="hu-HU"/>
        </w:rPr>
        <w:t>enyhén higroszkópos</w:t>
      </w:r>
      <w:r w:rsidR="008968D4" w:rsidRPr="00DE2A1A">
        <w:rPr>
          <w:rFonts w:ascii="Times New Roman" w:hAnsi="Times New Roman"/>
          <w:sz w:val="22"/>
          <w:szCs w:val="22"/>
          <w:lang w:val="hu-HU"/>
        </w:rPr>
        <w:t>, kristályos</w:t>
      </w:r>
      <w:r w:rsidR="006751F3" w:rsidRPr="00DE2A1A">
        <w:rPr>
          <w:rFonts w:ascii="Times New Roman" w:hAnsi="Times New Roman"/>
          <w:sz w:val="22"/>
          <w:szCs w:val="22"/>
          <w:lang w:val="hu-HU"/>
        </w:rPr>
        <w:t xml:space="preserve"> por</w:t>
      </w:r>
      <w:r w:rsidR="001C3C9E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6533E819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135BF9E0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4A8DC457" w14:textId="77777777" w:rsidR="004355C6" w:rsidRPr="00DE2A1A" w:rsidRDefault="004355C6" w:rsidP="00EE32FE">
      <w:pPr>
        <w:pStyle w:val="spc-s"/>
        <w:widowControl w:val="0"/>
        <w:tabs>
          <w:tab w:val="clear" w:pos="851"/>
        </w:tabs>
        <w:spacing w:before="0" w:after="0"/>
        <w:rPr>
          <w:rFonts w:ascii="Times New Roman" w:hAnsi="Times New Roman"/>
          <w:bCs/>
          <w:caps/>
          <w:sz w:val="22"/>
          <w:szCs w:val="22"/>
          <w:lang w:val="hu-HU"/>
        </w:rPr>
      </w:pPr>
      <w:r w:rsidRPr="00DE2A1A">
        <w:rPr>
          <w:rFonts w:ascii="Times New Roman" w:hAnsi="Times New Roman"/>
          <w:bCs/>
          <w:caps/>
          <w:sz w:val="22"/>
          <w:szCs w:val="22"/>
          <w:lang w:val="hu-HU"/>
        </w:rPr>
        <w:t>4.</w:t>
      </w:r>
      <w:r w:rsidRPr="00DE2A1A">
        <w:rPr>
          <w:rFonts w:ascii="Times New Roman" w:hAnsi="Times New Roman"/>
          <w:bCs/>
          <w:caps/>
          <w:sz w:val="22"/>
          <w:szCs w:val="22"/>
          <w:lang w:val="hu-HU"/>
        </w:rPr>
        <w:tab/>
      </w:r>
      <w:r w:rsidR="002252FC" w:rsidRPr="00DE2A1A">
        <w:rPr>
          <w:rFonts w:ascii="Times New Roman" w:hAnsi="Times New Roman"/>
          <w:bCs/>
          <w:caps/>
          <w:sz w:val="22"/>
          <w:szCs w:val="22"/>
          <w:lang w:val="hu-HU"/>
        </w:rPr>
        <w:t>KLINIKAI JELLEMZŐK</w:t>
      </w:r>
    </w:p>
    <w:p w14:paraId="3BB21FC3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3B7953BB" w14:textId="77777777" w:rsidR="004355C6" w:rsidRPr="00DE2A1A" w:rsidRDefault="004355C6" w:rsidP="00EE32FE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4.1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  <w:t>T</w:t>
      </w:r>
      <w:r w:rsidR="00867CAE" w:rsidRPr="00DE2A1A">
        <w:rPr>
          <w:rFonts w:ascii="Times New Roman" w:hAnsi="Times New Roman"/>
          <w:b/>
          <w:sz w:val="22"/>
          <w:szCs w:val="22"/>
          <w:lang w:val="hu-HU"/>
        </w:rPr>
        <w:t>erápiás javallatok</w:t>
      </w:r>
    </w:p>
    <w:p w14:paraId="388E093F" w14:textId="77777777" w:rsidR="004C31FA" w:rsidRPr="00DE2A1A" w:rsidRDefault="004C31FA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3C058756" w14:textId="629ED2A4" w:rsidR="005978BA" w:rsidRPr="00DE2A1A" w:rsidRDefault="009315AE" w:rsidP="00EE32FE">
      <w:pPr>
        <w:pStyle w:val="Default"/>
        <w:rPr>
          <w:sz w:val="22"/>
          <w:szCs w:val="22"/>
        </w:rPr>
      </w:pPr>
      <w:r w:rsidRPr="00DE2A1A">
        <w:rPr>
          <w:sz w:val="22"/>
          <w:szCs w:val="22"/>
        </w:rPr>
        <w:t xml:space="preserve">A </w:t>
      </w:r>
      <w:r w:rsidR="00247B8A" w:rsidRPr="00DE2A1A">
        <w:rPr>
          <w:sz w:val="22"/>
          <w:szCs w:val="22"/>
        </w:rPr>
        <w:t xml:space="preserve">Ceftriaxone </w:t>
      </w:r>
      <w:r w:rsidR="00A477C5">
        <w:rPr>
          <w:sz w:val="22"/>
          <w:szCs w:val="22"/>
        </w:rPr>
        <w:t>Be Pharma</w:t>
      </w:r>
      <w:r w:rsidR="003B47E6" w:rsidRPr="00DE2A1A">
        <w:rPr>
          <w:sz w:val="22"/>
          <w:szCs w:val="22"/>
        </w:rPr>
        <w:t xml:space="preserve"> </w:t>
      </w:r>
      <w:r w:rsidR="005978BA" w:rsidRPr="00DE2A1A">
        <w:rPr>
          <w:sz w:val="22"/>
          <w:szCs w:val="22"/>
        </w:rPr>
        <w:t xml:space="preserve">az alábbi fertőzések kezelésére javallott felnőtteknél és gyermekeknél, az időre született újszülötteket is beleértve (születéstől kezdve): </w:t>
      </w:r>
    </w:p>
    <w:p w14:paraId="3B25B2BA" w14:textId="2D959636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b</w:t>
      </w:r>
      <w:r w:rsidR="005978BA" w:rsidRPr="00DE2A1A">
        <w:rPr>
          <w:sz w:val="22"/>
          <w:szCs w:val="22"/>
        </w:rPr>
        <w:t>acterialis meningitis</w:t>
      </w:r>
      <w:r w:rsidRPr="00DE2A1A">
        <w:rPr>
          <w:sz w:val="22"/>
          <w:szCs w:val="22"/>
        </w:rPr>
        <w:t>;</w:t>
      </w:r>
    </w:p>
    <w:p w14:paraId="30466429" w14:textId="2F6EF2AC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területen</w:t>
      </w:r>
      <w:r w:rsidR="005978BA" w:rsidRPr="00DE2A1A">
        <w:rPr>
          <w:sz w:val="22"/>
          <w:szCs w:val="22"/>
        </w:rPr>
        <w:t xml:space="preserve"> szerzett tüdőgyulladás</w:t>
      </w:r>
      <w:r w:rsidRPr="00DE2A1A">
        <w:rPr>
          <w:sz w:val="22"/>
          <w:szCs w:val="22"/>
        </w:rPr>
        <w:t>;</w:t>
      </w:r>
    </w:p>
    <w:p w14:paraId="177D4387" w14:textId="6870C647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k</w:t>
      </w:r>
      <w:r w:rsidR="005978BA" w:rsidRPr="00DE2A1A">
        <w:rPr>
          <w:sz w:val="22"/>
          <w:szCs w:val="22"/>
        </w:rPr>
        <w:t>órházban szerzett tüdőgyulladás</w:t>
      </w:r>
      <w:r w:rsidRPr="00DE2A1A">
        <w:rPr>
          <w:sz w:val="22"/>
          <w:szCs w:val="22"/>
        </w:rPr>
        <w:t>;</w:t>
      </w:r>
    </w:p>
    <w:p w14:paraId="3B944239" w14:textId="71DFD35E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a</w:t>
      </w:r>
      <w:r w:rsidR="005978BA" w:rsidRPr="00DE2A1A">
        <w:rPr>
          <w:sz w:val="22"/>
          <w:szCs w:val="22"/>
        </w:rPr>
        <w:t>kut otitis media</w:t>
      </w:r>
      <w:r w:rsidRPr="00DE2A1A">
        <w:rPr>
          <w:sz w:val="22"/>
          <w:szCs w:val="22"/>
        </w:rPr>
        <w:t>;</w:t>
      </w:r>
    </w:p>
    <w:p w14:paraId="41BD56AE" w14:textId="0A2400A0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i</w:t>
      </w:r>
      <w:r w:rsidR="005978BA" w:rsidRPr="00DE2A1A">
        <w:rPr>
          <w:sz w:val="22"/>
          <w:szCs w:val="22"/>
        </w:rPr>
        <w:t>ntraabdominalis fertőzések</w:t>
      </w:r>
      <w:r w:rsidRPr="00DE2A1A">
        <w:rPr>
          <w:sz w:val="22"/>
          <w:szCs w:val="22"/>
        </w:rPr>
        <w:t>;</w:t>
      </w:r>
    </w:p>
    <w:p w14:paraId="17B3201D" w14:textId="74E14DAC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s</w:t>
      </w:r>
      <w:r w:rsidR="005978BA" w:rsidRPr="00DE2A1A">
        <w:rPr>
          <w:sz w:val="22"/>
          <w:szCs w:val="22"/>
        </w:rPr>
        <w:t>zövődményes húgyúti fertőzések (</w:t>
      </w:r>
      <w:r w:rsidRPr="00DE2A1A">
        <w:rPr>
          <w:sz w:val="22"/>
          <w:szCs w:val="22"/>
        </w:rPr>
        <w:t xml:space="preserve">a </w:t>
      </w:r>
      <w:r w:rsidR="005978BA" w:rsidRPr="00DE2A1A">
        <w:rPr>
          <w:sz w:val="22"/>
          <w:szCs w:val="22"/>
        </w:rPr>
        <w:t>pyelonephritist is beleértve)</w:t>
      </w:r>
      <w:r w:rsidRPr="00DE2A1A">
        <w:rPr>
          <w:sz w:val="22"/>
          <w:szCs w:val="22"/>
        </w:rPr>
        <w:t>;</w:t>
      </w:r>
    </w:p>
    <w:p w14:paraId="4DE3B647" w14:textId="46E3FA2C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c</w:t>
      </w:r>
      <w:r w:rsidR="005978BA" w:rsidRPr="00DE2A1A">
        <w:rPr>
          <w:sz w:val="22"/>
          <w:szCs w:val="22"/>
        </w:rPr>
        <w:t>sont- és ízületi fertőzések</w:t>
      </w:r>
      <w:r w:rsidRPr="00DE2A1A">
        <w:rPr>
          <w:sz w:val="22"/>
          <w:szCs w:val="22"/>
        </w:rPr>
        <w:t>;</w:t>
      </w:r>
    </w:p>
    <w:p w14:paraId="33D48F0C" w14:textId="787BE8D0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s</w:t>
      </w:r>
      <w:r w:rsidR="005978BA" w:rsidRPr="00DE2A1A">
        <w:rPr>
          <w:sz w:val="22"/>
          <w:szCs w:val="22"/>
        </w:rPr>
        <w:t>zövődményes bőr- és lágyrés</w:t>
      </w:r>
      <w:r w:rsidR="0060299E" w:rsidRPr="00DE2A1A">
        <w:rPr>
          <w:sz w:val="22"/>
          <w:szCs w:val="22"/>
        </w:rPr>
        <w:t>zf</w:t>
      </w:r>
      <w:r w:rsidR="005978BA" w:rsidRPr="00DE2A1A">
        <w:rPr>
          <w:sz w:val="22"/>
          <w:szCs w:val="22"/>
        </w:rPr>
        <w:t>ertőzések</w:t>
      </w:r>
      <w:r w:rsidRPr="00DE2A1A">
        <w:rPr>
          <w:sz w:val="22"/>
          <w:szCs w:val="22"/>
        </w:rPr>
        <w:t>;</w:t>
      </w:r>
    </w:p>
    <w:p w14:paraId="7C807D3F" w14:textId="32C1A831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g</w:t>
      </w:r>
      <w:r w:rsidR="005978BA" w:rsidRPr="00DE2A1A">
        <w:rPr>
          <w:sz w:val="22"/>
          <w:szCs w:val="22"/>
        </w:rPr>
        <w:t>onorrhoea</w:t>
      </w:r>
      <w:r w:rsidRPr="00DE2A1A">
        <w:rPr>
          <w:sz w:val="22"/>
          <w:szCs w:val="22"/>
        </w:rPr>
        <w:t>;</w:t>
      </w:r>
    </w:p>
    <w:p w14:paraId="6851DB70" w14:textId="1A9148DE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s</w:t>
      </w:r>
      <w:r w:rsidR="005978BA" w:rsidRPr="00DE2A1A">
        <w:rPr>
          <w:sz w:val="22"/>
          <w:szCs w:val="22"/>
        </w:rPr>
        <w:t>yphilis</w:t>
      </w:r>
      <w:r w:rsidRPr="00DE2A1A">
        <w:rPr>
          <w:sz w:val="22"/>
          <w:szCs w:val="22"/>
        </w:rPr>
        <w:t>;</w:t>
      </w:r>
    </w:p>
    <w:p w14:paraId="275C33C7" w14:textId="52A524FE" w:rsidR="005978BA" w:rsidRPr="00DE2A1A" w:rsidRDefault="00F41F92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b</w:t>
      </w:r>
      <w:r w:rsidR="005978BA" w:rsidRPr="00DE2A1A">
        <w:rPr>
          <w:sz w:val="22"/>
          <w:szCs w:val="22"/>
        </w:rPr>
        <w:t>acterialis endocarditis</w:t>
      </w:r>
      <w:r w:rsidRPr="00DE2A1A">
        <w:rPr>
          <w:sz w:val="22"/>
          <w:szCs w:val="22"/>
        </w:rPr>
        <w:t>.</w:t>
      </w:r>
    </w:p>
    <w:p w14:paraId="173B15D6" w14:textId="77777777" w:rsidR="005978BA" w:rsidRPr="00DE2A1A" w:rsidRDefault="005978BA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0C18397" w14:textId="0203C6B5" w:rsidR="005978BA" w:rsidRPr="00DE2A1A" w:rsidRDefault="005978BA" w:rsidP="00EE32FE">
      <w:pPr>
        <w:pStyle w:val="Default"/>
        <w:rPr>
          <w:sz w:val="22"/>
          <w:szCs w:val="22"/>
        </w:rPr>
      </w:pPr>
      <w:r w:rsidRPr="00DE2A1A">
        <w:rPr>
          <w:sz w:val="22"/>
          <w:szCs w:val="22"/>
        </w:rPr>
        <w:t xml:space="preserve">A </w:t>
      </w:r>
      <w:r w:rsidR="00247B8A" w:rsidRPr="00DE2A1A">
        <w:rPr>
          <w:sz w:val="22"/>
          <w:szCs w:val="22"/>
        </w:rPr>
        <w:t xml:space="preserve">Ceftriaxone </w:t>
      </w:r>
      <w:r w:rsidR="00A477C5">
        <w:rPr>
          <w:sz w:val="22"/>
          <w:szCs w:val="22"/>
        </w:rPr>
        <w:t>Be Pharma</w:t>
      </w:r>
      <w:r w:rsidRPr="00DE2A1A">
        <w:rPr>
          <w:sz w:val="22"/>
          <w:szCs w:val="22"/>
        </w:rPr>
        <w:t xml:space="preserve"> alkalmazható még: </w:t>
      </w:r>
    </w:p>
    <w:p w14:paraId="2AE21152" w14:textId="39F348E5" w:rsidR="005978BA" w:rsidRPr="00DE2A1A" w:rsidRDefault="0062547A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k</w:t>
      </w:r>
      <w:r w:rsidR="005978BA" w:rsidRPr="00DE2A1A">
        <w:rPr>
          <w:sz w:val="22"/>
          <w:szCs w:val="22"/>
        </w:rPr>
        <w:t>rónikus obstruktív pulmonalis betegség akut fellángolásainak kezelésére felnőtteknél</w:t>
      </w:r>
      <w:r w:rsidRPr="00DE2A1A">
        <w:rPr>
          <w:sz w:val="22"/>
          <w:szCs w:val="22"/>
        </w:rPr>
        <w:t>;</w:t>
      </w:r>
    </w:p>
    <w:p w14:paraId="3DBF4BFC" w14:textId="58F1F569" w:rsidR="005978BA" w:rsidRPr="00DE2A1A" w:rsidRDefault="0062547A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d</w:t>
      </w:r>
      <w:r w:rsidR="005978BA" w:rsidRPr="00DE2A1A">
        <w:rPr>
          <w:sz w:val="22"/>
          <w:szCs w:val="22"/>
        </w:rPr>
        <w:t xml:space="preserve">isszeminált Lyme-borelliosis (korai </w:t>
      </w:r>
      <w:r w:rsidR="00072D18" w:rsidRPr="00DE2A1A">
        <w:rPr>
          <w:sz w:val="22"/>
          <w:szCs w:val="22"/>
        </w:rPr>
        <w:t>[</w:t>
      </w:r>
      <w:r w:rsidR="005978BA" w:rsidRPr="00DE2A1A">
        <w:rPr>
          <w:sz w:val="22"/>
          <w:szCs w:val="22"/>
        </w:rPr>
        <w:t>2-es stádium</w:t>
      </w:r>
      <w:r w:rsidR="00072D18" w:rsidRPr="00DE2A1A">
        <w:rPr>
          <w:sz w:val="22"/>
          <w:szCs w:val="22"/>
        </w:rPr>
        <w:t>]</w:t>
      </w:r>
      <w:r w:rsidR="005978BA" w:rsidRPr="00DE2A1A">
        <w:rPr>
          <w:sz w:val="22"/>
          <w:szCs w:val="22"/>
        </w:rPr>
        <w:t xml:space="preserve"> és ké</w:t>
      </w:r>
      <w:r w:rsidR="005920C2" w:rsidRPr="00DE2A1A">
        <w:rPr>
          <w:sz w:val="22"/>
          <w:szCs w:val="22"/>
        </w:rPr>
        <w:t xml:space="preserve">sői </w:t>
      </w:r>
      <w:r w:rsidR="00072D18" w:rsidRPr="00DE2A1A">
        <w:rPr>
          <w:sz w:val="22"/>
          <w:szCs w:val="22"/>
        </w:rPr>
        <w:t>[</w:t>
      </w:r>
      <w:r w:rsidR="005920C2" w:rsidRPr="00DE2A1A">
        <w:rPr>
          <w:sz w:val="22"/>
          <w:szCs w:val="22"/>
        </w:rPr>
        <w:t>3-as stádium</w:t>
      </w:r>
      <w:r w:rsidR="00072D18" w:rsidRPr="00DE2A1A">
        <w:rPr>
          <w:sz w:val="22"/>
          <w:szCs w:val="22"/>
        </w:rPr>
        <w:t>]</w:t>
      </w:r>
      <w:r w:rsidR="005978BA" w:rsidRPr="00DE2A1A">
        <w:rPr>
          <w:sz w:val="22"/>
          <w:szCs w:val="22"/>
        </w:rPr>
        <w:t>) kezelésére felnőtteknél és gyermekeknél, beleértve a 15 napos</w:t>
      </w:r>
      <w:r w:rsidR="0060299E" w:rsidRPr="00DE2A1A">
        <w:rPr>
          <w:sz w:val="22"/>
          <w:szCs w:val="22"/>
        </w:rPr>
        <w:t xml:space="preserve"> vagy</w:t>
      </w:r>
      <w:r w:rsidR="005978BA" w:rsidRPr="00DE2A1A">
        <w:rPr>
          <w:sz w:val="22"/>
          <w:szCs w:val="22"/>
        </w:rPr>
        <w:t xml:space="preserve"> idősebb újszülötteket is</w:t>
      </w:r>
      <w:r w:rsidRPr="00DE2A1A">
        <w:rPr>
          <w:sz w:val="22"/>
          <w:szCs w:val="22"/>
        </w:rPr>
        <w:t>;</w:t>
      </w:r>
    </w:p>
    <w:p w14:paraId="6ED2CA2D" w14:textId="75BB1126" w:rsidR="005978BA" w:rsidRPr="00DE2A1A" w:rsidRDefault="0062547A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m</w:t>
      </w:r>
      <w:r w:rsidR="005978BA" w:rsidRPr="00DE2A1A">
        <w:rPr>
          <w:sz w:val="22"/>
          <w:szCs w:val="22"/>
        </w:rPr>
        <w:t>űtéti sebfertőzések megelőzésére a műtét előtt</w:t>
      </w:r>
      <w:r w:rsidRPr="00DE2A1A">
        <w:rPr>
          <w:sz w:val="22"/>
          <w:szCs w:val="22"/>
        </w:rPr>
        <w:t>;</w:t>
      </w:r>
    </w:p>
    <w:p w14:paraId="27A31311" w14:textId="6D7E11D7" w:rsidR="005978BA" w:rsidRPr="00DE2A1A" w:rsidRDefault="0062547A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o</w:t>
      </w:r>
      <w:r w:rsidR="005978BA" w:rsidRPr="00DE2A1A">
        <w:rPr>
          <w:sz w:val="22"/>
          <w:szCs w:val="22"/>
        </w:rPr>
        <w:t>lyan neutropeniás betegek kezelésére, akiknek a láza gyaníthatóan bakteriális fertőzéssel áll összefüggésben</w:t>
      </w:r>
      <w:r w:rsidRPr="00DE2A1A">
        <w:rPr>
          <w:sz w:val="22"/>
          <w:szCs w:val="22"/>
        </w:rPr>
        <w:t>;</w:t>
      </w:r>
    </w:p>
    <w:p w14:paraId="361F2A40" w14:textId="187F4C36" w:rsidR="005978BA" w:rsidRPr="00DE2A1A" w:rsidRDefault="0062547A" w:rsidP="00EE32FE">
      <w:pPr>
        <w:pStyle w:val="Default"/>
        <w:numPr>
          <w:ilvl w:val="0"/>
          <w:numId w:val="49"/>
        </w:numPr>
        <w:ind w:left="567" w:hanging="570"/>
        <w:rPr>
          <w:sz w:val="22"/>
          <w:szCs w:val="22"/>
        </w:rPr>
      </w:pPr>
      <w:r w:rsidRPr="00DE2A1A">
        <w:rPr>
          <w:sz w:val="22"/>
          <w:szCs w:val="22"/>
        </w:rPr>
        <w:t>o</w:t>
      </w:r>
      <w:r w:rsidR="005978BA" w:rsidRPr="00DE2A1A">
        <w:rPr>
          <w:sz w:val="22"/>
          <w:szCs w:val="22"/>
        </w:rPr>
        <w:t>lyan betegek kezelésére, akiknél bármelyik fent felsorolt fertőzéssel összefüggő, vagy feltételezhetően összefüggő bacter</w:t>
      </w:r>
      <w:r w:rsidR="00FE6326" w:rsidRPr="00DE2A1A">
        <w:rPr>
          <w:sz w:val="22"/>
          <w:szCs w:val="22"/>
        </w:rPr>
        <w:t>i</w:t>
      </w:r>
      <w:r w:rsidR="005978BA" w:rsidRPr="00DE2A1A">
        <w:rPr>
          <w:sz w:val="22"/>
          <w:szCs w:val="22"/>
        </w:rPr>
        <w:t xml:space="preserve">aemia alakult ki. </w:t>
      </w:r>
    </w:p>
    <w:p w14:paraId="64A4A021" w14:textId="77777777" w:rsidR="00072D18" w:rsidRPr="00DE2A1A" w:rsidRDefault="00072D18" w:rsidP="00EE32FE">
      <w:pPr>
        <w:pStyle w:val="Default"/>
        <w:ind w:left="-3"/>
        <w:rPr>
          <w:sz w:val="22"/>
          <w:szCs w:val="22"/>
        </w:rPr>
      </w:pPr>
    </w:p>
    <w:p w14:paraId="66D86FBF" w14:textId="65EABB29" w:rsidR="004355C6" w:rsidRPr="00DE2A1A" w:rsidRDefault="005978BA" w:rsidP="00EE32FE">
      <w:pPr>
        <w:pStyle w:val="Default"/>
        <w:ind w:left="-3"/>
        <w:rPr>
          <w:sz w:val="22"/>
          <w:szCs w:val="22"/>
        </w:rPr>
      </w:pPr>
      <w:r w:rsidRPr="00DE2A1A">
        <w:rPr>
          <w:sz w:val="22"/>
          <w:szCs w:val="22"/>
        </w:rPr>
        <w:t xml:space="preserve">A </w:t>
      </w:r>
      <w:r w:rsidR="00247B8A" w:rsidRPr="00DE2A1A">
        <w:rPr>
          <w:sz w:val="22"/>
          <w:szCs w:val="22"/>
        </w:rPr>
        <w:t xml:space="preserve">Ceftriaxone </w:t>
      </w:r>
      <w:r w:rsidR="00A477C5">
        <w:rPr>
          <w:sz w:val="22"/>
          <w:szCs w:val="22"/>
        </w:rPr>
        <w:t>Be Pharma</w:t>
      </w:r>
      <w:r w:rsidRPr="00DE2A1A">
        <w:rPr>
          <w:sz w:val="22"/>
          <w:szCs w:val="22"/>
        </w:rPr>
        <w:t>-t más antibakteriális szerekkel kell együttadni, amikor a gyógyszer spektruma nem fedi le a betegség hátterében álló lehetséges baktériumok teljes tartományát (lásd 4.4</w:t>
      </w:r>
      <w:r w:rsidR="0060299E" w:rsidRPr="00DE2A1A">
        <w:rPr>
          <w:sz w:val="22"/>
          <w:szCs w:val="22"/>
        </w:rPr>
        <w:t> </w:t>
      </w:r>
      <w:r w:rsidRPr="00DE2A1A">
        <w:rPr>
          <w:sz w:val="22"/>
          <w:szCs w:val="22"/>
        </w:rPr>
        <w:t>pont).</w:t>
      </w:r>
      <w:r w:rsidR="00B523FF" w:rsidRPr="00DE2A1A">
        <w:rPr>
          <w:sz w:val="22"/>
          <w:szCs w:val="22"/>
        </w:rPr>
        <w:t xml:space="preserve"> </w:t>
      </w:r>
      <w:r w:rsidR="00BF48AC" w:rsidRPr="00DE2A1A">
        <w:rPr>
          <w:sz w:val="22"/>
          <w:szCs w:val="22"/>
        </w:rPr>
        <w:t xml:space="preserve">Az antibakteriális szerek megfelelő alkalmazásáról szóló hivatalos </w:t>
      </w:r>
      <w:r w:rsidRPr="00DE2A1A">
        <w:rPr>
          <w:sz w:val="22"/>
          <w:szCs w:val="22"/>
        </w:rPr>
        <w:t xml:space="preserve">irányelveket </w:t>
      </w:r>
      <w:r w:rsidR="00BF48AC" w:rsidRPr="00DE2A1A">
        <w:rPr>
          <w:sz w:val="22"/>
          <w:szCs w:val="22"/>
        </w:rPr>
        <w:t>figyelembe kell venni.</w:t>
      </w:r>
    </w:p>
    <w:p w14:paraId="1843ED1F" w14:textId="77777777" w:rsidR="004C31FA" w:rsidRPr="00DE2A1A" w:rsidRDefault="004C31FA" w:rsidP="00EE32FE">
      <w:pPr>
        <w:pStyle w:val="lfej"/>
        <w:tabs>
          <w:tab w:val="clear" w:pos="4536"/>
          <w:tab w:val="clear" w:pos="9072"/>
        </w:tabs>
        <w:rPr>
          <w:rFonts w:ascii="Times New Roman" w:hAnsi="Times New Roman"/>
          <w:sz w:val="22"/>
          <w:szCs w:val="22"/>
          <w:lang w:val="hu-HU"/>
        </w:rPr>
      </w:pPr>
    </w:p>
    <w:p w14:paraId="00EC85F9" w14:textId="77777777" w:rsidR="004355C6" w:rsidRPr="00DE2A1A" w:rsidRDefault="004355C6" w:rsidP="00EE32FE">
      <w:pPr>
        <w:keepNext/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lastRenderedPageBreak/>
        <w:t>4.2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BD7CCB" w:rsidRPr="00DE2A1A">
        <w:rPr>
          <w:rFonts w:ascii="Times New Roman" w:hAnsi="Times New Roman"/>
          <w:b/>
          <w:sz w:val="22"/>
          <w:szCs w:val="22"/>
          <w:lang w:val="hu-HU"/>
        </w:rPr>
        <w:t>A</w:t>
      </w:r>
      <w:r w:rsidR="00854794" w:rsidRPr="00DE2A1A">
        <w:rPr>
          <w:rFonts w:ascii="Times New Roman" w:hAnsi="Times New Roman"/>
          <w:b/>
          <w:sz w:val="22"/>
          <w:szCs w:val="22"/>
          <w:lang w:val="hu-HU"/>
        </w:rPr>
        <w:t>dagolás és a</w:t>
      </w:r>
      <w:r w:rsidR="00BD7CCB" w:rsidRPr="00DE2A1A">
        <w:rPr>
          <w:rFonts w:ascii="Times New Roman" w:hAnsi="Times New Roman"/>
          <w:b/>
          <w:sz w:val="22"/>
          <w:szCs w:val="22"/>
          <w:lang w:val="hu-HU"/>
        </w:rPr>
        <w:t>lkalmazás</w:t>
      </w:r>
    </w:p>
    <w:p w14:paraId="0CDC4E6B" w14:textId="77777777" w:rsidR="004355C6" w:rsidRPr="00DE2A1A" w:rsidRDefault="004355C6" w:rsidP="00EE32FE">
      <w:pPr>
        <w:keepNext/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7AB911BF" w14:textId="77777777" w:rsidR="005978BA" w:rsidRPr="00DE2A1A" w:rsidRDefault="005978BA" w:rsidP="00EE32FE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Adagolás</w:t>
      </w:r>
    </w:p>
    <w:p w14:paraId="28EABE8B" w14:textId="77777777" w:rsidR="005978BA" w:rsidRPr="00DE2A1A" w:rsidRDefault="005978BA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09C96D0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dózis a fertőzés súlyosságától, a fertőzést kiváltó </w:t>
      </w:r>
      <w:r w:rsidR="00072D18" w:rsidRPr="00DE2A1A">
        <w:rPr>
          <w:rFonts w:ascii="Times New Roman" w:hAnsi="Times New Roman"/>
          <w:sz w:val="22"/>
          <w:szCs w:val="22"/>
          <w:lang w:val="hu-HU"/>
        </w:rPr>
        <w:t>mikro</w:t>
      </w:r>
      <w:r w:rsidRPr="00DE2A1A">
        <w:rPr>
          <w:rFonts w:ascii="Times New Roman" w:hAnsi="Times New Roman"/>
          <w:sz w:val="22"/>
          <w:szCs w:val="22"/>
          <w:lang w:val="hu-HU"/>
        </w:rPr>
        <w:t>organizmus érzékenységétől, a fertőzés helyétől és típusától, továbbá a beteg életkorától</w:t>
      </w:r>
      <w:r w:rsidR="00AD26D0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valamint máj- és vesefunkciójától függ.</w:t>
      </w:r>
    </w:p>
    <w:p w14:paraId="22528BDF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53CCA97A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alábbi táblázatokban feltüntetett ajánlott dózisok az ezen indikációkban általában javasolt adagok. Különösen súlyos esetekben mérlegelni kell az ajánlott dózistartomány felső határának alkalmazását.</w:t>
      </w:r>
    </w:p>
    <w:p w14:paraId="6D8E8163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0F06AB87" w14:textId="77777777" w:rsidR="005978BA" w:rsidRPr="00DE2A1A" w:rsidRDefault="005978BA" w:rsidP="00EE32FE">
      <w:pPr>
        <w:ind w:right="-55"/>
        <w:rPr>
          <w:rFonts w:ascii="Times New Roman" w:hAnsi="Times New Roman"/>
          <w:i/>
          <w:color w:val="000000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Felnőttek és 12 éven felüli gyermekek </w:t>
      </w:r>
      <w:r w:rsidRPr="00DE2A1A">
        <w:rPr>
          <w:rFonts w:ascii="Times New Roman" w:hAnsi="Times New Roman"/>
          <w:i/>
          <w:color w:val="000000"/>
          <w:sz w:val="22"/>
          <w:szCs w:val="22"/>
          <w:u w:val="single"/>
          <w:lang w:val="hu-HU"/>
        </w:rPr>
        <w:t>(≥50</w:t>
      </w:r>
      <w:r w:rsidRPr="00DE2A1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 </w:t>
      </w:r>
      <w:r w:rsidRPr="00DE2A1A">
        <w:rPr>
          <w:rFonts w:ascii="Times New Roman" w:hAnsi="Times New Roman"/>
          <w:i/>
          <w:color w:val="000000"/>
          <w:sz w:val="22"/>
          <w:szCs w:val="22"/>
          <w:u w:val="single"/>
          <w:lang w:val="hu-HU"/>
        </w:rPr>
        <w:t>kg)</w:t>
      </w:r>
    </w:p>
    <w:p w14:paraId="0DEF1790" w14:textId="77777777" w:rsidR="005978BA" w:rsidRPr="00DE2A1A" w:rsidRDefault="005978BA" w:rsidP="00EE32FE">
      <w:pPr>
        <w:ind w:right="-55"/>
        <w:rPr>
          <w:rFonts w:ascii="Times New Roman" w:hAnsi="Times New Roman"/>
          <w:i/>
          <w:color w:val="000000"/>
          <w:sz w:val="22"/>
          <w:szCs w:val="22"/>
          <w:u w:val="single"/>
          <w:lang w:val="hu-HU"/>
        </w:rPr>
      </w:pP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843"/>
        <w:gridCol w:w="5386"/>
      </w:tblGrid>
      <w:tr w:rsidR="005978BA" w:rsidRPr="00DE2A1A" w14:paraId="123F96BA" w14:textId="77777777" w:rsidTr="00234673">
        <w:trPr>
          <w:trHeight w:val="146"/>
          <w:tblHeader/>
        </w:trPr>
        <w:tc>
          <w:tcPr>
            <w:tcW w:w="2268" w:type="dxa"/>
          </w:tcPr>
          <w:p w14:paraId="2867A7A9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A ceftriaxon dózisa*</w:t>
            </w:r>
          </w:p>
        </w:tc>
        <w:tc>
          <w:tcPr>
            <w:tcW w:w="1843" w:type="dxa"/>
          </w:tcPr>
          <w:p w14:paraId="2B97C8A6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A kezelés gyakorisága**</w:t>
            </w:r>
          </w:p>
        </w:tc>
        <w:tc>
          <w:tcPr>
            <w:tcW w:w="5386" w:type="dxa"/>
          </w:tcPr>
          <w:p w14:paraId="78F9625E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Javallatok</w:t>
            </w:r>
          </w:p>
        </w:tc>
      </w:tr>
      <w:tr w:rsidR="005978BA" w:rsidRPr="00DE2A1A" w14:paraId="76F4162D" w14:textId="77777777" w:rsidTr="00234673">
        <w:trPr>
          <w:trHeight w:val="144"/>
          <w:tblHeader/>
        </w:trPr>
        <w:tc>
          <w:tcPr>
            <w:tcW w:w="2268" w:type="dxa"/>
            <w:vMerge w:val="restart"/>
          </w:tcPr>
          <w:p w14:paraId="2C862AAC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bookmarkStart w:id="2" w:name="OLE_LINK9"/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1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noBreakHyphen/>
              <w:t>2 g</w:t>
            </w:r>
            <w:bookmarkEnd w:id="2"/>
          </w:p>
        </w:tc>
        <w:tc>
          <w:tcPr>
            <w:tcW w:w="1843" w:type="dxa"/>
            <w:vMerge w:val="restart"/>
          </w:tcPr>
          <w:p w14:paraId="321FDECE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Naponta egyszer </w:t>
            </w:r>
          </w:p>
        </w:tc>
        <w:tc>
          <w:tcPr>
            <w:tcW w:w="5386" w:type="dxa"/>
          </w:tcPr>
          <w:p w14:paraId="0BB341E8" w14:textId="7272D987" w:rsidR="005978BA" w:rsidRPr="00DE2A1A" w:rsidRDefault="00F41F92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Területen</w:t>
            </w:r>
            <w:r w:rsidR="005978BA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szerzett tüdőgyulladás</w:t>
            </w:r>
          </w:p>
        </w:tc>
      </w:tr>
      <w:tr w:rsidR="005978BA" w:rsidRPr="00A477C5" w14:paraId="0769B4FC" w14:textId="77777777" w:rsidTr="00234673">
        <w:trPr>
          <w:trHeight w:val="270"/>
          <w:tblHeader/>
        </w:trPr>
        <w:tc>
          <w:tcPr>
            <w:tcW w:w="2268" w:type="dxa"/>
            <w:vMerge/>
          </w:tcPr>
          <w:p w14:paraId="0D03C5B2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</w:tcPr>
          <w:p w14:paraId="64C3EF31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5386" w:type="dxa"/>
          </w:tcPr>
          <w:p w14:paraId="4BBC071D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Krónikus obstruktív pulmonalis betegség akut fellángolásai</w:t>
            </w:r>
          </w:p>
        </w:tc>
      </w:tr>
      <w:tr w:rsidR="005978BA" w:rsidRPr="00DE2A1A" w14:paraId="2E7E309E" w14:textId="77777777" w:rsidTr="00234673">
        <w:trPr>
          <w:trHeight w:val="144"/>
          <w:tblHeader/>
        </w:trPr>
        <w:tc>
          <w:tcPr>
            <w:tcW w:w="2268" w:type="dxa"/>
            <w:vMerge/>
          </w:tcPr>
          <w:p w14:paraId="7D50EC07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</w:tcPr>
          <w:p w14:paraId="247BC97F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5386" w:type="dxa"/>
          </w:tcPr>
          <w:p w14:paraId="3BEDD7D7" w14:textId="77777777" w:rsidR="005978BA" w:rsidRPr="00DE2A1A" w:rsidRDefault="005978BA" w:rsidP="00EE32FE">
            <w:pPr>
              <w:pStyle w:val="TextTi12"/>
              <w:tabs>
                <w:tab w:val="left" w:pos="10800"/>
              </w:tabs>
              <w:spacing w:after="0" w:line="240" w:lineRule="auto"/>
              <w:jc w:val="left"/>
              <w:rPr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sz w:val="22"/>
                <w:szCs w:val="22"/>
                <w:lang w:val="hu-HU"/>
              </w:rPr>
              <w:t>Intraabdominalis fertőzések</w:t>
            </w:r>
          </w:p>
        </w:tc>
      </w:tr>
      <w:tr w:rsidR="005978BA" w:rsidRPr="00A477C5" w14:paraId="65759759" w14:textId="77777777" w:rsidTr="00234673">
        <w:trPr>
          <w:trHeight w:val="144"/>
          <w:tblHeader/>
        </w:trPr>
        <w:tc>
          <w:tcPr>
            <w:tcW w:w="2268" w:type="dxa"/>
            <w:vMerge/>
          </w:tcPr>
          <w:p w14:paraId="3A1BEB40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</w:tcPr>
          <w:p w14:paraId="5C1CC586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5386" w:type="dxa"/>
          </w:tcPr>
          <w:p w14:paraId="56D28643" w14:textId="77777777" w:rsidR="005978BA" w:rsidRPr="00DE2A1A" w:rsidRDefault="005978BA" w:rsidP="00EE32FE">
            <w:pPr>
              <w:pStyle w:val="Csakszveg"/>
              <w:tabs>
                <w:tab w:val="left" w:pos="1080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 w:cs="Times New Roman"/>
                <w:color w:val="000000"/>
                <w:sz w:val="22"/>
                <w:szCs w:val="22"/>
                <w:lang w:val="hu-HU"/>
              </w:rPr>
              <w:t>Szövődményes húgyúti fertőzések (a pyelonephritist is beleértve)</w:t>
            </w:r>
          </w:p>
        </w:tc>
      </w:tr>
      <w:tr w:rsidR="005978BA" w:rsidRPr="00DE2A1A" w14:paraId="3940F488" w14:textId="77777777" w:rsidTr="00234673">
        <w:trPr>
          <w:trHeight w:val="90"/>
          <w:tblHeader/>
        </w:trPr>
        <w:tc>
          <w:tcPr>
            <w:tcW w:w="2268" w:type="dxa"/>
            <w:vMerge w:val="restart"/>
          </w:tcPr>
          <w:p w14:paraId="6B3C1775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2 g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B5CD372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5386" w:type="dxa"/>
          </w:tcPr>
          <w:p w14:paraId="3328A4A4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Kórházban szerzett tüdőgyulladás</w:t>
            </w:r>
          </w:p>
        </w:tc>
      </w:tr>
      <w:tr w:rsidR="005978BA" w:rsidRPr="00A57B9D" w14:paraId="7CC7D095" w14:textId="77777777" w:rsidTr="00234673">
        <w:trPr>
          <w:trHeight w:val="90"/>
          <w:tblHeader/>
        </w:trPr>
        <w:tc>
          <w:tcPr>
            <w:tcW w:w="2268" w:type="dxa"/>
            <w:vMerge/>
          </w:tcPr>
          <w:p w14:paraId="0BF1CDCA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67083B1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5386" w:type="dxa"/>
          </w:tcPr>
          <w:p w14:paraId="3578F7D1" w14:textId="3B0FFA38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Szövődményes bőr- és lágyrés</w:t>
            </w:r>
            <w:r w:rsidR="0060299E" w:rsidRPr="00DE2A1A">
              <w:rPr>
                <w:rFonts w:ascii="Times New Roman" w:hAnsi="Times New Roman"/>
                <w:sz w:val="22"/>
                <w:szCs w:val="22"/>
                <w:lang w:val="hu-HU"/>
              </w:rPr>
              <w:t>zf</w:t>
            </w: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ertőzések</w:t>
            </w:r>
          </w:p>
        </w:tc>
      </w:tr>
      <w:tr w:rsidR="005978BA" w:rsidRPr="00DE2A1A" w14:paraId="3A745F46" w14:textId="77777777" w:rsidTr="00234673">
        <w:trPr>
          <w:trHeight w:val="229"/>
          <w:tblHeader/>
        </w:trPr>
        <w:tc>
          <w:tcPr>
            <w:tcW w:w="2268" w:type="dxa"/>
            <w:vMerge/>
          </w:tcPr>
          <w:p w14:paraId="1899E528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2F90147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5386" w:type="dxa"/>
          </w:tcPr>
          <w:p w14:paraId="05B2E128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Csont- és ízületi fertőzések</w:t>
            </w:r>
          </w:p>
        </w:tc>
      </w:tr>
      <w:tr w:rsidR="005978BA" w:rsidRPr="00A477C5" w14:paraId="535C11D7" w14:textId="77777777" w:rsidTr="00234673">
        <w:trPr>
          <w:trHeight w:val="90"/>
          <w:tblHeader/>
        </w:trPr>
        <w:tc>
          <w:tcPr>
            <w:tcW w:w="2268" w:type="dxa"/>
            <w:vMerge w:val="restart"/>
          </w:tcPr>
          <w:p w14:paraId="1D77CC8F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2</w:t>
            </w:r>
            <w:r w:rsidR="00072D18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-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4 g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17EF5268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5386" w:type="dxa"/>
          </w:tcPr>
          <w:p w14:paraId="53392C0F" w14:textId="77777777" w:rsidR="005978BA" w:rsidRPr="00DE2A1A" w:rsidRDefault="005978BA" w:rsidP="00EE32FE">
            <w:pPr>
              <w:tabs>
                <w:tab w:val="left" w:pos="744"/>
                <w:tab w:val="left" w:pos="4818"/>
                <w:tab w:val="left" w:pos="6516"/>
                <w:tab w:val="left" w:pos="8232"/>
                <w:tab w:val="left" w:pos="10800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Olyan neutropeniás betegek kezelése, akiknek a láza gyaníthatóan bakteriális fertőzéssel áll összefüggésben</w:t>
            </w:r>
          </w:p>
        </w:tc>
      </w:tr>
      <w:tr w:rsidR="005978BA" w:rsidRPr="00DE2A1A" w14:paraId="486BC323" w14:textId="77777777" w:rsidTr="00234673">
        <w:trPr>
          <w:trHeight w:val="120"/>
          <w:tblHeader/>
        </w:trPr>
        <w:tc>
          <w:tcPr>
            <w:tcW w:w="2268" w:type="dxa"/>
            <w:vMerge/>
          </w:tcPr>
          <w:p w14:paraId="0E254F82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4867DF01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5386" w:type="dxa"/>
          </w:tcPr>
          <w:p w14:paraId="53E30CB8" w14:textId="77777777" w:rsidR="005978BA" w:rsidRPr="00DE2A1A" w:rsidRDefault="005978BA" w:rsidP="00EE32FE">
            <w:pPr>
              <w:tabs>
                <w:tab w:val="left" w:pos="744"/>
                <w:tab w:val="left" w:pos="4818"/>
                <w:tab w:val="left" w:pos="6516"/>
                <w:tab w:val="left" w:pos="8232"/>
                <w:tab w:val="left" w:pos="10800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Bacterialis endocarditis</w:t>
            </w:r>
          </w:p>
        </w:tc>
      </w:tr>
      <w:tr w:rsidR="005978BA" w:rsidRPr="00DE2A1A" w14:paraId="08F34D44" w14:textId="77777777" w:rsidTr="00234673">
        <w:trPr>
          <w:trHeight w:val="327"/>
          <w:tblHeader/>
        </w:trPr>
        <w:tc>
          <w:tcPr>
            <w:tcW w:w="2268" w:type="dxa"/>
            <w:vMerge/>
          </w:tcPr>
          <w:p w14:paraId="6929FCD0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0AD4B55F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5386" w:type="dxa"/>
          </w:tcPr>
          <w:p w14:paraId="1D3EB004" w14:textId="77777777" w:rsidR="005978BA" w:rsidRPr="00DE2A1A" w:rsidRDefault="005978BA" w:rsidP="00EE32FE">
            <w:pPr>
              <w:tabs>
                <w:tab w:val="left" w:pos="10800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Bacterialis meningitis</w:t>
            </w:r>
          </w:p>
        </w:tc>
      </w:tr>
    </w:tbl>
    <w:p w14:paraId="78E7EBF0" w14:textId="77777777" w:rsidR="005978BA" w:rsidRPr="00DE2A1A" w:rsidRDefault="005978BA" w:rsidP="00EE32FE">
      <w:pPr>
        <w:ind w:left="567" w:right="-55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*</w:t>
      </w:r>
      <w:r w:rsidRPr="00DE2A1A">
        <w:rPr>
          <w:rFonts w:ascii="Times New Roman" w:hAnsi="Times New Roman"/>
          <w:sz w:val="22"/>
          <w:szCs w:val="22"/>
          <w:lang w:val="hu-HU"/>
        </w:rPr>
        <w:tab/>
        <w:t>Dokumentált bacteriaemia esetén mérlegelni kell az ajánlott dózistartomány felső határának alkalmazását.</w:t>
      </w:r>
    </w:p>
    <w:p w14:paraId="745345E7" w14:textId="77777777" w:rsidR="005978BA" w:rsidRPr="00DE2A1A" w:rsidRDefault="005978BA" w:rsidP="00EE32FE">
      <w:pPr>
        <w:ind w:left="567" w:right="-55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**</w:t>
      </w:r>
      <w:r w:rsidRPr="00DE2A1A">
        <w:rPr>
          <w:rFonts w:ascii="Times New Roman" w:hAnsi="Times New Roman"/>
          <w:sz w:val="22"/>
          <w:szCs w:val="22"/>
          <w:lang w:val="hu-HU"/>
        </w:rPr>
        <w:tab/>
        <w:t xml:space="preserve">Napi kétszeri (12 óránkénti) adagolás mérlegelhető napi 2 g-nál nagyobb adagok alkalmazása esetén. </w:t>
      </w:r>
    </w:p>
    <w:p w14:paraId="39ADA887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56271563" w14:textId="6EFEF8A7" w:rsidR="005978BA" w:rsidRPr="00DE2A1A" w:rsidRDefault="005978BA" w:rsidP="00EE32FE">
      <w:pPr>
        <w:ind w:right="-55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Speci</w:t>
      </w:r>
      <w:r w:rsidR="00396298" w:rsidRPr="00DE2A1A">
        <w:rPr>
          <w:rFonts w:ascii="Times New Roman" w:hAnsi="Times New Roman"/>
          <w:b/>
          <w:bCs/>
          <w:sz w:val="22"/>
          <w:szCs w:val="22"/>
          <w:lang w:val="hu-HU"/>
        </w:rPr>
        <w:t>fiku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 xml:space="preserve">s adagolási rendet igénylő indikációk felnőttek és 12 éven felüli gyermekek </w:t>
      </w:r>
      <w:r w:rsidRPr="00DE2A1A">
        <w:rPr>
          <w:rFonts w:ascii="Times New Roman" w:hAnsi="Times New Roman"/>
          <w:b/>
          <w:bCs/>
          <w:color w:val="000000"/>
          <w:sz w:val="22"/>
          <w:szCs w:val="22"/>
          <w:lang w:val="hu-HU"/>
        </w:rPr>
        <w:t>(≥50 kg) esetében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:</w:t>
      </w:r>
    </w:p>
    <w:p w14:paraId="346C68B5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3DF9B741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Akut otitis media</w:t>
      </w:r>
    </w:p>
    <w:p w14:paraId="2FF807BD" w14:textId="198C690F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Egyetlen, 1-2 g-os intramuscularis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adag adható. Korlátozott adatok arra utalnak, hogy súlyos állapotú betegeknél</w:t>
      </w:r>
      <w:r w:rsidR="004C7DA0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vagy ha a korábbi terápia sikertelennek bizonyult, 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intramuscularisan, napi 1-2 g dózisban 3 napon keresztül adva hatásos lehet.</w:t>
      </w:r>
    </w:p>
    <w:p w14:paraId="594DB04E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4718797" w14:textId="2B484D22" w:rsidR="005978BA" w:rsidRPr="00DE2A1A" w:rsidRDefault="005978BA" w:rsidP="00EE32FE">
      <w:pPr>
        <w:keepNext/>
        <w:keepLines/>
        <w:ind w:right="-57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Műtéti sebfertőzések megelőzése a műtét előtt</w:t>
      </w:r>
    </w:p>
    <w:p w14:paraId="626B6ADE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Egyetlen 2 g-os adag a műtét előtt.</w:t>
      </w:r>
    </w:p>
    <w:p w14:paraId="4DEFBDA2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014ADAC7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Gonorrhoea</w:t>
      </w:r>
    </w:p>
    <w:p w14:paraId="2FB7BF7D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Egyetlen 500 mg-os intramuscularis adag.</w:t>
      </w:r>
    </w:p>
    <w:p w14:paraId="3739E4EB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430FEDCA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Syphilis</w:t>
      </w:r>
    </w:p>
    <w:p w14:paraId="55223B71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általánosan ajánlott dózis 500 mg-1 g naponta egyszer, ill. 2 g naponta egyszer neurosyphilis esetén, 10-14 napon keresztül. A dózisra vonatkozó ajánlások syphilisben, beleértve a neurosyphilist is, korlátozott adatokon alapulnak. A nemzeti</w:t>
      </w:r>
      <w:r w:rsidR="00072D18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ill. helyi útmutatásokat figyelembe kell venni.</w:t>
      </w:r>
    </w:p>
    <w:p w14:paraId="1D4F4ED2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068F8FEE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Disszeminált Lyme-borelliosis (korai [2-es stádium] és késői [3-as stádium])</w:t>
      </w:r>
    </w:p>
    <w:p w14:paraId="4C91556F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2 g naponta egyszer, 14-21 napon keresztül. A kezelés ajánlott időtartama változó, a nemzeti vagy helyi útmutatásokat figyelembe kell venni.</w:t>
      </w:r>
    </w:p>
    <w:p w14:paraId="7E875119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83F1AC1" w14:textId="77777777" w:rsidR="005978BA" w:rsidRPr="00DE2A1A" w:rsidRDefault="005978BA" w:rsidP="00EE32FE">
      <w:pPr>
        <w:keepNext/>
        <w:ind w:right="-57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lastRenderedPageBreak/>
        <w:t>Gyermekek</w:t>
      </w:r>
      <w:r w:rsidR="00072D18"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 és serdülők</w:t>
      </w:r>
    </w:p>
    <w:p w14:paraId="17F21C88" w14:textId="77777777" w:rsidR="005978BA" w:rsidRPr="00DE2A1A" w:rsidRDefault="005978B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</w:p>
    <w:p w14:paraId="3E3D4CA5" w14:textId="77777777" w:rsidR="005978BA" w:rsidRPr="00DE2A1A" w:rsidRDefault="005978BA" w:rsidP="00EE32FE">
      <w:pPr>
        <w:ind w:right="-55"/>
        <w:rPr>
          <w:rFonts w:ascii="Times New Roman" w:hAnsi="Times New Roman"/>
          <w:i/>
          <w:color w:val="000000"/>
          <w:sz w:val="22"/>
          <w:szCs w:val="22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lang w:val="hu-HU"/>
        </w:rPr>
        <w:t xml:space="preserve">15 napos-12 éves újszülöttek, csecsemők és gyermekek </w:t>
      </w:r>
      <w:r w:rsidRPr="00DE2A1A">
        <w:rPr>
          <w:rFonts w:ascii="Times New Roman" w:hAnsi="Times New Roman"/>
          <w:i/>
          <w:color w:val="000000"/>
          <w:sz w:val="22"/>
          <w:szCs w:val="22"/>
          <w:lang w:val="hu-HU"/>
        </w:rPr>
        <w:t>(&lt;50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 </w:t>
      </w:r>
      <w:r w:rsidRPr="00DE2A1A">
        <w:rPr>
          <w:rFonts w:ascii="Times New Roman" w:hAnsi="Times New Roman"/>
          <w:i/>
          <w:color w:val="000000"/>
          <w:sz w:val="22"/>
          <w:szCs w:val="22"/>
          <w:lang w:val="hu-HU"/>
        </w:rPr>
        <w:t>kg)</w:t>
      </w:r>
    </w:p>
    <w:p w14:paraId="50B23B78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50 kg-os vagy ennél nagyobb testtömegű gyermekeknek a szokásos felnőtt adagot kell adni.</w:t>
      </w:r>
    </w:p>
    <w:p w14:paraId="60A04927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1843"/>
        <w:gridCol w:w="4722"/>
      </w:tblGrid>
      <w:tr w:rsidR="005978BA" w:rsidRPr="00DE2A1A" w14:paraId="4DA9E4F4" w14:textId="77777777" w:rsidTr="00234673">
        <w:trPr>
          <w:trHeight w:val="531"/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3FDA" w14:textId="77777777" w:rsidR="005978BA" w:rsidRPr="00DE2A1A" w:rsidRDefault="005978BA" w:rsidP="00EE32FE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A ceftriaxon dózisa*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4A23" w14:textId="77777777" w:rsidR="005978BA" w:rsidRPr="00DE2A1A" w:rsidRDefault="005978BA" w:rsidP="00EE32FE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 xml:space="preserve">A kezelés gyakorisága** 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068B" w14:textId="77777777" w:rsidR="005978BA" w:rsidRPr="00DE2A1A" w:rsidRDefault="005978BA" w:rsidP="00EE32FE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Javallatok</w:t>
            </w:r>
          </w:p>
        </w:tc>
      </w:tr>
      <w:tr w:rsidR="005978BA" w:rsidRPr="00DE2A1A" w14:paraId="1FD026DD" w14:textId="77777777" w:rsidTr="00234673">
        <w:trPr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C1320C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50</w:t>
            </w:r>
            <w:r w:rsidR="00072D18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-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80 mg/ttkg </w:t>
            </w:r>
          </w:p>
          <w:p w14:paraId="53A99BD3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CBC099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8A58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Intraabdominalis fertőzések</w:t>
            </w:r>
          </w:p>
        </w:tc>
      </w:tr>
      <w:tr w:rsidR="005978BA" w:rsidRPr="00A477C5" w14:paraId="6ED0D556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6FBE69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8789E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2144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Szövődményes húgyúti fertőzések (a pyelonephritist is beleértve)</w:t>
            </w:r>
          </w:p>
        </w:tc>
      </w:tr>
      <w:tr w:rsidR="005978BA" w:rsidRPr="00DE2A1A" w14:paraId="18F0BAF4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547D1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F0F544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1176" w14:textId="44EFE4D9" w:rsidR="005978BA" w:rsidRPr="00DE2A1A" w:rsidRDefault="00F41F9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Területen</w:t>
            </w:r>
            <w:r w:rsidR="005978BA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szerzett tüdőgyulladás</w:t>
            </w:r>
          </w:p>
        </w:tc>
      </w:tr>
      <w:tr w:rsidR="005978BA" w:rsidRPr="00DE2A1A" w14:paraId="2F0F5E4C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0E95F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5CD55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1E55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Kórházban szerzett tüdőgyulladás</w:t>
            </w:r>
          </w:p>
        </w:tc>
      </w:tr>
      <w:tr w:rsidR="005978BA" w:rsidRPr="00A57B9D" w14:paraId="6774B918" w14:textId="77777777" w:rsidTr="00234673">
        <w:trPr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16505" w14:textId="77777777" w:rsidR="00072D18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50</w:t>
            </w:r>
            <w:r w:rsidR="00072D18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-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100 mg/ttkg</w:t>
            </w:r>
          </w:p>
          <w:p w14:paraId="79AD61BB" w14:textId="138D8E1A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(max</w:t>
            </w:r>
            <w:r w:rsidR="009576DB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.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4 g)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8B38F3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790C" w14:textId="422B4434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Szövődményes bőr- és lágyrés</w:t>
            </w:r>
            <w:r w:rsidR="0060299E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zf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ertőzések</w:t>
            </w:r>
          </w:p>
        </w:tc>
      </w:tr>
      <w:tr w:rsidR="005978BA" w:rsidRPr="00DE2A1A" w14:paraId="2420D4F9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DB1C1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8D908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F048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Csont- és ízületi fertőzések</w:t>
            </w:r>
          </w:p>
        </w:tc>
      </w:tr>
      <w:tr w:rsidR="005978BA" w:rsidRPr="00A477C5" w14:paraId="11F7EAAE" w14:textId="77777777" w:rsidTr="00234673">
        <w:trPr>
          <w:trHeight w:val="848"/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70DA1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2A3AB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DAA38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Olyan neutropeniás betegek kezelése, akiknek a láza gyaníthatóan bakteriális fertőzéssel áll összefüggésben</w:t>
            </w:r>
          </w:p>
        </w:tc>
      </w:tr>
      <w:tr w:rsidR="005978BA" w:rsidRPr="00DE2A1A" w14:paraId="60F35605" w14:textId="77777777" w:rsidTr="00234673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2E1DC" w14:textId="77777777" w:rsidR="00072D18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80</w:t>
            </w:r>
            <w:r w:rsidR="00072D18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-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100 mg/ttkg</w:t>
            </w:r>
          </w:p>
          <w:p w14:paraId="76CFAE27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(max. 4 g)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90A7A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AAFC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Bacterialis meningitis</w:t>
            </w:r>
          </w:p>
        </w:tc>
      </w:tr>
      <w:tr w:rsidR="005978BA" w:rsidRPr="00DE2A1A" w14:paraId="77134C59" w14:textId="77777777" w:rsidTr="00234673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DACD" w14:textId="77777777" w:rsidR="00072D18" w:rsidRPr="00DE2A1A" w:rsidRDefault="00316630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100 mg/ttkg</w:t>
            </w:r>
          </w:p>
          <w:p w14:paraId="63D1D445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(max. 4 g)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4731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DA65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Bacterialis endocarditis</w:t>
            </w:r>
          </w:p>
        </w:tc>
      </w:tr>
    </w:tbl>
    <w:p w14:paraId="3A64F59B" w14:textId="77777777" w:rsidR="005978BA" w:rsidRPr="00DE2A1A" w:rsidRDefault="005978BA" w:rsidP="00EE32FE">
      <w:pPr>
        <w:ind w:left="567" w:right="-55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*</w:t>
      </w:r>
      <w:r w:rsidRPr="00DE2A1A">
        <w:rPr>
          <w:rFonts w:ascii="Times New Roman" w:hAnsi="Times New Roman"/>
          <w:sz w:val="22"/>
          <w:szCs w:val="22"/>
          <w:lang w:val="hu-HU"/>
        </w:rPr>
        <w:tab/>
        <w:t>Dokumentált bacteriaemia esetén mérlegelni kell az ajánlott dózistartomány felső határának alkalmazását.</w:t>
      </w:r>
    </w:p>
    <w:p w14:paraId="4E2F1E23" w14:textId="77777777" w:rsidR="005978BA" w:rsidRPr="00DE2A1A" w:rsidRDefault="005978BA" w:rsidP="00EE32FE">
      <w:pPr>
        <w:ind w:left="567" w:right="-55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**</w:t>
      </w:r>
      <w:r w:rsidRPr="00DE2A1A">
        <w:rPr>
          <w:rFonts w:ascii="Times New Roman" w:hAnsi="Times New Roman"/>
          <w:sz w:val="22"/>
          <w:szCs w:val="22"/>
          <w:lang w:val="hu-HU"/>
        </w:rPr>
        <w:tab/>
        <w:t>Napi kétszeri (12 óránkénti) adagolás mérlegelhető napi 2 g-nál nagyobb adagok alkalmazása esetén.</w:t>
      </w:r>
    </w:p>
    <w:p w14:paraId="00A414F6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31C4D897" w14:textId="10E463E6" w:rsidR="005978BA" w:rsidRPr="00DE2A1A" w:rsidRDefault="005978BA" w:rsidP="00EE32FE">
      <w:pPr>
        <w:ind w:right="-55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Speci</w:t>
      </w:r>
      <w:r w:rsidR="00396298" w:rsidRPr="00DE2A1A">
        <w:rPr>
          <w:rFonts w:ascii="Times New Roman" w:hAnsi="Times New Roman"/>
          <w:b/>
          <w:bCs/>
          <w:sz w:val="22"/>
          <w:szCs w:val="22"/>
          <w:lang w:val="hu-HU"/>
        </w:rPr>
        <w:t>fikus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 xml:space="preserve"> adagolási rendet igénylő indikációk 15 napos-12 éves újszülöttek, csecsemők és gyermekek </w:t>
      </w:r>
      <w:r w:rsidRPr="00DE2A1A">
        <w:rPr>
          <w:rFonts w:ascii="Times New Roman" w:hAnsi="Times New Roman"/>
          <w:b/>
          <w:bCs/>
          <w:color w:val="000000"/>
          <w:sz w:val="22"/>
          <w:szCs w:val="22"/>
          <w:lang w:val="hu-HU"/>
        </w:rPr>
        <w:t>(&lt;50 kg) esetében:</w:t>
      </w:r>
    </w:p>
    <w:p w14:paraId="67B5EDAC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496BDC81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Akut otitis media</w:t>
      </w:r>
    </w:p>
    <w:p w14:paraId="49F70A25" w14:textId="3B2A8448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akut otitis media kezelésére kezd</w:t>
      </w:r>
      <w:r w:rsidR="00DE2981" w:rsidRPr="00DE2A1A">
        <w:rPr>
          <w:rFonts w:ascii="Times New Roman" w:hAnsi="Times New Roman"/>
          <w:sz w:val="22"/>
          <w:szCs w:val="22"/>
          <w:lang w:val="hu-HU"/>
        </w:rPr>
        <w:t>ő dózisként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egyetlen, 50 mg/ttkg dózisú intramuscularis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adag adható. Korlátozott adatok arra utalnak, hogy ha a gyermek állapota súlyos vagy a kezdeti terápia sikertelennek bizonyult, 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intramuscularisan, napi 50 mg/ttkg dózisban 3 napon keresztül adva hatásos lehet.</w:t>
      </w:r>
    </w:p>
    <w:p w14:paraId="254CF9A5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511FE5E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Műtéti sebfertőzések megelőzése a műtét előtt</w:t>
      </w:r>
    </w:p>
    <w:p w14:paraId="6E58244D" w14:textId="3FB86EBB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Egyetlen 50-80 mg/ttkg</w:t>
      </w:r>
      <w:r w:rsidR="00396298" w:rsidRPr="00DE2A1A">
        <w:rPr>
          <w:rFonts w:ascii="Times New Roman" w:hAnsi="Times New Roman"/>
          <w:sz w:val="22"/>
          <w:szCs w:val="22"/>
          <w:lang w:val="hu-HU"/>
        </w:rPr>
        <w:t>-os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adag a műtét előtt.</w:t>
      </w:r>
    </w:p>
    <w:p w14:paraId="46759B1A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8CC1B79" w14:textId="77777777" w:rsidR="005978BA" w:rsidRPr="00DE2A1A" w:rsidRDefault="005978BA" w:rsidP="00EE32FE">
      <w:pPr>
        <w:keepNext/>
        <w:keepLines/>
        <w:ind w:right="-57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Syphilis</w:t>
      </w:r>
    </w:p>
    <w:p w14:paraId="3946C16E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általánosan ajánlott dózis 75-100 mg/ttkg (max. 4 g) naponta egyszer, 10-14 napon keresztül. A dózisra vonatkozó ajánlások syphilisben, a neurosyphilist is beleértve, erősen korlátozott adatokon alapulnak. A nemzeti vagy helyi útmutatásokat kell figyelembe venni.</w:t>
      </w:r>
    </w:p>
    <w:p w14:paraId="6A7775F2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03F4AEB8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Disszeminált Lyme-borelliosis (korai [2-es stádium] és késői [3-as stádium])</w:t>
      </w:r>
    </w:p>
    <w:p w14:paraId="5CDF683D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50-80 mg/ttkg naponta egyszer adva, 14-21 napon keresztül. A kezelés ajánlott időtartama változó, a nemzeti vagy helyi útmutatásokat kell figyelembe venni.</w:t>
      </w:r>
    </w:p>
    <w:p w14:paraId="01AECA20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98CD890" w14:textId="77777777" w:rsidR="005978BA" w:rsidRPr="00DE2A1A" w:rsidRDefault="005978BA" w:rsidP="00EE32FE">
      <w:pPr>
        <w:ind w:right="-55"/>
        <w:rPr>
          <w:rFonts w:ascii="Times New Roman" w:hAnsi="Times New Roman"/>
          <w:i/>
          <w:sz w:val="22"/>
          <w:szCs w:val="22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lang w:val="hu-HU"/>
        </w:rPr>
        <w:t xml:space="preserve">0-14 napos újszülöttek </w:t>
      </w:r>
    </w:p>
    <w:p w14:paraId="1B5CC2DD" w14:textId="6921995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ellenjavallt koraszülötteknél a korrigált 41 hetes életkor (terhességi hetek száma + születés óta eltelt hetek száma) eléréséig.</w:t>
      </w:r>
    </w:p>
    <w:p w14:paraId="50AC6BC1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1843"/>
        <w:gridCol w:w="4722"/>
      </w:tblGrid>
      <w:tr w:rsidR="005978BA" w:rsidRPr="00DE2A1A" w14:paraId="7FA0EF75" w14:textId="77777777" w:rsidTr="00234673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B24B" w14:textId="77777777" w:rsidR="005978BA" w:rsidRPr="00DE2A1A" w:rsidRDefault="005978BA" w:rsidP="00EE32FE">
            <w:pPr>
              <w:keepNext/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lastRenderedPageBreak/>
              <w:t>A ceftriaxon dózisa*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9F4B" w14:textId="77777777" w:rsidR="005978BA" w:rsidRPr="00DE2A1A" w:rsidRDefault="005978BA" w:rsidP="00EE32FE">
            <w:pPr>
              <w:keepNext/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A kezelés gyakorisága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D4FF" w14:textId="77777777" w:rsidR="005978BA" w:rsidRPr="00DE2A1A" w:rsidRDefault="005978BA" w:rsidP="00EE32FE">
            <w:pPr>
              <w:keepNext/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Javallatok</w:t>
            </w:r>
          </w:p>
        </w:tc>
      </w:tr>
      <w:tr w:rsidR="005978BA" w:rsidRPr="00DE2A1A" w14:paraId="13F38405" w14:textId="77777777" w:rsidTr="00234673">
        <w:trPr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0F5DE1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20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noBreakHyphen/>
              <w:t xml:space="preserve">50 mg/ttkg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915CAD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2DD0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Intraabdominalis fertőzések</w:t>
            </w:r>
          </w:p>
        </w:tc>
      </w:tr>
      <w:tr w:rsidR="005978BA" w:rsidRPr="00A57B9D" w14:paraId="7CC63368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1C662C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85BDB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D166" w14:textId="3820E868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Szövődményes bőr- és lágyrés</w:t>
            </w:r>
            <w:r w:rsidR="0060299E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zf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ertőzések</w:t>
            </w:r>
          </w:p>
        </w:tc>
      </w:tr>
      <w:tr w:rsidR="005978BA" w:rsidRPr="00A477C5" w14:paraId="4CEDEAA7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F18A3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5108CC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3CF2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Szövődményes húgyúti fertőzések (a pyelonephritist is beleértve)</w:t>
            </w:r>
          </w:p>
        </w:tc>
      </w:tr>
      <w:tr w:rsidR="005978BA" w:rsidRPr="00DE2A1A" w14:paraId="27C6E4B2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FE13B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08919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56CE" w14:textId="6180BD77" w:rsidR="005978BA" w:rsidRPr="00DE2A1A" w:rsidRDefault="00F41F9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Területen</w:t>
            </w:r>
            <w:r w:rsidR="005978BA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szerzett tüdőgyulladás</w:t>
            </w:r>
          </w:p>
        </w:tc>
      </w:tr>
      <w:tr w:rsidR="005978BA" w:rsidRPr="00DE2A1A" w14:paraId="54596460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03B90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9ADF1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0450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Kórházban szerzett tüdőgyulladás</w:t>
            </w:r>
          </w:p>
        </w:tc>
      </w:tr>
      <w:tr w:rsidR="005978BA" w:rsidRPr="00DE2A1A" w14:paraId="305B6FBF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CA59F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1A8A12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AF0E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Csont- és ízületi fertőzések</w:t>
            </w:r>
          </w:p>
        </w:tc>
      </w:tr>
      <w:tr w:rsidR="005978BA" w:rsidRPr="00A477C5" w14:paraId="3015FAF7" w14:textId="77777777" w:rsidTr="00234673">
        <w:trPr>
          <w:trHeight w:val="827"/>
          <w:tblHeader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ACD0D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F93D51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24535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Olyan neutropeniás betegek kezelése, akiknek a láza gyaníthatóan bakteriális fertőzéssel áll összefüggésben</w:t>
            </w:r>
          </w:p>
        </w:tc>
      </w:tr>
      <w:tr w:rsidR="005978BA" w:rsidRPr="00DE2A1A" w14:paraId="2AE19286" w14:textId="77777777" w:rsidTr="00234673">
        <w:trPr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49A12F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50 mg/ttkg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B95E8A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Naponta egyszer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C580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Bacterialis meningitis</w:t>
            </w:r>
          </w:p>
        </w:tc>
      </w:tr>
      <w:tr w:rsidR="005978BA" w:rsidRPr="00DE2A1A" w14:paraId="0A67F13A" w14:textId="77777777" w:rsidTr="00234673">
        <w:trPr>
          <w:tblHeader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DC0C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8921" w14:textId="77777777" w:rsidR="005978BA" w:rsidRPr="00DE2A1A" w:rsidRDefault="005978BA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AFD9" w14:textId="77777777" w:rsidR="005978BA" w:rsidRPr="00DE2A1A" w:rsidRDefault="005978BA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>Bacterialis endocarditis</w:t>
            </w:r>
          </w:p>
        </w:tc>
      </w:tr>
    </w:tbl>
    <w:p w14:paraId="509DE5EE" w14:textId="77777777" w:rsidR="005978BA" w:rsidRPr="00DE2A1A" w:rsidRDefault="005978BA" w:rsidP="00EE32FE">
      <w:pPr>
        <w:ind w:left="567" w:right="-55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*</w:t>
      </w:r>
      <w:r w:rsidRPr="00DE2A1A">
        <w:rPr>
          <w:rFonts w:ascii="Times New Roman" w:hAnsi="Times New Roman"/>
          <w:sz w:val="22"/>
          <w:szCs w:val="22"/>
          <w:lang w:val="hu-HU"/>
        </w:rPr>
        <w:tab/>
        <w:t>Dokumentált bacteriaemia esetén mérlegelni kell az ajánlott dózistartomány felső határának alkalmazását.</w:t>
      </w:r>
    </w:p>
    <w:p w14:paraId="548ACD93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6BFD72BE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Az 50 mg/ttkg-os maximális napi adagot nem szabad túllépni. </w:t>
      </w:r>
    </w:p>
    <w:p w14:paraId="7527C3E7" w14:textId="77777777" w:rsidR="005978BA" w:rsidRPr="00DE2A1A" w:rsidRDefault="005978BA" w:rsidP="00EE32FE">
      <w:pPr>
        <w:ind w:right="-55"/>
        <w:rPr>
          <w:rFonts w:ascii="Times New Roman" w:hAnsi="Times New Roman"/>
          <w:b/>
          <w:i/>
          <w:sz w:val="22"/>
          <w:szCs w:val="22"/>
          <w:lang w:val="hu-HU"/>
        </w:rPr>
      </w:pPr>
    </w:p>
    <w:p w14:paraId="11936FE1" w14:textId="22F15659" w:rsidR="005978BA" w:rsidRPr="00DE2A1A" w:rsidRDefault="005978BA" w:rsidP="00EE32FE">
      <w:pPr>
        <w:ind w:right="-55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Speci</w:t>
      </w:r>
      <w:r w:rsidR="00DE2981" w:rsidRPr="00DE2A1A">
        <w:rPr>
          <w:rFonts w:ascii="Times New Roman" w:hAnsi="Times New Roman"/>
          <w:b/>
          <w:bCs/>
          <w:sz w:val="22"/>
          <w:szCs w:val="22"/>
          <w:lang w:val="hu-HU"/>
        </w:rPr>
        <w:t>fikus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 xml:space="preserve"> adagolási rendet igénylő </w:t>
      </w:r>
      <w:r w:rsidRPr="00DE2A1A">
        <w:rPr>
          <w:rFonts w:ascii="Times New Roman" w:hAnsi="Times New Roman"/>
          <w:b/>
          <w:bCs/>
          <w:color w:val="000000"/>
          <w:sz w:val="22"/>
          <w:szCs w:val="22"/>
          <w:lang w:val="hu-HU"/>
        </w:rPr>
        <w:t>javallatok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 xml:space="preserve"> 0-14 napos újszülöttek esetében:</w:t>
      </w:r>
    </w:p>
    <w:p w14:paraId="6037C10F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55F650BD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Akut otitis media</w:t>
      </w:r>
    </w:p>
    <w:p w14:paraId="658438E7" w14:textId="4904A0FB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Az akut otitis media kezelésére </w:t>
      </w:r>
      <w:r w:rsidR="00DE2981" w:rsidRPr="00DE2A1A">
        <w:rPr>
          <w:rFonts w:ascii="Times New Roman" w:hAnsi="Times New Roman"/>
          <w:sz w:val="22"/>
          <w:szCs w:val="22"/>
          <w:lang w:val="hu-HU"/>
        </w:rPr>
        <w:t>kezdő dózisként</w:t>
      </w:r>
      <w:r w:rsidR="00DE2981" w:rsidRPr="00DE2A1A" w:rsidDel="00DE2981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egyetlen, 50 mg/ttkg dózisú intramuscularis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adag adható. </w:t>
      </w:r>
    </w:p>
    <w:p w14:paraId="1C87D262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19EB2A0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Műtéti sebfertőzések megelőzése a műtét előtt</w:t>
      </w:r>
    </w:p>
    <w:p w14:paraId="6037605E" w14:textId="589370E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Egyetlen 20-50 mg/ttkg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-os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adag a műtét előtt.</w:t>
      </w:r>
    </w:p>
    <w:p w14:paraId="4778D17C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01096C00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Syphilis</w:t>
      </w:r>
    </w:p>
    <w:p w14:paraId="6180E954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általánosan ajánlott dózis 50 mg/ttkg naponta egyszer, 10-14 napon keresztül. A dózisra vonatkozó ajánlások syphilisben, beleértve a neurosyphilist is, erősen korlátozott adatokon alapulnak. A nemzeti vagy helyi útmutatásokat kell figyelembe venni.</w:t>
      </w:r>
    </w:p>
    <w:p w14:paraId="2984379A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5055C618" w14:textId="77777777" w:rsidR="005978BA" w:rsidRPr="00DE2A1A" w:rsidRDefault="005978B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A kezelés időtartama</w:t>
      </w:r>
    </w:p>
    <w:p w14:paraId="059D5493" w14:textId="77777777" w:rsidR="005978BA" w:rsidRPr="00DE2A1A" w:rsidRDefault="005978B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</w:p>
    <w:p w14:paraId="7FC2344F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terápia időtartama a betegség lefolyásától függ. Az antibiotikum terápia általános szabályai szerint a ceftriaxon adagolását még legalább 48-72 óráig folytatni kell azután, hogy a beteg láztalan lett, vagy a baktérium eradikációja bizonyíthatóan megtörtént.</w:t>
      </w:r>
    </w:p>
    <w:p w14:paraId="585DC1A5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FDAB607" w14:textId="1A727986" w:rsidR="005978BA" w:rsidRPr="00DE2A1A" w:rsidRDefault="005978B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Idősek</w:t>
      </w:r>
    </w:p>
    <w:p w14:paraId="2485F147" w14:textId="77777777" w:rsidR="005978BA" w:rsidRPr="00DE2A1A" w:rsidRDefault="005978B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</w:p>
    <w:p w14:paraId="4185F640" w14:textId="34ACCF4A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szokásos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felnőtteknél javasolt adagolást időseknél sem szükséges változtatni, ha a beteg vese- és májműködése kielégítő.</w:t>
      </w:r>
    </w:p>
    <w:p w14:paraId="4B44DDB3" w14:textId="77777777" w:rsidR="005978BA" w:rsidRPr="00DE2A1A" w:rsidRDefault="005978BA" w:rsidP="00EE32FE">
      <w:pPr>
        <w:ind w:right="-55"/>
        <w:rPr>
          <w:rFonts w:ascii="Times New Roman" w:hAnsi="Times New Roman"/>
          <w:b/>
          <w:sz w:val="22"/>
          <w:szCs w:val="22"/>
          <w:lang w:val="hu-HU"/>
        </w:rPr>
      </w:pPr>
    </w:p>
    <w:p w14:paraId="2BF9FDCF" w14:textId="77777777" w:rsidR="005978BA" w:rsidRPr="00DE2A1A" w:rsidRDefault="005978B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Májkárosodásban szenvedő betegek</w:t>
      </w:r>
    </w:p>
    <w:p w14:paraId="308AC99D" w14:textId="77777777" w:rsidR="005978BA" w:rsidRPr="00DE2A1A" w:rsidRDefault="005978BA" w:rsidP="00EE32FE">
      <w:pPr>
        <w:ind w:right="-55"/>
        <w:rPr>
          <w:rFonts w:ascii="Times New Roman" w:hAnsi="Times New Roman"/>
          <w:b/>
          <w:i/>
          <w:sz w:val="22"/>
          <w:szCs w:val="22"/>
          <w:lang w:val="hu-HU"/>
        </w:rPr>
      </w:pPr>
    </w:p>
    <w:p w14:paraId="57655696" w14:textId="649919E8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rendelkezésre álló adatok szerint nincs szükség a dózis módosítására enyhe vagy 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közepesen súlyos májkárosodásban</w:t>
      </w:r>
      <w:r w:rsidRPr="00DE2A1A">
        <w:rPr>
          <w:rFonts w:ascii="Times New Roman" w:hAnsi="Times New Roman"/>
          <w:sz w:val="22"/>
          <w:szCs w:val="22"/>
          <w:lang w:val="hu-HU"/>
        </w:rPr>
        <w:t>, ha a beteg veseműködése normális.</w:t>
      </w:r>
    </w:p>
    <w:p w14:paraId="65B7AE6D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52AB880D" w14:textId="625F26BE" w:rsidR="005978BA" w:rsidRPr="00DE2A1A" w:rsidRDefault="00AD26D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Súlyos m</w:t>
      </w:r>
      <w:r w:rsidR="005978BA" w:rsidRPr="00DE2A1A">
        <w:rPr>
          <w:rFonts w:ascii="Times New Roman" w:hAnsi="Times New Roman"/>
          <w:sz w:val="22"/>
          <w:szCs w:val="22"/>
          <w:lang w:val="hu-HU"/>
        </w:rPr>
        <w:t>ájkárosodásban szenvedő betegekre vonatkozó vizsgálati adat nem áll rendelkezésre (lásd 5.2 pont)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198F4F9D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9EDFB4D" w14:textId="77777777" w:rsidR="005978BA" w:rsidRPr="00DE2A1A" w:rsidRDefault="005978BA" w:rsidP="00EE32FE">
      <w:pPr>
        <w:keepNext/>
        <w:ind w:right="-57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lastRenderedPageBreak/>
        <w:t>Vesekárosodásban szenvedő betegek</w:t>
      </w:r>
    </w:p>
    <w:p w14:paraId="29CE7478" w14:textId="77777777" w:rsidR="005978BA" w:rsidRPr="00DE2A1A" w:rsidRDefault="005978BA" w:rsidP="00EE32FE">
      <w:pPr>
        <w:keepNext/>
        <w:ind w:right="-57"/>
        <w:rPr>
          <w:rFonts w:ascii="Times New Roman" w:hAnsi="Times New Roman"/>
          <w:b/>
          <w:i/>
          <w:sz w:val="22"/>
          <w:szCs w:val="22"/>
          <w:lang w:val="hu-HU"/>
        </w:rPr>
      </w:pPr>
    </w:p>
    <w:p w14:paraId="7056DB9C" w14:textId="6083B2D2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Vesekárosodásban szenvedő betegekn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él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nem szükséges csökkenteni a ceftriaxon dózisát, ha a májműködés normális. Csak preterminális veseelégtelenségben (kreatinin-clearance &lt;10 ml/perc) kell a napi maximális adagot 2 g­ra vagy ennél kisebbre csökkenteni.</w:t>
      </w:r>
    </w:p>
    <w:p w14:paraId="4F33DC78" w14:textId="77777777" w:rsidR="005978BA" w:rsidRPr="00DE2A1A" w:rsidRDefault="005978B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Dializált betegeknél nincs szükség dózispótlásra a dialízis után. A peritonealis dialízis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ill. a hemodialízis nem távolítja el a ceftriaxont. A biztonságosság és hatásosság szoros klinikai ellenőrzése ajánlott.</w:t>
      </w:r>
    </w:p>
    <w:p w14:paraId="139DB78C" w14:textId="77777777" w:rsidR="005978BA" w:rsidRPr="00DE2A1A" w:rsidRDefault="005978BA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24972212" w14:textId="77777777" w:rsidR="005978BA" w:rsidRPr="00DE2A1A" w:rsidRDefault="005978BA" w:rsidP="00EE32FE">
      <w:pPr>
        <w:rPr>
          <w:rFonts w:ascii="Times New Roman" w:hAnsi="Times New Roman"/>
          <w:i/>
          <w:iCs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iCs/>
          <w:sz w:val="22"/>
          <w:szCs w:val="22"/>
          <w:u w:val="single"/>
          <w:lang w:val="hu-HU"/>
        </w:rPr>
        <w:t>Súlyos máj- és vesekárosodásban szenvedő betegek</w:t>
      </w:r>
    </w:p>
    <w:p w14:paraId="5502C675" w14:textId="77777777" w:rsidR="005978BA" w:rsidRPr="00DE2A1A" w:rsidRDefault="005978BA" w:rsidP="00EE32FE">
      <w:pPr>
        <w:rPr>
          <w:rFonts w:ascii="Times New Roman" w:hAnsi="Times New Roman"/>
          <w:i/>
          <w:iCs/>
          <w:sz w:val="22"/>
          <w:szCs w:val="22"/>
          <w:u w:val="single"/>
          <w:lang w:val="hu-HU"/>
        </w:rPr>
      </w:pPr>
    </w:p>
    <w:p w14:paraId="66846000" w14:textId="77777777" w:rsidR="005978BA" w:rsidRPr="00DE2A1A" w:rsidRDefault="005978BA" w:rsidP="00EE32FE">
      <w:pPr>
        <w:rPr>
          <w:rFonts w:ascii="Times New Roman" w:hAnsi="Times New Roman"/>
          <w:iCs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Azoknál a betegeknél, akiknek máj- és veseműködése is súlyosan károsodott, a biztonságosság és hatásosság szoros klinikai ellenőrzése ajánlott.</w:t>
      </w:r>
    </w:p>
    <w:p w14:paraId="7F63D69C" w14:textId="77777777" w:rsidR="005978BA" w:rsidRPr="00DE2A1A" w:rsidRDefault="005978BA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342D0D1E" w14:textId="77777777" w:rsidR="005978BA" w:rsidRPr="00DE2A1A" w:rsidRDefault="005978BA" w:rsidP="00EE32FE">
      <w:pPr>
        <w:rPr>
          <w:rFonts w:ascii="Times New Roman" w:hAnsi="Times New Roman"/>
          <w:iCs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Cs/>
          <w:sz w:val="22"/>
          <w:szCs w:val="22"/>
          <w:u w:val="single"/>
          <w:lang w:val="hu-HU"/>
        </w:rPr>
        <w:t>Az alkalmazás módja</w:t>
      </w:r>
    </w:p>
    <w:p w14:paraId="3F5D07D9" w14:textId="77777777" w:rsidR="005978BA" w:rsidRPr="00DE2A1A" w:rsidRDefault="005978BA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6F02E267" w14:textId="51A0991F" w:rsidR="005978BA" w:rsidRPr="00DE2A1A" w:rsidRDefault="005978BA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beadható intravénás infúzióban legalább 30 percen keresztül (javasolt alkalmazási mód)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vagy lassú intravénás injekcióban 5 percen keresztül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,</w:t>
      </w:r>
      <w:r w:rsidR="00563BB5" w:rsidRPr="00DE2A1A">
        <w:rPr>
          <w:rFonts w:ascii="Times New Roman" w:hAnsi="Times New Roman"/>
          <w:sz w:val="22"/>
          <w:szCs w:val="22"/>
          <w:lang w:val="hu-HU"/>
        </w:rPr>
        <w:t xml:space="preserve"> vagy mély intramuscularis injekcióban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. Intermittáló intravénás 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 xml:space="preserve">injekciós </w:t>
      </w:r>
      <w:r w:rsidRPr="00DE2A1A">
        <w:rPr>
          <w:rFonts w:ascii="Times New Roman" w:hAnsi="Times New Roman"/>
          <w:sz w:val="22"/>
          <w:szCs w:val="22"/>
          <w:lang w:val="hu-HU"/>
        </w:rPr>
        <w:t>adagolás esetén az injekciót 5 percen keresztül kell beadni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lehetőleg nagyobb vénákba. Az 50 mg/ttkg-os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vagy ezt meghaladó intravénás adagot csecsemőknek és 12 éves vagy annál fiatalabb gyermekeknek infúzióban kell beadni. Újszülötteknek az intravénás dózisokat 60 percen keresztül kell beadni a bilirubin encephalopathia potenciális kockázatának csökkentése érdekében (lásd 4.3 és 4.4 pont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ok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). </w:t>
      </w:r>
      <w:r w:rsidR="00185B12" w:rsidRPr="00DE2A1A">
        <w:rPr>
          <w:rFonts w:ascii="Times New Roman" w:hAnsi="Times New Roman"/>
          <w:sz w:val="22"/>
          <w:szCs w:val="22"/>
          <w:lang w:val="hu-HU"/>
        </w:rPr>
        <w:t xml:space="preserve">Az intramuscularis injekciót egy viszonylag nagy izomtömegbe, kellően mélyre kell beadni és egy injekciós helyre legfeljebb 1 g-ot szabad beadni.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Az intramuscularis alkalmazás abban az esetben megfontolandó, ha az intravénás módszer alkalmazása nem lehetséges, vagy kevésbé megfelelő a beteg számára. A 2 g-nál nagyobb adagok esetében </w:t>
      </w:r>
      <w:r w:rsidR="00185B12" w:rsidRPr="00DE2A1A">
        <w:rPr>
          <w:rFonts w:ascii="Times New Roman" w:hAnsi="Times New Roman"/>
          <w:sz w:val="22"/>
          <w:szCs w:val="22"/>
          <w:lang w:val="hu-HU"/>
        </w:rPr>
        <w:t>az intravénás mód alkalmazandó.</w:t>
      </w:r>
    </w:p>
    <w:p w14:paraId="5CB469B3" w14:textId="77777777" w:rsidR="00BA1442" w:rsidRPr="00DE2A1A" w:rsidRDefault="00BA1442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1047E19B" w14:textId="376FFE74" w:rsidR="006C4180" w:rsidRPr="00DE2A1A" w:rsidRDefault="006C4180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Ha a ceftriaxon lidokain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-oldatt</w:t>
      </w:r>
      <w:r w:rsidRPr="00DE2A1A">
        <w:rPr>
          <w:rFonts w:ascii="Times New Roman" w:hAnsi="Times New Roman"/>
          <w:sz w:val="22"/>
          <w:szCs w:val="22"/>
          <w:lang w:val="hu-HU"/>
        </w:rPr>
        <w:t>al kerül feloldásra, az így elkészített oldatot soha nem szabad intravénásan beadni (lásd 4.3 pont). A lidokain alkalmazási előírásában foglaltakat figyelembe kell venni.</w:t>
      </w:r>
    </w:p>
    <w:p w14:paraId="30A6A82A" w14:textId="77777777" w:rsidR="006C4180" w:rsidRPr="00DE2A1A" w:rsidRDefault="006C4180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048E1739" w14:textId="5E816BA6" w:rsidR="005978BA" w:rsidRPr="00DE2A1A" w:rsidRDefault="005978BA" w:rsidP="00EE32FE">
      <w:pPr>
        <w:rPr>
          <w:rFonts w:ascii="Times New Roman" w:hAnsi="Times New Roman"/>
          <w:iCs/>
          <w:sz w:val="22"/>
          <w:szCs w:val="22"/>
          <w:lang w:val="hu-HU"/>
        </w:rPr>
      </w:pP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A ceftriaxon-kalcium precipitátumok képződésének veszélye miatt a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ceftriaxon ellenjavallt újszülöttkorban 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(≤28 nap), ha a</w:t>
      </w:r>
      <w:r w:rsidR="00A9261E" w:rsidRPr="00DE2A1A">
        <w:rPr>
          <w:rFonts w:ascii="Times New Roman" w:hAnsi="Times New Roman"/>
          <w:color w:val="000000"/>
          <w:sz w:val="22"/>
          <w:szCs w:val="22"/>
          <w:lang w:val="hu-HU"/>
        </w:rPr>
        <w:t>z újszülött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kalcium-tartalmú intravénás oldattal történő kezelést igényel (vagy ha ilyenre várhatóan szükség lesz), beleértve a folyamatos kalcium-tartalmú infúziókat is, pl. parenteralis táplálás esetén (lásd 4.3 pont). </w:t>
      </w:r>
    </w:p>
    <w:p w14:paraId="5A1D8F84" w14:textId="77777777" w:rsidR="005978BA" w:rsidRPr="00DE2A1A" w:rsidRDefault="005978BA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3B17A26E" w14:textId="260BB265" w:rsidR="005978BA" w:rsidRPr="00DE2A1A" w:rsidRDefault="005978BA" w:rsidP="00EE32FE">
      <w:pPr>
        <w:rPr>
          <w:rFonts w:ascii="Times New Roman" w:hAnsi="Times New Roman"/>
          <w:iCs/>
          <w:sz w:val="22"/>
          <w:szCs w:val="22"/>
          <w:lang w:val="hu-HU"/>
        </w:rPr>
      </w:pPr>
      <w:r w:rsidRPr="00DE2A1A">
        <w:rPr>
          <w:rFonts w:ascii="Times New Roman" w:hAnsi="Times New Roman"/>
          <w:iCs/>
          <w:sz w:val="22"/>
          <w:szCs w:val="22"/>
          <w:lang w:val="hu-HU"/>
        </w:rPr>
        <w:t>A ceftriaxon</w:t>
      </w:r>
      <w:r w:rsidR="00A9261E" w:rsidRPr="00DE2A1A">
        <w:rPr>
          <w:rFonts w:ascii="Times New Roman" w:hAnsi="Times New Roman"/>
          <w:iCs/>
          <w:sz w:val="22"/>
          <w:szCs w:val="22"/>
          <w:lang w:val="hu-HU"/>
        </w:rPr>
        <w:t>t tartalmazó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 injekciós üveg tartalmát nem szabad kalcium-tartalmú oldószerekkel (pl. Ringer</w:t>
      </w:r>
      <w:r w:rsidR="002D30BE" w:rsidRPr="00DE2A1A">
        <w:rPr>
          <w:rFonts w:ascii="Times New Roman" w:hAnsi="Times New Roman"/>
          <w:iCs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 vagy Hartmann</w:t>
      </w:r>
      <w:r w:rsidR="002D30BE" w:rsidRPr="00DE2A1A">
        <w:rPr>
          <w:rFonts w:ascii="Times New Roman" w:hAnsi="Times New Roman"/>
          <w:iCs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oldattal) feloldani, ill. az intravénás beadásra már elkészített oldatot nem szabad tovább hígítani velük, mivel precipitátum alakulhat ki. Ceftriaxon-kalcium precipitátum alakulhat ki akkor is, ha a ceftriaxon az intravénás beadás során az infúziós szerelékben keveredik kalcium-tartalmú oldattal. Ezért a ceftriaxont és a kalcium-tartalmú oldatokat </w:t>
      </w:r>
      <w:r w:rsidR="00A9261E" w:rsidRPr="00DE2A1A">
        <w:rPr>
          <w:rFonts w:ascii="Times New Roman" w:hAnsi="Times New Roman"/>
          <w:iCs/>
          <w:sz w:val="22"/>
          <w:szCs w:val="22"/>
          <w:lang w:val="hu-HU"/>
        </w:rPr>
        <w:t>tilos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 összekeverni, ill. egyidejűleg beadni (lásd a 4.3, 4.4 és 6.2 pontok).</w:t>
      </w:r>
    </w:p>
    <w:p w14:paraId="14BF29E2" w14:textId="77777777" w:rsidR="005978BA" w:rsidRPr="00DE2A1A" w:rsidRDefault="005978BA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04B6875D" w14:textId="77777777" w:rsidR="005978BA" w:rsidRPr="00DE2A1A" w:rsidRDefault="005978BA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műtéti sebfertőzések preoperatív megelőzésére a ceftriaxont 30-90 perccel a műtét előtt kell beadni.</w:t>
      </w:r>
    </w:p>
    <w:p w14:paraId="6973C077" w14:textId="77777777" w:rsidR="005978BA" w:rsidRPr="00DE2A1A" w:rsidRDefault="005978BA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18AB9297" w14:textId="40AD4D20" w:rsidR="00C9789B" w:rsidRPr="00DE2A1A" w:rsidRDefault="005978BA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gyógyszer alkalmazás előtti feloldására vonatkozó utasításokat lásd a 6.6</w:t>
      </w:r>
      <w:r w:rsidR="00C9789B" w:rsidRPr="00DE2A1A">
        <w:rPr>
          <w:rFonts w:ascii="Times New Roman" w:hAnsi="Times New Roman"/>
          <w:sz w:val="22"/>
          <w:szCs w:val="22"/>
          <w:lang w:val="hu-HU"/>
        </w:rPr>
        <w:t xml:space="preserve"> pontban.</w:t>
      </w:r>
    </w:p>
    <w:p w14:paraId="5374AAD4" w14:textId="3DCA5790" w:rsidR="00731748" w:rsidRPr="00DE2A1A" w:rsidRDefault="00731748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168E1345" w14:textId="29C7A688" w:rsidR="00731748" w:rsidRPr="00DE2A1A" w:rsidRDefault="006B34D3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</w:t>
      </w:r>
      <w:r w:rsidR="00A9261E" w:rsidRPr="00DE2A1A">
        <w:rPr>
          <w:rFonts w:ascii="Times New Roman" w:hAnsi="Times New Roman"/>
          <w:sz w:val="22"/>
          <w:szCs w:val="22"/>
          <w:lang w:val="hu-HU"/>
        </w:rPr>
        <w:t>z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elkészített oldat tiszta, halványsárga színű és </w:t>
      </w:r>
      <w:r w:rsidR="007E6DD2" w:rsidRPr="00DE2A1A">
        <w:rPr>
          <w:rFonts w:ascii="Times New Roman" w:hAnsi="Times New Roman"/>
          <w:sz w:val="22"/>
          <w:szCs w:val="22"/>
          <w:lang w:val="hu-HU"/>
        </w:rPr>
        <w:t>fénytől védve tartandó.</w:t>
      </w:r>
    </w:p>
    <w:p w14:paraId="092359EA" w14:textId="77777777" w:rsidR="00C9789B" w:rsidRPr="00DE2A1A" w:rsidRDefault="00C9789B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2C3D1C2F" w14:textId="77777777" w:rsidR="004355C6" w:rsidRPr="00DE2A1A" w:rsidRDefault="004355C6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4.3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1E0079" w:rsidRPr="00DE2A1A">
        <w:rPr>
          <w:rFonts w:ascii="Times New Roman" w:hAnsi="Times New Roman"/>
          <w:b/>
          <w:sz w:val="22"/>
          <w:szCs w:val="22"/>
          <w:lang w:val="hu-HU"/>
        </w:rPr>
        <w:t>Ellenjavallatok</w:t>
      </w:r>
    </w:p>
    <w:p w14:paraId="3F6EF710" w14:textId="77777777" w:rsidR="004355C6" w:rsidRPr="00DE2A1A" w:rsidRDefault="004355C6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F08FF4D" w14:textId="77777777" w:rsidR="006C4180" w:rsidRPr="00DE2A1A" w:rsidRDefault="006C418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ceftriaxonnal, bármely más cefalosporinnal vagy a készítmény 6.1 pontban felsorolt bármely segédanyagával szembeni túlérzékenység.</w:t>
      </w:r>
    </w:p>
    <w:p w14:paraId="3736E253" w14:textId="6B4C8113" w:rsidR="006C4180" w:rsidRPr="00DE2A1A" w:rsidRDefault="006C418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Súlyos túlérzékenység (pl. anafilaxiás reakció) korábbi előfordulása bármely más, béta-laktám</w:t>
      </w:r>
      <w:r w:rsidR="00F7432C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típusú antibiotikummal (penicillinek, monobaktámok és karbapenemek) szemben.</w:t>
      </w:r>
    </w:p>
    <w:p w14:paraId="4F954A37" w14:textId="77777777" w:rsidR="006C4180" w:rsidRPr="00DE2A1A" w:rsidRDefault="006C418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D4D056F" w14:textId="77777777" w:rsidR="006C4180" w:rsidRPr="00DE2A1A" w:rsidRDefault="006C4180" w:rsidP="00EE32FE">
      <w:pPr>
        <w:keepNext/>
        <w:tabs>
          <w:tab w:val="left" w:pos="744"/>
          <w:tab w:val="left" w:pos="4818"/>
          <w:tab w:val="right" w:pos="6516"/>
          <w:tab w:val="left" w:pos="8232"/>
        </w:tabs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lastRenderedPageBreak/>
        <w:t>A ceftriaxon ellenjavallt:</w:t>
      </w:r>
    </w:p>
    <w:p w14:paraId="7ED64AE9" w14:textId="2BA29C95" w:rsidR="006C4180" w:rsidRPr="00DE2A1A" w:rsidRDefault="006C4180" w:rsidP="00EE32FE">
      <w:pPr>
        <w:pStyle w:val="Default"/>
        <w:rPr>
          <w:sz w:val="22"/>
          <w:szCs w:val="22"/>
        </w:rPr>
      </w:pPr>
      <w:r w:rsidRPr="00DE2A1A">
        <w:rPr>
          <w:sz w:val="22"/>
          <w:szCs w:val="22"/>
        </w:rPr>
        <w:t>Koraszülötteknél az utolsó menstruációtól számított 41. hetes életkor (terhességi hetek száma + születés óta eltelt hetek száma) eléréséig*</w:t>
      </w:r>
    </w:p>
    <w:p w14:paraId="7E04D9CE" w14:textId="77777777" w:rsidR="006C4180" w:rsidRPr="00DE2A1A" w:rsidRDefault="006C4180" w:rsidP="00EE32FE">
      <w:pPr>
        <w:pStyle w:val="Default"/>
        <w:rPr>
          <w:sz w:val="22"/>
          <w:szCs w:val="22"/>
        </w:rPr>
      </w:pPr>
      <w:r w:rsidRPr="00DE2A1A">
        <w:rPr>
          <w:sz w:val="22"/>
          <w:szCs w:val="22"/>
        </w:rPr>
        <w:t>Időre született újszülötteknél (28 napos korig), az alábbiak fennállásakor:</w:t>
      </w:r>
    </w:p>
    <w:p w14:paraId="1B24BC22" w14:textId="29EE453F" w:rsidR="006C4180" w:rsidRPr="00DE2A1A" w:rsidRDefault="006C4180" w:rsidP="00EE32FE">
      <w:pPr>
        <w:pStyle w:val="Listaszerbekezds"/>
        <w:numPr>
          <w:ilvl w:val="0"/>
          <w:numId w:val="48"/>
        </w:numPr>
        <w:autoSpaceDE w:val="0"/>
        <w:autoSpaceDN w:val="0"/>
        <w:adjustRightInd w:val="0"/>
        <w:contextualSpacing w:val="0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hyperbilirubinaemia, sárgaság, ill. hypoalbuminaemia vagy acidózis, mivel ezekben az állapotokban a bilirubin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kötődés feltehetően károsodik*</w:t>
      </w:r>
    </w:p>
    <w:p w14:paraId="6B522769" w14:textId="493945B5" w:rsidR="006C4180" w:rsidRPr="00DE2A1A" w:rsidRDefault="006C4180" w:rsidP="00EE32FE">
      <w:pPr>
        <w:pStyle w:val="Listaszerbekezds"/>
        <w:numPr>
          <w:ilvl w:val="0"/>
          <w:numId w:val="48"/>
        </w:numPr>
        <w:autoSpaceDE w:val="0"/>
        <w:autoSpaceDN w:val="0"/>
        <w:adjustRightInd w:val="0"/>
        <w:contextualSpacing w:val="0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intravénás 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k</w:t>
      </w:r>
      <w:r w:rsidRPr="00DE2A1A">
        <w:rPr>
          <w:rFonts w:ascii="Times New Roman" w:hAnsi="Times New Roman"/>
          <w:sz w:val="22"/>
          <w:szCs w:val="22"/>
          <w:lang w:val="hu-HU"/>
        </w:rPr>
        <w:t>alcium-kezelés vagy kalcium-tartalmú infúzió adásakor (vagy ha várhatóan szükség lesz rá), a ceftriaxon-kalcium só precipitátum kialakulásának kockázata miatt (lásd 4.4, 4.8 és 6.2 pontok).</w:t>
      </w:r>
    </w:p>
    <w:p w14:paraId="49BED6CA" w14:textId="50364AAC" w:rsidR="006C4180" w:rsidRPr="00DE2A1A" w:rsidRDefault="006C4180" w:rsidP="00EE32FE">
      <w:pPr>
        <w:pStyle w:val="Listaszerbekezds"/>
        <w:autoSpaceDE w:val="0"/>
        <w:autoSpaceDN w:val="0"/>
        <w:adjustRightInd w:val="0"/>
        <w:ind w:left="360"/>
        <w:contextualSpacing w:val="0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*</w:t>
      </w:r>
      <w:r w:rsidRPr="00DE2A1A">
        <w:rPr>
          <w:rFonts w:ascii="Times New Roman" w:hAnsi="Times New Roman"/>
          <w:i/>
          <w:sz w:val="22"/>
          <w:szCs w:val="22"/>
          <w:lang w:val="hu-HU"/>
        </w:rPr>
        <w:t>In vitro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vizsgálatokban kimutatták, hogy a ceftriaxon kiszoríthatja a bilirubint a szérum albumin</w:t>
      </w:r>
      <w:r w:rsidR="00EB088C" w:rsidRPr="00DE2A1A">
        <w:rPr>
          <w:rFonts w:ascii="Times New Roman" w:hAnsi="Times New Roman"/>
          <w:sz w:val="22"/>
          <w:szCs w:val="22"/>
          <w:lang w:val="hu-HU"/>
        </w:rPr>
        <w:t>hoz való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kötődési helyről, </w:t>
      </w:r>
      <w:r w:rsidR="00EB088C" w:rsidRPr="00DE2A1A">
        <w:rPr>
          <w:rFonts w:ascii="Times New Roman" w:hAnsi="Times New Roman"/>
          <w:sz w:val="22"/>
          <w:szCs w:val="22"/>
          <w:lang w:val="hu-HU"/>
        </w:rPr>
        <w:t>ami ilyen betegeknél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bilirubin encephalopathia </w:t>
      </w:r>
      <w:r w:rsidR="00EB088C" w:rsidRPr="00DE2A1A">
        <w:rPr>
          <w:rFonts w:ascii="Times New Roman" w:hAnsi="Times New Roman"/>
          <w:sz w:val="22"/>
          <w:szCs w:val="22"/>
          <w:lang w:val="hu-HU"/>
        </w:rPr>
        <w:t>lehetséges kockázatához vezethet</w:t>
      </w:r>
      <w:r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3942CFBC" w14:textId="77777777" w:rsidR="006C4180" w:rsidRPr="00DE2A1A" w:rsidRDefault="006C4180" w:rsidP="00EE32FE">
      <w:pPr>
        <w:ind w:right="-55"/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53283CA8" w14:textId="79A1F621" w:rsidR="006C4180" w:rsidRPr="00DE2A1A" w:rsidRDefault="006C4180" w:rsidP="00EE32FE">
      <w:pPr>
        <w:ind w:right="-55"/>
        <w:rPr>
          <w:rFonts w:ascii="Times New Roman" w:eastAsia="SimSun" w:hAnsi="Times New Roman"/>
          <w:sz w:val="22"/>
          <w:szCs w:val="22"/>
          <w:lang w:val="hu-HU" w:eastAsia="zh-CN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Ha a ceftriaxon lidokain</w:t>
      </w:r>
      <w:r w:rsidR="00EB088C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oldattal kerül feloldásra,</w:t>
      </w:r>
      <w:r w:rsidRPr="00DE2A1A">
        <w:rPr>
          <w:rFonts w:ascii="Times New Roman" w:eastAsia="SimSun" w:hAnsi="Times New Roman"/>
          <w:sz w:val="22"/>
          <w:szCs w:val="22"/>
          <w:lang w:val="hu-HU" w:eastAsia="zh-CN"/>
        </w:rPr>
        <w:t xml:space="preserve"> az intramuscularis ceftriaxon</w:t>
      </w:r>
      <w:r w:rsidR="00EB088C" w:rsidRPr="00DE2A1A">
        <w:rPr>
          <w:rFonts w:ascii="Times New Roman" w:eastAsia="SimSun" w:hAnsi="Times New Roman"/>
          <w:sz w:val="22"/>
          <w:szCs w:val="22"/>
          <w:lang w:val="hu-HU" w:eastAsia="zh-CN"/>
        </w:rPr>
        <w:t>-</w:t>
      </w:r>
      <w:r w:rsidRPr="00DE2A1A">
        <w:rPr>
          <w:rFonts w:ascii="Times New Roman" w:eastAsia="SimSun" w:hAnsi="Times New Roman"/>
          <w:sz w:val="22"/>
          <w:szCs w:val="22"/>
          <w:lang w:val="hu-HU" w:eastAsia="zh-CN"/>
        </w:rPr>
        <w:t>injekció beadása előtt meg kell győződni arról, hogy a lidokain adása nem ellenjavallt (lásd 4.4 pont). Az ide vonatkozó információkat, különös tekintettel az ellenjavallatokra, lásd a lidokain alkalmazási előírásában.</w:t>
      </w:r>
    </w:p>
    <w:p w14:paraId="49ABDF4F" w14:textId="556C5A3B" w:rsidR="006C4180" w:rsidRPr="00DE2A1A" w:rsidRDefault="006C4180" w:rsidP="00EE32FE">
      <w:pPr>
        <w:ind w:right="-55"/>
        <w:rPr>
          <w:rFonts w:ascii="Times New Roman" w:eastAsia="SimSun" w:hAnsi="Times New Roman"/>
          <w:sz w:val="22"/>
          <w:szCs w:val="22"/>
          <w:lang w:val="hu-HU" w:eastAsia="zh-CN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lidokain-tartalmú ceftriaxon</w:t>
      </w:r>
      <w:r w:rsidR="00EB088C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oldatot soha nem szabad intravénásan beadni.</w:t>
      </w:r>
    </w:p>
    <w:p w14:paraId="61A2B137" w14:textId="77777777" w:rsidR="004C31FA" w:rsidRPr="00DE2A1A" w:rsidRDefault="004C31FA" w:rsidP="00EE32FE">
      <w:pPr>
        <w:pStyle w:val="knZulassung02"/>
        <w:ind w:left="0" w:right="-1"/>
        <w:rPr>
          <w:rFonts w:ascii="Times New Roman" w:hAnsi="Times New Roman"/>
          <w:sz w:val="22"/>
          <w:szCs w:val="22"/>
          <w:lang w:val="hu-HU"/>
        </w:rPr>
      </w:pPr>
    </w:p>
    <w:p w14:paraId="39756AD1" w14:textId="77777777" w:rsidR="00927EAA" w:rsidRPr="00DE2A1A" w:rsidRDefault="004355C6" w:rsidP="00EE32FE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4.4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927EAA" w:rsidRPr="00DE2A1A">
        <w:rPr>
          <w:rFonts w:ascii="Times New Roman" w:hAnsi="Times New Roman"/>
          <w:b/>
          <w:sz w:val="22"/>
          <w:szCs w:val="22"/>
          <w:lang w:val="hu-HU"/>
        </w:rPr>
        <w:t>Különleges figyelmeztetések és az alkalmazással kapcsolatos óvintézkedések</w:t>
      </w:r>
    </w:p>
    <w:p w14:paraId="688F939D" w14:textId="77777777" w:rsidR="004355C6" w:rsidRPr="00DE2A1A" w:rsidRDefault="004355C6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671ED702" w14:textId="77777777" w:rsidR="00FA60E2" w:rsidRPr="00DE2A1A" w:rsidRDefault="004A48F1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Túlérzékenységi reakciók</w:t>
      </w:r>
    </w:p>
    <w:p w14:paraId="252B53ED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0A3F69AB" w14:textId="191F0F3C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Más béta-laktám antibiotikumokhoz hasonlóan súlyos, néha halálos kimenetelű túlérzékenységi reakciók előfordulásáról számoltak be (lásd 4.8 pont). Súlyos túlé</w:t>
      </w:r>
      <w:r w:rsidR="004B49C7" w:rsidRPr="00DE2A1A">
        <w:rPr>
          <w:rFonts w:ascii="Times New Roman" w:hAnsi="Times New Roman"/>
          <w:sz w:val="22"/>
          <w:szCs w:val="22"/>
          <w:lang w:val="hu-HU"/>
        </w:rPr>
        <w:t>r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zékenységi reakció esetén a ceftriaxon-kezelést azonnal le kell állítani, és megfelelő sürgősségi kezelést kell indítani. 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 xml:space="preserve">kezelés megkezdése előtt tisztázni kell, hogy a betegnél korábban fellépett-e súlyos túlérzékenységi reakció a ceftriaxonnal, más cefalosporinokkal vagy </w:t>
      </w:r>
      <w:r w:rsidR="004B49C7" w:rsidRPr="00DE2A1A">
        <w:rPr>
          <w:rFonts w:ascii="Times New Roman" w:hAnsi="Times New Roman"/>
          <w:sz w:val="22"/>
          <w:szCs w:val="22"/>
          <w:lang w:val="hu-HU"/>
        </w:rPr>
        <w:t xml:space="preserve">bármely </w:t>
      </w:r>
      <w:r w:rsidRPr="00DE2A1A">
        <w:rPr>
          <w:rFonts w:ascii="Times New Roman" w:hAnsi="Times New Roman"/>
          <w:sz w:val="22"/>
          <w:szCs w:val="22"/>
          <w:lang w:val="hu-HU"/>
        </w:rPr>
        <w:t>más, béta-laktám</w:t>
      </w:r>
      <w:r w:rsidR="004B49C7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típusú szerrel szemben. Körültekintően kell eljárni, ha a ceftriaxont olyan betegnek adják, akinél korábban más béta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noBreakHyphen/>
      </w:r>
      <w:r w:rsidRPr="00DE2A1A">
        <w:rPr>
          <w:rFonts w:ascii="Times New Roman" w:hAnsi="Times New Roman"/>
          <w:sz w:val="22"/>
          <w:szCs w:val="22"/>
          <w:lang w:val="hu-HU"/>
        </w:rPr>
        <w:t>laktám antibiotikum nem súlyos túlérzékenységi reakciót váltott ki.</w:t>
      </w:r>
    </w:p>
    <w:p w14:paraId="3DC56BEF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59CA8D1C" w14:textId="2422895A" w:rsidR="00FA60E2" w:rsidRPr="00DE2A1A" w:rsidRDefault="00FA60E2" w:rsidP="00EE32FE">
      <w:pPr>
        <w:ind w:right="-55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Súlyos, bőrt érintő mellékhatásokról (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Stevens</w:t>
      </w:r>
      <w:r w:rsidR="004B49C7" w:rsidRPr="00DE2A1A">
        <w:rPr>
          <w:rFonts w:ascii="Times New Roman" w:hAnsi="Times New Roman"/>
          <w:color w:val="000000"/>
          <w:sz w:val="22"/>
          <w:szCs w:val="22"/>
          <w:lang w:val="hu-HU"/>
        </w:rPr>
        <w:t>–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Johnson</w:t>
      </w:r>
      <w:r w:rsidR="004B49C7" w:rsidRPr="00DE2A1A"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szindróma, Lyell-szindróma/toxicus epidermalis necrolysis</w:t>
      </w:r>
      <w:r w:rsidR="00772D31" w:rsidRPr="00DE2A1A">
        <w:rPr>
          <w:rFonts w:ascii="Times New Roman" w:hAnsi="Times New Roman"/>
          <w:color w:val="000000"/>
          <w:sz w:val="22"/>
          <w:szCs w:val="22"/>
          <w:lang w:val="hu-HU"/>
        </w:rPr>
        <w:t>)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számoltak be</w:t>
      </w:r>
      <w:r w:rsidR="00BD4DF6"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</w:t>
      </w:r>
      <w:r w:rsidR="00BD4DF6" w:rsidRPr="00DE2A1A">
        <w:rPr>
          <w:rFonts w:ascii="Times New Roman" w:hAnsi="Times New Roman"/>
          <w:sz w:val="22"/>
          <w:szCs w:val="22"/>
          <w:lang w:val="hu-HU"/>
        </w:rPr>
        <w:t>a ceftriaxon-kezeléssel összefüggésben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, az ilyen események gyakorisága azonban nem ismert (lásd 4.8 pont).</w:t>
      </w:r>
    </w:p>
    <w:p w14:paraId="78E24515" w14:textId="77777777" w:rsidR="0084710F" w:rsidRPr="00DE2A1A" w:rsidRDefault="0084710F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B8120F4" w14:textId="77777777" w:rsidR="009779E8" w:rsidRPr="00DE2A1A" w:rsidRDefault="009779E8" w:rsidP="00EE32FE">
      <w:pPr>
        <w:pStyle w:val="knZulassung02"/>
        <w:ind w:left="0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Köl</w:t>
      </w:r>
      <w:r w:rsidR="00D968A5" w:rsidRPr="00DE2A1A">
        <w:rPr>
          <w:rFonts w:ascii="Times New Roman" w:hAnsi="Times New Roman"/>
          <w:sz w:val="22"/>
          <w:szCs w:val="22"/>
          <w:u w:val="single"/>
          <w:lang w:val="hu-HU"/>
        </w:rPr>
        <w:t>csönhatás kalcium</w:t>
      </w:r>
      <w:r w:rsidR="009828A3" w:rsidRPr="00DE2A1A">
        <w:rPr>
          <w:rFonts w:ascii="Times New Roman" w:hAnsi="Times New Roman"/>
          <w:sz w:val="22"/>
          <w:szCs w:val="22"/>
          <w:u w:val="single"/>
          <w:lang w:val="hu-HU"/>
        </w:rPr>
        <w:t>-</w:t>
      </w:r>
      <w:r w:rsidR="00D968A5" w:rsidRPr="00DE2A1A">
        <w:rPr>
          <w:rFonts w:ascii="Times New Roman" w:hAnsi="Times New Roman"/>
          <w:sz w:val="22"/>
          <w:szCs w:val="22"/>
          <w:u w:val="single"/>
          <w:lang w:val="hu-HU"/>
        </w:rPr>
        <w:t>tartalmú készítmény</w:t>
      </w: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ekkel</w:t>
      </w:r>
    </w:p>
    <w:p w14:paraId="43DA00E4" w14:textId="77777777" w:rsidR="00FA60E2" w:rsidRPr="00DE2A1A" w:rsidRDefault="00FA60E2" w:rsidP="00EE32FE">
      <w:pPr>
        <w:pStyle w:val="knZulassung02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458B4A46" w14:textId="77777777" w:rsidR="00E03B89" w:rsidRPr="00DE2A1A" w:rsidRDefault="00E03B89" w:rsidP="00E03B89">
      <w:pPr>
        <w:pStyle w:val="knZulassung02"/>
        <w:ind w:left="0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Beszámoltak olyan halálos kimenetelű esetekről, amikor kalcium-ceftriaxon precipitátumok alakultak ki egy hónaposnál fiatalabb koraszülött és időre született újszülöttek tüdejében és veséjében. Közülük legalább egy kapott ceftriaxont és kalciumot különböző időpontokban és különböző intravénás szerelékeken keresztül. A rendelkezésre álló tudományos adatok között az újszülöttekre vonatkozó adatokon kívül nincsen olyan jelentés, amely intravaszkuláris precipitátumok igazolt kialakulásáról számolt volna be ceftriaxonnal és kalcium-tartalmú oldatokkal vagy bármilyen más kalcium-tartalmú készítménnyel kezelt betegeknél. </w:t>
      </w:r>
      <w:r w:rsidRPr="00DE2A1A">
        <w:rPr>
          <w:rFonts w:ascii="Times New Roman" w:hAnsi="Times New Roman"/>
          <w:i/>
          <w:sz w:val="22"/>
          <w:szCs w:val="22"/>
          <w:lang w:val="hu-HU"/>
        </w:rPr>
        <w:t>In vitro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vizsgálatokban kimutatták, hogy más korcsoportokkal összehasonlítva újszülötteknél fokozott a ceftriaxon-kalcium kicsapódásának a kockázata.</w:t>
      </w:r>
    </w:p>
    <w:p w14:paraId="0BAD3E71" w14:textId="77777777" w:rsidR="00E03B89" w:rsidRPr="00DE2A1A" w:rsidRDefault="00E03B89" w:rsidP="00E03B89">
      <w:pPr>
        <w:pStyle w:val="knZulassung02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0402AAE3" w14:textId="3CE79104" w:rsidR="0040549B" w:rsidRPr="00DE2A1A" w:rsidRDefault="00E03B89" w:rsidP="00EE32FE">
      <w:pPr>
        <w:pStyle w:val="knZulassung02"/>
        <w:ind w:left="0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Bármilyen életkorú betegnél a ceftriaxont tilos összekeverni vagy egyidejűleg beadni bármilyen kalcium-tartalmú 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>intravénás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oldattal, még különböző infúziós szerelékeken vagy beadási helyeken keresztül sem. A 28 napnál idősebb betegeknél azonban szabad ceftriaxont és kalcium-tartalmú oldatot egymást követően adni, amennyiben a precipitáció megakadályozása céljából különböző helyeken adják be őket, vagy az infúziós szereléket kicserélik, ill. fiziológiás sóoldattal alaposan átmossák a két infúzió között. Azoknál a betegeknél, akiknek folyamatos kalcium-tartalmú teljes parenterális táplálásra (</w:t>
      </w:r>
      <w:r w:rsidRPr="00DE2A1A">
        <w:rPr>
          <w:rFonts w:ascii="Times New Roman" w:hAnsi="Times New Roman"/>
          <w:i/>
          <w:sz w:val="22"/>
          <w:szCs w:val="22"/>
          <w:lang w:val="hu-HU"/>
        </w:rPr>
        <w:t>total parenteral nutrition</w:t>
      </w:r>
      <w:r w:rsidRPr="00DE2A1A">
        <w:rPr>
          <w:rFonts w:ascii="Times New Roman" w:hAnsi="Times New Roman"/>
          <w:sz w:val="22"/>
          <w:szCs w:val="22"/>
          <w:lang w:val="hu-HU"/>
        </w:rPr>
        <w:t>, TPN) van szükségük, az egészségügyi szakembereknek mérlegelni kell más, a precipitáció hasonló kockázatával nem járó antibakteriális kezeléseket. Amennyiben folyamatos táplálást igénylő betegeknél ceftriaxon adása szükséges, a teljes parenterális táplálást szolgáló oldat és a ceftriaxon adható egyidejűleg, de különböző helyekre bevezetett infúziós szerelékeken keresztül.</w:t>
      </w:r>
      <w:r w:rsidR="00D968A5" w:rsidRPr="00DE2A1A">
        <w:rPr>
          <w:rFonts w:ascii="Times New Roman" w:hAnsi="Times New Roman"/>
          <w:iCs/>
          <w:sz w:val="22"/>
          <w:szCs w:val="22"/>
          <w:lang w:val="hu-HU"/>
        </w:rPr>
        <w:t xml:space="preserve"> </w:t>
      </w:r>
      <w:r w:rsidR="00185B12" w:rsidRPr="00DE2A1A">
        <w:rPr>
          <w:rFonts w:ascii="Times New Roman" w:hAnsi="Times New Roman"/>
          <w:sz w:val="22"/>
          <w:szCs w:val="22"/>
          <w:lang w:val="hu-HU"/>
        </w:rPr>
        <w:t>Másik lehetőség az, hogy a ceftriaxon</w:t>
      </w:r>
      <w:r w:rsidR="00EB088C" w:rsidRPr="00DE2A1A">
        <w:rPr>
          <w:rFonts w:ascii="Times New Roman" w:hAnsi="Times New Roman"/>
          <w:sz w:val="22"/>
          <w:szCs w:val="22"/>
          <w:lang w:val="hu-HU"/>
        </w:rPr>
        <w:t>-</w:t>
      </w:r>
      <w:r w:rsidR="00185B12" w:rsidRPr="00DE2A1A">
        <w:rPr>
          <w:rFonts w:ascii="Times New Roman" w:hAnsi="Times New Roman"/>
          <w:sz w:val="22"/>
          <w:szCs w:val="22"/>
          <w:lang w:val="hu-HU"/>
        </w:rPr>
        <w:t xml:space="preserve">infúzió </w:t>
      </w:r>
      <w:r w:rsidR="00185B12" w:rsidRPr="00DE2A1A">
        <w:rPr>
          <w:rFonts w:ascii="Times New Roman" w:hAnsi="Times New Roman"/>
          <w:sz w:val="22"/>
          <w:szCs w:val="22"/>
          <w:lang w:val="hu-HU"/>
        </w:rPr>
        <w:lastRenderedPageBreak/>
        <w:t xml:space="preserve">idejére a 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 xml:space="preserve">teljes parenterális táplálást szolgáló </w:t>
      </w:r>
      <w:r w:rsidR="00185B12" w:rsidRPr="00DE2A1A">
        <w:rPr>
          <w:rFonts w:ascii="Times New Roman" w:hAnsi="Times New Roman"/>
          <w:sz w:val="22"/>
          <w:szCs w:val="22"/>
          <w:lang w:val="hu-HU"/>
        </w:rPr>
        <w:t xml:space="preserve">oldat infúziós adagolását leállítják, és a két infúzió között átmossák az infúziós szerelékeket </w:t>
      </w:r>
      <w:r w:rsidR="00D968A5" w:rsidRPr="00DE2A1A">
        <w:rPr>
          <w:rFonts w:ascii="Times New Roman" w:hAnsi="Times New Roman"/>
          <w:iCs/>
          <w:sz w:val="22"/>
          <w:szCs w:val="22"/>
          <w:lang w:val="hu-HU"/>
        </w:rPr>
        <w:t>(lásd 4.3, 4.8, 5.2 és 6.2 pont</w:t>
      </w:r>
      <w:r w:rsidR="009828A3" w:rsidRPr="00DE2A1A">
        <w:rPr>
          <w:rFonts w:ascii="Times New Roman" w:hAnsi="Times New Roman"/>
          <w:iCs/>
          <w:sz w:val="22"/>
          <w:szCs w:val="22"/>
          <w:lang w:val="hu-HU"/>
        </w:rPr>
        <w:t>ok</w:t>
      </w:r>
      <w:r w:rsidR="00D968A5" w:rsidRPr="00DE2A1A">
        <w:rPr>
          <w:rFonts w:ascii="Times New Roman" w:hAnsi="Times New Roman"/>
          <w:iCs/>
          <w:sz w:val="22"/>
          <w:szCs w:val="22"/>
          <w:lang w:val="hu-HU"/>
        </w:rPr>
        <w:t xml:space="preserve">). </w:t>
      </w:r>
    </w:p>
    <w:p w14:paraId="756288D9" w14:textId="77777777" w:rsidR="004355C6" w:rsidRPr="00DE2A1A" w:rsidRDefault="004355C6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028EA7C" w14:textId="77777777" w:rsidR="00FA60E2" w:rsidRPr="00DE2A1A" w:rsidRDefault="00FA60E2" w:rsidP="00EE32FE">
      <w:pPr>
        <w:keepNext/>
        <w:ind w:right="-57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Gyermekek</w:t>
      </w:r>
      <w:r w:rsidR="009828A3" w:rsidRPr="00DE2A1A">
        <w:rPr>
          <w:rFonts w:ascii="Times New Roman" w:hAnsi="Times New Roman"/>
          <w:sz w:val="22"/>
          <w:szCs w:val="22"/>
          <w:u w:val="single"/>
          <w:lang w:val="hu-HU"/>
        </w:rPr>
        <w:t xml:space="preserve"> és serdülők</w:t>
      </w:r>
    </w:p>
    <w:p w14:paraId="1CB8886A" w14:textId="77777777" w:rsidR="00FA60E2" w:rsidRPr="00DE2A1A" w:rsidRDefault="00FA60E2" w:rsidP="00EE32FE">
      <w:pPr>
        <w:keepNext/>
        <w:ind w:right="-57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6E561D87" w14:textId="1A2629A8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Újszülöttekn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él</w:t>
      </w:r>
      <w:r w:rsidRPr="00DE2A1A">
        <w:rPr>
          <w:rFonts w:ascii="Times New Roman" w:hAnsi="Times New Roman"/>
          <w:sz w:val="22"/>
          <w:szCs w:val="22"/>
          <w:lang w:val="hu-HU"/>
        </w:rPr>
        <w:t>, csecsemőkn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él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és gyermekekn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él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 </w:t>
      </w:r>
      <w:r w:rsidR="00BD79E8" w:rsidRPr="00DE2A1A">
        <w:rPr>
          <w:rFonts w:ascii="Times New Roman" w:hAnsi="Times New Roman"/>
          <w:sz w:val="22"/>
          <w:szCs w:val="22"/>
          <w:lang w:val="hu-HU"/>
        </w:rPr>
        <w:t>c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eftriaxon </w:t>
      </w:r>
      <w:r w:rsidRPr="00DE2A1A">
        <w:rPr>
          <w:rFonts w:ascii="Times New Roman" w:hAnsi="Times New Roman"/>
          <w:sz w:val="22"/>
          <w:szCs w:val="22"/>
          <w:lang w:val="hu-HU"/>
        </w:rPr>
        <w:t>biztonságossága és hat</w:t>
      </w:r>
      <w:r w:rsidR="00E03B89" w:rsidRPr="00DE2A1A">
        <w:rPr>
          <w:rFonts w:ascii="Times New Roman" w:hAnsi="Times New Roman"/>
          <w:sz w:val="22"/>
          <w:szCs w:val="22"/>
          <w:lang w:val="hu-HU"/>
        </w:rPr>
        <w:t>ásos</w:t>
      </w:r>
      <w:r w:rsidRPr="00DE2A1A">
        <w:rPr>
          <w:rFonts w:ascii="Times New Roman" w:hAnsi="Times New Roman"/>
          <w:sz w:val="22"/>
          <w:szCs w:val="22"/>
          <w:lang w:val="hu-HU"/>
        </w:rPr>
        <w:t>ság</w:t>
      </w:r>
      <w:r w:rsidR="00E03B89" w:rsidRPr="00DE2A1A">
        <w:rPr>
          <w:rFonts w:ascii="Times New Roman" w:hAnsi="Times New Roman"/>
          <w:sz w:val="22"/>
          <w:szCs w:val="22"/>
          <w:lang w:val="hu-HU"/>
        </w:rPr>
        <w:t>át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az 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„</w:t>
      </w:r>
      <w:r w:rsidRPr="00DE2A1A">
        <w:rPr>
          <w:rFonts w:ascii="Times New Roman" w:hAnsi="Times New Roman"/>
          <w:sz w:val="22"/>
          <w:szCs w:val="22"/>
          <w:lang w:val="hu-HU"/>
        </w:rPr>
        <w:t>Adagolás és alkalmazás” c. részben (lásd 4.2 pont) feltüntetett adagok</w:t>
      </w:r>
      <w:r w:rsidR="00E03B89" w:rsidRPr="00DE2A1A">
        <w:rPr>
          <w:rFonts w:ascii="Times New Roman" w:hAnsi="Times New Roman"/>
          <w:sz w:val="22"/>
          <w:szCs w:val="22"/>
          <w:lang w:val="hu-HU"/>
        </w:rPr>
        <w:t>ra igazolták</w:t>
      </w:r>
      <w:r w:rsidRPr="00DE2A1A">
        <w:rPr>
          <w:rFonts w:ascii="Times New Roman" w:hAnsi="Times New Roman"/>
          <w:sz w:val="22"/>
          <w:szCs w:val="22"/>
          <w:lang w:val="hu-HU"/>
        </w:rPr>
        <w:t>. A</w:t>
      </w:r>
      <w:r w:rsidRPr="00DE2A1A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vizsgálatok azt mutatták, hogy a ceftriaxon, egyes cefalosporinokhoz hasonlóan képes kiszorítani a bilirubint a szérum albuminról.</w:t>
      </w:r>
    </w:p>
    <w:p w14:paraId="78B7A7C5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38AC27C7" w14:textId="57982386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ellenjavalt koraszülötteknél és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 xml:space="preserve"> olyan </w:t>
      </w:r>
      <w:r w:rsidRPr="00DE2A1A">
        <w:rPr>
          <w:rFonts w:ascii="Times New Roman" w:hAnsi="Times New Roman"/>
          <w:sz w:val="22"/>
          <w:szCs w:val="22"/>
          <w:lang w:val="hu-HU"/>
        </w:rPr>
        <w:t>időre született újszülötteknél, akiknél fennáll a bilirubin encephalopathia kialakulásának kockázata (lásd 4.3 pont).</w:t>
      </w:r>
    </w:p>
    <w:p w14:paraId="3F7ED6D5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0004858C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Immunmediált hemolitikus an</w:t>
      </w:r>
      <w:r w:rsidR="009828A3" w:rsidRPr="00DE2A1A">
        <w:rPr>
          <w:rFonts w:ascii="Times New Roman" w:hAnsi="Times New Roman"/>
          <w:sz w:val="22"/>
          <w:szCs w:val="22"/>
          <w:u w:val="single"/>
          <w:lang w:val="hu-HU"/>
        </w:rPr>
        <w:t>ae</w:t>
      </w: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mia</w:t>
      </w:r>
    </w:p>
    <w:p w14:paraId="4883E902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075CD3EF" w14:textId="0E8A92EE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cefalosporin</w:t>
      </w:r>
      <w:r w:rsidR="00F7432C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típusú antibiotikumok, így 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adása kapcsán is beszámoltak immunmediált hemolitikus an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ae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mia előfordulásáról (lásd 4.8 pont). Mind felnőttek, mind gyermekek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kezelése során észleltek súlyos</w:t>
      </w:r>
      <w:r w:rsidR="00F7432C" w:rsidRPr="00DE2A1A">
        <w:rPr>
          <w:rFonts w:ascii="Times New Roman" w:hAnsi="Times New Roman"/>
          <w:sz w:val="22"/>
          <w:szCs w:val="22"/>
          <w:lang w:val="hu-HU"/>
        </w:rPr>
        <w:t xml:space="preserve"> –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akár halálos kimenetelű</w:t>
      </w:r>
      <w:r w:rsidR="00F7432C" w:rsidRPr="00DE2A1A">
        <w:rPr>
          <w:rFonts w:ascii="Times New Roman" w:hAnsi="Times New Roman"/>
          <w:sz w:val="22"/>
          <w:szCs w:val="22"/>
          <w:lang w:val="hu-HU"/>
        </w:rPr>
        <w:t xml:space="preserve"> –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hemolitikus an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ae</w:t>
      </w:r>
      <w:r w:rsidRPr="00DE2A1A">
        <w:rPr>
          <w:rFonts w:ascii="Times New Roman" w:hAnsi="Times New Roman"/>
          <w:sz w:val="22"/>
          <w:szCs w:val="22"/>
          <w:lang w:val="hu-HU"/>
        </w:rPr>
        <w:t>miát.</w:t>
      </w:r>
      <w:r w:rsidR="002B0362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Amennyiben a ceftriaxon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 során a beteg an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ae</w:t>
      </w:r>
      <w:r w:rsidRPr="00DE2A1A">
        <w:rPr>
          <w:rFonts w:ascii="Times New Roman" w:hAnsi="Times New Roman"/>
          <w:sz w:val="22"/>
          <w:szCs w:val="22"/>
          <w:lang w:val="hu-HU"/>
        </w:rPr>
        <w:t>miás lesz, gondolni kell a ceftriaxonnal összefüggő an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ae</w:t>
      </w:r>
      <w:r w:rsidRPr="00DE2A1A">
        <w:rPr>
          <w:rFonts w:ascii="Times New Roman" w:hAnsi="Times New Roman"/>
          <w:sz w:val="22"/>
          <w:szCs w:val="22"/>
          <w:lang w:val="hu-HU"/>
        </w:rPr>
        <w:t>mi</w:t>
      </w:r>
      <w:r w:rsidR="00F7432C" w:rsidRPr="00DE2A1A">
        <w:rPr>
          <w:rFonts w:ascii="Times New Roman" w:hAnsi="Times New Roman"/>
          <w:sz w:val="22"/>
          <w:szCs w:val="22"/>
          <w:lang w:val="hu-HU"/>
        </w:rPr>
        <w:t>a diagnózis</w:t>
      </w:r>
      <w:r w:rsidRPr="00DE2A1A">
        <w:rPr>
          <w:rFonts w:ascii="Times New Roman" w:hAnsi="Times New Roman"/>
          <w:sz w:val="22"/>
          <w:szCs w:val="22"/>
          <w:lang w:val="hu-HU"/>
        </w:rPr>
        <w:t>ára is, és az ok tisztázásáig fel kell függeszteni a ceftriaxon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kezelést.</w:t>
      </w:r>
    </w:p>
    <w:p w14:paraId="0F3B2FB9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6CA29303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Hosszú távú kezelés</w:t>
      </w:r>
    </w:p>
    <w:p w14:paraId="33EECCE2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6B36B811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Hosszú távú kezelés során rendszeresen kell ellenőrizni a teljes vérképet.</w:t>
      </w:r>
    </w:p>
    <w:p w14:paraId="2D404655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5D702EC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 xml:space="preserve">Colitis/nem érzékeny mikroorganizmusok </w:t>
      </w:r>
      <w:r w:rsidR="009828A3" w:rsidRPr="00DE2A1A">
        <w:rPr>
          <w:rFonts w:ascii="Times New Roman" w:hAnsi="Times New Roman"/>
          <w:sz w:val="22"/>
          <w:szCs w:val="22"/>
          <w:u w:val="single"/>
          <w:lang w:val="hu-HU"/>
        </w:rPr>
        <w:t>elszaporodása</w:t>
      </w:r>
    </w:p>
    <w:p w14:paraId="7497DB9E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00D12BF9" w14:textId="0913E091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Szinte az összes antibiotikum, így a ceftriaxon alkalmazásával kapcsolatban is beszámoltak antibiotikum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kezeléshez társuló colitis és pseudomembranosus colitis előfordulásáról, melyek súlyosságukat tekintve az enyhétől az életet veszélyeztetőig terjedő esetek voltak. Ezért azoknál a betegeknél, akiknél a ceftriaxon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 során vagy azt követően hasmenés lép fel, fontos gondolni erre a diagnózisra (lásd 4.8 pont). Mérlegelendő a ceftriaxon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kezelés leállítása, valamint </w:t>
      </w:r>
      <w:r w:rsidRPr="00DE2A1A">
        <w:rPr>
          <w:rFonts w:ascii="Times New Roman" w:hAnsi="Times New Roman"/>
          <w:i/>
          <w:sz w:val="22"/>
          <w:szCs w:val="22"/>
          <w:lang w:val="hu-HU"/>
        </w:rPr>
        <w:t>Clostridi</w:t>
      </w:r>
      <w:r w:rsidR="00F37904" w:rsidRPr="00DE2A1A">
        <w:rPr>
          <w:rFonts w:ascii="Times New Roman" w:hAnsi="Times New Roman"/>
          <w:i/>
          <w:sz w:val="22"/>
          <w:szCs w:val="22"/>
          <w:lang w:val="hu-HU"/>
        </w:rPr>
        <w:t>oides</w:t>
      </w:r>
      <w:r w:rsidR="00F7432C" w:rsidRPr="00DE2A1A">
        <w:rPr>
          <w:rFonts w:ascii="Times New Roman" w:hAnsi="Times New Roman"/>
          <w:i/>
          <w:sz w:val="22"/>
          <w:szCs w:val="22"/>
          <w:lang w:val="hu-HU"/>
        </w:rPr>
        <w:t> </w:t>
      </w:r>
      <w:r w:rsidRPr="00DE2A1A">
        <w:rPr>
          <w:rFonts w:ascii="Times New Roman" w:hAnsi="Times New Roman"/>
          <w:i/>
          <w:sz w:val="22"/>
          <w:szCs w:val="22"/>
          <w:lang w:val="hu-HU"/>
        </w:rPr>
        <w:t>difficile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elleni specifikus kezelés indítása. Nem szabad perisztaltikát gátló gyógyszereket adni.</w:t>
      </w:r>
    </w:p>
    <w:p w14:paraId="7544935F" w14:textId="77777777" w:rsidR="00466A0C" w:rsidRPr="00DE2A1A" w:rsidRDefault="00466A0C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73908E66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többi antibiotikumhoz hasonlóan nem érzékeny mikroorganizmusok okozta felülfertőzés fordulhat elő.</w:t>
      </w:r>
    </w:p>
    <w:p w14:paraId="0BB3DFF0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0EA2A307" w14:textId="5A9ABFF4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Súlyos vese- és máj</w:t>
      </w:r>
      <w:r w:rsidR="00F37904" w:rsidRPr="00DE2A1A">
        <w:rPr>
          <w:rFonts w:ascii="Times New Roman" w:hAnsi="Times New Roman"/>
          <w:sz w:val="22"/>
          <w:szCs w:val="22"/>
          <w:u w:val="single"/>
          <w:lang w:val="hu-HU"/>
        </w:rPr>
        <w:t>károsodás</w:t>
      </w:r>
    </w:p>
    <w:p w14:paraId="1054F6CC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68CACE1" w14:textId="7DC2C858" w:rsidR="00FA60E2" w:rsidRPr="00DE2A1A" w:rsidRDefault="00FA60E2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Súlyos vese-</w:t>
      </w:r>
      <w:r w:rsidR="00F37904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="00F37904" w:rsidRPr="00DE2A1A">
        <w:rPr>
          <w:rFonts w:ascii="Times New Roman" w:hAnsi="Times New Roman"/>
          <w:sz w:val="22"/>
          <w:szCs w:val="22"/>
          <w:u w:val="single"/>
          <w:lang w:val="hu-HU"/>
        </w:rPr>
        <w:t>májkárosodásban</w:t>
      </w:r>
      <w:r w:rsidR="00F37904" w:rsidRPr="00CF059D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a biztonságosság és a hatásosság szoros klinikai ellenőrzése javasolt (lásd 4.2 pont).</w:t>
      </w:r>
    </w:p>
    <w:p w14:paraId="7DD0F320" w14:textId="77777777" w:rsidR="00FA60E2" w:rsidRPr="00DE2A1A" w:rsidRDefault="00FA60E2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40C0617" w14:textId="77777777" w:rsidR="00FA60E2" w:rsidRPr="00DE2A1A" w:rsidRDefault="00FA60E2" w:rsidP="00EE32FE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Kölcsönhatás szerológiai próbákkal</w:t>
      </w:r>
    </w:p>
    <w:p w14:paraId="6C5276BF" w14:textId="77777777" w:rsidR="00FA60E2" w:rsidRPr="00DE2A1A" w:rsidRDefault="00FA60E2" w:rsidP="00EE32FE">
      <w:pPr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32A267C9" w14:textId="5399C329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 xml:space="preserve">kezelés befolyásolhatja a Coombs-teszt eredményét, melynek következtében a teszt álpozitív eredményt adhat.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 mellett a galactosaemia</w:t>
      </w:r>
      <w:r w:rsidR="00F37904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teszt is álpozitív eredményt adhat (lásd 4.8 pont).</w:t>
      </w:r>
    </w:p>
    <w:p w14:paraId="3E84F3B4" w14:textId="77777777" w:rsidR="00804D6B" w:rsidRPr="00DE2A1A" w:rsidRDefault="00804D6B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B74612A" w14:textId="4CE0CD0B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vizeletből nem enzimatikus módszerrel végzett glükózmeghatározás is álpozitív eredményt adhat. Ezért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 során a vizeletből történő glükózmeghatározást enzimatikus módszerrel kell végezni (lásd 4.8 pont).</w:t>
      </w:r>
    </w:p>
    <w:p w14:paraId="5AC04540" w14:textId="77777777" w:rsidR="008213E6" w:rsidRPr="00DE2A1A" w:rsidRDefault="008213E6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D2D7C8C" w14:textId="77777777" w:rsidR="00FA60E2" w:rsidRPr="00DE2A1A" w:rsidRDefault="008213E6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 jelenlétének hatására néhány vércukorszintmérő készülék által jelzett glükózérték tévesen alacsony lehet. Kérjük</w:t>
      </w:r>
      <w:r w:rsidR="000742E8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olvassa el az adott készülék használati </w:t>
      </w:r>
      <w:r w:rsidR="00BE4B58" w:rsidRPr="00DE2A1A">
        <w:rPr>
          <w:rFonts w:ascii="Times New Roman" w:hAnsi="Times New Roman"/>
          <w:sz w:val="22"/>
          <w:szCs w:val="22"/>
          <w:lang w:val="hu-HU"/>
        </w:rPr>
        <w:t>utasítását</w:t>
      </w:r>
      <w:r w:rsidRPr="00DE2A1A">
        <w:rPr>
          <w:rFonts w:ascii="Times New Roman" w:hAnsi="Times New Roman"/>
          <w:sz w:val="22"/>
          <w:szCs w:val="22"/>
          <w:lang w:val="hu-HU"/>
        </w:rPr>
        <w:t>. Amennyiben szükséges, alternatív mérési módszereket kell alkalmazni.</w:t>
      </w:r>
    </w:p>
    <w:p w14:paraId="750FC798" w14:textId="77777777" w:rsidR="008213E6" w:rsidRPr="00DE2A1A" w:rsidRDefault="008213E6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79691005" w14:textId="77777777" w:rsidR="00FA60E2" w:rsidRPr="00DE2A1A" w:rsidRDefault="00FA60E2" w:rsidP="00EE32FE">
      <w:pPr>
        <w:keepNext/>
        <w:ind w:right="-57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lastRenderedPageBreak/>
        <w:t>Nátrium</w:t>
      </w:r>
    </w:p>
    <w:p w14:paraId="4E988F1E" w14:textId="77777777" w:rsidR="00FA60E2" w:rsidRPr="00DE2A1A" w:rsidRDefault="00FA60E2" w:rsidP="00EE32FE">
      <w:pPr>
        <w:keepNext/>
        <w:ind w:right="-57"/>
        <w:rPr>
          <w:rFonts w:ascii="Times New Roman" w:hAnsi="Times New Roman"/>
          <w:sz w:val="22"/>
          <w:szCs w:val="22"/>
          <w:lang w:val="hu-HU"/>
        </w:rPr>
      </w:pPr>
    </w:p>
    <w:p w14:paraId="472133EC" w14:textId="34D9C022" w:rsidR="000B4551" w:rsidRPr="00DE2A1A" w:rsidRDefault="00FA60E2" w:rsidP="00EE32FE">
      <w:pPr>
        <w:keepNext/>
        <w:ind w:right="-5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Minden </w:t>
      </w:r>
      <w:r w:rsidR="00403078" w:rsidRPr="00DE2A1A">
        <w:rPr>
          <w:rFonts w:ascii="Times New Roman" w:hAnsi="Times New Roman"/>
          <w:sz w:val="22"/>
          <w:szCs w:val="22"/>
          <w:lang w:val="hu-HU"/>
        </w:rPr>
        <w:t>(1000 mg ceftriaxont tartalmazó) injekciós üveg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3,6 mmol </w:t>
      </w:r>
      <w:r w:rsidR="000B4551" w:rsidRPr="00DE2A1A">
        <w:rPr>
          <w:rFonts w:ascii="Times New Roman" w:hAnsi="Times New Roman"/>
          <w:sz w:val="22"/>
          <w:szCs w:val="22"/>
          <w:lang w:val="hu-HU"/>
        </w:rPr>
        <w:t xml:space="preserve">(83 mg) </w:t>
      </w:r>
      <w:r w:rsidRPr="00DE2A1A">
        <w:rPr>
          <w:rFonts w:ascii="Times New Roman" w:hAnsi="Times New Roman"/>
          <w:sz w:val="22"/>
          <w:szCs w:val="22"/>
          <w:lang w:val="hu-HU"/>
        </w:rPr>
        <w:t>nátriumot tartalmaz</w:t>
      </w:r>
      <w:r w:rsidR="00E666DC" w:rsidRPr="00DE2A1A">
        <w:rPr>
          <w:rFonts w:ascii="Times New Roman" w:hAnsi="Times New Roman"/>
          <w:sz w:val="22"/>
          <w:szCs w:val="22"/>
          <w:lang w:val="hu-HU"/>
        </w:rPr>
        <w:t xml:space="preserve">, ami a WHO által ajánlott maximális napi 2 g nátriumbevitel </w:t>
      </w:r>
      <w:r w:rsidR="0087237D" w:rsidRPr="00DE2A1A">
        <w:rPr>
          <w:rFonts w:ascii="Times New Roman" w:hAnsi="Times New Roman"/>
          <w:sz w:val="22"/>
          <w:szCs w:val="22"/>
          <w:lang w:val="hu-HU"/>
        </w:rPr>
        <w:t>4</w:t>
      </w:r>
      <w:r w:rsidR="00E666DC" w:rsidRPr="00DE2A1A">
        <w:rPr>
          <w:rFonts w:ascii="Times New Roman" w:hAnsi="Times New Roman"/>
          <w:sz w:val="22"/>
          <w:szCs w:val="22"/>
          <w:lang w:val="hu-HU"/>
        </w:rPr>
        <w:t>,</w:t>
      </w:r>
      <w:r w:rsidR="0087237D" w:rsidRPr="00DE2A1A">
        <w:rPr>
          <w:rFonts w:ascii="Times New Roman" w:hAnsi="Times New Roman"/>
          <w:sz w:val="22"/>
          <w:szCs w:val="22"/>
          <w:lang w:val="hu-HU"/>
        </w:rPr>
        <w:t>15</w:t>
      </w:r>
      <w:r w:rsidR="00E666DC" w:rsidRPr="00DE2A1A">
        <w:rPr>
          <w:rFonts w:ascii="Times New Roman" w:hAnsi="Times New Roman"/>
          <w:sz w:val="22"/>
          <w:szCs w:val="22"/>
          <w:lang w:val="hu-HU"/>
        </w:rPr>
        <w:t>%-ának felel meg felnőtteknél.</w:t>
      </w:r>
    </w:p>
    <w:p w14:paraId="0F623AFC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467D9B28" w14:textId="77777777" w:rsidR="00FA60E2" w:rsidRPr="00DE2A1A" w:rsidRDefault="00FA60E2" w:rsidP="00EE32FE">
      <w:pPr>
        <w:keepNext/>
        <w:ind w:right="-57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Antibakteriális spektrum</w:t>
      </w:r>
    </w:p>
    <w:p w14:paraId="5BB61D8E" w14:textId="77777777" w:rsidR="00FA60E2" w:rsidRPr="00DE2A1A" w:rsidRDefault="00FA60E2" w:rsidP="00EE32FE">
      <w:pPr>
        <w:keepNext/>
        <w:ind w:right="-57"/>
        <w:rPr>
          <w:rFonts w:ascii="Times New Roman" w:hAnsi="Times New Roman"/>
          <w:sz w:val="22"/>
          <w:szCs w:val="22"/>
          <w:lang w:val="hu-HU"/>
        </w:rPr>
      </w:pPr>
    </w:p>
    <w:p w14:paraId="7498AA1F" w14:textId="20AC9858" w:rsidR="00FA60E2" w:rsidRPr="00DE2A1A" w:rsidRDefault="00FA60E2" w:rsidP="00EE32FE">
      <w:pPr>
        <w:keepNext/>
        <w:ind w:right="-5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Mivel antibakteriális hatásának spektruma </w:t>
      </w:r>
      <w:r w:rsidR="00403078" w:rsidRPr="00DE2A1A">
        <w:rPr>
          <w:rFonts w:ascii="Times New Roman" w:hAnsi="Times New Roman"/>
          <w:sz w:val="22"/>
          <w:szCs w:val="22"/>
          <w:lang w:val="hu-HU"/>
        </w:rPr>
        <w:t>korlátozott</w:t>
      </w:r>
      <w:r w:rsidRPr="00DE2A1A">
        <w:rPr>
          <w:rFonts w:ascii="Times New Roman" w:hAnsi="Times New Roman"/>
          <w:sz w:val="22"/>
          <w:szCs w:val="22"/>
          <w:lang w:val="hu-HU"/>
        </w:rPr>
        <w:t>, előfordulhat, hogy a ceftriaxon bizonyos típusú fertőzésekben – hacsak a kórokozó a</w:t>
      </w:r>
      <w:r w:rsidR="00EF08CC" w:rsidRPr="00DE2A1A">
        <w:rPr>
          <w:rFonts w:ascii="Times New Roman" w:hAnsi="Times New Roman"/>
          <w:sz w:val="22"/>
          <w:szCs w:val="22"/>
          <w:lang w:val="hu-HU"/>
        </w:rPr>
        <w:t>zonosítása már meg nem történt –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önmagában nem alkalmas a terápiára (lásd 4.2 pont). Polimikrobiális fertőzésekben, amikor a feltételezett kórokozók között ceftriaxonnal szemben rezisztens 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 xml:space="preserve">mikroorganizmusok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is vannak, mérlegelni kell </w:t>
      </w:r>
      <w:r w:rsidR="00403078" w:rsidRPr="00DE2A1A">
        <w:rPr>
          <w:rFonts w:ascii="Times New Roman" w:hAnsi="Times New Roman"/>
          <w:sz w:val="22"/>
          <w:szCs w:val="22"/>
          <w:lang w:val="hu-HU"/>
        </w:rPr>
        <w:t xml:space="preserve">egy </w:t>
      </w:r>
      <w:r w:rsidRPr="00DE2A1A">
        <w:rPr>
          <w:rFonts w:ascii="Times New Roman" w:hAnsi="Times New Roman"/>
          <w:sz w:val="22"/>
          <w:szCs w:val="22"/>
          <w:lang w:val="hu-HU"/>
        </w:rPr>
        <w:t>további antibiotikum alkalmazását.</w:t>
      </w:r>
    </w:p>
    <w:p w14:paraId="1FC369CA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6BE2E0C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Lidokain alkalmazása</w:t>
      </w:r>
    </w:p>
    <w:p w14:paraId="68F936A8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3BB2C2FE" w14:textId="47A4EE11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Ha a ceftriaxon lidokain</w:t>
      </w:r>
      <w:r w:rsidR="00EB088C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oldattal kerül feloldásra, a ceftriaxon-oldatot kizárólag intramuscularis injekcióként szabad beadni. Az alkalmazás előtt a lidokain alkalmazási előírásában részletezett ellenjavallatokat, figyelmeztetéseket és további releváns információkat figyelembe kell venni (lásd 4.3 pont). A lidokain</w:t>
      </w:r>
      <w:r w:rsidR="00EB088C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oldatot soha nem szabad intravénásan beadni.</w:t>
      </w:r>
    </w:p>
    <w:p w14:paraId="53EF5CB2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0C3EB03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Epekövesség</w:t>
      </w:r>
    </w:p>
    <w:p w14:paraId="171B9D78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974D418" w14:textId="6DF649BE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Ha az ultrahangvizsgálat során árnyékokat figyeltek meg, gondolni kell kalcium-ceftriaxon precipitátumok lehetőségére is. Az epehólyag ultrahangvizsgálata során epekővel összetéveszthető árnyékokat figyeltek meg, melyek gyakrabban fordultak elő napi 1 g-os vagy ezt meghaladó ceftriaxon</w:t>
      </w:r>
      <w:r w:rsidR="002F2EAB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dózisok mellett. Különösen óvatosnak kell lenni gyermekek esetében. Ezek a precipitátumok a ceftriaxon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 befejezése után eltűnnek. A kalcium-ceftriaxon precipitátumok ritkán klinikai tünetekkel társulnak. Tünetek esetén konzervatív, nem</w:t>
      </w:r>
      <w:r w:rsidR="002F2EAB" w:rsidRPr="00DE2A1A">
        <w:rPr>
          <w:rFonts w:ascii="Times New Roman" w:hAnsi="Times New Roman"/>
          <w:sz w:val="22"/>
          <w:szCs w:val="22"/>
          <w:lang w:val="hu-HU"/>
        </w:rPr>
        <w:t> </w:t>
      </w:r>
      <w:r w:rsidRPr="00DE2A1A">
        <w:rPr>
          <w:rFonts w:ascii="Times New Roman" w:hAnsi="Times New Roman"/>
          <w:sz w:val="22"/>
          <w:szCs w:val="22"/>
          <w:lang w:val="hu-HU"/>
        </w:rPr>
        <w:t>sebészeti megoldás javasolt, és a ceftriaxon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 xml:space="preserve">kezelés leállításáról a kezelőorvosnak az előny/kockázat </w:t>
      </w:r>
      <w:r w:rsidR="002F2EAB" w:rsidRPr="00DE2A1A">
        <w:rPr>
          <w:rFonts w:ascii="Times New Roman" w:hAnsi="Times New Roman"/>
          <w:sz w:val="22"/>
          <w:szCs w:val="22"/>
          <w:lang w:val="hu-HU"/>
        </w:rPr>
        <w:t xml:space="preserve">arány </w:t>
      </w:r>
      <w:r w:rsidRPr="00DE2A1A">
        <w:rPr>
          <w:rFonts w:ascii="Times New Roman" w:hAnsi="Times New Roman"/>
          <w:sz w:val="22"/>
          <w:szCs w:val="22"/>
          <w:lang w:val="hu-HU"/>
        </w:rPr>
        <w:t>egyedi mérlegelése alapján kell döntenie (lásd 4.8 pont).</w:t>
      </w:r>
    </w:p>
    <w:p w14:paraId="31F96BD8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48AB101D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Epepangás</w:t>
      </w:r>
    </w:p>
    <w:p w14:paraId="65960FC9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48E87766" w14:textId="6726EDF8" w:rsidR="00FA60E2" w:rsidRPr="00DE2A1A" w:rsidRDefault="00247B8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Ceftriaxon</w:t>
      </w:r>
      <w:r w:rsidR="002F2EAB" w:rsidRPr="00DE2A1A">
        <w:rPr>
          <w:rFonts w:ascii="Times New Roman" w:hAnsi="Times New Roman"/>
          <w:sz w:val="22"/>
          <w:szCs w:val="22"/>
          <w:lang w:val="hu-HU"/>
        </w:rPr>
        <w:t>nal</w:t>
      </w:r>
      <w:r w:rsidR="00FA60E2" w:rsidRPr="00DE2A1A">
        <w:rPr>
          <w:rFonts w:ascii="Times New Roman" w:hAnsi="Times New Roman"/>
          <w:sz w:val="22"/>
          <w:szCs w:val="22"/>
          <w:lang w:val="hu-HU"/>
        </w:rPr>
        <w:t xml:space="preserve"> kezelt betegek</w:t>
      </w:r>
      <w:r w:rsidR="002F2EAB" w:rsidRPr="00DE2A1A">
        <w:rPr>
          <w:rFonts w:ascii="Times New Roman" w:hAnsi="Times New Roman"/>
          <w:sz w:val="22"/>
          <w:szCs w:val="22"/>
          <w:lang w:val="hu-HU"/>
        </w:rPr>
        <w:t>nél</w:t>
      </w:r>
      <w:r w:rsidR="00FA60E2" w:rsidRPr="00DE2A1A">
        <w:rPr>
          <w:rFonts w:ascii="Times New Roman" w:hAnsi="Times New Roman"/>
          <w:sz w:val="22"/>
          <w:szCs w:val="22"/>
          <w:lang w:val="hu-HU"/>
        </w:rPr>
        <w:t xml:space="preserve"> pancreatitist figyeltek meg, amely esetleg epeút</w:t>
      </w:r>
      <w:r w:rsidR="002F2EAB" w:rsidRPr="00DE2A1A">
        <w:rPr>
          <w:rFonts w:ascii="Times New Roman" w:hAnsi="Times New Roman"/>
          <w:sz w:val="22"/>
          <w:szCs w:val="22"/>
          <w:lang w:val="hu-HU"/>
        </w:rPr>
        <w:t>-</w:t>
      </w:r>
      <w:r w:rsidR="00FA60E2" w:rsidRPr="00DE2A1A">
        <w:rPr>
          <w:rFonts w:ascii="Times New Roman" w:hAnsi="Times New Roman"/>
          <w:sz w:val="22"/>
          <w:szCs w:val="22"/>
          <w:lang w:val="hu-HU"/>
        </w:rPr>
        <w:t>elzáródás miatt alakult ki (lásd 4.8 pont). A legtöbb beteg</w:t>
      </w:r>
      <w:r w:rsidR="0039519A" w:rsidRPr="00DE2A1A">
        <w:rPr>
          <w:rFonts w:ascii="Times New Roman" w:hAnsi="Times New Roman"/>
          <w:sz w:val="22"/>
          <w:szCs w:val="22"/>
          <w:lang w:val="hu-HU"/>
        </w:rPr>
        <w:t>nél</w:t>
      </w:r>
      <w:r w:rsidR="00FA60E2" w:rsidRPr="00DE2A1A">
        <w:rPr>
          <w:rFonts w:ascii="Times New Roman" w:hAnsi="Times New Roman"/>
          <w:sz w:val="22"/>
          <w:szCs w:val="22"/>
          <w:lang w:val="hu-HU"/>
        </w:rPr>
        <w:t xml:space="preserve"> az epepangás és sludge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-</w:t>
      </w:r>
      <w:r w:rsidR="00FA60E2" w:rsidRPr="00DE2A1A">
        <w:rPr>
          <w:rFonts w:ascii="Times New Roman" w:hAnsi="Times New Roman"/>
          <w:sz w:val="22"/>
          <w:szCs w:val="22"/>
          <w:lang w:val="hu-HU"/>
        </w:rPr>
        <w:t xml:space="preserve">képződés rizikófaktorai voltak jelen, pl. megelőző erélyes kezelés, súlyos betegség és teljes parenterális táplálás. A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noBreakHyphen/>
      </w:r>
      <w:r w:rsidR="00CD292C" w:rsidRPr="00DE2A1A">
        <w:rPr>
          <w:rFonts w:ascii="Times New Roman" w:hAnsi="Times New Roman"/>
          <w:sz w:val="22"/>
          <w:szCs w:val="22"/>
          <w:lang w:val="hu-HU"/>
        </w:rPr>
        <w:t>l</w:t>
      </w:r>
      <w:r w:rsidR="003F3440" w:rsidRPr="00DE2A1A">
        <w:rPr>
          <w:rFonts w:ascii="Times New Roman" w:hAnsi="Times New Roman"/>
          <w:sz w:val="22"/>
          <w:szCs w:val="22"/>
          <w:lang w:val="hu-HU"/>
        </w:rPr>
        <w:t>a</w:t>
      </w:r>
      <w:r w:rsidR="00FA60E2" w:rsidRPr="00DE2A1A">
        <w:rPr>
          <w:rFonts w:ascii="Times New Roman" w:hAnsi="Times New Roman"/>
          <w:sz w:val="22"/>
          <w:szCs w:val="22"/>
          <w:lang w:val="hu-HU"/>
        </w:rPr>
        <w:t>l kapcsolatos biliáris precipitáció kiváltó vagy kofaktor szerepe nem zárható ki.</w:t>
      </w:r>
    </w:p>
    <w:p w14:paraId="193954AE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47725BC5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Vesekövesség</w:t>
      </w:r>
    </w:p>
    <w:p w14:paraId="09377620" w14:textId="7777777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2FBB7022" w14:textId="79DCA357" w:rsidR="00FA60E2" w:rsidRPr="00DE2A1A" w:rsidRDefault="00FA60E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Vesekövesség eseteiről számoltak be, melyek a ceftriaxon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 xml:space="preserve">kezelés befejezése után reverzibilisnek bizonyultak (lásd 4.8 pont). Tünetekkel járó esetekben ultrahangos vizsgálat indokolt. Azoknál a betegeknél, akiknek korábban vesekövük vagy hypercalciuriájuk volt, a gyógyszer alkalmazásáról a kezelőorvosnak az előny/kockázat </w:t>
      </w:r>
      <w:r w:rsidR="0039519A" w:rsidRPr="00DE2A1A">
        <w:rPr>
          <w:rFonts w:ascii="Times New Roman" w:hAnsi="Times New Roman"/>
          <w:sz w:val="22"/>
          <w:szCs w:val="22"/>
          <w:lang w:val="hu-HU"/>
        </w:rPr>
        <w:t xml:space="preserve">arány </w:t>
      </w:r>
      <w:r w:rsidRPr="00DE2A1A">
        <w:rPr>
          <w:rFonts w:ascii="Times New Roman" w:hAnsi="Times New Roman"/>
          <w:sz w:val="22"/>
          <w:szCs w:val="22"/>
          <w:lang w:val="hu-HU"/>
        </w:rPr>
        <w:t>egyedi mérlegelése alapján kell döntenie.</w:t>
      </w:r>
    </w:p>
    <w:p w14:paraId="44C99F45" w14:textId="77777777" w:rsidR="001C08CC" w:rsidRPr="00DE2A1A" w:rsidRDefault="001C08CC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5EFE885" w14:textId="77777777" w:rsidR="004355C6" w:rsidRPr="00DE2A1A" w:rsidRDefault="004355C6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4.5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D01D65" w:rsidRPr="00DE2A1A">
        <w:rPr>
          <w:rFonts w:ascii="Times New Roman" w:hAnsi="Times New Roman"/>
          <w:b/>
          <w:sz w:val="22"/>
          <w:szCs w:val="22"/>
          <w:lang w:val="hu-HU"/>
        </w:rPr>
        <w:t>Gyógyszerkölcsönhatások és egyéb interakciók</w:t>
      </w:r>
    </w:p>
    <w:p w14:paraId="5FB7F09C" w14:textId="77777777" w:rsidR="004355C6" w:rsidRPr="00DE2A1A" w:rsidRDefault="004355C6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E9676A7" w14:textId="5B842E2A" w:rsidR="003F3440" w:rsidRPr="00DE2A1A" w:rsidRDefault="003F3440" w:rsidP="00EE32FE">
      <w:pPr>
        <w:rPr>
          <w:rFonts w:ascii="Times New Roman" w:hAnsi="Times New Roman"/>
          <w:iCs/>
          <w:sz w:val="22"/>
          <w:szCs w:val="22"/>
          <w:lang w:val="hu-HU"/>
        </w:rPr>
      </w:pP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A </w:t>
      </w:r>
      <w:r w:rsidR="00247B8A" w:rsidRPr="00DE2A1A">
        <w:rPr>
          <w:rFonts w:ascii="Times New Roman" w:hAnsi="Times New Roman"/>
          <w:iCs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iCs/>
          <w:sz w:val="22"/>
          <w:szCs w:val="22"/>
          <w:lang w:val="hu-HU"/>
        </w:rPr>
        <w:t>Be Pharma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 injekciós üveg tartalmát nem szabad kalcium-tartalmú oldószerekkel, mint pl. Ringer- vagy Hartmann</w:t>
      </w:r>
      <w:r w:rsidR="002D30BE" w:rsidRPr="00DE2A1A">
        <w:rPr>
          <w:rFonts w:ascii="Times New Roman" w:hAnsi="Times New Roman"/>
          <w:iCs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>oldattal feloldani, ill. az intravénás beadásra már elkészített oldatot nem szabad tovább hígítani velük, mivel precipitátum alakulhat ki. Ceftriaxon-kalcium precipitátum alakulhat ki akkor is, ha a ceftriaxon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>az intravénás beadás során az infúziós szerelékben keveredik kalcium-tartalmú oldattal. A ceftriaxont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tilos 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kalcium-tartalmú intravénás oldattal egyidejűleg beadni, beleértve Y-csatlakozón keresztül beadott folyamatos kalcium-tartalmú infúziókat is, pl. parenterális tápláláskor. </w:t>
      </w:r>
      <w:r w:rsidR="0039519A" w:rsidRPr="00DE2A1A">
        <w:rPr>
          <w:rFonts w:ascii="Times New Roman" w:hAnsi="Times New Roman"/>
          <w:iCs/>
          <w:sz w:val="22"/>
          <w:szCs w:val="22"/>
          <w:lang w:val="hu-HU"/>
        </w:rPr>
        <w:t>Az ú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>jszülöttek k</w:t>
      </w:r>
      <w:r w:rsidR="0039519A" w:rsidRPr="00DE2A1A">
        <w:rPr>
          <w:rFonts w:ascii="Times New Roman" w:hAnsi="Times New Roman"/>
          <w:iCs/>
          <w:sz w:val="22"/>
          <w:szCs w:val="22"/>
          <w:lang w:val="hu-HU"/>
        </w:rPr>
        <w:t>i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>v</w:t>
      </w:r>
      <w:r w:rsidR="0039519A" w:rsidRPr="00DE2A1A">
        <w:rPr>
          <w:rFonts w:ascii="Times New Roman" w:hAnsi="Times New Roman"/>
          <w:iCs/>
          <w:sz w:val="22"/>
          <w:szCs w:val="22"/>
          <w:lang w:val="hu-HU"/>
        </w:rPr>
        <w:t>ételével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 a betegek kaphatnak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ceftriaxont és 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kalcium-tartalmú oldatot egymást követően, amennyiben a két infúzió között az infúziós szereléket alaposan átmossák egy kompatibilis oldattal. Felnőtt és köldökzsinórból vett újszülött plazmán végzett </w:t>
      </w:r>
      <w:r w:rsidRPr="00DE2A1A">
        <w:rPr>
          <w:rFonts w:ascii="Times New Roman" w:hAnsi="Times New Roman"/>
          <w:i/>
          <w:iCs/>
          <w:sz w:val="22"/>
          <w:szCs w:val="22"/>
          <w:lang w:val="hu-HU"/>
        </w:rPr>
        <w:t>in vitro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 vizsgálatokban 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lastRenderedPageBreak/>
        <w:t>kimutatták, hogy újszülötteknél fokozott a ceftriaxon-kalcium precipitátum kialakulásának kockázata (lásd 4.2, 4.3, 4.4, 4.8 és 6.2 pontok).</w:t>
      </w:r>
    </w:p>
    <w:p w14:paraId="5D52A04F" w14:textId="77777777" w:rsidR="003F3440" w:rsidRPr="00DE2A1A" w:rsidRDefault="003F3440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45DCE704" w14:textId="66F48138" w:rsidR="003F3440" w:rsidRPr="00DE2A1A" w:rsidRDefault="003F3440" w:rsidP="00EE32FE">
      <w:pPr>
        <w:rPr>
          <w:rFonts w:ascii="Times New Roman" w:hAnsi="Times New Roman"/>
          <w:iCs/>
          <w:sz w:val="22"/>
          <w:szCs w:val="22"/>
          <w:lang w:val="hu-HU"/>
        </w:rPr>
      </w:pPr>
      <w:r w:rsidRPr="00DE2A1A">
        <w:rPr>
          <w:rFonts w:ascii="Times New Roman" w:hAnsi="Times New Roman"/>
          <w:iCs/>
          <w:sz w:val="22"/>
          <w:szCs w:val="22"/>
          <w:lang w:val="hu-HU"/>
        </w:rPr>
        <w:t>Orális antikoagulánsokkal történő együttes alkalmazás növelheti a K-vitamin</w:t>
      </w:r>
      <w:r w:rsidR="009828A3" w:rsidRPr="00DE2A1A">
        <w:rPr>
          <w:rFonts w:ascii="Times New Roman" w:hAnsi="Times New Roman"/>
          <w:iCs/>
          <w:sz w:val="22"/>
          <w:szCs w:val="22"/>
          <w:lang w:val="hu-HU"/>
        </w:rPr>
        <w:t>-</w:t>
      </w:r>
      <w:r w:rsidR="0039519A" w:rsidRPr="00DE2A1A">
        <w:rPr>
          <w:rFonts w:ascii="Times New Roman" w:hAnsi="Times New Roman"/>
          <w:iCs/>
          <w:sz w:val="22"/>
          <w:szCs w:val="22"/>
          <w:lang w:val="hu-HU"/>
        </w:rPr>
        <w:t xml:space="preserve">antagonista 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>hatást és a vérzés kockázatát. A nemzetközi normalizált arány (INR) gyakori monitorozása és a K</w:t>
      </w:r>
      <w:r w:rsidR="009828A3" w:rsidRPr="00DE2A1A">
        <w:rPr>
          <w:rFonts w:ascii="Times New Roman" w:hAnsi="Times New Roman"/>
          <w:iCs/>
          <w:sz w:val="22"/>
          <w:szCs w:val="22"/>
          <w:lang w:val="hu-HU"/>
        </w:rPr>
        <w:noBreakHyphen/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>vitamin</w:t>
      </w:r>
      <w:r w:rsidR="009828A3" w:rsidRPr="00DE2A1A">
        <w:rPr>
          <w:rFonts w:ascii="Times New Roman" w:hAnsi="Times New Roman"/>
          <w:iCs/>
          <w:sz w:val="22"/>
          <w:szCs w:val="22"/>
          <w:lang w:val="hu-HU"/>
        </w:rPr>
        <w:noBreakHyphen/>
      </w:r>
      <w:r w:rsidR="0039519A" w:rsidRPr="00DE2A1A">
        <w:rPr>
          <w:rFonts w:ascii="Times New Roman" w:hAnsi="Times New Roman"/>
          <w:iCs/>
          <w:sz w:val="22"/>
          <w:szCs w:val="22"/>
          <w:lang w:val="hu-HU"/>
        </w:rPr>
        <w:t xml:space="preserve">antagonista </w:t>
      </w:r>
      <w:r w:rsidRPr="00DE2A1A">
        <w:rPr>
          <w:rFonts w:ascii="Times New Roman" w:hAnsi="Times New Roman"/>
          <w:iCs/>
          <w:sz w:val="22"/>
          <w:szCs w:val="22"/>
          <w:lang w:val="hu-HU"/>
        </w:rPr>
        <w:t xml:space="preserve">hatású gyógyszer adagolásának megfelelő beállítása javasolt a ceftriaxon-kezelés alatt és azután is (lásd 4.8 pont). </w:t>
      </w:r>
    </w:p>
    <w:p w14:paraId="46976902" w14:textId="77777777" w:rsidR="003F3440" w:rsidRPr="00DE2A1A" w:rsidRDefault="003F3440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39A4426D" w14:textId="4D0E1EDB" w:rsidR="003F3440" w:rsidRPr="00DE2A1A" w:rsidRDefault="000E152D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Ellentmondásosak a bizonyítékok azzal kapcsolatban</w:t>
      </w:r>
      <w:r w:rsidR="003F3440" w:rsidRPr="00DE2A1A">
        <w:rPr>
          <w:rFonts w:ascii="Times New Roman" w:hAnsi="Times New Roman"/>
          <w:sz w:val="22"/>
          <w:szCs w:val="22"/>
          <w:lang w:val="hu-HU"/>
        </w:rPr>
        <w:t>, hogy a cefalosporinokkal történő együttes alkalmazás növeli</w:t>
      </w:r>
      <w:r w:rsidRPr="00DE2A1A">
        <w:rPr>
          <w:rFonts w:ascii="Times New Roman" w:hAnsi="Times New Roman"/>
          <w:sz w:val="22"/>
          <w:szCs w:val="22"/>
          <w:lang w:val="hu-HU"/>
        </w:rPr>
        <w:t>-e</w:t>
      </w:r>
      <w:r w:rsidR="003F3440" w:rsidRPr="00DE2A1A">
        <w:rPr>
          <w:rFonts w:ascii="Times New Roman" w:hAnsi="Times New Roman"/>
          <w:sz w:val="22"/>
          <w:szCs w:val="22"/>
          <w:lang w:val="hu-HU"/>
        </w:rPr>
        <w:t xml:space="preserve"> az aminoglikozidok vesére</w:t>
      </w:r>
      <w:r w:rsidR="003F3440" w:rsidRPr="00DE2A1A" w:rsidDel="00174BDC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F3440" w:rsidRPr="00DE2A1A">
        <w:rPr>
          <w:rFonts w:ascii="Times New Roman" w:hAnsi="Times New Roman"/>
          <w:sz w:val="22"/>
          <w:szCs w:val="22"/>
          <w:lang w:val="hu-HU"/>
        </w:rPr>
        <w:t>gyakorolt toxikus hatását. Az aminoglikozidszintek (és a veseműködés) monitorozására vonatkozó klinikai gyakorlati ajánlásokat szigorúan követni kell ilyen esetekben.</w:t>
      </w:r>
    </w:p>
    <w:p w14:paraId="6D951B1F" w14:textId="77777777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0C3E7810" w14:textId="0E84DC6C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Egy </w:t>
      </w:r>
      <w:r w:rsidRPr="00DE2A1A">
        <w:rPr>
          <w:rFonts w:ascii="Times New Roman" w:hAnsi="Times New Roman"/>
          <w:i/>
          <w:sz w:val="22"/>
          <w:szCs w:val="22"/>
          <w:lang w:val="hu-HU"/>
        </w:rPr>
        <w:t xml:space="preserve">in vitro </w:t>
      </w:r>
      <w:r w:rsidRPr="00DE2A1A">
        <w:rPr>
          <w:rFonts w:ascii="Times New Roman" w:hAnsi="Times New Roman"/>
          <w:sz w:val="22"/>
          <w:szCs w:val="22"/>
          <w:lang w:val="hu-HU"/>
        </w:rPr>
        <w:t>vizsgálatban ceftriaxon és kl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ó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ramfenikol </w:t>
      </w:r>
      <w:r w:rsidR="000E152D" w:rsidRPr="00DE2A1A">
        <w:rPr>
          <w:rFonts w:ascii="Times New Roman" w:hAnsi="Times New Roman"/>
          <w:sz w:val="22"/>
          <w:szCs w:val="22"/>
          <w:lang w:val="hu-HU"/>
        </w:rPr>
        <w:t>együttes alkalmazása</w:t>
      </w:r>
      <w:r w:rsidRPr="00DE2A1A">
        <w:rPr>
          <w:rFonts w:ascii="Times New Roman" w:hAnsi="Times New Roman"/>
          <w:sz w:val="22"/>
          <w:szCs w:val="22"/>
          <w:lang w:val="hu-HU"/>
        </w:rPr>
        <w:t>kor antagonista hatásokat tapasztaltak. E megfigyelés klinikai relevanciája nem ismert.</w:t>
      </w:r>
    </w:p>
    <w:p w14:paraId="5390C4C5" w14:textId="77777777" w:rsidR="003F3440" w:rsidRPr="00DE2A1A" w:rsidRDefault="003F3440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73D993ED" w14:textId="77777777" w:rsidR="003F3440" w:rsidRPr="00DE2A1A" w:rsidRDefault="003F3440" w:rsidP="00EE32FE">
      <w:pPr>
        <w:rPr>
          <w:rFonts w:ascii="Times New Roman" w:hAnsi="Times New Roman"/>
          <w:iCs/>
          <w:sz w:val="22"/>
          <w:szCs w:val="22"/>
          <w:lang w:val="hu-HU"/>
        </w:rPr>
      </w:pPr>
      <w:r w:rsidRPr="00DE2A1A">
        <w:rPr>
          <w:rFonts w:ascii="Times New Roman" w:hAnsi="Times New Roman"/>
          <w:iCs/>
          <w:sz w:val="22"/>
          <w:szCs w:val="22"/>
          <w:lang w:val="hu-HU"/>
        </w:rPr>
        <w:t>Nem jelentettek interakciót a ceftriaxon és az orális kalcium-tartalmú készítmények között, ill. az intramuscularisan adott ceftriaxon és kalcium-tartalmú készítmények (intravénás vagy orális) között.</w:t>
      </w:r>
    </w:p>
    <w:p w14:paraId="7D0CED8B" w14:textId="77777777" w:rsidR="003F3440" w:rsidRPr="00DE2A1A" w:rsidRDefault="003F3440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7401F6D6" w14:textId="77777777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Ceftriaxonnal kezelt betegeknél a Coombs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teszt álpozitív eredményt adhat. </w:t>
      </w:r>
    </w:p>
    <w:p w14:paraId="0A676E00" w14:textId="77777777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3CF3AC06" w14:textId="53E671EE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0E152D" w:rsidRPr="00DE2A1A">
        <w:rPr>
          <w:rFonts w:ascii="Times New Roman" w:hAnsi="Times New Roman"/>
          <w:sz w:val="22"/>
          <w:szCs w:val="22"/>
          <w:lang w:val="hu-HU"/>
        </w:rPr>
        <w:t>ceftriaxonnal kezelt betegeknél</w:t>
      </w:r>
      <w:r w:rsidRPr="00DE2A1A">
        <w:rPr>
          <w:rFonts w:ascii="Times New Roman" w:hAnsi="Times New Roman"/>
          <w:sz w:val="22"/>
          <w:szCs w:val="22"/>
          <w:lang w:val="hu-HU"/>
        </w:rPr>
        <w:t>, hasonlóan a többi antibiotikumhoz, a galactosaemia</w:t>
      </w:r>
      <w:r w:rsidR="000E152D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teszt is álpozitív eredményt adhat.</w:t>
      </w:r>
    </w:p>
    <w:p w14:paraId="6B1B3A98" w14:textId="77777777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0EA3BFF3" w14:textId="107CA5ED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Hasonlóképpen, a vizeletből nem enzimatikus módszerrel végzett glükózmeghatározás is álpozitív eredményt adhat</w:t>
      </w:r>
      <w:r w:rsidR="000E152D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E152D" w:rsidRPr="00DE2A1A">
        <w:rPr>
          <w:rFonts w:ascii="Times New Roman" w:hAnsi="Times New Roman"/>
          <w:sz w:val="22"/>
          <w:szCs w:val="22"/>
          <w:lang w:val="hu-HU"/>
        </w:rPr>
        <w:t>e</w:t>
      </w:r>
      <w:r w:rsidRPr="00DE2A1A">
        <w:rPr>
          <w:rFonts w:ascii="Times New Roman" w:hAnsi="Times New Roman"/>
          <w:sz w:val="22"/>
          <w:szCs w:val="22"/>
          <w:lang w:val="hu-HU"/>
        </w:rPr>
        <w:t>zért ceftriaxon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 során a vizeletből történő glükózmeghatározást enzimatikus módszerrel kell végezni.</w:t>
      </w:r>
    </w:p>
    <w:p w14:paraId="3B0781F4" w14:textId="77777777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A113BB8" w14:textId="375F96FD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Nagy ceftriaxon</w:t>
      </w:r>
      <w:r w:rsidR="002F2EAB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dózisok és erélyes diuretikumok (pl. furoszemid) együttadását követően nem figyeltek meg vesefunkció</w:t>
      </w:r>
      <w:r w:rsidR="000E152D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károsodást.</w:t>
      </w:r>
    </w:p>
    <w:p w14:paraId="722CBFA8" w14:textId="77777777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39C18A9D" w14:textId="77777777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Probenecid egyidejű adagolása nem csökkenti a ceftriaxon eliminációját.</w:t>
      </w:r>
    </w:p>
    <w:p w14:paraId="50EF892B" w14:textId="77777777" w:rsidR="004C31FA" w:rsidRPr="00DE2A1A" w:rsidRDefault="004C31FA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06E1230" w14:textId="77777777" w:rsidR="004355C6" w:rsidRPr="00DE2A1A" w:rsidRDefault="00EF516C" w:rsidP="00EE32FE">
      <w:pPr>
        <w:numPr>
          <w:ilvl w:val="1"/>
          <w:numId w:val="42"/>
        </w:numPr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Termékenység, t</w:t>
      </w:r>
      <w:r w:rsidR="00435ABF" w:rsidRPr="00DE2A1A">
        <w:rPr>
          <w:rFonts w:ascii="Times New Roman" w:hAnsi="Times New Roman"/>
          <w:b/>
          <w:sz w:val="22"/>
          <w:szCs w:val="22"/>
          <w:lang w:val="hu-HU"/>
        </w:rPr>
        <w:t xml:space="preserve">erhesség és szoptatás </w:t>
      </w:r>
    </w:p>
    <w:p w14:paraId="69BC6D90" w14:textId="77777777" w:rsidR="004355C6" w:rsidRPr="00DE2A1A" w:rsidRDefault="004355C6" w:rsidP="00EE32FE">
      <w:pPr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7CC41B01" w14:textId="77777777" w:rsidR="00EF516C" w:rsidRPr="00DE2A1A" w:rsidRDefault="00EF516C" w:rsidP="00EE32FE">
      <w:pPr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Terhesség</w:t>
      </w:r>
    </w:p>
    <w:p w14:paraId="0A4CF292" w14:textId="77777777" w:rsidR="003F3440" w:rsidRPr="00DE2A1A" w:rsidRDefault="003F3440" w:rsidP="00EE32FE">
      <w:pPr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</w:p>
    <w:p w14:paraId="45029298" w14:textId="77777777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 átjut a placentán. A ceftriaxon terhességben történő alkalmazására vonatkozóan korlátozott mennyiségű adat áll rendelkezésre. Állatokon végzett vizsgálatokban nem bizonyítottak közvetlen vagy közvetett káros hatást az embrionális/foetalis, perinatalis és postnatalis fejlődésre (lásd 5.3 pont)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.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 ceftriaxon terhességben, különösképpen az első trimeszterben csak abban az esetben adható, ha a kezeléssel járó előnyök meghaladják a kockázatokat.</w:t>
      </w:r>
    </w:p>
    <w:p w14:paraId="0EBEBCF8" w14:textId="77777777" w:rsidR="007361B0" w:rsidRPr="00DE2A1A" w:rsidRDefault="007361B0" w:rsidP="00EE32FE">
      <w:pPr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46643136" w14:textId="77777777" w:rsidR="009F5CD7" w:rsidRPr="00DE2A1A" w:rsidRDefault="009F5CD7" w:rsidP="00EE32FE">
      <w:pPr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color w:val="000000"/>
          <w:sz w:val="22"/>
          <w:szCs w:val="22"/>
          <w:u w:val="single"/>
          <w:lang w:val="hu-HU"/>
        </w:rPr>
        <w:t>Szoptatás</w:t>
      </w:r>
    </w:p>
    <w:p w14:paraId="0CC0CA86" w14:textId="77777777" w:rsidR="003F3440" w:rsidRPr="00DE2A1A" w:rsidRDefault="003F3440" w:rsidP="00EE32FE">
      <w:pPr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u w:val="single"/>
          <w:lang w:val="hu-HU"/>
        </w:rPr>
      </w:pPr>
    </w:p>
    <w:p w14:paraId="5B262B5A" w14:textId="7E33F85B" w:rsidR="003F3440" w:rsidRPr="00DE2A1A" w:rsidRDefault="003F3440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 kis koncentrációban kiválasztódik a</w:t>
      </w:r>
      <w:r w:rsidR="000E152D" w:rsidRPr="00DE2A1A">
        <w:rPr>
          <w:rFonts w:ascii="Times New Roman" w:hAnsi="Times New Roman"/>
          <w:sz w:val="22"/>
          <w:szCs w:val="22"/>
          <w:lang w:val="hu-HU"/>
        </w:rPr>
        <w:t xml:space="preserve"> humán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anyatejbe, a ceftriaxon terápiás dózisai mellett mindazonáltal nem várható a szoptatott csecsemőnél fellépő hatás. A hasmenés és a nyálkahártyák gombás fertőzésének kockázata azonban nem zárható ki. Számolni kell a szenzitizáció lehetőségével is. </w:t>
      </w:r>
      <w:r w:rsidR="000E152D" w:rsidRPr="00DE2A1A">
        <w:rPr>
          <w:rFonts w:ascii="Times New Roman" w:hAnsi="Times New Roman"/>
          <w:sz w:val="22"/>
          <w:szCs w:val="22"/>
          <w:lang w:val="hu-HU"/>
        </w:rPr>
        <w:t>El kell dönteni, hogy a szoptatást függesztik fel, vagy a ceftriaxon-kezelést szakítják meg / tartózkodnak a kezeléstől, figyelembe véve a szoptatás előnyét a gyermek, valamint a terápia előnyét az anya szempontjából.</w:t>
      </w:r>
    </w:p>
    <w:p w14:paraId="625A1022" w14:textId="77777777" w:rsidR="009F5CD7" w:rsidRPr="00DE2A1A" w:rsidRDefault="009F5CD7" w:rsidP="00EE32FE">
      <w:pPr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3429CC88" w14:textId="77777777" w:rsidR="009F5CD7" w:rsidRPr="00DE2A1A" w:rsidRDefault="009F5CD7" w:rsidP="00EE32FE">
      <w:pPr>
        <w:keepNext/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Termékenység</w:t>
      </w:r>
    </w:p>
    <w:p w14:paraId="429851A0" w14:textId="77777777" w:rsidR="003F3440" w:rsidRPr="00DE2A1A" w:rsidRDefault="003F3440" w:rsidP="00EE32FE">
      <w:pPr>
        <w:keepNext/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68804741" w14:textId="2ACBA54F" w:rsidR="003F3440" w:rsidRPr="00DE2A1A" w:rsidRDefault="003F3440" w:rsidP="00EE32FE">
      <w:pPr>
        <w:keepNext/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Reprodukciós vizsgálatokban nem bizonyítottak káros hatást a </w:t>
      </w:r>
      <w:r w:rsidR="000E152D" w:rsidRPr="00DE2A1A">
        <w:rPr>
          <w:rFonts w:ascii="Times New Roman" w:hAnsi="Times New Roman"/>
          <w:sz w:val="22"/>
          <w:szCs w:val="22"/>
          <w:lang w:val="hu-HU"/>
        </w:rPr>
        <w:t>férfi vagy női termékenységre</w:t>
      </w:r>
      <w:r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1C3A8A8B" w14:textId="77777777" w:rsidR="004C31FA" w:rsidRPr="00DE2A1A" w:rsidRDefault="004C31FA" w:rsidP="00EE32FE">
      <w:pPr>
        <w:tabs>
          <w:tab w:val="left" w:pos="84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0CE1A8A0" w14:textId="77777777" w:rsidR="00A26A6D" w:rsidRPr="00DE2A1A" w:rsidRDefault="00A26A6D" w:rsidP="00EE32FE">
      <w:pPr>
        <w:keepNext/>
        <w:ind w:left="567" w:hanging="567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4.7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ab/>
        <w:t xml:space="preserve">A készítmény hatásai a gépjárművezetéshez és </w:t>
      </w:r>
      <w:r w:rsidR="009828A3" w:rsidRPr="00DE2A1A">
        <w:rPr>
          <w:rFonts w:ascii="Times New Roman" w:hAnsi="Times New Roman"/>
          <w:b/>
          <w:bCs/>
          <w:sz w:val="22"/>
          <w:szCs w:val="22"/>
          <w:lang w:val="hu-HU"/>
        </w:rPr>
        <w:t xml:space="preserve">a 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gépek kezeléséhez szükséges képességekre</w:t>
      </w:r>
    </w:p>
    <w:p w14:paraId="480EC975" w14:textId="77777777" w:rsidR="004355C6" w:rsidRPr="00DE2A1A" w:rsidRDefault="00A26A6D" w:rsidP="00EE32FE">
      <w:pPr>
        <w:keepNext/>
        <w:rPr>
          <w:rFonts w:ascii="Times New Roman" w:hAnsi="Times New Roman"/>
          <w:sz w:val="22"/>
          <w:szCs w:val="22"/>
          <w:lang w:val="hu-HU"/>
        </w:rPr>
      </w:pPr>
      <w:r w:rsidRPr="00DE2A1A" w:rsidDel="00A26A6D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</w:p>
    <w:p w14:paraId="7A536458" w14:textId="77777777" w:rsidR="003F3440" w:rsidRPr="00DE2A1A" w:rsidRDefault="003F3440" w:rsidP="00EE32FE">
      <w:pPr>
        <w:keepNext/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 ideje alatt nemkívánatos hatások léphetnek fel (pl. szédülés), melyek befolyásolhatják a gépjárművezetéshez és a gépek kezeléséhez szükséges képességeket (lásd 4.8 pont). A betegeknek óvatosnak kell lenniük, ha gépjárművet vezetnek vagy gépeket kezelnek.</w:t>
      </w:r>
    </w:p>
    <w:p w14:paraId="6C3D71D0" w14:textId="77777777" w:rsidR="001C08CC" w:rsidRPr="00DE2A1A" w:rsidRDefault="001C08CC" w:rsidP="00EE32FE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0C441D7F" w14:textId="77777777" w:rsidR="00A26A6D" w:rsidRPr="00DE2A1A" w:rsidRDefault="00A26A6D" w:rsidP="00EE32FE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4.8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  <w:t>Nemkívánatos hatások, mellékhatások</w:t>
      </w:r>
    </w:p>
    <w:p w14:paraId="2C2C3807" w14:textId="77777777" w:rsidR="004355C6" w:rsidRPr="00DE2A1A" w:rsidRDefault="004355C6" w:rsidP="00EE32FE">
      <w:pPr>
        <w:rPr>
          <w:rFonts w:ascii="Times New Roman" w:hAnsi="Times New Roman"/>
          <w:b/>
          <w:sz w:val="22"/>
          <w:szCs w:val="22"/>
          <w:lang w:val="hu-HU"/>
        </w:rPr>
      </w:pPr>
    </w:p>
    <w:p w14:paraId="376E226F" w14:textId="6191910D" w:rsidR="00B07D47" w:rsidRPr="00DE2A1A" w:rsidRDefault="00B07D47" w:rsidP="00EE32FE">
      <w:pPr>
        <w:ind w:right="-55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ceftriaxon leggyakrabban jelentett mellékhatásai az 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eosinophilia, a leukopenia, a thrombocytopenia, a hasmenés, a bőrkiütés és az emelkedett májenzim</w:t>
      </w:r>
      <w:r w:rsidR="00AF2879" w:rsidRPr="00DE2A1A">
        <w:rPr>
          <w:rFonts w:ascii="Times New Roman" w:hAnsi="Times New Roman"/>
          <w:color w:val="000000"/>
          <w:sz w:val="22"/>
          <w:szCs w:val="22"/>
          <w:lang w:val="hu-HU"/>
        </w:rPr>
        <w:t>szint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ek.</w:t>
      </w:r>
    </w:p>
    <w:p w14:paraId="172BD784" w14:textId="77777777" w:rsidR="00B07D47" w:rsidRPr="00DE2A1A" w:rsidRDefault="00B07D47" w:rsidP="00EE32FE">
      <w:pPr>
        <w:ind w:right="-55"/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07F7989B" w14:textId="77777777" w:rsidR="00B07D47" w:rsidRPr="00DE2A1A" w:rsidRDefault="00B07D47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A ceftriaxon-mellékhatások gyakoriságának meghatározásánál használt adatok klinikai vizsgálatokból származnak.</w:t>
      </w:r>
    </w:p>
    <w:p w14:paraId="40A627E2" w14:textId="77777777" w:rsidR="00B07D47" w:rsidRPr="00DE2A1A" w:rsidRDefault="00B07D47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4154DE12" w14:textId="77777777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gyakoriság szerinti besorolás az alábbi megegyezésen alapul:</w:t>
      </w:r>
    </w:p>
    <w:p w14:paraId="6FD831A0" w14:textId="77777777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Nagyon gyakori (≥1/10)</w:t>
      </w:r>
    </w:p>
    <w:p w14:paraId="53F4C634" w14:textId="28769942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Gyakori (≥1/100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 xml:space="preserve"> – </w:t>
      </w:r>
      <w:r w:rsidRPr="00DE2A1A">
        <w:rPr>
          <w:rFonts w:ascii="Times New Roman" w:hAnsi="Times New Roman"/>
          <w:sz w:val="22"/>
          <w:szCs w:val="22"/>
          <w:lang w:val="hu-HU"/>
        </w:rPr>
        <w:t>&lt;1/10)</w:t>
      </w:r>
    </w:p>
    <w:p w14:paraId="70649520" w14:textId="68E24447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Nem gyakori (≥1/1000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 xml:space="preserve"> – </w:t>
      </w:r>
      <w:r w:rsidRPr="00DE2A1A">
        <w:rPr>
          <w:rFonts w:ascii="Times New Roman" w:hAnsi="Times New Roman"/>
          <w:sz w:val="22"/>
          <w:szCs w:val="22"/>
          <w:lang w:val="hu-HU"/>
        </w:rPr>
        <w:t>&lt;1/100)</w:t>
      </w:r>
    </w:p>
    <w:p w14:paraId="5DB9DD77" w14:textId="4B6246B0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Ritka (≥1/10 000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 xml:space="preserve"> – </w:t>
      </w:r>
      <w:r w:rsidRPr="00DE2A1A">
        <w:rPr>
          <w:rFonts w:ascii="Times New Roman" w:hAnsi="Times New Roman"/>
          <w:sz w:val="22"/>
          <w:szCs w:val="22"/>
          <w:lang w:val="hu-HU"/>
        </w:rPr>
        <w:t>&lt;1/1000)</w:t>
      </w:r>
    </w:p>
    <w:p w14:paraId="3E720D59" w14:textId="43A83F4F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Nem ismert (a 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 xml:space="preserve">gyakoriság a </w:t>
      </w:r>
      <w:r w:rsidRPr="00DE2A1A">
        <w:rPr>
          <w:rFonts w:ascii="Times New Roman" w:hAnsi="Times New Roman"/>
          <w:sz w:val="22"/>
          <w:szCs w:val="22"/>
          <w:lang w:val="hu-HU"/>
        </w:rPr>
        <w:t>rendelkezésre álló adatokból nem állapítható meg)</w:t>
      </w:r>
    </w:p>
    <w:p w14:paraId="3876F77C" w14:textId="77777777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985"/>
        <w:gridCol w:w="1842"/>
        <w:gridCol w:w="1906"/>
        <w:gridCol w:w="1988"/>
      </w:tblGrid>
      <w:tr w:rsidR="00B07D47" w:rsidRPr="00DE2A1A" w14:paraId="553AEB0B" w14:textId="77777777" w:rsidTr="00E17FF9">
        <w:trPr>
          <w:tblHeader/>
        </w:trPr>
        <w:tc>
          <w:tcPr>
            <w:tcW w:w="1951" w:type="dxa"/>
            <w:shd w:val="clear" w:color="auto" w:fill="auto"/>
          </w:tcPr>
          <w:p w14:paraId="470115F4" w14:textId="77777777" w:rsidR="00B07D47" w:rsidRPr="00DE2A1A" w:rsidRDefault="00B07D47" w:rsidP="00EE32FE">
            <w:pPr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985" w:type="dxa"/>
            <w:shd w:val="clear" w:color="auto" w:fill="auto"/>
          </w:tcPr>
          <w:p w14:paraId="0FB41D8A" w14:textId="77777777" w:rsidR="00B07D47" w:rsidRPr="00DE2A1A" w:rsidRDefault="00B07D47" w:rsidP="00EE32FE">
            <w:pPr>
              <w:pStyle w:val="TableCell10Center"/>
              <w:spacing w:before="0" w:after="0" w:line="240" w:lineRule="auto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842" w:type="dxa"/>
            <w:shd w:val="clear" w:color="auto" w:fill="auto"/>
          </w:tcPr>
          <w:p w14:paraId="0BDE0031" w14:textId="77777777" w:rsidR="00B07D47" w:rsidRPr="00DE2A1A" w:rsidRDefault="00B07D47" w:rsidP="00EE32FE">
            <w:pPr>
              <w:pStyle w:val="TableCell10Center"/>
              <w:spacing w:before="0" w:after="0" w:line="240" w:lineRule="auto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906" w:type="dxa"/>
            <w:shd w:val="clear" w:color="auto" w:fill="auto"/>
          </w:tcPr>
          <w:p w14:paraId="5EBA0F19" w14:textId="77777777" w:rsidR="00B07D47" w:rsidRPr="00DE2A1A" w:rsidRDefault="00B07D47" w:rsidP="00EE32FE">
            <w:pPr>
              <w:pStyle w:val="TableCell10Center"/>
              <w:spacing w:before="0" w:after="0" w:line="240" w:lineRule="auto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988" w:type="dxa"/>
            <w:shd w:val="clear" w:color="auto" w:fill="auto"/>
          </w:tcPr>
          <w:p w14:paraId="22E20DDF" w14:textId="77777777" w:rsidR="00B07D47" w:rsidRPr="00DE2A1A" w:rsidRDefault="00B07D47" w:rsidP="00EE32FE">
            <w:pPr>
              <w:pStyle w:val="TableCell10Center"/>
              <w:spacing w:before="0" w:after="0" w:line="240" w:lineRule="auto"/>
              <w:jc w:val="left"/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  <w:t>Nem ismert</w:t>
            </w: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vertAlign w:val="superscript"/>
                <w:lang w:val="hu-HU"/>
              </w:rPr>
              <w:t xml:space="preserve"> a</w:t>
            </w:r>
          </w:p>
        </w:tc>
      </w:tr>
      <w:tr w:rsidR="00B07D47" w:rsidRPr="00DE2A1A" w14:paraId="59C08BC4" w14:textId="77777777" w:rsidTr="00E17FF9">
        <w:tc>
          <w:tcPr>
            <w:tcW w:w="1951" w:type="dxa"/>
            <w:shd w:val="clear" w:color="auto" w:fill="auto"/>
          </w:tcPr>
          <w:p w14:paraId="5057E654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985" w:type="dxa"/>
            <w:shd w:val="clear" w:color="auto" w:fill="auto"/>
          </w:tcPr>
          <w:p w14:paraId="572BFC7B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4D81DDF7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Genitális gombás fertőzés</w:t>
            </w:r>
          </w:p>
        </w:tc>
        <w:tc>
          <w:tcPr>
            <w:tcW w:w="1906" w:type="dxa"/>
            <w:shd w:val="clear" w:color="auto" w:fill="auto"/>
          </w:tcPr>
          <w:p w14:paraId="0A2D1A0F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Pseudo-membranosus colitis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988" w:type="dxa"/>
            <w:shd w:val="clear" w:color="auto" w:fill="auto"/>
          </w:tcPr>
          <w:p w14:paraId="7F4D764E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Felülfertőzés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</w:tc>
      </w:tr>
      <w:tr w:rsidR="00B07D47" w:rsidRPr="00DE2A1A" w14:paraId="5FC75287" w14:textId="77777777" w:rsidTr="00E17FF9">
        <w:tc>
          <w:tcPr>
            <w:tcW w:w="1951" w:type="dxa"/>
            <w:shd w:val="clear" w:color="auto" w:fill="auto"/>
          </w:tcPr>
          <w:p w14:paraId="4ABEBABD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985" w:type="dxa"/>
            <w:shd w:val="clear" w:color="auto" w:fill="auto"/>
          </w:tcPr>
          <w:p w14:paraId="120ECB04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Eosinophilia Leukopenia </w:t>
            </w:r>
          </w:p>
          <w:p w14:paraId="5C8F1093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Thrombocytopenia</w:t>
            </w:r>
          </w:p>
        </w:tc>
        <w:tc>
          <w:tcPr>
            <w:tcW w:w="1842" w:type="dxa"/>
            <w:shd w:val="clear" w:color="auto" w:fill="auto"/>
          </w:tcPr>
          <w:p w14:paraId="777BB31D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Granulocytopenia</w:t>
            </w:r>
          </w:p>
          <w:p w14:paraId="5F9345F6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An</w:t>
            </w:r>
            <w:r w:rsidR="00FE6326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ae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mia</w:t>
            </w:r>
          </w:p>
          <w:p w14:paraId="2FEFD3E5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Coagulopathia</w:t>
            </w:r>
          </w:p>
        </w:tc>
        <w:tc>
          <w:tcPr>
            <w:tcW w:w="1906" w:type="dxa"/>
            <w:shd w:val="clear" w:color="auto" w:fill="auto"/>
          </w:tcPr>
          <w:p w14:paraId="1EA0D6C1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988" w:type="dxa"/>
            <w:shd w:val="clear" w:color="auto" w:fill="auto"/>
          </w:tcPr>
          <w:p w14:paraId="1B5B666F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Hemolitikus an</w:t>
            </w:r>
            <w:r w:rsidR="00FE6326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ae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mia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  <w:p w14:paraId="1C756C45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Agranulocytosis</w:t>
            </w:r>
          </w:p>
        </w:tc>
      </w:tr>
      <w:tr w:rsidR="00B07D47" w:rsidRPr="00DE2A1A" w14:paraId="531938E8" w14:textId="77777777" w:rsidTr="00E17FF9">
        <w:tc>
          <w:tcPr>
            <w:tcW w:w="1951" w:type="dxa"/>
            <w:shd w:val="clear" w:color="auto" w:fill="auto"/>
          </w:tcPr>
          <w:p w14:paraId="7CB5FF79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1985" w:type="dxa"/>
            <w:shd w:val="clear" w:color="auto" w:fill="auto"/>
          </w:tcPr>
          <w:p w14:paraId="6D16BD84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1C7154D6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06" w:type="dxa"/>
            <w:shd w:val="clear" w:color="auto" w:fill="auto"/>
          </w:tcPr>
          <w:p w14:paraId="42D04E2A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8" w:type="dxa"/>
            <w:shd w:val="clear" w:color="auto" w:fill="auto"/>
          </w:tcPr>
          <w:p w14:paraId="4C53727B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Anafilaxiás sokk</w:t>
            </w:r>
          </w:p>
          <w:p w14:paraId="385BAEA1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Anafilaxiás reakció</w:t>
            </w:r>
          </w:p>
          <w:p w14:paraId="30471714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Anafilaktoid reakció</w:t>
            </w:r>
          </w:p>
          <w:p w14:paraId="54621DAC" w14:textId="02146832" w:rsidR="00C76559" w:rsidRPr="00DE2A1A" w:rsidRDefault="00B07D47" w:rsidP="00EE32FE">
            <w:pP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Túlérzékenység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</w:tc>
      </w:tr>
      <w:tr w:rsidR="00B07D47" w:rsidRPr="00DE2A1A" w14:paraId="5FFDAE38" w14:textId="77777777" w:rsidTr="00E17FF9">
        <w:tc>
          <w:tcPr>
            <w:tcW w:w="1951" w:type="dxa"/>
            <w:shd w:val="clear" w:color="auto" w:fill="auto"/>
          </w:tcPr>
          <w:p w14:paraId="09A90BEE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1985" w:type="dxa"/>
            <w:shd w:val="clear" w:color="auto" w:fill="auto"/>
          </w:tcPr>
          <w:p w14:paraId="353B4F4D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3F5E0C66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Fejfájás</w:t>
            </w:r>
          </w:p>
          <w:p w14:paraId="160E6D37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1906" w:type="dxa"/>
            <w:shd w:val="clear" w:color="auto" w:fill="auto"/>
          </w:tcPr>
          <w:p w14:paraId="42808762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988" w:type="dxa"/>
            <w:shd w:val="clear" w:color="auto" w:fill="auto"/>
          </w:tcPr>
          <w:p w14:paraId="57D6A17A" w14:textId="77777777" w:rsidR="00B07D47" w:rsidRPr="00DE2A1A" w:rsidRDefault="00FE6326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C</w:t>
            </w:r>
            <w:r w:rsidR="00B07D47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onvul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</w:t>
            </w:r>
            <w:r w:rsidR="00B07D47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i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o</w:t>
            </w:r>
          </w:p>
        </w:tc>
      </w:tr>
      <w:tr w:rsidR="00B07D47" w:rsidRPr="00DE2A1A" w14:paraId="1C80C24C" w14:textId="77777777" w:rsidTr="00E17FF9">
        <w:tc>
          <w:tcPr>
            <w:tcW w:w="1951" w:type="dxa"/>
            <w:shd w:val="clear" w:color="auto" w:fill="auto"/>
          </w:tcPr>
          <w:p w14:paraId="22117F93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 fül és az egyensúly-érzékelő szerv betegségei és tünetei</w:t>
            </w:r>
          </w:p>
        </w:tc>
        <w:tc>
          <w:tcPr>
            <w:tcW w:w="1985" w:type="dxa"/>
            <w:shd w:val="clear" w:color="auto" w:fill="auto"/>
          </w:tcPr>
          <w:p w14:paraId="1457ED17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0C2F5829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06" w:type="dxa"/>
            <w:shd w:val="clear" w:color="auto" w:fill="auto"/>
          </w:tcPr>
          <w:p w14:paraId="0F55D758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8" w:type="dxa"/>
            <w:shd w:val="clear" w:color="auto" w:fill="auto"/>
          </w:tcPr>
          <w:p w14:paraId="6B32F227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Vertigo</w:t>
            </w:r>
          </w:p>
        </w:tc>
      </w:tr>
      <w:tr w:rsidR="00B07D47" w:rsidRPr="00DE2A1A" w14:paraId="5765F92E" w14:textId="77777777" w:rsidTr="00E17FF9">
        <w:tc>
          <w:tcPr>
            <w:tcW w:w="1951" w:type="dxa"/>
            <w:shd w:val="clear" w:color="auto" w:fill="auto"/>
          </w:tcPr>
          <w:p w14:paraId="12AAA877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1985" w:type="dxa"/>
            <w:shd w:val="clear" w:color="auto" w:fill="auto"/>
          </w:tcPr>
          <w:p w14:paraId="380DA251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7E18C308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06" w:type="dxa"/>
            <w:shd w:val="clear" w:color="auto" w:fill="auto"/>
          </w:tcPr>
          <w:p w14:paraId="16FF004C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Bronchospasmus</w:t>
            </w:r>
          </w:p>
        </w:tc>
        <w:tc>
          <w:tcPr>
            <w:tcW w:w="1988" w:type="dxa"/>
            <w:shd w:val="clear" w:color="auto" w:fill="auto"/>
          </w:tcPr>
          <w:p w14:paraId="4FBB16C9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B07D47" w:rsidRPr="00DE2A1A" w14:paraId="14A02644" w14:textId="77777777" w:rsidTr="00E17FF9">
        <w:tc>
          <w:tcPr>
            <w:tcW w:w="1951" w:type="dxa"/>
            <w:shd w:val="clear" w:color="auto" w:fill="auto"/>
          </w:tcPr>
          <w:p w14:paraId="7E154395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1985" w:type="dxa"/>
            <w:shd w:val="clear" w:color="auto" w:fill="auto"/>
          </w:tcPr>
          <w:p w14:paraId="10CE9E39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Hasmenés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 xml:space="preserve">b </w:t>
            </w:r>
          </w:p>
          <w:p w14:paraId="6198A42E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Híg széklet</w:t>
            </w:r>
          </w:p>
        </w:tc>
        <w:tc>
          <w:tcPr>
            <w:tcW w:w="1842" w:type="dxa"/>
            <w:shd w:val="clear" w:color="auto" w:fill="auto"/>
          </w:tcPr>
          <w:p w14:paraId="37DF70BF" w14:textId="77777777" w:rsidR="00B07D47" w:rsidRPr="00DE2A1A" w:rsidRDefault="00FE6326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Hányinger</w:t>
            </w:r>
          </w:p>
          <w:p w14:paraId="11F528C8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1906" w:type="dxa"/>
            <w:shd w:val="clear" w:color="auto" w:fill="auto"/>
          </w:tcPr>
          <w:p w14:paraId="052A2886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988" w:type="dxa"/>
            <w:shd w:val="clear" w:color="auto" w:fill="auto"/>
          </w:tcPr>
          <w:p w14:paraId="3D614212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Pancreatitis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  <w:p w14:paraId="57307884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Stomatitis</w:t>
            </w:r>
          </w:p>
          <w:p w14:paraId="798C40D5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Glossitis</w:t>
            </w:r>
          </w:p>
        </w:tc>
      </w:tr>
      <w:tr w:rsidR="00B07D47" w:rsidRPr="00DE2A1A" w14:paraId="4EADC63D" w14:textId="77777777" w:rsidTr="00E17FF9">
        <w:tc>
          <w:tcPr>
            <w:tcW w:w="1951" w:type="dxa"/>
            <w:shd w:val="clear" w:color="auto" w:fill="auto"/>
          </w:tcPr>
          <w:p w14:paraId="5EE8ADFB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1985" w:type="dxa"/>
            <w:shd w:val="clear" w:color="auto" w:fill="auto"/>
          </w:tcPr>
          <w:p w14:paraId="1F6767A1" w14:textId="143EA130" w:rsidR="00B07D47" w:rsidRPr="00DE2A1A" w:rsidRDefault="00B07D47" w:rsidP="00AF2879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Emelkedett májenzim</w:t>
            </w:r>
            <w:r w:rsidR="00AF2879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szint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ek</w:t>
            </w:r>
          </w:p>
        </w:tc>
        <w:tc>
          <w:tcPr>
            <w:tcW w:w="1842" w:type="dxa"/>
            <w:shd w:val="clear" w:color="auto" w:fill="auto"/>
          </w:tcPr>
          <w:p w14:paraId="5CFF3F1D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906" w:type="dxa"/>
            <w:shd w:val="clear" w:color="auto" w:fill="auto"/>
          </w:tcPr>
          <w:p w14:paraId="47251B25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  <w:tc>
          <w:tcPr>
            <w:tcW w:w="1988" w:type="dxa"/>
            <w:shd w:val="clear" w:color="auto" w:fill="auto"/>
          </w:tcPr>
          <w:p w14:paraId="758F2B96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Epehólyag-precipitátumok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  <w:p w14:paraId="10880ED5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Magicterus</w:t>
            </w:r>
          </w:p>
        </w:tc>
      </w:tr>
      <w:tr w:rsidR="00B07D47" w:rsidRPr="00DE2A1A" w14:paraId="0A4CACB3" w14:textId="77777777" w:rsidTr="00E17FF9">
        <w:tc>
          <w:tcPr>
            <w:tcW w:w="1951" w:type="dxa"/>
            <w:shd w:val="clear" w:color="auto" w:fill="auto"/>
          </w:tcPr>
          <w:p w14:paraId="7B9AE939" w14:textId="77777777" w:rsidR="00B07D47" w:rsidRPr="00DE2A1A" w:rsidRDefault="00B07D47" w:rsidP="00EE32FE">
            <w:pPr>
              <w:keepNext/>
              <w:keepLines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lastRenderedPageBreak/>
              <w:t>A bőr és a bőr alatti szövet betegségei és tünetei</w:t>
            </w:r>
          </w:p>
        </w:tc>
        <w:tc>
          <w:tcPr>
            <w:tcW w:w="1985" w:type="dxa"/>
            <w:shd w:val="clear" w:color="auto" w:fill="auto"/>
          </w:tcPr>
          <w:p w14:paraId="00F23276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Bőrkiütés</w:t>
            </w:r>
          </w:p>
        </w:tc>
        <w:tc>
          <w:tcPr>
            <w:tcW w:w="1842" w:type="dxa"/>
            <w:shd w:val="clear" w:color="auto" w:fill="auto"/>
          </w:tcPr>
          <w:p w14:paraId="66868AFE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1906" w:type="dxa"/>
            <w:shd w:val="clear" w:color="auto" w:fill="auto"/>
          </w:tcPr>
          <w:p w14:paraId="528F1FF8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Csalánkiütés</w:t>
            </w:r>
          </w:p>
        </w:tc>
        <w:tc>
          <w:tcPr>
            <w:tcW w:w="1988" w:type="dxa"/>
            <w:shd w:val="clear" w:color="auto" w:fill="auto"/>
          </w:tcPr>
          <w:p w14:paraId="57CA4F66" w14:textId="2528CCBE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Stevens</w:t>
            </w:r>
            <w:r w:rsidR="00AF2879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–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Johnson</w:t>
            </w:r>
            <w:r w:rsidR="00AF2879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-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szindróma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  <w:p w14:paraId="0754E1E3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Toxicus epidermalis necrolysis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  <w:p w14:paraId="5E6A6F2B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Erythema multiforme</w:t>
            </w:r>
          </w:p>
          <w:p w14:paraId="59617184" w14:textId="0C900ED8" w:rsidR="00C76559" w:rsidRPr="00DE2A1A" w:rsidRDefault="00B07D47" w:rsidP="00EE32FE">
            <w:pPr>
              <w:keepNext/>
              <w:keepLines/>
              <w:rPr>
                <w:rFonts w:ascii="Times New Roman" w:hAnsi="Times New Roman"/>
                <w:bCs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Akut generalizált e</w:t>
            </w:r>
            <w:r w:rsidRPr="00DE2A1A">
              <w:rPr>
                <w:rFonts w:ascii="Times New Roman" w:hAnsi="Times New Roman"/>
                <w:bCs/>
                <w:color w:val="000000"/>
                <w:sz w:val="22"/>
                <w:szCs w:val="22"/>
                <w:lang w:val="hu-HU"/>
              </w:rPr>
              <w:t>xanthematosus pustulosis</w:t>
            </w:r>
          </w:p>
        </w:tc>
      </w:tr>
      <w:tr w:rsidR="00B07D47" w:rsidRPr="00DE2A1A" w14:paraId="27B6AB89" w14:textId="77777777" w:rsidTr="00E17FF9">
        <w:tc>
          <w:tcPr>
            <w:tcW w:w="1951" w:type="dxa"/>
            <w:shd w:val="clear" w:color="auto" w:fill="auto"/>
          </w:tcPr>
          <w:p w14:paraId="3A89F70A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1985" w:type="dxa"/>
            <w:shd w:val="clear" w:color="auto" w:fill="auto"/>
          </w:tcPr>
          <w:p w14:paraId="59D71452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2B3377E4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06" w:type="dxa"/>
            <w:shd w:val="clear" w:color="auto" w:fill="auto"/>
          </w:tcPr>
          <w:p w14:paraId="708B2118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Haematuria</w:t>
            </w:r>
          </w:p>
          <w:p w14:paraId="2481898F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Glycosuria</w:t>
            </w:r>
          </w:p>
        </w:tc>
        <w:tc>
          <w:tcPr>
            <w:tcW w:w="1988" w:type="dxa"/>
            <w:shd w:val="clear" w:color="auto" w:fill="auto"/>
          </w:tcPr>
          <w:p w14:paraId="188705E6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Oliguria</w:t>
            </w:r>
          </w:p>
          <w:p w14:paraId="0EF9FEF5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Veseprecipitátumok (reverzibilis)</w:t>
            </w:r>
          </w:p>
        </w:tc>
      </w:tr>
      <w:tr w:rsidR="00B07D47" w:rsidRPr="00DE2A1A" w14:paraId="20FF911A" w14:textId="77777777" w:rsidTr="00E17FF9">
        <w:tc>
          <w:tcPr>
            <w:tcW w:w="1951" w:type="dxa"/>
            <w:shd w:val="clear" w:color="auto" w:fill="auto"/>
          </w:tcPr>
          <w:p w14:paraId="25DF78E5" w14:textId="77777777" w:rsidR="00B07D47" w:rsidRPr="00DE2A1A" w:rsidRDefault="00B07D47" w:rsidP="00EE32FE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985" w:type="dxa"/>
            <w:shd w:val="clear" w:color="auto" w:fill="auto"/>
          </w:tcPr>
          <w:p w14:paraId="092D9FAB" w14:textId="77777777" w:rsidR="00B07D47" w:rsidRPr="00DE2A1A" w:rsidRDefault="00B07D47" w:rsidP="00EE32FE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3653189F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Phlebitis</w:t>
            </w:r>
          </w:p>
          <w:p w14:paraId="2CE459C3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Az injekció beadásának helyén fellépő fájdalom</w:t>
            </w:r>
          </w:p>
          <w:p w14:paraId="4F546B0D" w14:textId="77777777" w:rsidR="00B07D47" w:rsidRPr="00DE2A1A" w:rsidRDefault="00B07D47" w:rsidP="00EE32FE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Pyrexia</w:t>
            </w:r>
          </w:p>
        </w:tc>
        <w:tc>
          <w:tcPr>
            <w:tcW w:w="1906" w:type="dxa"/>
            <w:shd w:val="clear" w:color="auto" w:fill="auto"/>
          </w:tcPr>
          <w:p w14:paraId="749BAA0F" w14:textId="77777777" w:rsidR="00B07D47" w:rsidRPr="00DE2A1A" w:rsidRDefault="00B07D47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Ödéma</w:t>
            </w:r>
          </w:p>
          <w:p w14:paraId="12D80793" w14:textId="77777777" w:rsidR="00B07D47" w:rsidRPr="00DE2A1A" w:rsidRDefault="00B07D47" w:rsidP="00EE32FE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Hidegrázás</w:t>
            </w:r>
          </w:p>
        </w:tc>
        <w:tc>
          <w:tcPr>
            <w:tcW w:w="1988" w:type="dxa"/>
            <w:shd w:val="clear" w:color="auto" w:fill="auto"/>
          </w:tcPr>
          <w:p w14:paraId="04A74B47" w14:textId="77777777" w:rsidR="00B07D47" w:rsidRPr="00DE2A1A" w:rsidRDefault="00B07D47" w:rsidP="00EE32FE">
            <w:pPr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B07D47" w:rsidRPr="00A477C5" w14:paraId="5FAD7503" w14:textId="77777777" w:rsidTr="00E17FF9">
        <w:tc>
          <w:tcPr>
            <w:tcW w:w="1951" w:type="dxa"/>
            <w:shd w:val="clear" w:color="auto" w:fill="auto"/>
          </w:tcPr>
          <w:p w14:paraId="076E4FAA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1985" w:type="dxa"/>
            <w:shd w:val="clear" w:color="auto" w:fill="auto"/>
          </w:tcPr>
          <w:p w14:paraId="2DF2EF98" w14:textId="77777777" w:rsidR="00B07D47" w:rsidRPr="00DE2A1A" w:rsidRDefault="00B07D47" w:rsidP="00EE32FE">
            <w:pPr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5BDE74F5" w14:textId="77777777" w:rsidR="00B07D47" w:rsidRPr="00DE2A1A" w:rsidRDefault="00B07D47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 w:eastAsia="zh-CN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Emelkedett kreatininszint a vérben</w:t>
            </w:r>
          </w:p>
        </w:tc>
        <w:tc>
          <w:tcPr>
            <w:tcW w:w="1906" w:type="dxa"/>
            <w:shd w:val="clear" w:color="auto" w:fill="auto"/>
          </w:tcPr>
          <w:p w14:paraId="0039B393" w14:textId="77777777" w:rsidR="00B07D47" w:rsidRPr="00DE2A1A" w:rsidRDefault="00B07D47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 w:eastAsia="zh-CN"/>
              </w:rPr>
            </w:pPr>
          </w:p>
        </w:tc>
        <w:tc>
          <w:tcPr>
            <w:tcW w:w="1988" w:type="dxa"/>
            <w:shd w:val="clear" w:color="auto" w:fill="auto"/>
          </w:tcPr>
          <w:p w14:paraId="40AAB657" w14:textId="294368A5" w:rsidR="00B07D47" w:rsidRPr="00DE2A1A" w:rsidRDefault="00B07D47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 w:eastAsia="zh-CN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Álpozitív Coombs</w:t>
            </w:r>
            <w:r w:rsidR="003A5DB7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noBreakHyphen/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teszt</w:t>
            </w:r>
            <w:r w:rsidR="00AF2879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-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eredmény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  <w:p w14:paraId="7021FA53" w14:textId="1A1250B2" w:rsidR="00B07D47" w:rsidRPr="00DE2A1A" w:rsidRDefault="00B07D47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Álpozitív galactosaemia-teszt</w:t>
            </w:r>
            <w:r w:rsidR="00AF2879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-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eredmény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  <w:p w14:paraId="628D3EC2" w14:textId="4BAE6C78" w:rsidR="00B07D47" w:rsidRPr="00DE2A1A" w:rsidRDefault="00B07D47" w:rsidP="002F2EAB">
            <w:pPr>
              <w:rPr>
                <w:rFonts w:ascii="Times New Roman" w:hAnsi="Times New Roman"/>
                <w:color w:val="000000"/>
                <w:sz w:val="22"/>
                <w:szCs w:val="22"/>
                <w:lang w:val="hu-HU" w:eastAsia="zh-CN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Álpozitív eredmény nem</w:t>
            </w:r>
            <w:r w:rsidR="002F2EAB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 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enzimatikus módszerrel történő glükóz-meghatározásnál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b</w:t>
            </w:r>
          </w:p>
        </w:tc>
      </w:tr>
    </w:tbl>
    <w:p w14:paraId="1C6EDA72" w14:textId="77777777" w:rsidR="00B07D47" w:rsidRPr="00DE2A1A" w:rsidRDefault="00B07D47" w:rsidP="00EE32FE">
      <w:pPr>
        <w:ind w:left="284" w:hanging="284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DE2A1A">
        <w:rPr>
          <w:rFonts w:ascii="Times New Roman" w:hAnsi="Times New Roman"/>
          <w:color w:val="000000"/>
          <w:sz w:val="22"/>
          <w:szCs w:val="22"/>
          <w:vertAlign w:val="superscript"/>
          <w:lang w:val="hu-HU"/>
        </w:rPr>
        <w:t>a</w:t>
      </w:r>
      <w:r w:rsidRPr="00DE2A1A">
        <w:rPr>
          <w:rFonts w:ascii="Times New Roman" w:hAnsi="Times New Roman"/>
          <w:color w:val="000000"/>
          <w:sz w:val="22"/>
          <w:szCs w:val="22"/>
          <w:vertAlign w:val="superscript"/>
          <w:lang w:val="hu-HU"/>
        </w:rPr>
        <w:tab/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A forgalomba hozatalt követően jelentett esetek alapján. Mivel ezeket a reakciókat önkéntes alapon jelentik bizonytalan méretű populációból, gyakoriságukat nem lehet megbízhatóan megbecsülni, ezért az ilyen eseményeket a </w:t>
      </w:r>
      <w:r w:rsidR="009828A3" w:rsidRPr="00DE2A1A">
        <w:rPr>
          <w:rFonts w:ascii="Times New Roman" w:hAnsi="Times New Roman"/>
          <w:color w:val="000000"/>
          <w:sz w:val="22"/>
          <w:szCs w:val="22"/>
          <w:lang w:val="hu-HU"/>
        </w:rPr>
        <w:t>„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Nem ismert” gyakorisági kategóriába sorolják.</w:t>
      </w:r>
    </w:p>
    <w:p w14:paraId="63BEFF89" w14:textId="77777777" w:rsidR="00B07D47" w:rsidRPr="00DE2A1A" w:rsidRDefault="00B07D47" w:rsidP="00EE32FE">
      <w:pPr>
        <w:ind w:left="284" w:hanging="284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color w:val="000000"/>
          <w:sz w:val="22"/>
          <w:szCs w:val="22"/>
          <w:vertAlign w:val="superscript"/>
          <w:lang w:val="hu-HU"/>
        </w:rPr>
        <w:t>b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ab/>
        <w:t>Lásd 4.4 pont.</w:t>
      </w:r>
    </w:p>
    <w:p w14:paraId="315E067C" w14:textId="77777777" w:rsidR="00B07D47" w:rsidRPr="00DE2A1A" w:rsidRDefault="00B07D47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7F2B831B" w14:textId="7D840D15" w:rsidR="000742E8" w:rsidRPr="00DE2A1A" w:rsidRDefault="00AF2879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Egyes k</w:t>
      </w:r>
      <w:r w:rsidR="000742E8"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iválasztott mellékhatások leírása</w:t>
      </w:r>
    </w:p>
    <w:p w14:paraId="4351AEA0" w14:textId="77777777" w:rsidR="000742E8" w:rsidRPr="00DE2A1A" w:rsidRDefault="000742E8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FA507DE" w14:textId="77777777" w:rsidR="00B07D47" w:rsidRPr="00DE2A1A" w:rsidRDefault="00B07D47" w:rsidP="00EE32FE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Fertőző betegségek és parazitafertőzések</w:t>
      </w:r>
    </w:p>
    <w:p w14:paraId="692B9E05" w14:textId="4DF6E87F" w:rsidR="00B07D47" w:rsidRPr="00DE2A1A" w:rsidRDefault="00B07D47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ceftriaxon alkalmazását követően kialakuló hasmenést </w:t>
      </w:r>
      <w:r w:rsidR="00F37904" w:rsidRPr="00DE2A1A">
        <w:rPr>
          <w:rFonts w:ascii="Times New Roman" w:hAnsi="Times New Roman"/>
          <w:i/>
          <w:sz w:val="22"/>
          <w:szCs w:val="22"/>
          <w:lang w:val="hu-HU"/>
        </w:rPr>
        <w:t>Clostridioides </w:t>
      </w:r>
      <w:r w:rsidRPr="00DE2A1A">
        <w:rPr>
          <w:rFonts w:ascii="Times New Roman" w:hAnsi="Times New Roman"/>
          <w:i/>
          <w:color w:val="000000"/>
          <w:sz w:val="22"/>
          <w:szCs w:val="22"/>
          <w:lang w:val="hu-HU"/>
        </w:rPr>
        <w:t xml:space="preserve">difficile 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is okozhatja.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Megfelelő folyadék- és elektrolitpótlást kell megkezdeni (lásd 4.4 pont).</w:t>
      </w:r>
    </w:p>
    <w:p w14:paraId="495A25DE" w14:textId="77777777" w:rsidR="00B07D47" w:rsidRPr="00DE2A1A" w:rsidRDefault="00B07D47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26B9FC0" w14:textId="77777777" w:rsidR="00B07D47" w:rsidRPr="00DE2A1A" w:rsidRDefault="00B07D47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Ceftriaxon-kalcium só precipitátumok</w:t>
      </w:r>
    </w:p>
    <w:p w14:paraId="15DC4405" w14:textId="77777777" w:rsidR="00B07D47" w:rsidRPr="00DE2A1A" w:rsidRDefault="00B07D47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Ritkán súlyos, és egyes esetekben halálos kimenetelű nemkívánatos hatásokról számoltak be koraszülötteknél és időre született újszülötteknél (</w:t>
      </w:r>
      <w:r w:rsidRPr="00DE2A1A">
        <w:rPr>
          <w:rFonts w:ascii="Times New Roman" w:hAnsi="Times New Roman"/>
          <w:color w:val="000000"/>
          <w:sz w:val="22"/>
          <w:szCs w:val="22"/>
          <w:lang w:val="hu-HU" w:eastAsia="en-GB"/>
        </w:rPr>
        <w:t>&lt;28 nap)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, akik intravénás ceftriaxont és kalciumot kaptak. Post-mortem ceftriaxon-kalcium só precipitátumokat mutattak ki a tüdőben és a vesékben. Újszülötteknél a precipitátum-képződés fokozott kockázatának hátterében a kisebb vértérfogat és a ceftriaxon felnőttekhez képest hosszabb 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 xml:space="preserve">felezési </w:t>
      </w:r>
      <w:r w:rsidRPr="00DE2A1A">
        <w:rPr>
          <w:rFonts w:ascii="Times New Roman" w:hAnsi="Times New Roman"/>
          <w:sz w:val="22"/>
          <w:szCs w:val="22"/>
          <w:lang w:val="hu-HU"/>
        </w:rPr>
        <w:t>ideje áll (lásd 4.3, 4.4 és 5.2 pontok).</w:t>
      </w:r>
    </w:p>
    <w:p w14:paraId="3E2A414B" w14:textId="77777777" w:rsidR="00B07D47" w:rsidRPr="00DE2A1A" w:rsidRDefault="00B07D47" w:rsidP="00EE32FE">
      <w:pPr>
        <w:rPr>
          <w:rFonts w:ascii="Times New Roman" w:hAnsi="Times New Roman"/>
          <w:i/>
          <w:sz w:val="22"/>
          <w:szCs w:val="22"/>
          <w:lang w:val="hu-HU"/>
        </w:rPr>
      </w:pPr>
    </w:p>
    <w:p w14:paraId="7617AD0A" w14:textId="1442325F" w:rsidR="00B07D47" w:rsidRPr="00DE2A1A" w:rsidRDefault="000742E8" w:rsidP="00EE32FE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húgyutakban ceftriaxon </w:t>
      </w:r>
      <w:r w:rsidR="00B07D47" w:rsidRPr="00DE2A1A">
        <w:rPr>
          <w:rFonts w:ascii="Times New Roman" w:hAnsi="Times New Roman"/>
          <w:sz w:val="22"/>
          <w:szCs w:val="22"/>
          <w:lang w:val="hu-HU"/>
        </w:rPr>
        <w:t>precipitátum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-</w:t>
      </w:r>
      <w:r w:rsidR="00B07D47" w:rsidRPr="00DE2A1A">
        <w:rPr>
          <w:rFonts w:ascii="Times New Roman" w:hAnsi="Times New Roman"/>
          <w:sz w:val="22"/>
          <w:szCs w:val="22"/>
          <w:lang w:val="hu-HU"/>
        </w:rPr>
        <w:t>képződés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esetei</w:t>
      </w:r>
      <w:r w:rsidR="00B07D47" w:rsidRPr="00DE2A1A">
        <w:rPr>
          <w:rFonts w:ascii="Times New Roman" w:hAnsi="Times New Roman"/>
          <w:sz w:val="22"/>
          <w:szCs w:val="22"/>
          <w:lang w:val="hu-HU"/>
        </w:rPr>
        <w:t xml:space="preserve">t </w:t>
      </w:r>
      <w:r w:rsidRPr="00DE2A1A">
        <w:rPr>
          <w:rFonts w:ascii="Times New Roman" w:hAnsi="Times New Roman"/>
          <w:sz w:val="22"/>
          <w:szCs w:val="22"/>
          <w:lang w:val="hu-HU"/>
        </w:rPr>
        <w:t>jelentették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főként</w:t>
      </w:r>
      <w:r w:rsidR="00B07D47" w:rsidRPr="00DE2A1A">
        <w:rPr>
          <w:rFonts w:ascii="Times New Roman" w:hAnsi="Times New Roman"/>
          <w:sz w:val="22"/>
          <w:szCs w:val="22"/>
          <w:lang w:val="hu-HU"/>
        </w:rPr>
        <w:t xml:space="preserve"> gyermekeknél, akiket nagy </w:t>
      </w:r>
      <w:r w:rsidRPr="00DE2A1A">
        <w:rPr>
          <w:rFonts w:ascii="Times New Roman" w:hAnsi="Times New Roman"/>
          <w:sz w:val="22"/>
          <w:szCs w:val="22"/>
          <w:lang w:val="hu-HU"/>
        </w:rPr>
        <w:t>dózisokkal</w:t>
      </w:r>
      <w:r w:rsidR="00B07D47" w:rsidRPr="00DE2A1A">
        <w:rPr>
          <w:rFonts w:ascii="Times New Roman" w:hAnsi="Times New Roman"/>
          <w:sz w:val="22"/>
          <w:szCs w:val="22"/>
          <w:lang w:val="hu-HU"/>
        </w:rPr>
        <w:t xml:space="preserve"> kezeltek 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(pl. 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sym w:font="Symbol" w:char="F0B3"/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t>80 mg/ttkg/nap vagy az összdózis meghaladta a 10 g-ot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)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és 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akiknél 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más rizikófaktorok is jelen voltak (pl. 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kiszáradás 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t>vagy ágyhoz kötöttség). Ez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en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esemény tünetekkel járhat vagy tünetmentes is lehet, </w:t>
      </w:r>
      <w:r w:rsidR="00E923F6" w:rsidRPr="00DE2A1A">
        <w:rPr>
          <w:rFonts w:ascii="Times New Roman" w:hAnsi="Times New Roman"/>
          <w:color w:val="000000"/>
          <w:sz w:val="22"/>
          <w:szCs w:val="22"/>
          <w:lang w:val="hu-HU"/>
        </w:rPr>
        <w:t>uréter</w:t>
      </w:r>
      <w:r w:rsidR="00AF2879" w:rsidRPr="00DE2A1A"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="00E923F6" w:rsidRPr="00DE2A1A">
        <w:rPr>
          <w:rFonts w:ascii="Times New Roman" w:hAnsi="Times New Roman"/>
          <w:color w:val="000000"/>
          <w:sz w:val="22"/>
          <w:szCs w:val="22"/>
          <w:lang w:val="hu-HU"/>
        </w:rPr>
        <w:t>elzáródást és postrenalis akut veseelégtelenséget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okozhat, </w:t>
      </w:r>
      <w:r w:rsidR="00E923F6" w:rsidRPr="00DE2A1A">
        <w:rPr>
          <w:rFonts w:ascii="Times New Roman" w:hAnsi="Times New Roman"/>
          <w:color w:val="000000"/>
          <w:sz w:val="22"/>
          <w:szCs w:val="22"/>
          <w:lang w:val="hu-HU"/>
        </w:rPr>
        <w:t>azonban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a ceftriaxon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noBreakHyphen/>
        <w:t>kezelés abbahagyását követően</w:t>
      </w:r>
      <w:r w:rsidR="00AF2879"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általában</w:t>
      </w:r>
      <w:r w:rsidR="00B07D47"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reverzibilis (lásd 4.4 pont).</w:t>
      </w:r>
    </w:p>
    <w:p w14:paraId="05564DD3" w14:textId="77777777" w:rsidR="00B07D47" w:rsidRPr="00DE2A1A" w:rsidRDefault="00B07D47" w:rsidP="00EE32FE">
      <w:pPr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5AF44E6C" w14:textId="5BDA6320" w:rsidR="00B07D47" w:rsidRPr="00DE2A1A" w:rsidRDefault="00B07D47" w:rsidP="00EE32FE">
      <w:pPr>
        <w:rPr>
          <w:rFonts w:ascii="Times New Roman" w:hAnsi="Times New Roman"/>
          <w:color w:val="000000"/>
          <w:sz w:val="22"/>
          <w:szCs w:val="22"/>
          <w:lang w:val="hu-HU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Ceftriaxon-kalcium só kicsapódást figyeltek meg az epehólyagban, főként olyan betegeknél, akik a szokásos, javasolt dózisnál nagyobb adagot kaptak. </w:t>
      </w:r>
      <w:r w:rsidRPr="00DE2A1A">
        <w:rPr>
          <w:rFonts w:ascii="Times New Roman" w:hAnsi="Times New Roman"/>
          <w:sz w:val="22"/>
          <w:szCs w:val="22"/>
          <w:lang w:val="hu-HU"/>
        </w:rPr>
        <w:t>Prospektív vizsgálatokban gyer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>m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ekeknél </w:t>
      </w:r>
      <w:r w:rsidRPr="00DE2A1A">
        <w:rPr>
          <w:rFonts w:ascii="Times New Roman" w:hAnsi="Times New Roman"/>
          <w:sz w:val="22"/>
          <w:szCs w:val="22"/>
          <w:lang w:val="hu-HU"/>
        </w:rPr>
        <w:lastRenderedPageBreak/>
        <w:t xml:space="preserve">intravénás adagolás során a kicsapódás előfordulási gyakorisága változó volt, egyes esetekben 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 xml:space="preserve">túllépte </w:t>
      </w:r>
      <w:r w:rsidRPr="00DE2A1A">
        <w:rPr>
          <w:rFonts w:ascii="Times New Roman" w:hAnsi="Times New Roman"/>
          <w:sz w:val="22"/>
          <w:szCs w:val="22"/>
          <w:lang w:val="hu-HU"/>
        </w:rPr>
        <w:t>a 30%-ot is. Lassú infúzió (20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30 perc) mellett ritkábban fordul elő. Ez a hatás általában tünetmentes, bár a precipitátumok ritkán tünetek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>kel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is 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>jártak</w:t>
      </w:r>
      <w:r w:rsidRPr="00DE2A1A">
        <w:rPr>
          <w:rFonts w:ascii="Times New Roman" w:hAnsi="Times New Roman"/>
          <w:sz w:val="22"/>
          <w:szCs w:val="22"/>
          <w:lang w:val="hu-HU"/>
        </w:rPr>
        <w:t>, pl. fájdalom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>mal</w:t>
      </w:r>
      <w:r w:rsidRPr="00DE2A1A">
        <w:rPr>
          <w:rFonts w:ascii="Times New Roman" w:hAnsi="Times New Roman"/>
          <w:sz w:val="22"/>
          <w:szCs w:val="22"/>
          <w:lang w:val="hu-HU"/>
        </w:rPr>
        <w:t>, hányinger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>rel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és hányás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>sal</w:t>
      </w:r>
      <w:r w:rsidRPr="00DE2A1A">
        <w:rPr>
          <w:rFonts w:ascii="Times New Roman" w:hAnsi="Times New Roman"/>
          <w:sz w:val="22"/>
          <w:szCs w:val="22"/>
          <w:lang w:val="hu-HU"/>
        </w:rPr>
        <w:t>. Az ilyen esetekben tüneti kezelés javasolt. A ceftriaxon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kezelés befejezését követően a precipitátum</w:t>
      </w:r>
      <w:r w:rsidR="009828A3" w:rsidRPr="00DE2A1A">
        <w:rPr>
          <w:rFonts w:ascii="Times New Roman" w:hAnsi="Times New Roman"/>
          <w:sz w:val="22"/>
          <w:szCs w:val="22"/>
          <w:lang w:val="hu-HU"/>
        </w:rPr>
        <w:noBreakHyphen/>
      </w:r>
      <w:r w:rsidRPr="00DE2A1A">
        <w:rPr>
          <w:rFonts w:ascii="Times New Roman" w:hAnsi="Times New Roman"/>
          <w:sz w:val="22"/>
          <w:szCs w:val="22"/>
          <w:lang w:val="hu-HU"/>
        </w:rPr>
        <w:t>képződés rendszerint reverzibilis (lásd 4.4 pont).</w:t>
      </w:r>
    </w:p>
    <w:p w14:paraId="69717CF8" w14:textId="77777777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41D419F9" w14:textId="77777777" w:rsidR="00B07D47" w:rsidRPr="00DE2A1A" w:rsidRDefault="00B07D47" w:rsidP="00EE32FE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Feltételezett mellékhatások bejelentése</w:t>
      </w:r>
    </w:p>
    <w:p w14:paraId="00F5442C" w14:textId="77777777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5C44EFE0" w14:textId="77777777" w:rsidR="00B07D47" w:rsidRPr="00DE2A1A" w:rsidRDefault="00B07D47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DE2A1A">
          <w:rPr>
            <w:rStyle w:val="Hiperhivatkozs"/>
            <w:rFonts w:ascii="Times New Roman" w:hAnsi="Times New Roman"/>
            <w:sz w:val="22"/>
            <w:szCs w:val="22"/>
            <w:lang w:val="hu-HU"/>
          </w:rPr>
          <w:t>V. függelékben</w:t>
        </w:r>
      </w:hyperlink>
      <w:r w:rsidRPr="00DE2A1A">
        <w:rPr>
          <w:rFonts w:ascii="Times New Roman" w:hAnsi="Times New Roman"/>
          <w:sz w:val="22"/>
          <w:szCs w:val="22"/>
          <w:lang w:val="hu-HU"/>
        </w:rPr>
        <w:t xml:space="preserve"> található elérhetőségek valamelyikén keresztül.</w:t>
      </w:r>
    </w:p>
    <w:p w14:paraId="5BB33E70" w14:textId="77777777" w:rsidR="004C31FA" w:rsidRPr="00DE2A1A" w:rsidRDefault="004C31FA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66F40BB" w14:textId="77777777" w:rsidR="004355C6" w:rsidRPr="00DE2A1A" w:rsidRDefault="00A77B72" w:rsidP="00EE32FE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4.9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AB0747" w:rsidRPr="00DE2A1A">
        <w:rPr>
          <w:rFonts w:ascii="Times New Roman" w:hAnsi="Times New Roman"/>
          <w:b/>
          <w:sz w:val="22"/>
          <w:szCs w:val="22"/>
          <w:lang w:val="hu-HU"/>
        </w:rPr>
        <w:t>Túladagolás</w:t>
      </w:r>
    </w:p>
    <w:p w14:paraId="75130AF1" w14:textId="77777777" w:rsidR="004355C6" w:rsidRPr="00DE2A1A" w:rsidRDefault="004355C6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697A48D" w14:textId="6419AEF8" w:rsidR="00185B12" w:rsidRPr="00DE2A1A" w:rsidRDefault="00185B12" w:rsidP="00EE32FE">
      <w:pPr>
        <w:outlineLvl w:val="0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Túladagolás esetén hányinger, hányás, hasmenés jelentkezhet. A ceftriaxon koncentrációját nem lehet hemodialízissel vagy peritonealis dialízissel csökkenteni. Nincsen specifikus </w:t>
      </w:r>
      <w:r w:rsidR="00A93C9B" w:rsidRPr="00DE2A1A">
        <w:rPr>
          <w:rFonts w:ascii="Times New Roman" w:hAnsi="Times New Roman"/>
          <w:sz w:val="22"/>
          <w:szCs w:val="22"/>
          <w:lang w:val="hu-HU"/>
        </w:rPr>
        <w:t>antidotum</w:t>
      </w:r>
      <w:r w:rsidRPr="00DE2A1A">
        <w:rPr>
          <w:rFonts w:ascii="Times New Roman" w:hAnsi="Times New Roman"/>
          <w:sz w:val="22"/>
          <w:szCs w:val="22"/>
          <w:lang w:val="hu-HU"/>
        </w:rPr>
        <w:t>. A túladagolás kezelése tüneti.</w:t>
      </w:r>
    </w:p>
    <w:p w14:paraId="3290AFBB" w14:textId="12F7C0A3" w:rsidR="004355C6" w:rsidRPr="00DE2A1A" w:rsidRDefault="004355C6" w:rsidP="00EE32FE">
      <w:pPr>
        <w:numPr>
          <w:ilvl w:val="12"/>
          <w:numId w:val="0"/>
        </w:numPr>
        <w:rPr>
          <w:rFonts w:ascii="Times New Roman" w:hAnsi="Times New Roman"/>
          <w:iCs/>
          <w:color w:val="000000"/>
          <w:sz w:val="22"/>
          <w:szCs w:val="22"/>
          <w:lang w:val="hu-HU"/>
        </w:rPr>
      </w:pPr>
    </w:p>
    <w:p w14:paraId="45A5DB98" w14:textId="77777777" w:rsidR="00432BD9" w:rsidRPr="00DE2A1A" w:rsidRDefault="00432BD9" w:rsidP="00EE32FE">
      <w:pPr>
        <w:numPr>
          <w:ilvl w:val="12"/>
          <w:numId w:val="0"/>
        </w:numPr>
        <w:rPr>
          <w:rFonts w:ascii="Times New Roman" w:hAnsi="Times New Roman"/>
          <w:iCs/>
          <w:color w:val="000000"/>
          <w:sz w:val="22"/>
          <w:szCs w:val="22"/>
          <w:lang w:val="hu-HU"/>
        </w:rPr>
      </w:pPr>
    </w:p>
    <w:p w14:paraId="1FD2E8A3" w14:textId="77777777" w:rsidR="004355C6" w:rsidRPr="00DE2A1A" w:rsidRDefault="004355C6" w:rsidP="00EE32FE">
      <w:pPr>
        <w:pStyle w:val="spc-s"/>
        <w:widowControl w:val="0"/>
        <w:tabs>
          <w:tab w:val="clear" w:pos="851"/>
        </w:tabs>
        <w:spacing w:before="0" w:after="0"/>
        <w:rPr>
          <w:rFonts w:ascii="Times New Roman" w:hAnsi="Times New Roman"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Cs/>
          <w:sz w:val="22"/>
          <w:szCs w:val="22"/>
          <w:lang w:val="hu-HU"/>
        </w:rPr>
        <w:t>5.</w:t>
      </w:r>
      <w:r w:rsidRPr="00DE2A1A">
        <w:rPr>
          <w:rFonts w:ascii="Times New Roman" w:hAnsi="Times New Roman"/>
          <w:bCs/>
          <w:sz w:val="22"/>
          <w:szCs w:val="22"/>
          <w:lang w:val="hu-HU"/>
        </w:rPr>
        <w:tab/>
      </w:r>
      <w:r w:rsidR="003D6A86" w:rsidRPr="00DE2A1A">
        <w:rPr>
          <w:rFonts w:ascii="Times New Roman" w:hAnsi="Times New Roman"/>
          <w:bCs/>
          <w:sz w:val="22"/>
          <w:szCs w:val="22"/>
          <w:lang w:val="hu-HU"/>
        </w:rPr>
        <w:t>FARMAKOLÓGIAI TULAJDONSÁGOK</w:t>
      </w:r>
    </w:p>
    <w:p w14:paraId="7933895B" w14:textId="77777777" w:rsidR="004355C6" w:rsidRPr="00DE2A1A" w:rsidRDefault="004355C6" w:rsidP="00EE32FE">
      <w:pPr>
        <w:pStyle w:val="spc-s"/>
        <w:widowControl w:val="0"/>
        <w:tabs>
          <w:tab w:val="clear" w:pos="851"/>
        </w:tabs>
        <w:spacing w:before="0" w:after="0"/>
        <w:rPr>
          <w:rFonts w:ascii="Times New Roman" w:hAnsi="Times New Roman"/>
          <w:bCs/>
          <w:sz w:val="22"/>
          <w:szCs w:val="22"/>
          <w:lang w:val="hu-HU"/>
        </w:rPr>
      </w:pPr>
    </w:p>
    <w:p w14:paraId="49296796" w14:textId="77777777" w:rsidR="004355C6" w:rsidRPr="00DE2A1A" w:rsidRDefault="003D6A86" w:rsidP="00EE32FE">
      <w:pPr>
        <w:numPr>
          <w:ilvl w:val="1"/>
          <w:numId w:val="45"/>
        </w:numPr>
        <w:tabs>
          <w:tab w:val="clear" w:pos="705"/>
          <w:tab w:val="num" w:pos="600"/>
        </w:tabs>
        <w:ind w:left="600" w:hanging="60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Farm</w:t>
      </w:r>
      <w:r w:rsidR="000B628E" w:rsidRPr="00DE2A1A">
        <w:rPr>
          <w:rFonts w:ascii="Times New Roman" w:hAnsi="Times New Roman"/>
          <w:b/>
          <w:bCs/>
          <w:sz w:val="22"/>
          <w:szCs w:val="22"/>
          <w:lang w:val="hu-HU"/>
        </w:rPr>
        <w:t>a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kodinámiás tulajdonságok</w:t>
      </w:r>
    </w:p>
    <w:p w14:paraId="5477C553" w14:textId="77777777" w:rsidR="004355C6" w:rsidRPr="00DE2A1A" w:rsidRDefault="004355C6" w:rsidP="00EE32FE">
      <w:pPr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1D9E735" w14:textId="77777777" w:rsidR="00792B08" w:rsidRPr="00DE2A1A" w:rsidRDefault="00185B12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Farmakoterápiás csoport: Szisztémás antibiotikumok, Harmadik generációs cefalosporinok</w:t>
      </w:r>
    </w:p>
    <w:p w14:paraId="6F879EDD" w14:textId="77777777" w:rsidR="00185B12" w:rsidRPr="00DE2A1A" w:rsidRDefault="00185B12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ATC kód: J01DD04</w:t>
      </w:r>
    </w:p>
    <w:p w14:paraId="40E6707B" w14:textId="77777777" w:rsidR="00185B12" w:rsidRPr="00DE2A1A" w:rsidRDefault="00185B1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6376039C" w14:textId="77777777" w:rsidR="00185B12" w:rsidRPr="00DE2A1A" w:rsidRDefault="00185B12" w:rsidP="00EE32FE">
      <w:pPr>
        <w:tabs>
          <w:tab w:val="left" w:pos="3544"/>
        </w:tabs>
        <w:outlineLvl w:val="0"/>
        <w:rPr>
          <w:rFonts w:ascii="Times New Roman" w:hAnsi="Times New Roman"/>
          <w:caps/>
          <w:sz w:val="22"/>
          <w:szCs w:val="22"/>
          <w:u w:val="single"/>
          <w:lang w:val="hu-HU" w:eastAsia="ja-JP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 w:eastAsia="ja-JP"/>
        </w:rPr>
        <w:t>Hatásmechanizmus</w:t>
      </w:r>
    </w:p>
    <w:p w14:paraId="41756B36" w14:textId="77777777" w:rsidR="00185B12" w:rsidRPr="00DE2A1A" w:rsidRDefault="00185B12" w:rsidP="00EE32FE">
      <w:pPr>
        <w:tabs>
          <w:tab w:val="left" w:pos="3544"/>
        </w:tabs>
        <w:rPr>
          <w:rFonts w:ascii="Times New Roman" w:hAnsi="Times New Roman"/>
          <w:sz w:val="22"/>
          <w:szCs w:val="22"/>
          <w:lang w:val="hu-HU" w:eastAsia="ja-JP"/>
        </w:rPr>
      </w:pPr>
    </w:p>
    <w:p w14:paraId="509ED3E7" w14:textId="77777777" w:rsidR="00185B12" w:rsidRPr="00DE2A1A" w:rsidRDefault="00185B12" w:rsidP="00EE32FE">
      <w:pPr>
        <w:tabs>
          <w:tab w:val="left" w:pos="3544"/>
        </w:tabs>
        <w:ind w:right="-55"/>
        <w:rPr>
          <w:rFonts w:ascii="Times New Roman" w:hAnsi="Times New Roman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sz w:val="22"/>
          <w:szCs w:val="22"/>
          <w:lang w:val="hu-HU" w:eastAsia="ja-JP"/>
        </w:rPr>
        <w:t>A ceftriaxon a penicillinkötő fehérjékhez (penicillin-binding proteins, PBPs) történő kötődése után gátolja a baktérium sejtfalának szintézisét. Ez a sejtfal (peptidoglikán) bioszintézisének leállását eredményezi, ami végül a baktériumsejt líziséhez és halálához vezet.</w:t>
      </w:r>
    </w:p>
    <w:p w14:paraId="78342439" w14:textId="77777777" w:rsidR="00185B12" w:rsidRPr="00DE2A1A" w:rsidRDefault="00185B12" w:rsidP="00EE32FE">
      <w:pPr>
        <w:tabs>
          <w:tab w:val="left" w:pos="3544"/>
        </w:tabs>
        <w:ind w:right="-55"/>
        <w:rPr>
          <w:rFonts w:ascii="Times New Roman" w:hAnsi="Times New Roman"/>
          <w:sz w:val="22"/>
          <w:szCs w:val="22"/>
          <w:lang w:val="hu-HU" w:eastAsia="ja-JP"/>
        </w:rPr>
      </w:pPr>
    </w:p>
    <w:p w14:paraId="035EA0B6" w14:textId="77777777" w:rsidR="00185B12" w:rsidRPr="00DE2A1A" w:rsidRDefault="00185B12" w:rsidP="00EE32FE">
      <w:pPr>
        <w:tabs>
          <w:tab w:val="left" w:pos="3544"/>
        </w:tabs>
        <w:outlineLvl w:val="0"/>
        <w:rPr>
          <w:rFonts w:ascii="Times New Roman" w:hAnsi="Times New Roman"/>
          <w:caps/>
          <w:sz w:val="22"/>
          <w:szCs w:val="22"/>
          <w:u w:val="single"/>
          <w:lang w:val="hu-HU" w:eastAsia="ja-JP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 w:eastAsia="ja-JP"/>
        </w:rPr>
        <w:t>Rezisztencia</w:t>
      </w:r>
    </w:p>
    <w:p w14:paraId="60481F49" w14:textId="77777777" w:rsidR="00185B12" w:rsidRPr="00DE2A1A" w:rsidRDefault="00185B12" w:rsidP="00EE32FE">
      <w:pPr>
        <w:tabs>
          <w:tab w:val="left" w:pos="3544"/>
        </w:tabs>
        <w:rPr>
          <w:rFonts w:ascii="Times New Roman" w:hAnsi="Times New Roman"/>
          <w:sz w:val="22"/>
          <w:szCs w:val="22"/>
          <w:lang w:val="hu-HU" w:eastAsia="ja-JP"/>
        </w:rPr>
      </w:pPr>
    </w:p>
    <w:p w14:paraId="49E52410" w14:textId="77777777" w:rsidR="00185B12" w:rsidRPr="00DE2A1A" w:rsidRDefault="00185B12" w:rsidP="00EE32FE">
      <w:pPr>
        <w:tabs>
          <w:tab w:val="left" w:pos="3544"/>
        </w:tabs>
        <w:ind w:right="-55"/>
        <w:rPr>
          <w:rFonts w:ascii="Times New Roman" w:hAnsi="Times New Roman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sz w:val="22"/>
          <w:szCs w:val="22"/>
          <w:lang w:val="hu-HU" w:eastAsia="ja-JP"/>
        </w:rPr>
        <w:t>A ceftriaxonnal szembeni rezisztenciáért az alábbi mechanizmusok közül egy vagy több lehet a felelős:</w:t>
      </w:r>
    </w:p>
    <w:p w14:paraId="76A54CE8" w14:textId="485A52F5" w:rsidR="00185B12" w:rsidRPr="00DE2A1A" w:rsidRDefault="00185B12" w:rsidP="00EE32FE">
      <w:pPr>
        <w:tabs>
          <w:tab w:val="left" w:pos="3544"/>
        </w:tabs>
        <w:ind w:left="567" w:right="-57" w:hanging="567"/>
        <w:rPr>
          <w:rFonts w:ascii="Times New Roman" w:hAnsi="Times New Roman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sym w:font="Symbol" w:char="F0B7"/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ab/>
      </w:r>
      <w:r w:rsidRPr="00DE2A1A">
        <w:rPr>
          <w:rFonts w:ascii="Times New Roman" w:hAnsi="Times New Roman"/>
          <w:sz w:val="22"/>
          <w:szCs w:val="22"/>
          <w:lang w:val="hu-HU" w:eastAsia="ja-JP"/>
        </w:rPr>
        <w:t>béta-laktamázok általi hidrolízis, beleértve a kiterjesztett spektrumú béta-laktamázokat (ESBL</w:t>
      </w:r>
      <w:r w:rsidR="00792B08" w:rsidRPr="00DE2A1A">
        <w:rPr>
          <w:rFonts w:ascii="Times New Roman" w:hAnsi="Times New Roman"/>
          <w:sz w:val="22"/>
          <w:szCs w:val="22"/>
          <w:lang w:val="hu-HU" w:eastAsia="ja-JP"/>
        </w:rPr>
        <w:noBreakHyphen/>
      </w:r>
      <w:r w:rsidRPr="00DE2A1A">
        <w:rPr>
          <w:rFonts w:ascii="Times New Roman" w:hAnsi="Times New Roman"/>
          <w:sz w:val="22"/>
          <w:szCs w:val="22"/>
          <w:lang w:val="hu-HU" w:eastAsia="ja-JP"/>
        </w:rPr>
        <w:t>ek), karbapenemázokat és Amp C enzimeket is, melyek egyes aerob Gram-negatív baktériumfajokban indukálhatók vagy stabilan derepresszálhatók</w:t>
      </w:r>
      <w:r w:rsidR="0082627A" w:rsidRPr="00DE2A1A">
        <w:rPr>
          <w:rFonts w:ascii="Times New Roman" w:hAnsi="Times New Roman"/>
          <w:sz w:val="22"/>
          <w:szCs w:val="22"/>
          <w:lang w:val="hu-HU" w:eastAsia="ja-JP"/>
        </w:rPr>
        <w:t>;</w:t>
      </w:r>
    </w:p>
    <w:p w14:paraId="3E844AFB" w14:textId="4C2D6C4D" w:rsidR="00185B12" w:rsidRPr="00DE2A1A" w:rsidRDefault="00185B12" w:rsidP="00EE32FE">
      <w:pPr>
        <w:tabs>
          <w:tab w:val="left" w:pos="3544"/>
        </w:tabs>
        <w:ind w:left="567" w:right="-55" w:hanging="567"/>
        <w:rPr>
          <w:rFonts w:ascii="Times New Roman" w:hAnsi="Times New Roman"/>
          <w:color w:val="000000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sym w:font="Symbol" w:char="F0B7"/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ab/>
        <w:t>a penicillinkötő fehérjék csökkent affinitása a ceftriaxon iránt</w:t>
      </w:r>
      <w:r w:rsidR="0082627A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;</w:t>
      </w:r>
    </w:p>
    <w:p w14:paraId="743D4BD5" w14:textId="7EC0B8FD" w:rsidR="00185B12" w:rsidRPr="00DE2A1A" w:rsidRDefault="00185B12" w:rsidP="00EE32FE">
      <w:pPr>
        <w:tabs>
          <w:tab w:val="left" w:pos="3544"/>
        </w:tabs>
        <w:ind w:left="567" w:right="-55" w:hanging="567"/>
        <w:rPr>
          <w:rFonts w:ascii="Times New Roman" w:hAnsi="Times New Roman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sym w:font="Symbol" w:char="F0B7"/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ab/>
        <w:t xml:space="preserve">a külső membrán impermeabilitása Gram-negatív </w:t>
      </w:r>
      <w:r w:rsidR="0082627A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baktériumokban;</w:t>
      </w:r>
    </w:p>
    <w:p w14:paraId="6E93239C" w14:textId="4285C110" w:rsidR="00185B12" w:rsidRPr="00DE2A1A" w:rsidRDefault="00185B12" w:rsidP="00EE32FE">
      <w:pPr>
        <w:tabs>
          <w:tab w:val="left" w:pos="3544"/>
        </w:tabs>
        <w:ind w:left="567" w:right="-55" w:hanging="567"/>
        <w:rPr>
          <w:rFonts w:ascii="Times New Roman" w:hAnsi="Times New Roman"/>
          <w:color w:val="000000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sym w:font="Symbol" w:char="F0B7"/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ab/>
        <w:t>bakteriális effluxpumpák.</w:t>
      </w:r>
    </w:p>
    <w:p w14:paraId="1DCA13FB" w14:textId="77777777" w:rsidR="00185B12" w:rsidRPr="00DE2A1A" w:rsidRDefault="00185B12" w:rsidP="00EE32FE">
      <w:pPr>
        <w:ind w:right="-55"/>
        <w:rPr>
          <w:rFonts w:ascii="Times New Roman" w:hAnsi="Times New Roman"/>
          <w:sz w:val="22"/>
          <w:szCs w:val="22"/>
          <w:lang w:val="hu-HU" w:eastAsia="ja-JP"/>
        </w:rPr>
      </w:pPr>
    </w:p>
    <w:p w14:paraId="6C6D44D8" w14:textId="77777777" w:rsidR="00185B12" w:rsidRPr="00DE2A1A" w:rsidRDefault="00185B12" w:rsidP="00EE32FE">
      <w:pPr>
        <w:outlineLvl w:val="0"/>
        <w:rPr>
          <w:rFonts w:ascii="Times New Roman" w:hAnsi="Times New Roman"/>
          <w:sz w:val="22"/>
          <w:szCs w:val="22"/>
          <w:u w:val="single"/>
          <w:lang w:val="hu-HU" w:eastAsia="ja-JP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 w:eastAsia="ja-JP"/>
        </w:rPr>
        <w:t>Az érzékenységi tesztek határértékei</w:t>
      </w:r>
    </w:p>
    <w:p w14:paraId="36F7094E" w14:textId="77777777" w:rsidR="00185B12" w:rsidRPr="00DE2A1A" w:rsidRDefault="00185B12" w:rsidP="00EE32FE">
      <w:pPr>
        <w:ind w:right="-55"/>
        <w:rPr>
          <w:rFonts w:ascii="Times New Roman" w:hAnsi="Times New Roman"/>
          <w:sz w:val="22"/>
          <w:szCs w:val="22"/>
          <w:lang w:val="hu-HU" w:eastAsia="ja-JP"/>
        </w:rPr>
      </w:pPr>
    </w:p>
    <w:p w14:paraId="3E2CD279" w14:textId="77777777" w:rsidR="00185B12" w:rsidRPr="00DE2A1A" w:rsidRDefault="00185B12" w:rsidP="00EE32FE">
      <w:pPr>
        <w:ind w:right="-55"/>
        <w:rPr>
          <w:rFonts w:ascii="Times New Roman" w:hAnsi="Times New Roman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sz w:val="22"/>
          <w:szCs w:val="22"/>
          <w:lang w:val="hu-HU" w:eastAsia="ja-JP"/>
        </w:rPr>
        <w:t>A minimális gátló</w:t>
      </w:r>
      <w:r w:rsidR="00FE6326" w:rsidRPr="00DE2A1A">
        <w:rPr>
          <w:rFonts w:ascii="Times New Roman" w:hAnsi="Times New Roman"/>
          <w:sz w:val="22"/>
          <w:szCs w:val="22"/>
          <w:lang w:val="hu-HU" w:eastAsia="ja-JP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 w:eastAsia="ja-JP"/>
        </w:rPr>
        <w:t xml:space="preserve">koncentráció (MIC) </w:t>
      </w:r>
      <w:r w:rsidRPr="00DE2A1A">
        <w:rPr>
          <w:rFonts w:ascii="Times New Roman" w:hAnsi="Times New Roman"/>
          <w:bCs/>
          <w:iCs/>
          <w:color w:val="000000"/>
          <w:sz w:val="22"/>
          <w:szCs w:val="22"/>
          <w:lang w:val="hu-HU" w:eastAsia="ja-JP"/>
        </w:rPr>
        <w:t xml:space="preserve">European Committee on Antimicrobial Susceptibility Testing (EUCAST) által meghatározott </w:t>
      </w:r>
      <w:r w:rsidRPr="00DE2A1A">
        <w:rPr>
          <w:rFonts w:ascii="Times New Roman" w:hAnsi="Times New Roman"/>
          <w:sz w:val="22"/>
          <w:szCs w:val="22"/>
          <w:lang w:val="hu-HU" w:eastAsia="ja-JP"/>
        </w:rPr>
        <w:t>határértékei a következők:</w:t>
      </w:r>
    </w:p>
    <w:p w14:paraId="58933D54" w14:textId="77777777" w:rsidR="00792B08" w:rsidRPr="00DE2A1A" w:rsidRDefault="00792B08" w:rsidP="00EE32FE">
      <w:pPr>
        <w:ind w:right="-55"/>
        <w:rPr>
          <w:rFonts w:ascii="Times New Roman" w:hAnsi="Times New Roman"/>
          <w:sz w:val="22"/>
          <w:szCs w:val="22"/>
          <w:lang w:val="hu-HU" w:eastAsia="ja-JP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4"/>
        <w:gridCol w:w="1556"/>
        <w:gridCol w:w="1544"/>
      </w:tblGrid>
      <w:tr w:rsidR="00185B12" w:rsidRPr="00A477C5" w14:paraId="420991AC" w14:textId="77777777" w:rsidTr="00E17FF9">
        <w:trPr>
          <w:tblHeader/>
        </w:trPr>
        <w:tc>
          <w:tcPr>
            <w:tcW w:w="3054" w:type="dxa"/>
            <w:vMerge w:val="restart"/>
            <w:shd w:val="clear" w:color="auto" w:fill="auto"/>
            <w:vAlign w:val="bottom"/>
          </w:tcPr>
          <w:p w14:paraId="23A4A366" w14:textId="77777777" w:rsidR="00185B12" w:rsidRPr="00DE2A1A" w:rsidRDefault="00185B12" w:rsidP="00EE32FE">
            <w:pPr>
              <w:keepNext/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  <w:lastRenderedPageBreak/>
              <w:t>Kórokozó</w:t>
            </w:r>
          </w:p>
        </w:tc>
        <w:tc>
          <w:tcPr>
            <w:tcW w:w="3100" w:type="dxa"/>
            <w:gridSpan w:val="2"/>
            <w:shd w:val="clear" w:color="auto" w:fill="auto"/>
            <w:vAlign w:val="bottom"/>
          </w:tcPr>
          <w:p w14:paraId="7E1D3866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  <w:t>H</w:t>
            </w:r>
            <w:r w:rsidR="00D938F6"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  <w:t>í</w:t>
            </w: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  <w:t>gítási próba (MIC, mg/l)</w:t>
            </w:r>
          </w:p>
        </w:tc>
      </w:tr>
      <w:tr w:rsidR="00185B12" w:rsidRPr="00DE2A1A" w14:paraId="03EFD709" w14:textId="77777777" w:rsidTr="00E17FF9">
        <w:trPr>
          <w:tblHeader/>
        </w:trPr>
        <w:tc>
          <w:tcPr>
            <w:tcW w:w="3054" w:type="dxa"/>
            <w:vMerge/>
            <w:shd w:val="clear" w:color="auto" w:fill="auto"/>
            <w:vAlign w:val="bottom"/>
          </w:tcPr>
          <w:p w14:paraId="04264DA1" w14:textId="77777777" w:rsidR="00185B12" w:rsidRPr="00DE2A1A" w:rsidRDefault="00185B12" w:rsidP="00EE32FE">
            <w:pPr>
              <w:keepNext/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</w:pPr>
          </w:p>
        </w:tc>
        <w:tc>
          <w:tcPr>
            <w:tcW w:w="1556" w:type="dxa"/>
            <w:shd w:val="clear" w:color="auto" w:fill="auto"/>
            <w:vAlign w:val="bottom"/>
          </w:tcPr>
          <w:p w14:paraId="4C7CBA4E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  <w:t>Érzékeny</w:t>
            </w:r>
          </w:p>
        </w:tc>
        <w:tc>
          <w:tcPr>
            <w:tcW w:w="1544" w:type="dxa"/>
            <w:shd w:val="clear" w:color="auto" w:fill="auto"/>
            <w:vAlign w:val="bottom"/>
          </w:tcPr>
          <w:p w14:paraId="6804319A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b/>
                <w:color w:val="000000"/>
                <w:sz w:val="22"/>
                <w:szCs w:val="22"/>
                <w:lang w:val="hu-HU" w:eastAsia="ja-JP"/>
              </w:rPr>
              <w:t>Rezisztens</w:t>
            </w:r>
          </w:p>
        </w:tc>
      </w:tr>
      <w:tr w:rsidR="00185B12" w:rsidRPr="00DE2A1A" w14:paraId="23AFD5E9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231931F0" w14:textId="5BECB7C1" w:rsidR="00185B12" w:rsidRPr="00CF059D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</w:pP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Enterobacteria</w:t>
            </w:r>
            <w:r w:rsidR="00663437"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les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189D8A79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≤1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6ED605F7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&gt;2</w:t>
            </w:r>
          </w:p>
        </w:tc>
      </w:tr>
      <w:tr w:rsidR="00185B12" w:rsidRPr="00DE2A1A" w14:paraId="55183E9D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2BAE04D1" w14:textId="7E53240B" w:rsidR="00185B12" w:rsidRPr="00DE2A1A" w:rsidRDefault="00185B12" w:rsidP="0082627A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Staphylococcus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 xml:space="preserve"> spp.</w:t>
            </w:r>
            <w:r w:rsidR="0082627A" w:rsidRPr="00CF059D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 w:eastAsia="ja-JP"/>
              </w:rPr>
              <w:t>a,b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4DFB901B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a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46D42EE7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a</w:t>
            </w:r>
          </w:p>
        </w:tc>
      </w:tr>
      <w:tr w:rsidR="00185B12" w:rsidRPr="00DE2A1A" w14:paraId="7018021A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1E27000D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</w:pP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Streptococcus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 xml:space="preserve"> 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spp.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 xml:space="preserve"> 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br/>
            </w:r>
            <w:r w:rsidRPr="00CF059D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(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A, B, C és G csoport)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5939C598" w14:textId="13688ACD" w:rsidR="00185B12" w:rsidRPr="00DE2A1A" w:rsidRDefault="00BB31C6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c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185E2E04" w14:textId="4F89F586" w:rsidR="00185B12" w:rsidRPr="00DE2A1A" w:rsidRDefault="00BB31C6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c</w:t>
            </w:r>
          </w:p>
        </w:tc>
      </w:tr>
      <w:tr w:rsidR="00185B12" w:rsidRPr="00DE2A1A" w14:paraId="17399DD6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6415978E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Streptococcus pneumoniae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2B640305" w14:textId="21707CE3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≤0,5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36D4A7E4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&gt;2</w:t>
            </w:r>
          </w:p>
        </w:tc>
      </w:tr>
      <w:tr w:rsidR="00185B12" w:rsidRPr="00DE2A1A" w14:paraId="75724C7B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1868E393" w14:textId="204C6618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</w:pP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Streptococcus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 xml:space="preserve"> </w:t>
            </w:r>
            <w:r w:rsidR="003A5DB7"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v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iridans csoport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0AEF4729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≤0,5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1889B1AF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&gt;0,5</w:t>
            </w:r>
          </w:p>
        </w:tc>
      </w:tr>
      <w:tr w:rsidR="00185B12" w:rsidRPr="00DE2A1A" w14:paraId="569FE315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3CECF695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Haemophilus influenzae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69BC7B2F" w14:textId="09334146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≤0,12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7ECE97BB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&gt;0,12</w:t>
            </w:r>
          </w:p>
        </w:tc>
      </w:tr>
      <w:tr w:rsidR="00185B12" w:rsidRPr="00DE2A1A" w14:paraId="59F26111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4ED78A19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Moraxella catarrhalis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3DD9C962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≤1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670F8872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&gt;2</w:t>
            </w:r>
          </w:p>
        </w:tc>
      </w:tr>
      <w:tr w:rsidR="00185B12" w:rsidRPr="00DE2A1A" w14:paraId="1536E71B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4282B958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Neisseria gonorrhoeae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2C0D3B96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≤0,12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12B3C26F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&gt;0,12</w:t>
            </w:r>
          </w:p>
        </w:tc>
      </w:tr>
      <w:tr w:rsidR="00185B12" w:rsidRPr="00DE2A1A" w14:paraId="253513E5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764CB4EC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 w:eastAsia="ja-JP"/>
              </w:rPr>
              <w:t>Neisseria meningitidis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77C5B1D3" w14:textId="0E4BB389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≤0,12</w:t>
            </w:r>
            <w:r w:rsidR="00C80E71"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 w:eastAsia="ja-JP"/>
              </w:rPr>
              <w:t>d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7643E1A9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&gt;0,12</w:t>
            </w:r>
          </w:p>
        </w:tc>
      </w:tr>
      <w:tr w:rsidR="00185B12" w:rsidRPr="00DE2A1A" w14:paraId="38E5CD6D" w14:textId="77777777" w:rsidTr="00E17FF9">
        <w:trPr>
          <w:tblHeader/>
        </w:trPr>
        <w:tc>
          <w:tcPr>
            <w:tcW w:w="3054" w:type="dxa"/>
            <w:shd w:val="clear" w:color="auto" w:fill="auto"/>
          </w:tcPr>
          <w:p w14:paraId="004909A5" w14:textId="3C71B538" w:rsidR="00185B12" w:rsidRPr="00DE2A1A" w:rsidRDefault="0082627A" w:rsidP="0082627A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F</w:t>
            </w:r>
            <w:r w:rsidR="00185B12"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ajtól függ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etlen határértékek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0D039D11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≤1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 w:eastAsia="ja-JP"/>
              </w:rPr>
              <w:t>d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5EAD4967" w14:textId="77777777" w:rsidR="00185B12" w:rsidRPr="00DE2A1A" w:rsidRDefault="00185B12" w:rsidP="00EE32FE">
            <w:pPr>
              <w:keepNext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ja-JP"/>
              </w:rPr>
              <w:t>&gt;2</w:t>
            </w:r>
          </w:p>
        </w:tc>
      </w:tr>
    </w:tbl>
    <w:p w14:paraId="6306910F" w14:textId="270906EC" w:rsidR="00185B12" w:rsidRPr="00DE2A1A" w:rsidRDefault="00185B12" w:rsidP="00EE32FE">
      <w:pPr>
        <w:pStyle w:val="Listaszerbekezds"/>
        <w:keepNext/>
        <w:numPr>
          <w:ilvl w:val="0"/>
          <w:numId w:val="56"/>
        </w:numPr>
        <w:contextualSpacing w:val="0"/>
        <w:rPr>
          <w:rFonts w:ascii="Times New Roman" w:hAnsi="Times New Roman"/>
          <w:color w:val="000000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Az érzékenységre a cefoxitinnel szembeni érzékenység alapján következtettek.</w:t>
      </w:r>
    </w:p>
    <w:p w14:paraId="65D4929A" w14:textId="0B7D2489" w:rsidR="00FB1C01" w:rsidRPr="00DE2A1A" w:rsidRDefault="00E7575F" w:rsidP="00EE32FE">
      <w:pPr>
        <w:pStyle w:val="Listaszerbekezds"/>
        <w:keepNext/>
        <w:numPr>
          <w:ilvl w:val="0"/>
          <w:numId w:val="56"/>
        </w:numPr>
        <w:contextualSpacing w:val="0"/>
        <w:rPr>
          <w:rFonts w:ascii="Times New Roman" w:hAnsi="Times New Roman"/>
          <w:color w:val="000000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A meticillin</w:t>
      </w:r>
      <w:r w:rsidR="00A85B6F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-</w:t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érzékeny </w:t>
      </w:r>
      <w:r w:rsidR="0082627A" w:rsidRPr="00CF059D">
        <w:rPr>
          <w:rFonts w:ascii="Times New Roman" w:hAnsi="Times New Roman"/>
          <w:i/>
          <w:color w:val="000000"/>
          <w:sz w:val="22"/>
          <w:szCs w:val="22"/>
          <w:lang w:val="hu-HU" w:eastAsia="ja-JP"/>
        </w:rPr>
        <w:t>S</w:t>
      </w:r>
      <w:r w:rsidR="00A3076D" w:rsidRPr="00CF059D">
        <w:rPr>
          <w:rFonts w:ascii="Times New Roman" w:hAnsi="Times New Roman"/>
          <w:i/>
          <w:color w:val="000000"/>
          <w:sz w:val="22"/>
          <w:szCs w:val="22"/>
          <w:lang w:val="hu-HU" w:eastAsia="ja-JP"/>
        </w:rPr>
        <w:t>taphylococcus</w:t>
      </w:r>
      <w:r w:rsidR="00A3076D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ok</w:t>
      </w:r>
      <w:r w:rsidR="0082627A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 érzékenységét</w:t>
      </w:r>
      <w:r w:rsidR="00A3076D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 </w:t>
      </w:r>
      <w:r w:rsidR="00E63553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„érzékeny, fokozott expozíció </w:t>
      </w:r>
      <w:r w:rsidR="0082627A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(</w:t>
      </w:r>
      <w:r w:rsidR="00E63553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I</w:t>
      </w:r>
      <w:r w:rsidR="0082627A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)</w:t>
      </w:r>
      <w:r w:rsidR="00E63553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”-ként kell jelenteni.</w:t>
      </w:r>
    </w:p>
    <w:p w14:paraId="0DF7CAB6" w14:textId="563FBEDF" w:rsidR="00185B12" w:rsidRPr="00DE2A1A" w:rsidRDefault="00185B12" w:rsidP="00EE32FE">
      <w:pPr>
        <w:pStyle w:val="Listaszerbekezds"/>
        <w:keepNext/>
        <w:numPr>
          <w:ilvl w:val="0"/>
          <w:numId w:val="56"/>
        </w:numPr>
        <w:contextualSpacing w:val="0"/>
        <w:rPr>
          <w:rFonts w:ascii="Times New Roman" w:hAnsi="Times New Roman"/>
          <w:color w:val="000000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Az érzékenységre a penicillinnel szembeni érzékenység alapján következtettek.</w:t>
      </w:r>
    </w:p>
    <w:p w14:paraId="13753AD1" w14:textId="298C37E3" w:rsidR="001739A2" w:rsidRPr="00DE2A1A" w:rsidRDefault="001739A2" w:rsidP="00EE32FE">
      <w:pPr>
        <w:pStyle w:val="Listaszerbekezds"/>
        <w:keepNext/>
        <w:numPr>
          <w:ilvl w:val="0"/>
          <w:numId w:val="56"/>
        </w:numPr>
        <w:contextualSpacing w:val="0"/>
        <w:rPr>
          <w:rFonts w:ascii="Times New Roman" w:hAnsi="Times New Roman"/>
          <w:color w:val="000000"/>
          <w:sz w:val="22"/>
          <w:szCs w:val="22"/>
          <w:lang w:val="hu-HU" w:eastAsia="ja-JP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A </w:t>
      </w:r>
      <w:r w:rsidR="00E2631C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határérték</w:t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 feletti ceftriaxon MIC-</w:t>
      </w:r>
      <w:r w:rsidR="00FC4A21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c</w:t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el rendelkező izolátumok ritkák, és </w:t>
      </w:r>
      <w:r w:rsidR="00C67A72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amennyiben ilyet találnak</w:t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, </w:t>
      </w:r>
      <w:r w:rsidR="00C56D91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a vizsgálatot meg kell ismételni</w:t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, és ha </w:t>
      </w:r>
      <w:r w:rsidR="0082627A"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 xml:space="preserve">az eredmény </w:t>
      </w:r>
      <w:r w:rsidRPr="00DE2A1A">
        <w:rPr>
          <w:rFonts w:ascii="Times New Roman" w:hAnsi="Times New Roman"/>
          <w:color w:val="000000"/>
          <w:sz w:val="22"/>
          <w:szCs w:val="22"/>
          <w:lang w:val="hu-HU" w:eastAsia="ja-JP"/>
        </w:rPr>
        <w:t>megerősítést nyer, referencialaboratóriumba kell küldeni.</w:t>
      </w:r>
    </w:p>
    <w:p w14:paraId="58826702" w14:textId="77777777" w:rsidR="00185B12" w:rsidRPr="00DE2A1A" w:rsidRDefault="00185B1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1DB699E3" w14:textId="0348D650" w:rsidR="00185B12" w:rsidRPr="00DE2A1A" w:rsidRDefault="00185B1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 xml:space="preserve">Klinikai hatásosság </w:t>
      </w:r>
      <w:r w:rsidR="00C56D91" w:rsidRPr="00DE2A1A">
        <w:rPr>
          <w:rFonts w:ascii="Times New Roman" w:hAnsi="Times New Roman"/>
          <w:sz w:val="22"/>
          <w:szCs w:val="22"/>
          <w:u w:val="single"/>
          <w:lang w:val="hu-HU"/>
        </w:rPr>
        <w:t xml:space="preserve">adott </w:t>
      </w: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kórokozókkal szemben</w:t>
      </w:r>
    </w:p>
    <w:p w14:paraId="013A4AFF" w14:textId="77777777" w:rsidR="00185B12" w:rsidRPr="00DE2A1A" w:rsidRDefault="00185B12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345BCE96" w14:textId="0FBBF905" w:rsidR="00185B12" w:rsidRPr="00DE2A1A" w:rsidRDefault="00185B1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szerzett rezisztencia elterjedtsége földrajzilag és idővel változhat egyes fajokra vonatkozóan, ezért a </w:t>
      </w:r>
      <w:r w:rsidR="00C56D91" w:rsidRPr="00DE2A1A">
        <w:rPr>
          <w:rFonts w:ascii="Times New Roman" w:hAnsi="Times New Roman"/>
          <w:sz w:val="22"/>
          <w:szCs w:val="22"/>
          <w:lang w:val="hu-HU"/>
        </w:rPr>
        <w:t>ajánlott beszerezni a helyi rezisztenciára vonatkozó adatokat</w:t>
      </w:r>
      <w:r w:rsidRPr="00DE2A1A">
        <w:rPr>
          <w:rFonts w:ascii="Times New Roman" w:hAnsi="Times New Roman"/>
          <w:sz w:val="22"/>
          <w:szCs w:val="22"/>
          <w:lang w:val="hu-HU"/>
        </w:rPr>
        <w:t>, különösen</w:t>
      </w:r>
      <w:r w:rsidR="00D938F6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ha súlyos fertőzések kezeléséről van szó. Ha szükséges, szakértő tanácsát kell kérni, ha a rezisztencia helyi elterjedtsége olyan mértékű, hogy a ceftriaxon használhatósága legalábbis bizonyos fertőzések esetében kérdéses.</w:t>
      </w:r>
    </w:p>
    <w:p w14:paraId="411121F1" w14:textId="77777777" w:rsidR="00185B12" w:rsidRPr="00DE2A1A" w:rsidRDefault="00185B12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3"/>
      </w:tblGrid>
      <w:tr w:rsidR="00185B12" w:rsidRPr="00DE2A1A" w14:paraId="19E572F9" w14:textId="77777777" w:rsidTr="00E17FF9">
        <w:tc>
          <w:tcPr>
            <w:tcW w:w="9179" w:type="dxa"/>
            <w:tcBorders>
              <w:bottom w:val="single" w:sz="4" w:space="0" w:color="auto"/>
            </w:tcBorders>
          </w:tcPr>
          <w:p w14:paraId="494FEA89" w14:textId="77777777" w:rsidR="00185B12" w:rsidRPr="00DE2A1A" w:rsidRDefault="00185B12" w:rsidP="00EE32FE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Általában érzékeny fajok</w:t>
            </w:r>
          </w:p>
        </w:tc>
      </w:tr>
      <w:tr w:rsidR="00185B12" w:rsidRPr="00DE2A1A" w14:paraId="1FCB4166" w14:textId="77777777" w:rsidTr="00E17FF9">
        <w:tc>
          <w:tcPr>
            <w:tcW w:w="9179" w:type="dxa"/>
          </w:tcPr>
          <w:p w14:paraId="12786ED6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</w:p>
          <w:p w14:paraId="3140B9F2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  <w:t>Gram-pozitív aerobok</w:t>
            </w:r>
          </w:p>
          <w:p w14:paraId="1B2A4737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</w:p>
          <w:p w14:paraId="3FFADBB4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Staphylococcus aureus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(meticillin-érzékeny) 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£</w:t>
            </w:r>
          </w:p>
          <w:p w14:paraId="15CB5040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Koaguláz-negatív </w:t>
            </w: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Staphylococcus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ok (meticillin-érzékeny) 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hu-HU"/>
              </w:rPr>
              <w:t>£</w:t>
            </w:r>
          </w:p>
          <w:p w14:paraId="33D26225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Streptococcus pyogenes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(A csoport)</w:t>
            </w:r>
          </w:p>
          <w:p w14:paraId="290BF671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Streptococcus agalactiae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(B csoport)</w:t>
            </w:r>
          </w:p>
          <w:p w14:paraId="4AFA0E17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Streptococcus pneumoniae</w:t>
            </w:r>
          </w:p>
          <w:p w14:paraId="75FB554E" w14:textId="56DCF264" w:rsidR="00185B12" w:rsidRPr="00DE2A1A" w:rsidRDefault="00185B12" w:rsidP="00EE32FE">
            <w:pPr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Streptococcus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</w:t>
            </w:r>
            <w:r w:rsidR="003A5DB7"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v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iridans csoport</w:t>
            </w:r>
          </w:p>
          <w:p w14:paraId="46048014" w14:textId="77777777" w:rsidR="00185B12" w:rsidRPr="00DE2A1A" w:rsidRDefault="00185B12" w:rsidP="00EE32FE">
            <w:pPr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</w:p>
          <w:p w14:paraId="35B26B17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  <w:t>Gram-negatív aerobok</w:t>
            </w:r>
          </w:p>
          <w:p w14:paraId="18C31372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  <w:p w14:paraId="0ECDB7D6" w14:textId="77777777" w:rsidR="00185B12" w:rsidRPr="00DE2A1A" w:rsidRDefault="00185B12" w:rsidP="00EE32FE">
            <w:pPr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 xml:space="preserve">Borrelia burgdorferi </w:t>
            </w:r>
          </w:p>
          <w:p w14:paraId="051241CC" w14:textId="77777777" w:rsidR="00185B12" w:rsidRPr="00DE2A1A" w:rsidRDefault="00185B12" w:rsidP="00EE32FE">
            <w:pPr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Haemophilus influenzae</w:t>
            </w:r>
          </w:p>
          <w:p w14:paraId="2872D34D" w14:textId="77777777" w:rsidR="00185B12" w:rsidRPr="00DE2A1A" w:rsidRDefault="00185B12" w:rsidP="00EE32FE">
            <w:pPr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Haemophilus parainfluenzae</w:t>
            </w:r>
          </w:p>
          <w:p w14:paraId="5821008C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Moraxella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catarrhalis</w:t>
            </w:r>
          </w:p>
          <w:p w14:paraId="051ED0F5" w14:textId="5D0CE9A5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Neisseria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gonorrhoea</w:t>
            </w:r>
            <w:r w:rsidR="004C7C55"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e</w:t>
            </w:r>
          </w:p>
          <w:p w14:paraId="0A42EF2B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Neisseria meningitidis</w:t>
            </w:r>
          </w:p>
          <w:p w14:paraId="44DE05E2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Proteus mirabilis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</w:t>
            </w:r>
          </w:p>
          <w:p w14:paraId="149490F6" w14:textId="77777777" w:rsidR="00185B12" w:rsidRPr="00DE2A1A" w:rsidRDefault="00185B12" w:rsidP="00EE32FE">
            <w:pPr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Providencia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spp.</w:t>
            </w:r>
          </w:p>
          <w:p w14:paraId="2289E963" w14:textId="77777777" w:rsidR="00185B12" w:rsidRPr="00DE2A1A" w:rsidRDefault="00185B12" w:rsidP="00EE32FE">
            <w:pPr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Treponema pallidum</w:t>
            </w:r>
          </w:p>
        </w:tc>
      </w:tr>
      <w:tr w:rsidR="00185B12" w:rsidRPr="00A477C5" w14:paraId="248B16F0" w14:textId="77777777" w:rsidTr="00E17FF9">
        <w:tc>
          <w:tcPr>
            <w:tcW w:w="9179" w:type="dxa"/>
          </w:tcPr>
          <w:p w14:paraId="5398B601" w14:textId="77685429" w:rsidR="00185B12" w:rsidRPr="00DE2A1A" w:rsidRDefault="004C7C55" w:rsidP="00EE32FE">
            <w:pPr>
              <w:keepNext/>
              <w:keepLines/>
              <w:rPr>
                <w:rFonts w:ascii="Times New Roman" w:hAnsi="Times New Roman"/>
                <w:b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lastRenderedPageBreak/>
              <w:t>Fajok, melyeknél a</w:t>
            </w:r>
            <w:r w:rsidR="00185B12" w:rsidRPr="00DE2A1A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 xml:space="preserve"> szerzett rezisztencia problémát jelenthet</w:t>
            </w:r>
          </w:p>
        </w:tc>
      </w:tr>
      <w:tr w:rsidR="00185B12" w:rsidRPr="00A477C5" w14:paraId="5872B95E" w14:textId="77777777" w:rsidTr="00E17FF9">
        <w:tc>
          <w:tcPr>
            <w:tcW w:w="9179" w:type="dxa"/>
          </w:tcPr>
          <w:p w14:paraId="06FBAF1C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</w:p>
          <w:p w14:paraId="00798850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  <w:t>Gram-pozitív aerobok</w:t>
            </w:r>
          </w:p>
          <w:p w14:paraId="516F0EF2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  <w:p w14:paraId="2C9D485C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i/>
                <w:sz w:val="22"/>
                <w:szCs w:val="22"/>
                <w:vertAlign w:val="superscript"/>
                <w:lang w:val="hu-HU"/>
              </w:rPr>
            </w:pPr>
            <w:r w:rsidRPr="00DE2A1A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Staphylococcus epidermidis</w:t>
            </w:r>
            <w:r w:rsidRPr="00DE2A1A">
              <w:rPr>
                <w:rFonts w:ascii="Times New Roman" w:hAnsi="Times New Roman"/>
                <w:i/>
                <w:sz w:val="22"/>
                <w:szCs w:val="22"/>
                <w:vertAlign w:val="superscript"/>
                <w:lang w:val="hu-HU"/>
              </w:rPr>
              <w:t>+</w:t>
            </w:r>
          </w:p>
          <w:p w14:paraId="28EDCCB0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i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Staphylococcus haemolyticus</w:t>
            </w:r>
            <w:r w:rsidRPr="00DE2A1A">
              <w:rPr>
                <w:rFonts w:ascii="Times New Roman" w:hAnsi="Times New Roman"/>
                <w:i/>
                <w:sz w:val="22"/>
                <w:szCs w:val="22"/>
                <w:vertAlign w:val="superscript"/>
                <w:lang w:val="hu-HU"/>
              </w:rPr>
              <w:t>+</w:t>
            </w:r>
            <w:r w:rsidRPr="00DE2A1A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 xml:space="preserve"> </w:t>
            </w:r>
          </w:p>
          <w:p w14:paraId="45D2388E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i/>
                <w:sz w:val="22"/>
                <w:szCs w:val="22"/>
                <w:vertAlign w:val="superscript"/>
                <w:lang w:val="hu-HU"/>
              </w:rPr>
            </w:pPr>
            <w:r w:rsidRPr="00DE2A1A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Staphylococcus hominis</w:t>
            </w:r>
            <w:r w:rsidRPr="00DE2A1A">
              <w:rPr>
                <w:rFonts w:ascii="Times New Roman" w:hAnsi="Times New Roman"/>
                <w:i/>
                <w:sz w:val="22"/>
                <w:szCs w:val="22"/>
                <w:vertAlign w:val="superscript"/>
                <w:lang w:val="hu-HU"/>
              </w:rPr>
              <w:t>+</w:t>
            </w:r>
          </w:p>
          <w:p w14:paraId="2CD07767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</w:p>
          <w:p w14:paraId="54817FC3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  <w:t>Gram-negatív aerobok</w:t>
            </w:r>
          </w:p>
          <w:p w14:paraId="070F3169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</w:p>
          <w:p w14:paraId="6CE74D40" w14:textId="77777777" w:rsidR="00185B12" w:rsidRPr="00DE2A1A" w:rsidRDefault="00185B12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Citrobacter freundii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</w:t>
            </w:r>
          </w:p>
          <w:p w14:paraId="008B94BA" w14:textId="77777777" w:rsidR="00185B12" w:rsidRPr="00DE2A1A" w:rsidRDefault="00185B12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Enterobacter aerogenes</w:t>
            </w:r>
          </w:p>
          <w:p w14:paraId="05D55C72" w14:textId="77777777" w:rsidR="00185B12" w:rsidRPr="00DE2A1A" w:rsidRDefault="00185B12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Enterobacter cloacae</w:t>
            </w:r>
          </w:p>
          <w:p w14:paraId="65482FB8" w14:textId="77777777" w:rsidR="00185B12" w:rsidRPr="00DE2A1A" w:rsidRDefault="00185B12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Escherichia coli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vertAlign w:val="superscript"/>
                <w:lang w:val="hu-HU"/>
              </w:rPr>
              <w:t>%</w:t>
            </w:r>
          </w:p>
          <w:p w14:paraId="1D5B94EC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i/>
                <w:sz w:val="22"/>
                <w:szCs w:val="22"/>
                <w:vertAlign w:val="superscript"/>
                <w:lang w:val="hu-HU"/>
              </w:rPr>
            </w:pPr>
            <w:r w:rsidRPr="00DE2A1A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Klebsiella pneumoniae</w:t>
            </w:r>
            <w:r w:rsidRPr="00DE2A1A">
              <w:rPr>
                <w:rFonts w:ascii="Times New Roman" w:hAnsi="Times New Roman"/>
                <w:i/>
                <w:sz w:val="22"/>
                <w:szCs w:val="22"/>
                <w:vertAlign w:val="superscript"/>
                <w:lang w:val="hu-HU"/>
              </w:rPr>
              <w:t>%</w:t>
            </w:r>
          </w:p>
          <w:p w14:paraId="5D6CEB9D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i/>
                <w:sz w:val="22"/>
                <w:szCs w:val="22"/>
                <w:vertAlign w:val="superscript"/>
                <w:lang w:val="hu-HU"/>
              </w:rPr>
            </w:pPr>
            <w:r w:rsidRPr="00DE2A1A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Klebsiella oxytoca</w:t>
            </w:r>
            <w:r w:rsidRPr="00DE2A1A">
              <w:rPr>
                <w:rFonts w:ascii="Times New Roman" w:hAnsi="Times New Roman"/>
                <w:i/>
                <w:sz w:val="22"/>
                <w:szCs w:val="22"/>
                <w:vertAlign w:val="superscript"/>
                <w:lang w:val="hu-HU"/>
              </w:rPr>
              <w:t>%</w:t>
            </w:r>
          </w:p>
          <w:p w14:paraId="3697C39F" w14:textId="77777777" w:rsidR="00185B12" w:rsidRPr="00DE2A1A" w:rsidRDefault="00185B12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Morganella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morganii</w:t>
            </w:r>
          </w:p>
          <w:p w14:paraId="77387F94" w14:textId="77777777" w:rsidR="00185B12" w:rsidRPr="00DE2A1A" w:rsidRDefault="00185B12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Proteus vulgaris</w:t>
            </w:r>
          </w:p>
          <w:p w14:paraId="4D834248" w14:textId="77777777" w:rsidR="00185B12" w:rsidRPr="00DE2A1A" w:rsidRDefault="00185B12" w:rsidP="00EE32FE">
            <w:pPr>
              <w:pStyle w:val="TableCell10Left"/>
              <w:spacing w:before="0" w:after="0" w:line="240" w:lineRule="auto"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Serratia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 xml:space="preserve">marcescens </w:t>
            </w:r>
          </w:p>
          <w:p w14:paraId="3F92A530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</w:p>
          <w:p w14:paraId="77D804E4" w14:textId="77777777" w:rsidR="00185B12" w:rsidRPr="00DE2A1A" w:rsidRDefault="00185B12" w:rsidP="00EE32FE">
            <w:pPr>
              <w:keepNext/>
              <w:keepLines/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  <w:t>Anaerobok</w:t>
            </w:r>
          </w:p>
          <w:p w14:paraId="35409298" w14:textId="77777777" w:rsidR="00185B12" w:rsidRPr="00DE2A1A" w:rsidRDefault="00185B12" w:rsidP="00EE32FE">
            <w:pPr>
              <w:keepNext/>
              <w:keepLines/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</w:p>
          <w:p w14:paraId="09449D20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Bacteroides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 xml:space="preserve"> spp.</w:t>
            </w:r>
          </w:p>
          <w:p w14:paraId="284C882D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Fusobacterium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 xml:space="preserve"> 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spp.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 xml:space="preserve"> </w:t>
            </w:r>
          </w:p>
          <w:p w14:paraId="1B10FEFE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Peptostreptococcus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 xml:space="preserve"> 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spp.</w:t>
            </w:r>
          </w:p>
          <w:p w14:paraId="7613052D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Clostridium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perfringens</w:t>
            </w:r>
          </w:p>
          <w:p w14:paraId="52BA844F" w14:textId="77777777" w:rsidR="00185B12" w:rsidRPr="00DE2A1A" w:rsidRDefault="00185B12" w:rsidP="00EE32FE">
            <w:pPr>
              <w:keepNext/>
              <w:keepLines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</w:p>
        </w:tc>
      </w:tr>
      <w:tr w:rsidR="00185B12" w:rsidRPr="00DE2A1A" w14:paraId="20BE9CD5" w14:textId="77777777" w:rsidTr="00E17FF9">
        <w:tc>
          <w:tcPr>
            <w:tcW w:w="9179" w:type="dxa"/>
          </w:tcPr>
          <w:p w14:paraId="443E2FDA" w14:textId="787192EA" w:rsidR="00185B12" w:rsidRPr="00DE2A1A" w:rsidRDefault="00185B12" w:rsidP="004C7C55">
            <w:pPr>
              <w:keepNext/>
              <w:rPr>
                <w:rFonts w:ascii="Times New Roman" w:hAnsi="Times New Roman"/>
                <w:b/>
                <w:color w:val="000000"/>
                <w:sz w:val="22"/>
                <w:szCs w:val="22"/>
                <w:u w:val="single"/>
                <w:lang w:val="hu-HU"/>
              </w:rPr>
            </w:pPr>
            <w:r w:rsidRPr="00DE2A1A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 xml:space="preserve">Eredendően rezisztens </w:t>
            </w:r>
            <w:r w:rsidR="004C7C55" w:rsidRPr="00DE2A1A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fajok</w:t>
            </w:r>
          </w:p>
        </w:tc>
      </w:tr>
      <w:tr w:rsidR="00185B12" w:rsidRPr="00A57B9D" w14:paraId="0FB84DE1" w14:textId="77777777" w:rsidTr="00E17FF9">
        <w:tc>
          <w:tcPr>
            <w:tcW w:w="9179" w:type="dxa"/>
          </w:tcPr>
          <w:p w14:paraId="4B935AAA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</w:p>
          <w:p w14:paraId="6F0A09F1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  <w:t>Gram-pozitív aerobok</w:t>
            </w:r>
          </w:p>
          <w:p w14:paraId="6F2C48C0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  <w:p w14:paraId="10EFE4AA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CF059D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Enterococcus</w:t>
            </w: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 xml:space="preserve"> 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>spp.</w:t>
            </w:r>
          </w:p>
          <w:p w14:paraId="5E240B6C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Listeria monocytogenes</w:t>
            </w:r>
          </w:p>
          <w:p w14:paraId="27D71AE2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</w:p>
          <w:p w14:paraId="022F121E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  <w:t>Gram-negatív aerobok</w:t>
            </w:r>
          </w:p>
          <w:p w14:paraId="62D6BD59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</w:p>
          <w:p w14:paraId="632ADEDE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Acinetobacter baumannii</w:t>
            </w:r>
          </w:p>
          <w:p w14:paraId="7EB4CBD4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Pseudomonas aeruginosa</w:t>
            </w:r>
          </w:p>
          <w:p w14:paraId="78FC7468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Stenotrophomonas maltophilia</w:t>
            </w:r>
          </w:p>
          <w:p w14:paraId="080AA54F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</w:p>
          <w:p w14:paraId="1B746DFD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/>
              </w:rPr>
              <w:t>Anaerobok</w:t>
            </w:r>
          </w:p>
          <w:p w14:paraId="5CAC55C8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</w:p>
          <w:p w14:paraId="5A63AF73" w14:textId="381E1C1C" w:rsidR="00185B12" w:rsidRPr="00DE2A1A" w:rsidRDefault="00F37904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Clostridioides </w:t>
            </w:r>
            <w:r w:rsidR="00185B12"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difficile</w:t>
            </w:r>
          </w:p>
          <w:p w14:paraId="3D4EA7CB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  <w:p w14:paraId="0D87E87F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 w:eastAsia="en-GB"/>
              </w:rPr>
            </w:pPr>
            <w:r w:rsidRPr="00DE2A1A"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hu-HU" w:eastAsia="en-GB"/>
              </w:rPr>
              <w:t>Egyéb baktériumok:</w:t>
            </w:r>
          </w:p>
          <w:p w14:paraId="31EF0A22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 w:eastAsia="en-GB"/>
              </w:rPr>
            </w:pPr>
            <w:r w:rsidRPr="00CF059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hu-HU" w:eastAsia="en-GB"/>
              </w:rPr>
              <w:t>Chlamydia</w:t>
            </w:r>
            <w:r w:rsidRPr="00DE2A1A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hu-HU" w:eastAsia="en-GB"/>
              </w:rPr>
              <w:t xml:space="preserve"> 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en-GB"/>
              </w:rPr>
              <w:t>spp.</w:t>
            </w:r>
          </w:p>
          <w:p w14:paraId="3A648475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sz w:val="22"/>
                <w:szCs w:val="22"/>
                <w:lang w:val="hu-HU"/>
              </w:rPr>
            </w:pPr>
            <w:r w:rsidRPr="00CF059D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>Chlamydophila</w:t>
            </w:r>
            <w:r w:rsidRPr="00DE2A1A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spp.</w:t>
            </w:r>
            <w:r w:rsidRPr="00DE2A1A">
              <w:rPr>
                <w:rFonts w:ascii="Times New Roman" w:hAnsi="Times New Roman"/>
                <w:i/>
                <w:sz w:val="22"/>
                <w:szCs w:val="22"/>
                <w:lang w:val="hu-HU"/>
              </w:rPr>
              <w:t xml:space="preserve"> </w:t>
            </w:r>
          </w:p>
          <w:p w14:paraId="3D3A48A2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 w:eastAsia="en-GB"/>
              </w:rPr>
            </w:pPr>
            <w:r w:rsidRPr="00CF059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hu-HU" w:eastAsia="en-GB"/>
              </w:rPr>
              <w:t>Mycoplasma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 w:eastAsia="en-GB"/>
              </w:rPr>
              <w:t xml:space="preserve"> spp.</w:t>
            </w:r>
          </w:p>
          <w:p w14:paraId="00013750" w14:textId="77777777" w:rsidR="00185B12" w:rsidRPr="00DE2A1A" w:rsidRDefault="00185B12" w:rsidP="00EE32FE">
            <w:pPr>
              <w:keepNext/>
              <w:tabs>
                <w:tab w:val="left" w:pos="10800"/>
              </w:tabs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  <w:r w:rsidRPr="00CF059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hu-HU"/>
              </w:rPr>
              <w:t>Legionella</w:t>
            </w:r>
            <w:r w:rsidRPr="00DE2A1A"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  <w:t xml:space="preserve"> spp.</w:t>
            </w:r>
          </w:p>
          <w:p w14:paraId="49B39DFA" w14:textId="77777777" w:rsidR="00185B12" w:rsidRPr="00DE2A1A" w:rsidRDefault="00185B12" w:rsidP="00EE32FE">
            <w:pPr>
              <w:keepNext/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</w:pPr>
            <w:r w:rsidRPr="00DE2A1A">
              <w:rPr>
                <w:rFonts w:ascii="Times New Roman" w:hAnsi="Times New Roman"/>
                <w:i/>
                <w:color w:val="000000"/>
                <w:sz w:val="22"/>
                <w:szCs w:val="22"/>
                <w:lang w:val="hu-HU"/>
              </w:rPr>
              <w:t>Ureaplasma urealyticum</w:t>
            </w:r>
          </w:p>
          <w:p w14:paraId="0AC05638" w14:textId="77777777" w:rsidR="00185B12" w:rsidRPr="00DE2A1A" w:rsidRDefault="00185B12" w:rsidP="00EE32FE">
            <w:pPr>
              <w:keepNext/>
              <w:rPr>
                <w:rFonts w:ascii="Times New Roman" w:hAnsi="Times New Roman"/>
                <w:color w:val="000000"/>
                <w:sz w:val="22"/>
                <w:szCs w:val="22"/>
                <w:lang w:val="hu-HU"/>
              </w:rPr>
            </w:pPr>
          </w:p>
        </w:tc>
      </w:tr>
    </w:tbl>
    <w:p w14:paraId="2C9078AC" w14:textId="77777777" w:rsidR="00185B12" w:rsidRPr="00DE2A1A" w:rsidRDefault="00185B12" w:rsidP="00EE32FE">
      <w:pPr>
        <w:ind w:left="567" w:hanging="567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£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ab/>
        <w:t xml:space="preserve">Valamennyi meticillin-rezisztens </w:t>
      </w:r>
      <w:r w:rsidR="00792B08" w:rsidRPr="00CF059D">
        <w:rPr>
          <w:rFonts w:ascii="Times New Roman" w:hAnsi="Times New Roman"/>
          <w:i/>
          <w:color w:val="000000"/>
          <w:sz w:val="22"/>
          <w:szCs w:val="22"/>
          <w:lang w:val="hu-HU"/>
        </w:rPr>
        <w:t>S</w:t>
      </w:r>
      <w:r w:rsidRPr="00CF059D">
        <w:rPr>
          <w:rFonts w:ascii="Times New Roman" w:hAnsi="Times New Roman"/>
          <w:i/>
          <w:color w:val="000000"/>
          <w:sz w:val="22"/>
          <w:szCs w:val="22"/>
          <w:lang w:val="hu-HU"/>
        </w:rPr>
        <w:t>taphylococcus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 xml:space="preserve"> a ceftriaxonnal szemben is rezisztens.</w:t>
      </w:r>
    </w:p>
    <w:p w14:paraId="3D722059" w14:textId="762936CF" w:rsidR="00185B12" w:rsidRPr="00DE2A1A" w:rsidRDefault="00185B12" w:rsidP="00EE32FE">
      <w:pPr>
        <w:ind w:left="567" w:hanging="567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DE2A1A">
        <w:rPr>
          <w:rFonts w:ascii="Times New Roman" w:hAnsi="Times New Roman"/>
          <w:color w:val="000000"/>
          <w:sz w:val="22"/>
          <w:szCs w:val="22"/>
          <w:vertAlign w:val="superscript"/>
          <w:lang w:val="hu-HU"/>
        </w:rPr>
        <w:t>+</w:t>
      </w:r>
      <w:r w:rsidRPr="00DE2A1A">
        <w:rPr>
          <w:rFonts w:ascii="Times New Roman" w:hAnsi="Times New Roman"/>
          <w:color w:val="000000"/>
          <w:sz w:val="22"/>
          <w:szCs w:val="22"/>
          <w:vertAlign w:val="superscript"/>
          <w:lang w:val="hu-HU"/>
        </w:rPr>
        <w:tab/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Rezisztencia</w:t>
      </w:r>
      <w:r w:rsidR="004C7C55" w:rsidRPr="00DE2A1A">
        <w:rPr>
          <w:rFonts w:ascii="Times New Roman" w:hAnsi="Times New Roman"/>
          <w:color w:val="000000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arány &gt;50% legalább egy régióban</w:t>
      </w:r>
    </w:p>
    <w:p w14:paraId="5E4FC335" w14:textId="0CAE70BA" w:rsidR="004C31FA" w:rsidRPr="00DE2A1A" w:rsidRDefault="00185B12" w:rsidP="00EE32FE">
      <w:pPr>
        <w:ind w:left="567" w:hanging="567"/>
        <w:rPr>
          <w:rFonts w:ascii="Times New Roman" w:hAnsi="Times New Roman"/>
          <w:color w:val="000000"/>
          <w:sz w:val="22"/>
          <w:szCs w:val="22"/>
          <w:lang w:val="hu-HU"/>
        </w:rPr>
      </w:pPr>
      <w:r w:rsidRPr="00DE2A1A">
        <w:rPr>
          <w:rFonts w:ascii="Times New Roman" w:hAnsi="Times New Roman"/>
          <w:color w:val="000000"/>
          <w:sz w:val="22"/>
          <w:szCs w:val="22"/>
          <w:vertAlign w:val="superscript"/>
          <w:lang w:val="hu-HU"/>
        </w:rPr>
        <w:t>%</w:t>
      </w:r>
      <w:r w:rsidRPr="00DE2A1A">
        <w:rPr>
          <w:rFonts w:ascii="Times New Roman" w:hAnsi="Times New Roman"/>
          <w:color w:val="000000"/>
          <w:sz w:val="22"/>
          <w:szCs w:val="22"/>
          <w:vertAlign w:val="superscript"/>
          <w:lang w:val="hu-HU"/>
        </w:rPr>
        <w:tab/>
      </w:r>
      <w:r w:rsidR="004C7C55" w:rsidRPr="00CF059D">
        <w:rPr>
          <w:rFonts w:ascii="Times New Roman" w:hAnsi="Times New Roman"/>
          <w:color w:val="000000"/>
          <w:sz w:val="22"/>
          <w:szCs w:val="22"/>
          <w:lang w:val="hu-HU"/>
        </w:rPr>
        <w:t xml:space="preserve">Az </w:t>
      </w:r>
      <w:r w:rsidRPr="00DE2A1A">
        <w:rPr>
          <w:rFonts w:ascii="Times New Roman" w:hAnsi="Times New Roman"/>
          <w:color w:val="000000"/>
          <w:sz w:val="22"/>
          <w:szCs w:val="22"/>
          <w:lang w:val="hu-HU"/>
        </w:rPr>
        <w:t>ESBL-termelő törzsek mindig rezisztensek</w:t>
      </w:r>
    </w:p>
    <w:p w14:paraId="2F4B670B" w14:textId="7ABCE85C" w:rsidR="00947629" w:rsidRPr="00DE2A1A" w:rsidRDefault="00947629" w:rsidP="00EE32FE">
      <w:pPr>
        <w:ind w:left="567" w:hanging="567"/>
        <w:rPr>
          <w:rFonts w:ascii="Times New Roman" w:hAnsi="Times New Roman"/>
          <w:color w:val="000000"/>
          <w:sz w:val="22"/>
          <w:szCs w:val="22"/>
          <w:lang w:val="hu-HU"/>
        </w:rPr>
      </w:pPr>
    </w:p>
    <w:p w14:paraId="3C2B09AF" w14:textId="77777777" w:rsidR="00947629" w:rsidRPr="00DE2A1A" w:rsidRDefault="00947629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3500B008" w14:textId="77777777" w:rsidR="000E6EC3" w:rsidRPr="00DE2A1A" w:rsidRDefault="000E6EC3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766DEC55" w14:textId="77777777" w:rsidR="004355C6" w:rsidRPr="00DE2A1A" w:rsidRDefault="00604DC6" w:rsidP="00EE32FE">
      <w:pPr>
        <w:numPr>
          <w:ilvl w:val="1"/>
          <w:numId w:val="26"/>
        </w:numPr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lastRenderedPageBreak/>
        <w:t>Farmakokinetikai tulajdonságok</w:t>
      </w:r>
    </w:p>
    <w:p w14:paraId="72107961" w14:textId="77777777" w:rsidR="004355C6" w:rsidRPr="00DE2A1A" w:rsidRDefault="004355C6" w:rsidP="00EE32F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D0D6BDB" w14:textId="77777777" w:rsidR="00E2667A" w:rsidRPr="00DE2A1A" w:rsidRDefault="00E2667A" w:rsidP="00EE32FE">
      <w:pPr>
        <w:keepNext/>
        <w:keepLines/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Felszívódás</w:t>
      </w:r>
    </w:p>
    <w:p w14:paraId="06EFA6E0" w14:textId="77777777" w:rsidR="00E2667A" w:rsidRPr="00DE2A1A" w:rsidRDefault="00E2667A" w:rsidP="00EE32FE">
      <w:pPr>
        <w:keepNext/>
        <w:keepLines/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32E18BA9" w14:textId="14CB73FF" w:rsidR="00E923F6" w:rsidRPr="00DE2A1A" w:rsidRDefault="00E2667A" w:rsidP="00EE32FE">
      <w:pPr>
        <w:keepNext/>
        <w:keepLines/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átlagos ceftriaxon</w:t>
      </w:r>
      <w:r w:rsidR="0012772B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csúcskoncentráció egy 500 mg-os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ill. 1 g-os ceftriaxon</w:t>
      </w:r>
      <w:r w:rsidR="002F2EAB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dózis intravénás bolusban történő beadása után kb. 120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>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ill. 200 mg/l. </w:t>
      </w:r>
      <w:r w:rsidR="0012772B" w:rsidRPr="00DE2A1A">
        <w:rPr>
          <w:rFonts w:ascii="Times New Roman" w:hAnsi="Times New Roman"/>
          <w:sz w:val="22"/>
          <w:szCs w:val="22"/>
          <w:lang w:val="hu-HU"/>
        </w:rPr>
        <w:t>500 mg, 1 g, ill. 2 g-os ceftriaxon intravénás infúzióban való beadását követően a ceftriaxon plazmaszintje kb. 80, 150, ill. 250 mg/l.</w:t>
      </w:r>
    </w:p>
    <w:p w14:paraId="11B79349" w14:textId="1C19363D" w:rsidR="00E2667A" w:rsidRPr="00DE2A1A" w:rsidRDefault="00E923F6" w:rsidP="00EE32FE">
      <w:pPr>
        <w:keepNext/>
        <w:keepLines/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Intramuscularis injekciót követően az intravénásan adott azonos dózisokhoz képest feleakkora átlagos ceftriaxon-</w:t>
      </w:r>
      <w:r w:rsidR="0012772B" w:rsidRPr="00DE2A1A">
        <w:rPr>
          <w:rFonts w:ascii="Times New Roman" w:hAnsi="Times New Roman"/>
          <w:sz w:val="22"/>
          <w:szCs w:val="22"/>
          <w:lang w:val="hu-HU"/>
        </w:rPr>
        <w:t>csúcskoncentrációkat mértek</w:t>
      </w:r>
      <w:r w:rsidRPr="00DE2A1A">
        <w:rPr>
          <w:rFonts w:ascii="Times New Roman" w:hAnsi="Times New Roman"/>
          <w:sz w:val="22"/>
          <w:szCs w:val="22"/>
          <w:lang w:val="hu-HU"/>
        </w:rPr>
        <w:t>. Egyetlen 1 g-os dózis intra</w:t>
      </w:r>
      <w:r w:rsidR="00563701" w:rsidRPr="00DE2A1A">
        <w:rPr>
          <w:rFonts w:ascii="Times New Roman" w:hAnsi="Times New Roman"/>
          <w:sz w:val="22"/>
          <w:szCs w:val="22"/>
          <w:lang w:val="hu-HU"/>
        </w:rPr>
        <w:t>m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uscularis beadását követően </w:t>
      </w:r>
      <w:r w:rsidR="00563701" w:rsidRPr="00DE2A1A">
        <w:rPr>
          <w:rFonts w:ascii="Times New Roman" w:hAnsi="Times New Roman"/>
          <w:sz w:val="22"/>
          <w:szCs w:val="22"/>
          <w:lang w:val="hu-HU"/>
        </w:rPr>
        <w:t>a maximális</w:t>
      </w:r>
      <w:r w:rsidR="0012772B" w:rsidRPr="00DE2A1A">
        <w:rPr>
          <w:rFonts w:ascii="Times New Roman" w:hAnsi="Times New Roman"/>
          <w:sz w:val="22"/>
          <w:szCs w:val="22"/>
          <w:lang w:val="hu-HU"/>
        </w:rPr>
        <w:t>, a beadás után 2-3 órával mérhető</w:t>
      </w:r>
      <w:r w:rsidR="00563701" w:rsidRPr="00DE2A1A">
        <w:rPr>
          <w:rFonts w:ascii="Times New Roman" w:hAnsi="Times New Roman"/>
          <w:sz w:val="22"/>
          <w:szCs w:val="22"/>
          <w:lang w:val="hu-HU"/>
        </w:rPr>
        <w:t xml:space="preserve"> plazmakoncentráció </w:t>
      </w:r>
      <w:r w:rsidR="0012772B" w:rsidRPr="00DE2A1A">
        <w:rPr>
          <w:rFonts w:ascii="Times New Roman" w:hAnsi="Times New Roman"/>
          <w:sz w:val="22"/>
          <w:szCs w:val="22"/>
          <w:lang w:val="hu-HU"/>
        </w:rPr>
        <w:t xml:space="preserve">kb. </w:t>
      </w:r>
      <w:r w:rsidR="00563701" w:rsidRPr="00DE2A1A">
        <w:rPr>
          <w:rFonts w:ascii="Times New Roman" w:hAnsi="Times New Roman"/>
          <w:sz w:val="22"/>
          <w:szCs w:val="22"/>
          <w:lang w:val="hu-HU"/>
        </w:rPr>
        <w:t>81 mg/l.</w:t>
      </w:r>
    </w:p>
    <w:p w14:paraId="4A9A1689" w14:textId="77777777" w:rsidR="00563701" w:rsidRPr="00DE2A1A" w:rsidRDefault="00CD586E" w:rsidP="00EE32FE">
      <w:pPr>
        <w:keepNext/>
        <w:keepLines/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Azonos dózisban történő intramuscularis, ill. intravénás beadást követően a</w:t>
      </w:r>
      <w:r w:rsidR="00563701" w:rsidRPr="00DE2A1A">
        <w:rPr>
          <w:rFonts w:ascii="Times New Roman" w:hAnsi="Times New Roman"/>
          <w:sz w:val="22"/>
          <w:szCs w:val="22"/>
          <w:lang w:val="hu-HU"/>
        </w:rPr>
        <w:t xml:space="preserve"> plazmakoncentráció-idő görbe alatti terület </w:t>
      </w:r>
      <w:r w:rsidRPr="00DE2A1A">
        <w:rPr>
          <w:rFonts w:ascii="Times New Roman" w:hAnsi="Times New Roman"/>
          <w:sz w:val="22"/>
          <w:szCs w:val="22"/>
          <w:lang w:val="hu-HU"/>
        </w:rPr>
        <w:t>nagysága megegyezik.</w:t>
      </w:r>
    </w:p>
    <w:p w14:paraId="145F5665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28822541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Eloszlás</w:t>
      </w:r>
    </w:p>
    <w:p w14:paraId="23DBE9CF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46A570B5" w14:textId="7A04FC1A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 eloszlási térfogata 7-12 l. A legjelentősebb kórokozók többségének minimális gátló</w:t>
      </w:r>
      <w:r w:rsidR="00FE6326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koncentrációját jóval meghaladó koncentrációkban mutatható ki a szövetekben, így pl. a tüdőben, a szívben, az epeutakban, a májban, a tonsillában, a középfülben és az orrnyálkahártyában, a csontban, valamint a cerebrospinalis, pleuralis, prosztata- és szinoviális folyadékban. Ismételt adagolás esetén az átlagos csúcskoncentráció (C</w:t>
      </w:r>
      <w:r w:rsidRPr="00DE2A1A">
        <w:rPr>
          <w:rFonts w:ascii="Times New Roman" w:hAnsi="Times New Roman"/>
          <w:sz w:val="22"/>
          <w:szCs w:val="22"/>
          <w:vertAlign w:val="subscript"/>
          <w:lang w:val="hu-HU"/>
        </w:rPr>
        <w:t>max</w:t>
      </w:r>
      <w:r w:rsidRPr="00DE2A1A">
        <w:rPr>
          <w:rFonts w:ascii="Times New Roman" w:hAnsi="Times New Roman"/>
          <w:sz w:val="22"/>
          <w:szCs w:val="22"/>
          <w:lang w:val="hu-HU"/>
        </w:rPr>
        <w:t>) 8-15%-kal emelkedik, és a</w:t>
      </w:r>
      <w:r w:rsidR="0012772B" w:rsidRPr="00DE2A1A">
        <w:rPr>
          <w:rFonts w:ascii="Times New Roman" w:hAnsi="Times New Roman"/>
          <w:sz w:val="22"/>
          <w:szCs w:val="22"/>
          <w:lang w:val="hu-HU"/>
        </w:rPr>
        <w:t xml:space="preserve"> dinamikus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egyensúlyi állapot az esetek többségében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 xml:space="preserve"> – </w:t>
      </w:r>
      <w:r w:rsidRPr="00DE2A1A">
        <w:rPr>
          <w:rFonts w:ascii="Times New Roman" w:hAnsi="Times New Roman"/>
          <w:sz w:val="22"/>
          <w:szCs w:val="22"/>
          <w:lang w:val="hu-HU"/>
        </w:rPr>
        <w:t>az adagolás módjától függően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 xml:space="preserve"> – </w:t>
      </w:r>
      <w:r w:rsidRPr="00DE2A1A">
        <w:rPr>
          <w:rFonts w:ascii="Times New Roman" w:hAnsi="Times New Roman"/>
          <w:sz w:val="22"/>
          <w:szCs w:val="22"/>
          <w:lang w:val="hu-HU"/>
        </w:rPr>
        <w:t>48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72 órán belül alakul ki.</w:t>
      </w:r>
    </w:p>
    <w:p w14:paraId="53E1A6AB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2C3E2F0" w14:textId="77777777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Penetráció különleges szövetekbe</w:t>
      </w:r>
    </w:p>
    <w:p w14:paraId="7FE5CB7A" w14:textId="77777777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</w:p>
    <w:p w14:paraId="2DBC13AA" w14:textId="2C485F11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 átjut az agyhártyákon. A penetráció mértéke akkor a legnagyobb, amikor a meninxek gyulladtak. A jelentések szerint a ceftriaxon cerebrospinalis folyadékban mérhető átlagos csúcskoncentrációja bakteriális meningitisben elérheti akár a plazmaszint 25%-át is, míg azoknál a betegeknél, akiknek meninxei nincsenek gyulladásban, ez az arány 2%. A cerebrospinalis folyadékban a ceftriaxon csúcskoncentrációja nagyjából 4-6 órával az intravénás injekció beadása után alakul ki. A ceftriaxon átjut a placentabarrieren, és alacsony koncentrációban kiválasztódik az anyatejbe (lásd 4.6 pont).</w:t>
      </w:r>
    </w:p>
    <w:p w14:paraId="234B1C7A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390453F" w14:textId="77777777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Fehérjekötődés</w:t>
      </w:r>
    </w:p>
    <w:p w14:paraId="20BD3BF5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6B1F714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 reverzibilisen kötődik az albuminhoz. 100 mg/l alatti plazmakoncentrációk esetén a plazmafehérje-kötődés 95% körüli. A kötődés telíthető, és a megkötött gyógyszer részaránya a koncentráció emelkedésével csökkenést mutat (300 mg/l plazmakoncentrációnál legfeljebb 85%-os).</w:t>
      </w:r>
    </w:p>
    <w:p w14:paraId="44608246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45728043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Biotranszformáció</w:t>
      </w:r>
    </w:p>
    <w:p w14:paraId="54AF5318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6513A7DE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 szisztémásan nem metabolizálódik, hanem a bélflóra alakítja át inaktív metabolitokká.</w:t>
      </w:r>
    </w:p>
    <w:p w14:paraId="3E1BDBEC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4DD0B244" w14:textId="77777777" w:rsidR="00792B08" w:rsidRPr="00DE2A1A" w:rsidRDefault="00792B08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Elimináció</w:t>
      </w:r>
    </w:p>
    <w:p w14:paraId="5A53CA1F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5B7DE4EC" w14:textId="41657E34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össz-ceftriaxon (kötött és nem kötött) plazma</w:t>
      </w:r>
      <w:r w:rsidR="00B93E64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clear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>a</w:t>
      </w:r>
      <w:r w:rsidRPr="00DE2A1A">
        <w:rPr>
          <w:rFonts w:ascii="Times New Roman" w:hAnsi="Times New Roman"/>
          <w:sz w:val="22"/>
          <w:szCs w:val="22"/>
          <w:lang w:val="hu-HU"/>
        </w:rPr>
        <w:t>nce-e 10 – 22 ml/perc</w:t>
      </w:r>
      <w:r w:rsidR="00B93E64" w:rsidRPr="00DE2A1A">
        <w:rPr>
          <w:rFonts w:ascii="Times New Roman" w:hAnsi="Times New Roman"/>
          <w:sz w:val="22"/>
          <w:szCs w:val="22"/>
          <w:lang w:val="hu-HU"/>
        </w:rPr>
        <w:t>, a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vese</w:t>
      </w:r>
      <w:r w:rsidR="00B93E64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clear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>a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nce-e </w:t>
      </w:r>
      <w:r w:rsidR="00B93E64" w:rsidRPr="00DE2A1A">
        <w:rPr>
          <w:rFonts w:ascii="Times New Roman" w:hAnsi="Times New Roman"/>
          <w:sz w:val="22"/>
          <w:szCs w:val="22"/>
          <w:lang w:val="hu-HU"/>
        </w:rPr>
        <w:t xml:space="preserve">pedig </w:t>
      </w:r>
      <w:r w:rsidRPr="00DE2A1A">
        <w:rPr>
          <w:rFonts w:ascii="Times New Roman" w:hAnsi="Times New Roman"/>
          <w:sz w:val="22"/>
          <w:szCs w:val="22"/>
          <w:lang w:val="hu-HU"/>
        </w:rPr>
        <w:t>5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12 ml/perc. A ceftriaxon 50</w:t>
      </w:r>
      <w:r w:rsidR="00FE6326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60%-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>a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változatlan formában ürül a vizelettel, elsősorban glomerul</w:t>
      </w:r>
      <w:r w:rsidR="00B93E64" w:rsidRPr="00DE2A1A">
        <w:rPr>
          <w:rFonts w:ascii="Times New Roman" w:hAnsi="Times New Roman"/>
          <w:sz w:val="22"/>
          <w:szCs w:val="22"/>
          <w:lang w:val="hu-HU"/>
        </w:rPr>
        <w:t>us</w:t>
      </w:r>
      <w:r w:rsidRPr="00DE2A1A">
        <w:rPr>
          <w:rFonts w:ascii="Times New Roman" w:hAnsi="Times New Roman"/>
          <w:sz w:val="22"/>
          <w:szCs w:val="22"/>
          <w:lang w:val="hu-HU"/>
        </w:rPr>
        <w:t>filtráció útján, míg 40-50%-a változatlan formában az epével választódik ki. Az össz-ceftriaxon eliminációs felezési ideje felnőttek</w:t>
      </w:r>
      <w:r w:rsidR="00185987" w:rsidRPr="00DE2A1A">
        <w:rPr>
          <w:rFonts w:ascii="Times New Roman" w:hAnsi="Times New Roman"/>
          <w:sz w:val="22"/>
          <w:szCs w:val="22"/>
          <w:lang w:val="hu-HU"/>
        </w:rPr>
        <w:t>nél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kb. 8 óra.</w:t>
      </w:r>
    </w:p>
    <w:p w14:paraId="07C40D86" w14:textId="77777777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lang w:val="hu-HU"/>
        </w:rPr>
      </w:pPr>
    </w:p>
    <w:p w14:paraId="074794B7" w14:textId="6DA777C4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Vese-</w:t>
      </w: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vagy </w:t>
      </w:r>
      <w:r w:rsidR="00EA0968"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 xml:space="preserve">májkárosodásban </w:t>
      </w: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szenvedő betegek</w:t>
      </w:r>
    </w:p>
    <w:p w14:paraId="6020EB73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69F572BE" w14:textId="4CAA831A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Vese- vagy máj</w:t>
      </w:r>
      <w:r w:rsidR="00EA0968" w:rsidRPr="00DE2A1A">
        <w:rPr>
          <w:rFonts w:ascii="Times New Roman" w:hAnsi="Times New Roman"/>
          <w:sz w:val="22"/>
          <w:szCs w:val="22"/>
          <w:lang w:val="hu-HU"/>
        </w:rPr>
        <w:t>károsodásban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szenvedő betegeknél a ceftriaxon farmakokinetikája csak kissé változik, az eliminációs felezési idő csak enyhén emelkedik (kevesebb mint kétszeresére), még azoknál a betegeknél is, akiknek veseműködése súlyosan károsodott.</w:t>
      </w:r>
    </w:p>
    <w:p w14:paraId="083FC64F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1A76BAA" w14:textId="40261092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lastRenderedPageBreak/>
        <w:t>A felezési idő vesekárosodásban tapasztalt viszonylag kismértékű megnyúlása a nem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 </w:t>
      </w:r>
      <w:r w:rsidRPr="00DE2A1A">
        <w:rPr>
          <w:rFonts w:ascii="Times New Roman" w:hAnsi="Times New Roman"/>
          <w:sz w:val="22"/>
          <w:szCs w:val="22"/>
          <w:lang w:val="hu-HU"/>
        </w:rPr>
        <w:t>renalis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clearance kompenzatorikus növekedésének köszönhető, melynek hátterében a fehérjekötődés csökkenése és az össz-ceftriaxon nem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 </w:t>
      </w:r>
      <w:r w:rsidRPr="00DE2A1A">
        <w:rPr>
          <w:rFonts w:ascii="Times New Roman" w:hAnsi="Times New Roman"/>
          <w:sz w:val="22"/>
          <w:szCs w:val="22"/>
          <w:lang w:val="hu-HU"/>
        </w:rPr>
        <w:t>renalis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clearance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-ének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ennek megfelelő növekedése áll.</w:t>
      </w:r>
    </w:p>
    <w:p w14:paraId="5EDA1D9E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70AF0D76" w14:textId="0F5691DA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Máj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károsodásban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szenvedő betegeknél a ceftriaxon eliminációs felezési ideje a renalis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clearance kompenzatorikus emelkedése miatt nem nyúlik meg. Ez részben annak is tulajdonítható, hogy nő a ceftriaxon szabad plazmafrakciója, melynek következtében az összgyógyszer-clearance a megfigyeltek szerint paradox módon nő, és az eloszlási térfogat az össz-clearance-szel párhuzamosan emelkedik.</w:t>
      </w:r>
    </w:p>
    <w:p w14:paraId="06A46A9F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6C9B07E3" w14:textId="0725FF63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Idősek</w:t>
      </w:r>
    </w:p>
    <w:p w14:paraId="128A7D2A" w14:textId="77777777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</w:p>
    <w:p w14:paraId="65F064BC" w14:textId="0F16D2DD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75 év f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e</w:t>
      </w:r>
      <w:r w:rsidRPr="00DE2A1A">
        <w:rPr>
          <w:rFonts w:ascii="Times New Roman" w:hAnsi="Times New Roman"/>
          <w:sz w:val="22"/>
          <w:szCs w:val="22"/>
          <w:lang w:val="hu-HU"/>
        </w:rPr>
        <w:t>l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e</w:t>
      </w:r>
      <w:r w:rsidRPr="00DE2A1A">
        <w:rPr>
          <w:rFonts w:ascii="Times New Roman" w:hAnsi="Times New Roman"/>
          <w:sz w:val="22"/>
          <w:szCs w:val="22"/>
          <w:lang w:val="hu-HU"/>
        </w:rPr>
        <w:t>tt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i időseknél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az átlagos felezési idő általában a fiatal felnőtteknél megfigyelt értékek 2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3</w:t>
      </w:r>
      <w:r w:rsidRPr="00DE2A1A">
        <w:rPr>
          <w:rFonts w:ascii="Times New Roman" w:hAnsi="Times New Roman"/>
          <w:sz w:val="22"/>
          <w:szCs w:val="22"/>
          <w:lang w:val="hu-HU"/>
        </w:rPr>
        <w:noBreakHyphen/>
        <w:t>szorosára nyúlik.</w:t>
      </w:r>
    </w:p>
    <w:p w14:paraId="52556E24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326F3FDC" w14:textId="79A42EDD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i/>
          <w:sz w:val="22"/>
          <w:szCs w:val="22"/>
          <w:u w:val="single"/>
          <w:lang w:val="hu-HU"/>
        </w:rPr>
        <w:t>Gyermekek</w:t>
      </w:r>
    </w:p>
    <w:p w14:paraId="70F19A29" w14:textId="77777777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</w:p>
    <w:p w14:paraId="7FB3FC6B" w14:textId="5DCDCA2C" w:rsidR="00E2667A" w:rsidRPr="00DE2A1A" w:rsidRDefault="00E2667A" w:rsidP="00EE32FE">
      <w:pPr>
        <w:ind w:right="-5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Újszülöttek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nél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megnyúlik a ceftriaxon felezési ideje. Születéstől 14 napos életkorig a szabad ceftriaxon szint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jén</w:t>
      </w:r>
      <w:r w:rsidRPr="00DE2A1A">
        <w:rPr>
          <w:rFonts w:ascii="Times New Roman" w:hAnsi="Times New Roman"/>
          <w:sz w:val="22"/>
          <w:szCs w:val="22"/>
          <w:lang w:val="hu-HU"/>
        </w:rPr>
        <w:t>ek további emelkedését okozhatja olyan faktorok jelenléte, mint pl. csökkent glomerul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us</w:t>
      </w:r>
      <w:r w:rsidRPr="00DE2A1A">
        <w:rPr>
          <w:rFonts w:ascii="Times New Roman" w:hAnsi="Times New Roman"/>
          <w:sz w:val="22"/>
          <w:szCs w:val="22"/>
          <w:lang w:val="hu-HU"/>
        </w:rPr>
        <w:t>filtráció vagy megváltozott fehérjekötődés. A felezési idő gyermekkorban rövidebb, mint újszülött- vagy felnőttkorban.</w:t>
      </w:r>
    </w:p>
    <w:p w14:paraId="36E799DF" w14:textId="3AD1E1FC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össz-ceftriaxon plazma-clearance-e és eloszlási térfogata a felnőttekéhez képest magasabb újszülött-, csecsemő- és gyermekkorban.</w:t>
      </w:r>
    </w:p>
    <w:p w14:paraId="6E06C35F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1481F8AB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Linearitás/nem-linearitás</w:t>
      </w:r>
    </w:p>
    <w:p w14:paraId="592D73FD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3FC78FC5" w14:textId="54036D0B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 farmakokinetikája nem lineáris, és – ha a teljes gyógyszerkoncentrációval számolunk</w:t>
      </w:r>
      <w:r w:rsidR="00AF2879" w:rsidRPr="00DE2A1A">
        <w:rPr>
          <w:rFonts w:ascii="Times New Roman" w:hAnsi="Times New Roman"/>
          <w:sz w:val="22"/>
          <w:szCs w:val="22"/>
          <w:lang w:val="hu-HU"/>
        </w:rPr>
        <w:t xml:space="preserve"> – </w:t>
      </w:r>
      <w:r w:rsidRPr="00DE2A1A">
        <w:rPr>
          <w:rFonts w:ascii="Times New Roman" w:hAnsi="Times New Roman"/>
          <w:sz w:val="22"/>
          <w:szCs w:val="22"/>
          <w:lang w:val="hu-HU"/>
        </w:rPr>
        <w:t>az eliminációs felezési idő kivételével az összes alapvető farmakokinetikai paraméter dózisfüggő, és a dózissal arányosnál kisebb mértékben emelkedik. A nonlinearitás hátterében a plazmafehérje-kötődés telíthetősége áll, ezért a nonlinearitás csak az össz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plazma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ceftriaxon tekintetében figyelhető meg, a szabad (nem kötött) ceftriaxon vonatkozásában nem.</w:t>
      </w:r>
    </w:p>
    <w:p w14:paraId="65E350C1" w14:textId="77777777" w:rsidR="00E2667A" w:rsidRPr="00DE2A1A" w:rsidRDefault="00E2667A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</w:p>
    <w:p w14:paraId="5C9DF44C" w14:textId="77777777" w:rsidR="00E2667A" w:rsidRPr="00DE2A1A" w:rsidRDefault="00E2667A" w:rsidP="00EE32FE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Farmakokinetikai/farmakodinámiás összefüggés</w:t>
      </w:r>
    </w:p>
    <w:p w14:paraId="32B1EEF0" w14:textId="77777777" w:rsidR="00E2667A" w:rsidRPr="00DE2A1A" w:rsidRDefault="00E2667A" w:rsidP="00EE32FE">
      <w:pPr>
        <w:ind w:right="-55"/>
        <w:rPr>
          <w:rFonts w:ascii="Times New Roman" w:hAnsi="Times New Roman"/>
          <w:i/>
          <w:sz w:val="22"/>
          <w:szCs w:val="22"/>
          <w:u w:val="single"/>
          <w:lang w:val="hu-HU"/>
        </w:rPr>
      </w:pPr>
    </w:p>
    <w:p w14:paraId="6F28332B" w14:textId="227B23B4" w:rsidR="00792B08" w:rsidRPr="00DE2A1A" w:rsidRDefault="00E2667A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többi béta-laktámhoz hasonlóan az </w:t>
      </w:r>
      <w:r w:rsidRPr="00DE2A1A">
        <w:rPr>
          <w:rFonts w:ascii="Times New Roman" w:hAnsi="Times New Roman"/>
          <w:i/>
          <w:sz w:val="22"/>
          <w:szCs w:val="22"/>
          <w:lang w:val="hu-HU"/>
        </w:rPr>
        <w:t>in vivo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hatásossággal korreláló legfontosabb farmakokinetikai-farmakodinámiás mutató az adagolási intervallum azon részének százalékos aránya, melynek során a nem kötött hatóanyag koncentrációja meghaladja a ceftriaxon adott célfajokra meghatározott minimális gátló koncentrációját (MIC) (vagyis %T &gt; MIC).</w:t>
      </w:r>
    </w:p>
    <w:p w14:paraId="743FEB7C" w14:textId="77777777" w:rsidR="00F55AD9" w:rsidRPr="00DE2A1A" w:rsidRDefault="00F55AD9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339DF6B" w14:textId="77777777" w:rsidR="004355C6" w:rsidRPr="00DE2A1A" w:rsidRDefault="004355C6" w:rsidP="00EE32FE">
      <w:pPr>
        <w:keepNext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5.3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A975FC" w:rsidRPr="00DE2A1A">
        <w:rPr>
          <w:rFonts w:ascii="Times New Roman" w:hAnsi="Times New Roman"/>
          <w:b/>
          <w:sz w:val="22"/>
          <w:szCs w:val="22"/>
          <w:lang w:val="hu-HU"/>
        </w:rPr>
        <w:t>A p</w:t>
      </w:r>
      <w:r w:rsidR="00FD59C7" w:rsidRPr="00DE2A1A">
        <w:rPr>
          <w:rFonts w:ascii="Times New Roman" w:hAnsi="Times New Roman"/>
          <w:b/>
          <w:sz w:val="22"/>
          <w:szCs w:val="22"/>
          <w:lang w:val="hu-HU"/>
        </w:rPr>
        <w:t>reklinikai biztonság</w:t>
      </w:r>
      <w:r w:rsidR="00EC0BA5" w:rsidRPr="00DE2A1A">
        <w:rPr>
          <w:rFonts w:ascii="Times New Roman" w:hAnsi="Times New Roman"/>
          <w:b/>
          <w:sz w:val="22"/>
          <w:szCs w:val="22"/>
          <w:lang w:val="hu-HU"/>
        </w:rPr>
        <w:t>osság</w:t>
      </w:r>
      <w:r w:rsidR="00FD59C7" w:rsidRPr="00DE2A1A">
        <w:rPr>
          <w:rFonts w:ascii="Times New Roman" w:hAnsi="Times New Roman"/>
          <w:b/>
          <w:sz w:val="22"/>
          <w:szCs w:val="22"/>
          <w:lang w:val="hu-HU"/>
        </w:rPr>
        <w:t>i vizsgálatok eredményei</w:t>
      </w:r>
    </w:p>
    <w:p w14:paraId="6E3CF0F2" w14:textId="77777777" w:rsidR="004355C6" w:rsidRPr="00DE2A1A" w:rsidRDefault="004355C6" w:rsidP="00EE32FE">
      <w:pPr>
        <w:keepNext/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2F47564" w14:textId="7714D141" w:rsidR="00476AC4" w:rsidRPr="00DE2A1A" w:rsidRDefault="00476AC4" w:rsidP="00EE32FE">
      <w:pPr>
        <w:ind w:right="-55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Állatkísérletek bizonyítják, hogy kutyák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nál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és majmok</w:t>
      </w:r>
      <w:r w:rsidR="00026F59" w:rsidRPr="00DE2A1A">
        <w:rPr>
          <w:rFonts w:ascii="Times New Roman" w:hAnsi="Times New Roman"/>
          <w:sz w:val="22"/>
          <w:szCs w:val="22"/>
          <w:lang w:val="hu-HU"/>
        </w:rPr>
        <w:t>nál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 ceftriaxon-kalcium só magas dózisai kövek és precipitátumok képződéséhez vezetnek az epehólyagban, mely hatás reverzibilisnek bizonyult. Az állatkísérletek során nem igazoltak reprodukciós toxicitást vagy genotoxikus hatást. A ceftriaxonnal nem végeztek karcinogenitási vizsgálatokat.</w:t>
      </w:r>
    </w:p>
    <w:p w14:paraId="6748525F" w14:textId="78C83DA8" w:rsidR="00F60058" w:rsidRPr="00DE2A1A" w:rsidRDefault="00F60058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34F2447A" w14:textId="77777777" w:rsidR="00432BD9" w:rsidRPr="00DE2A1A" w:rsidRDefault="00432BD9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247643A3" w14:textId="77777777" w:rsidR="004355C6" w:rsidRPr="00DE2A1A" w:rsidRDefault="004355C6" w:rsidP="00EE32FE">
      <w:pPr>
        <w:pStyle w:val="spc-s"/>
        <w:keepNext/>
        <w:widowControl w:val="0"/>
        <w:tabs>
          <w:tab w:val="clear" w:pos="851"/>
        </w:tabs>
        <w:spacing w:before="0" w:after="0"/>
        <w:rPr>
          <w:rFonts w:ascii="Times New Roman" w:hAnsi="Times New Roman"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Cs/>
          <w:sz w:val="22"/>
          <w:szCs w:val="22"/>
          <w:lang w:val="hu-HU"/>
        </w:rPr>
        <w:t>6.</w:t>
      </w:r>
      <w:r w:rsidRPr="00DE2A1A">
        <w:rPr>
          <w:rFonts w:ascii="Times New Roman" w:hAnsi="Times New Roman"/>
          <w:bCs/>
          <w:sz w:val="22"/>
          <w:szCs w:val="22"/>
          <w:lang w:val="hu-HU"/>
        </w:rPr>
        <w:tab/>
      </w:r>
      <w:r w:rsidR="00C07520" w:rsidRPr="00DE2A1A">
        <w:rPr>
          <w:rFonts w:ascii="Times New Roman" w:hAnsi="Times New Roman"/>
          <w:bCs/>
          <w:sz w:val="22"/>
          <w:szCs w:val="22"/>
          <w:lang w:val="hu-HU"/>
        </w:rPr>
        <w:t xml:space="preserve">GYÓGYSZERÉSZETI </w:t>
      </w:r>
      <w:r w:rsidR="00EC0BA5" w:rsidRPr="00DE2A1A">
        <w:rPr>
          <w:rFonts w:ascii="Times New Roman" w:hAnsi="Times New Roman"/>
          <w:sz w:val="22"/>
          <w:szCs w:val="22"/>
          <w:lang w:val="hu-HU"/>
        </w:rPr>
        <w:t>JELLEMZŐK</w:t>
      </w:r>
    </w:p>
    <w:p w14:paraId="680D7A76" w14:textId="77777777" w:rsidR="004355C6" w:rsidRPr="00DE2A1A" w:rsidRDefault="004355C6" w:rsidP="00EE32FE">
      <w:pPr>
        <w:keepNext/>
        <w:rPr>
          <w:rFonts w:ascii="Times New Roman" w:hAnsi="Times New Roman"/>
          <w:b/>
          <w:sz w:val="22"/>
          <w:szCs w:val="22"/>
          <w:lang w:val="hu-HU"/>
        </w:rPr>
      </w:pPr>
    </w:p>
    <w:p w14:paraId="681FEE2F" w14:textId="77777777" w:rsidR="00EC0BA5" w:rsidRPr="00DE2A1A" w:rsidRDefault="004355C6" w:rsidP="00EE32FE">
      <w:pPr>
        <w:keepNext/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6.1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C07520" w:rsidRPr="00DE2A1A">
        <w:rPr>
          <w:rFonts w:ascii="Times New Roman" w:hAnsi="Times New Roman"/>
          <w:b/>
          <w:sz w:val="22"/>
          <w:szCs w:val="22"/>
          <w:lang w:val="hu-HU"/>
        </w:rPr>
        <w:t>Segédanyagok</w:t>
      </w:r>
      <w:r w:rsidR="00EC0BA5" w:rsidRPr="00DE2A1A">
        <w:rPr>
          <w:rFonts w:ascii="Times New Roman" w:hAnsi="Times New Roman"/>
          <w:b/>
          <w:sz w:val="22"/>
          <w:szCs w:val="22"/>
          <w:lang w:val="hu-HU"/>
        </w:rPr>
        <w:t xml:space="preserve"> felsorolása</w:t>
      </w:r>
    </w:p>
    <w:p w14:paraId="2C0181CD" w14:textId="77777777" w:rsidR="004355C6" w:rsidRPr="00DE2A1A" w:rsidRDefault="004355C6" w:rsidP="00EE32FE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50DD718F" w14:textId="77777777" w:rsidR="004355C6" w:rsidRPr="00DE2A1A" w:rsidRDefault="00792B08" w:rsidP="00EE32FE">
      <w:pPr>
        <w:keepNext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Segédanyagokat nem tartalmaz</w:t>
      </w:r>
      <w:r w:rsidR="00C07520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5A5A5DDA" w14:textId="77777777" w:rsidR="004C31FA" w:rsidRPr="00DE2A1A" w:rsidRDefault="004C31FA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7CF6B68" w14:textId="77777777" w:rsidR="004355C6" w:rsidRPr="00DE2A1A" w:rsidRDefault="004355C6" w:rsidP="00EE32FE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6.2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  <w:t>In</w:t>
      </w:r>
      <w:r w:rsidR="00C07520" w:rsidRPr="00DE2A1A">
        <w:rPr>
          <w:rFonts w:ascii="Times New Roman" w:hAnsi="Times New Roman"/>
          <w:b/>
          <w:sz w:val="22"/>
          <w:szCs w:val="22"/>
          <w:lang w:val="hu-HU"/>
        </w:rPr>
        <w:t>kompatibilitás</w:t>
      </w:r>
      <w:r w:rsidR="00EC0BA5" w:rsidRPr="00DE2A1A">
        <w:rPr>
          <w:rFonts w:ascii="Times New Roman" w:hAnsi="Times New Roman"/>
          <w:b/>
          <w:sz w:val="22"/>
          <w:szCs w:val="22"/>
          <w:lang w:val="hu-HU"/>
        </w:rPr>
        <w:t>ok</w:t>
      </w:r>
    </w:p>
    <w:p w14:paraId="4B584E3F" w14:textId="77777777" w:rsidR="004355C6" w:rsidRPr="00DE2A1A" w:rsidRDefault="004355C6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15BE9C15" w14:textId="130FB993" w:rsidR="00476AC4" w:rsidRPr="00DE2A1A" w:rsidRDefault="00476AC4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Irodalmi adatok alapján a ceftriaxon inkompatibilis amszakrinnel,</w:t>
      </w:r>
      <w:r w:rsidR="00573016" w:rsidRPr="00DE2A1A">
        <w:rPr>
          <w:rFonts w:ascii="Times New Roman" w:hAnsi="Times New Roman"/>
          <w:sz w:val="22"/>
          <w:szCs w:val="22"/>
          <w:lang w:val="hu-HU"/>
        </w:rPr>
        <w:t xml:space="preserve"> vankomicinnel, flukonazollal,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F3B53" w:rsidRPr="00DE2A1A">
        <w:rPr>
          <w:rFonts w:ascii="Times New Roman" w:hAnsi="Times New Roman"/>
          <w:sz w:val="22"/>
          <w:szCs w:val="22"/>
          <w:lang w:val="hu-HU"/>
        </w:rPr>
        <w:t xml:space="preserve">labetalollal és </w:t>
      </w:r>
      <w:r w:rsidRPr="00DE2A1A">
        <w:rPr>
          <w:rFonts w:ascii="Times New Roman" w:hAnsi="Times New Roman"/>
          <w:sz w:val="22"/>
          <w:szCs w:val="22"/>
          <w:lang w:val="hu-HU"/>
        </w:rPr>
        <w:t>aminoglikozidokkal.</w:t>
      </w:r>
    </w:p>
    <w:p w14:paraId="4C769943" w14:textId="77777777" w:rsidR="00476AC4" w:rsidRPr="00DE2A1A" w:rsidRDefault="00476AC4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CEC33D2" w14:textId="50FE825C" w:rsidR="004A7EBB" w:rsidRPr="00DE2A1A" w:rsidRDefault="00573016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lastRenderedPageBreak/>
        <w:t xml:space="preserve">A ceftriaxon-tartalmú oldatot nem szabad más gyógyszerrel összekeverni vagy más gyógyszerhez hozzáadni, kivéve a 6.6 pontban felsoroltakat. </w:t>
      </w:r>
      <w:r w:rsidR="004A7EBB" w:rsidRPr="00DE2A1A">
        <w:rPr>
          <w:rFonts w:ascii="Times New Roman" w:hAnsi="Times New Roman"/>
          <w:sz w:val="22"/>
          <w:szCs w:val="22"/>
          <w:lang w:val="hu-HU"/>
        </w:rPr>
        <w:t>Különösen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 xml:space="preserve"> a</w:t>
      </w:r>
      <w:r w:rsidR="004A7EBB" w:rsidRPr="00DE2A1A">
        <w:rPr>
          <w:rFonts w:ascii="Times New Roman" w:hAnsi="Times New Roman"/>
          <w:sz w:val="22"/>
          <w:szCs w:val="22"/>
          <w:lang w:val="hu-HU"/>
        </w:rPr>
        <w:t xml:space="preserve"> kalciumot tartalmazó oldószerek (pl. Ringer</w:t>
      </w:r>
      <w:r w:rsidR="002D30BE" w:rsidRPr="00DE2A1A">
        <w:rPr>
          <w:rFonts w:ascii="Times New Roman" w:hAnsi="Times New Roman"/>
          <w:sz w:val="22"/>
          <w:szCs w:val="22"/>
          <w:lang w:val="hu-HU"/>
        </w:rPr>
        <w:t>-</w:t>
      </w:r>
      <w:r w:rsidR="00813DCD" w:rsidRPr="00DE2A1A">
        <w:rPr>
          <w:rFonts w:ascii="Times New Roman" w:hAnsi="Times New Roman"/>
          <w:sz w:val="22"/>
          <w:szCs w:val="22"/>
          <w:lang w:val="hu-HU"/>
        </w:rPr>
        <w:t>oldat</w:t>
      </w:r>
      <w:r w:rsidR="004A7EBB" w:rsidRPr="00DE2A1A">
        <w:rPr>
          <w:rFonts w:ascii="Times New Roman" w:hAnsi="Times New Roman"/>
          <w:sz w:val="22"/>
          <w:szCs w:val="22"/>
          <w:lang w:val="hu-HU"/>
        </w:rPr>
        <w:t xml:space="preserve"> vagy Hartmann</w:t>
      </w:r>
      <w:r w:rsidR="002D30BE" w:rsidRPr="00DE2A1A">
        <w:rPr>
          <w:rFonts w:ascii="Times New Roman" w:hAnsi="Times New Roman"/>
          <w:sz w:val="22"/>
          <w:szCs w:val="22"/>
          <w:lang w:val="hu-HU"/>
        </w:rPr>
        <w:t>-</w:t>
      </w:r>
      <w:r w:rsidR="004A7EBB" w:rsidRPr="00DE2A1A">
        <w:rPr>
          <w:rFonts w:ascii="Times New Roman" w:hAnsi="Times New Roman"/>
          <w:sz w:val="22"/>
          <w:szCs w:val="22"/>
          <w:lang w:val="hu-HU"/>
        </w:rPr>
        <w:t>oldat) nem használhatóak a ceftriaxon feloldásához vagy a feloldás utáni továbbhígítás</w:t>
      </w:r>
      <w:r w:rsidR="00EF3611" w:rsidRPr="00DE2A1A">
        <w:rPr>
          <w:rFonts w:ascii="Times New Roman" w:hAnsi="Times New Roman"/>
          <w:sz w:val="22"/>
          <w:szCs w:val="22"/>
          <w:lang w:val="hu-HU"/>
        </w:rPr>
        <w:t>á</w:t>
      </w:r>
      <w:r w:rsidR="004A7EBB" w:rsidRPr="00DE2A1A">
        <w:rPr>
          <w:rFonts w:ascii="Times New Roman" w:hAnsi="Times New Roman"/>
          <w:sz w:val="22"/>
          <w:szCs w:val="22"/>
          <w:lang w:val="hu-HU"/>
        </w:rPr>
        <w:t>hoz intravénás alkalmazás esetén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>,</w:t>
      </w:r>
      <w:r w:rsidR="004A7EBB" w:rsidRPr="00DE2A1A">
        <w:rPr>
          <w:rFonts w:ascii="Times New Roman" w:hAnsi="Times New Roman"/>
          <w:sz w:val="22"/>
          <w:szCs w:val="22"/>
          <w:lang w:val="hu-HU"/>
        </w:rPr>
        <w:t xml:space="preserve"> a kicsapódás veszélye miatt.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A ceftriaxont tilos összekeverni vagy egyidejűleg beadni kalcium-tartalmú oldattal, beleértve a teljes parenterális táplálásra használt oldatot is </w:t>
      </w:r>
      <w:r w:rsidR="004A7EBB" w:rsidRPr="00DE2A1A">
        <w:rPr>
          <w:rFonts w:ascii="Times New Roman" w:hAnsi="Times New Roman"/>
          <w:sz w:val="22"/>
          <w:szCs w:val="22"/>
          <w:lang w:val="hu-HU"/>
        </w:rPr>
        <w:t>(lásd 4.2, 4.3, 4.4 és 4.8 pont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>ok</w:t>
      </w:r>
      <w:r w:rsidR="004A7EBB" w:rsidRPr="00DE2A1A">
        <w:rPr>
          <w:rFonts w:ascii="Times New Roman" w:hAnsi="Times New Roman"/>
          <w:sz w:val="22"/>
          <w:szCs w:val="22"/>
          <w:lang w:val="hu-HU"/>
        </w:rPr>
        <w:t>).</w:t>
      </w:r>
    </w:p>
    <w:p w14:paraId="6C8CE4BD" w14:textId="77777777" w:rsidR="004C31FA" w:rsidRPr="00DE2A1A" w:rsidRDefault="004C31FA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7430249D" w14:textId="77777777" w:rsidR="004355C6" w:rsidRPr="00DE2A1A" w:rsidRDefault="004355C6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6.3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0C339F" w:rsidRPr="00DE2A1A">
        <w:rPr>
          <w:rFonts w:ascii="Times New Roman" w:hAnsi="Times New Roman"/>
          <w:b/>
          <w:sz w:val="22"/>
          <w:szCs w:val="22"/>
          <w:lang w:val="hu-HU"/>
        </w:rPr>
        <w:t>Felhasználhatósági időtartam</w:t>
      </w:r>
    </w:p>
    <w:p w14:paraId="75F981E9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7FF9B09E" w14:textId="0BE89EF7" w:rsidR="004355C6" w:rsidRPr="00DE2A1A" w:rsidRDefault="00DC75C8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2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C1683" w:rsidRPr="00DE2A1A">
        <w:rPr>
          <w:rFonts w:ascii="Times New Roman" w:hAnsi="Times New Roman"/>
          <w:sz w:val="22"/>
          <w:szCs w:val="22"/>
          <w:lang w:val="hu-HU"/>
        </w:rPr>
        <w:t>év</w:t>
      </w:r>
    </w:p>
    <w:p w14:paraId="28F989AC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0EEE94F9" w14:textId="4D4FDEF6" w:rsidR="00983240" w:rsidRPr="00DE2A1A" w:rsidRDefault="00792B08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Az elkészített oldat fizikai és kémiai stabilitása </w:t>
      </w:r>
      <w:r w:rsidR="000E7D17" w:rsidRPr="00DE2A1A">
        <w:rPr>
          <w:rFonts w:ascii="Times New Roman" w:hAnsi="Times New Roman"/>
          <w:sz w:val="22"/>
          <w:szCs w:val="22"/>
          <w:lang w:val="hu-HU"/>
        </w:rPr>
        <w:t xml:space="preserve">legfeljebb </w:t>
      </w:r>
      <w:r w:rsidRPr="00DE2A1A">
        <w:rPr>
          <w:rFonts w:ascii="Times New Roman" w:hAnsi="Times New Roman"/>
          <w:sz w:val="22"/>
          <w:szCs w:val="22"/>
          <w:lang w:val="hu-HU"/>
        </w:rPr>
        <w:t>25</w:t>
      </w:r>
      <w:r w:rsidR="008F381B">
        <w:rPr>
          <w:rFonts w:ascii="Times New Roman" w:hAnsi="Times New Roman"/>
          <w:sz w:val="22"/>
          <w:szCs w:val="22"/>
          <w:lang w:val="hu-HU"/>
        </w:rPr>
        <w:t> </w:t>
      </w:r>
      <w:r w:rsidRPr="00DE2A1A">
        <w:rPr>
          <w:rFonts w:ascii="Times New Roman" w:hAnsi="Times New Roman"/>
          <w:sz w:val="22"/>
          <w:szCs w:val="22"/>
          <w:lang w:val="hu-HU"/>
        </w:rPr>
        <w:t>°C-on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 xml:space="preserve"> tárolva</w:t>
      </w:r>
      <w:r w:rsidR="00CF557F" w:rsidRPr="00DE2A1A">
        <w:rPr>
          <w:rFonts w:ascii="Times New Roman" w:hAnsi="Times New Roman"/>
          <w:sz w:val="22"/>
          <w:szCs w:val="22"/>
          <w:lang w:val="hu-HU"/>
        </w:rPr>
        <w:t xml:space="preserve"> 6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órá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>n át</w:t>
      </w:r>
      <w:r w:rsidRPr="00DE2A1A">
        <w:rPr>
          <w:rFonts w:ascii="Times New Roman" w:hAnsi="Times New Roman"/>
          <w:sz w:val="22"/>
          <w:szCs w:val="22"/>
          <w:lang w:val="hu-HU"/>
        </w:rPr>
        <w:t>, 2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>–</w:t>
      </w:r>
      <w:r w:rsidRPr="00DE2A1A">
        <w:rPr>
          <w:rFonts w:ascii="Times New Roman" w:hAnsi="Times New Roman"/>
          <w:sz w:val="22"/>
          <w:szCs w:val="22"/>
          <w:lang w:val="hu-HU"/>
        </w:rPr>
        <w:t>8</w:t>
      </w:r>
      <w:r w:rsidR="008F381B">
        <w:rPr>
          <w:rFonts w:ascii="Times New Roman" w:hAnsi="Times New Roman"/>
          <w:sz w:val="22"/>
          <w:szCs w:val="22"/>
          <w:lang w:val="hu-HU"/>
        </w:rPr>
        <w:t> </w:t>
      </w:r>
      <w:r w:rsidRPr="00DE2A1A">
        <w:rPr>
          <w:rFonts w:ascii="Times New Roman" w:hAnsi="Times New Roman"/>
          <w:sz w:val="22"/>
          <w:szCs w:val="22"/>
          <w:lang w:val="hu-HU"/>
        </w:rPr>
        <w:t>°C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 xml:space="preserve">-on 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 xml:space="preserve">tárolva </w:t>
      </w:r>
      <w:r w:rsidR="00BC6FD4" w:rsidRPr="00DE2A1A">
        <w:rPr>
          <w:rFonts w:ascii="Times New Roman" w:hAnsi="Times New Roman"/>
          <w:sz w:val="22"/>
          <w:szCs w:val="22"/>
          <w:lang w:val="hu-HU"/>
        </w:rPr>
        <w:t>24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> </w:t>
      </w:r>
      <w:r w:rsidR="00983240" w:rsidRPr="00DE2A1A">
        <w:rPr>
          <w:rFonts w:ascii="Times New Roman" w:hAnsi="Times New Roman"/>
          <w:sz w:val="22"/>
          <w:szCs w:val="22"/>
          <w:lang w:val="hu-HU"/>
        </w:rPr>
        <w:t>órán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 xml:space="preserve"> át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igazolt</w:t>
      </w:r>
      <w:r w:rsidR="00FA0861" w:rsidRPr="00DE2A1A">
        <w:rPr>
          <w:rFonts w:ascii="Times New Roman" w:hAnsi="Times New Roman"/>
          <w:sz w:val="22"/>
          <w:szCs w:val="22"/>
          <w:lang w:val="hu-HU"/>
        </w:rPr>
        <w:t xml:space="preserve">. </w:t>
      </w:r>
    </w:p>
    <w:p w14:paraId="4DEAD5BE" w14:textId="64381323" w:rsidR="004355C6" w:rsidRPr="00DE2A1A" w:rsidRDefault="00FA0861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M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>i</w:t>
      </w:r>
      <w:r w:rsidRPr="00DE2A1A">
        <w:rPr>
          <w:rFonts w:ascii="Times New Roman" w:hAnsi="Times New Roman"/>
          <w:sz w:val="22"/>
          <w:szCs w:val="22"/>
          <w:lang w:val="hu-HU"/>
        </w:rPr>
        <w:t>k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>robiol</w:t>
      </w:r>
      <w:r w:rsidRPr="00DE2A1A">
        <w:rPr>
          <w:rFonts w:ascii="Times New Roman" w:hAnsi="Times New Roman"/>
          <w:sz w:val="22"/>
          <w:szCs w:val="22"/>
          <w:lang w:val="hu-HU"/>
        </w:rPr>
        <w:t>ógiai szempontból a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>z elkészített oldatot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 xml:space="preserve"> azonnal fel kell használni</w:t>
      </w:r>
      <w:r w:rsidRPr="00DE2A1A">
        <w:rPr>
          <w:rFonts w:ascii="Times New Roman" w:hAnsi="Times New Roman"/>
          <w:sz w:val="22"/>
          <w:szCs w:val="22"/>
          <w:lang w:val="hu-HU"/>
        </w:rPr>
        <w:t>.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 xml:space="preserve"> Amennyiben </w:t>
      </w:r>
      <w:r w:rsidR="005E3159" w:rsidRPr="00DE2A1A">
        <w:rPr>
          <w:rFonts w:ascii="Times New Roman" w:hAnsi="Times New Roman"/>
          <w:sz w:val="22"/>
          <w:szCs w:val="22"/>
          <w:lang w:val="hu-HU"/>
        </w:rPr>
        <w:t xml:space="preserve">nem </w:t>
      </w:r>
      <w:r w:rsidR="000C339F" w:rsidRPr="00DE2A1A">
        <w:rPr>
          <w:rFonts w:ascii="Times New Roman" w:hAnsi="Times New Roman"/>
          <w:sz w:val="22"/>
          <w:szCs w:val="22"/>
          <w:lang w:val="hu-HU"/>
        </w:rPr>
        <w:t>használják fel</w:t>
      </w:r>
      <w:r w:rsidR="005E3159" w:rsidRPr="00DE2A1A">
        <w:rPr>
          <w:rFonts w:ascii="Times New Roman" w:hAnsi="Times New Roman"/>
          <w:sz w:val="22"/>
          <w:szCs w:val="22"/>
          <w:lang w:val="hu-HU"/>
        </w:rPr>
        <w:t xml:space="preserve"> azonnal, a </w:t>
      </w:r>
      <w:r w:rsidR="007D15D7" w:rsidRPr="00DE2A1A">
        <w:rPr>
          <w:rFonts w:ascii="Times New Roman" w:hAnsi="Times New Roman"/>
          <w:sz w:val="22"/>
          <w:szCs w:val="22"/>
          <w:lang w:val="hu-HU"/>
        </w:rPr>
        <w:t>fel</w:t>
      </w:r>
      <w:r w:rsidR="005E3159" w:rsidRPr="00DE2A1A">
        <w:rPr>
          <w:rFonts w:ascii="Times New Roman" w:hAnsi="Times New Roman"/>
          <w:sz w:val="22"/>
          <w:szCs w:val="22"/>
          <w:lang w:val="hu-HU"/>
        </w:rPr>
        <w:t>használ</w:t>
      </w:r>
      <w:r w:rsidR="000C339F" w:rsidRPr="00DE2A1A">
        <w:rPr>
          <w:rFonts w:ascii="Times New Roman" w:hAnsi="Times New Roman"/>
          <w:sz w:val="22"/>
          <w:szCs w:val="22"/>
          <w:lang w:val="hu-HU"/>
        </w:rPr>
        <w:t>ás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>ig az eltartási idő</w:t>
      </w:r>
      <w:r w:rsidR="000C339F" w:rsidRPr="00DE2A1A">
        <w:rPr>
          <w:rFonts w:ascii="Times New Roman" w:hAnsi="Times New Roman"/>
          <w:sz w:val="22"/>
          <w:szCs w:val="22"/>
          <w:lang w:val="hu-HU"/>
        </w:rPr>
        <w:t xml:space="preserve"> és a tárolási körülmények a felhasználó felelős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>sége</w:t>
      </w:r>
      <w:r w:rsidR="000C339F" w:rsidRPr="00DE2A1A">
        <w:rPr>
          <w:rFonts w:ascii="Times New Roman" w:hAnsi="Times New Roman"/>
          <w:sz w:val="22"/>
          <w:szCs w:val="22"/>
          <w:lang w:val="hu-HU"/>
        </w:rPr>
        <w:t>, am</w:t>
      </w:r>
      <w:r w:rsidR="002655F6" w:rsidRPr="00DE2A1A">
        <w:rPr>
          <w:rFonts w:ascii="Times New Roman" w:hAnsi="Times New Roman"/>
          <w:sz w:val="22"/>
          <w:szCs w:val="22"/>
          <w:lang w:val="hu-HU"/>
        </w:rPr>
        <w:t>i</w:t>
      </w:r>
      <w:r w:rsidR="000C339F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 xml:space="preserve">általános esetben </w:t>
      </w:r>
      <w:r w:rsidR="002655F6" w:rsidRPr="00DE2A1A">
        <w:rPr>
          <w:rFonts w:ascii="Times New Roman" w:hAnsi="Times New Roman"/>
          <w:sz w:val="22"/>
          <w:szCs w:val="22"/>
          <w:lang w:val="hu-HU"/>
        </w:rPr>
        <w:t xml:space="preserve">legfeljebb </w:t>
      </w:r>
      <w:r w:rsidR="001151AC" w:rsidRPr="00DE2A1A">
        <w:rPr>
          <w:rFonts w:ascii="Times New Roman" w:hAnsi="Times New Roman"/>
          <w:sz w:val="22"/>
          <w:szCs w:val="22"/>
          <w:lang w:val="hu-HU"/>
        </w:rPr>
        <w:t>25</w:t>
      </w:r>
      <w:r w:rsidR="008F381B">
        <w:rPr>
          <w:rFonts w:ascii="Times New Roman" w:hAnsi="Times New Roman"/>
          <w:sz w:val="22"/>
          <w:szCs w:val="22"/>
          <w:lang w:val="hu-HU"/>
        </w:rPr>
        <w:t> </w:t>
      </w:r>
      <w:r w:rsidR="001151AC" w:rsidRPr="00DE2A1A">
        <w:rPr>
          <w:rFonts w:ascii="Times New Roman" w:hAnsi="Times New Roman"/>
          <w:sz w:val="22"/>
          <w:szCs w:val="22"/>
          <w:lang w:val="hu-HU"/>
        </w:rPr>
        <w:t xml:space="preserve">°C-on </w:t>
      </w:r>
      <w:r w:rsidR="00B660B1" w:rsidRPr="00DE2A1A">
        <w:rPr>
          <w:rFonts w:ascii="Times New Roman" w:hAnsi="Times New Roman"/>
          <w:sz w:val="22"/>
          <w:szCs w:val="22"/>
          <w:lang w:val="hu-HU"/>
        </w:rPr>
        <w:t xml:space="preserve">nem haladhatja meg a </w:t>
      </w:r>
      <w:r w:rsidR="001151AC" w:rsidRPr="00DE2A1A">
        <w:rPr>
          <w:rFonts w:ascii="Times New Roman" w:hAnsi="Times New Roman"/>
          <w:sz w:val="22"/>
          <w:szCs w:val="22"/>
          <w:lang w:val="hu-HU"/>
        </w:rPr>
        <w:t>6 órá</w:t>
      </w:r>
      <w:r w:rsidR="00B660B1" w:rsidRPr="00DE2A1A">
        <w:rPr>
          <w:rFonts w:ascii="Times New Roman" w:hAnsi="Times New Roman"/>
          <w:sz w:val="22"/>
          <w:szCs w:val="22"/>
          <w:lang w:val="hu-HU"/>
        </w:rPr>
        <w:t>t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>,</w:t>
      </w:r>
      <w:r w:rsidR="00B660B1" w:rsidRPr="00DE2A1A">
        <w:rPr>
          <w:rFonts w:ascii="Times New Roman" w:hAnsi="Times New Roman"/>
          <w:sz w:val="22"/>
          <w:szCs w:val="22"/>
          <w:lang w:val="hu-HU"/>
        </w:rPr>
        <w:t xml:space="preserve"> és </w:t>
      </w:r>
      <w:r w:rsidR="005E3159" w:rsidRPr="00DE2A1A">
        <w:rPr>
          <w:rFonts w:ascii="Times New Roman" w:hAnsi="Times New Roman"/>
          <w:sz w:val="22"/>
          <w:szCs w:val="22"/>
          <w:lang w:val="hu-HU"/>
        </w:rPr>
        <w:t>2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>–</w:t>
      </w:r>
      <w:r w:rsidR="005E3159" w:rsidRPr="00DE2A1A">
        <w:rPr>
          <w:rFonts w:ascii="Times New Roman" w:hAnsi="Times New Roman"/>
          <w:sz w:val="22"/>
          <w:szCs w:val="22"/>
          <w:lang w:val="hu-HU"/>
        </w:rPr>
        <w:t>8</w:t>
      </w:r>
      <w:r w:rsidR="008F381B">
        <w:rPr>
          <w:rFonts w:ascii="Times New Roman" w:hAnsi="Times New Roman"/>
          <w:sz w:val="22"/>
          <w:szCs w:val="22"/>
          <w:lang w:val="hu-HU"/>
        </w:rPr>
        <w:t> 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>°C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32BD9" w:rsidRPr="00DE2A1A">
        <w:rPr>
          <w:rFonts w:ascii="Times New Roman" w:hAnsi="Times New Roman"/>
          <w:sz w:val="22"/>
          <w:szCs w:val="22"/>
          <w:lang w:val="hu-HU"/>
        </w:rPr>
        <w:t xml:space="preserve">közötti 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 xml:space="preserve">hőmérsékleten tárolva </w:t>
      </w:r>
      <w:r w:rsidR="000C339F" w:rsidRPr="00DE2A1A">
        <w:rPr>
          <w:rFonts w:ascii="Times New Roman" w:hAnsi="Times New Roman"/>
          <w:sz w:val="22"/>
          <w:szCs w:val="22"/>
          <w:lang w:val="hu-HU"/>
        </w:rPr>
        <w:t>nem haladhatja meg a 24 órát.</w:t>
      </w:r>
    </w:p>
    <w:p w14:paraId="4516B390" w14:textId="77777777" w:rsidR="004C31FA" w:rsidRPr="00DE2A1A" w:rsidRDefault="004C31FA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12F3777A" w14:textId="77777777" w:rsidR="004355C6" w:rsidRPr="00DE2A1A" w:rsidRDefault="001F637B" w:rsidP="00EE32FE">
      <w:pPr>
        <w:numPr>
          <w:ilvl w:val="1"/>
          <w:numId w:val="17"/>
        </w:numPr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Különleges t</w:t>
      </w:r>
      <w:r w:rsidR="005E3159" w:rsidRPr="00DE2A1A">
        <w:rPr>
          <w:rFonts w:ascii="Times New Roman" w:hAnsi="Times New Roman"/>
          <w:b/>
          <w:sz w:val="22"/>
          <w:szCs w:val="22"/>
          <w:lang w:val="hu-HU"/>
        </w:rPr>
        <w:t>árolási előírások</w:t>
      </w:r>
    </w:p>
    <w:p w14:paraId="213B46D5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7A19261A" w14:textId="0397F6B6" w:rsidR="00792B08" w:rsidRPr="00DE2A1A" w:rsidRDefault="005F59ED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Ez a gyógyszer különleges tárolás</w:t>
      </w:r>
      <w:r w:rsidR="005B5AF4">
        <w:rPr>
          <w:rFonts w:ascii="Times New Roman" w:hAnsi="Times New Roman"/>
          <w:sz w:val="22"/>
          <w:szCs w:val="22"/>
          <w:lang w:val="hu-HU"/>
        </w:rPr>
        <w:t>i</w:t>
      </w:r>
      <w:r w:rsidR="005B5AF4" w:rsidRPr="005B5AF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B5AF4" w:rsidRPr="00F5001D">
        <w:rPr>
          <w:rFonts w:ascii="Times New Roman" w:hAnsi="Times New Roman"/>
          <w:color w:val="000000"/>
          <w:sz w:val="22"/>
          <w:szCs w:val="22"/>
        </w:rPr>
        <w:t>hőmérsékletet nem igényel</w:t>
      </w:r>
      <w:r w:rsidRPr="00DE2A1A">
        <w:rPr>
          <w:rFonts w:ascii="Times New Roman" w:hAnsi="Times New Roman"/>
          <w:sz w:val="22"/>
          <w:szCs w:val="22"/>
          <w:lang w:val="hu-HU"/>
        </w:rPr>
        <w:t>.</w:t>
      </w:r>
      <w:r w:rsidR="001A3D3C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F7D3C" w:rsidRPr="00DE2A1A">
        <w:rPr>
          <w:rFonts w:ascii="Times New Roman" w:hAnsi="Times New Roman"/>
          <w:sz w:val="22"/>
          <w:szCs w:val="22"/>
          <w:lang w:val="hu-HU"/>
        </w:rPr>
        <w:t>A fénytől való védelem érdekében az injekciós üveget tartsa a dobozában</w:t>
      </w:r>
      <w:r w:rsidR="007D15D7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5B603F74" w14:textId="77777777" w:rsidR="00FE6866" w:rsidRPr="00DE2A1A" w:rsidRDefault="00FE686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31D7B3A6" w14:textId="18A2374B" w:rsidR="004355C6" w:rsidRPr="00DE2A1A" w:rsidRDefault="00DF44AB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gyógyszer elkészítés utáni tárolására</w:t>
      </w:r>
      <w:r w:rsidR="00F120E0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D15D7" w:rsidRPr="00DE2A1A">
        <w:rPr>
          <w:rFonts w:ascii="Times New Roman" w:hAnsi="Times New Roman"/>
          <w:sz w:val="22"/>
          <w:szCs w:val="22"/>
          <w:lang w:val="hu-HU"/>
        </w:rPr>
        <w:t xml:space="preserve">vonatkozó előírásokat </w:t>
      </w:r>
      <w:r w:rsidR="00F120E0" w:rsidRPr="00DE2A1A">
        <w:rPr>
          <w:rFonts w:ascii="Times New Roman" w:hAnsi="Times New Roman"/>
          <w:sz w:val="22"/>
          <w:szCs w:val="22"/>
          <w:lang w:val="hu-HU"/>
        </w:rPr>
        <w:t>lásd a</w:t>
      </w:r>
      <w:r w:rsidR="007D15D7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>6.3</w:t>
      </w:r>
      <w:r w:rsidR="007D15D7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F637B" w:rsidRPr="00DE2A1A">
        <w:rPr>
          <w:rFonts w:ascii="Times New Roman" w:hAnsi="Times New Roman"/>
          <w:sz w:val="22"/>
          <w:szCs w:val="22"/>
          <w:lang w:val="hu-HU"/>
        </w:rPr>
        <w:t>pon</w:t>
      </w:r>
      <w:r w:rsidR="007D15D7" w:rsidRPr="00DE2A1A">
        <w:rPr>
          <w:rFonts w:ascii="Times New Roman" w:hAnsi="Times New Roman"/>
          <w:sz w:val="22"/>
          <w:szCs w:val="22"/>
          <w:lang w:val="hu-HU"/>
        </w:rPr>
        <w:t>t</w:t>
      </w:r>
      <w:r w:rsidR="00F120E0" w:rsidRPr="00DE2A1A">
        <w:rPr>
          <w:rFonts w:ascii="Times New Roman" w:hAnsi="Times New Roman"/>
          <w:sz w:val="22"/>
          <w:szCs w:val="22"/>
          <w:lang w:val="hu-HU"/>
        </w:rPr>
        <w:t>ban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3B13B90D" w14:textId="77777777" w:rsidR="004C31FA" w:rsidRPr="00DE2A1A" w:rsidRDefault="004C31FA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7EAF0814" w14:textId="77777777" w:rsidR="004355C6" w:rsidRPr="00DE2A1A" w:rsidRDefault="00BE7108" w:rsidP="00EE32FE">
      <w:pPr>
        <w:numPr>
          <w:ilvl w:val="1"/>
          <w:numId w:val="17"/>
        </w:num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Csomagolás</w:t>
      </w:r>
      <w:r w:rsidR="001F637B" w:rsidRPr="00DE2A1A">
        <w:rPr>
          <w:rFonts w:ascii="Times New Roman" w:hAnsi="Times New Roman"/>
          <w:b/>
          <w:bCs/>
          <w:sz w:val="22"/>
          <w:szCs w:val="22"/>
          <w:lang w:val="hu-HU"/>
        </w:rPr>
        <w:t xml:space="preserve"> típusa és kiszerelése</w:t>
      </w:r>
    </w:p>
    <w:p w14:paraId="1BD5D7BC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75C2137F" w14:textId="2230086C" w:rsidR="006F7D3C" w:rsidRPr="00DE2A1A" w:rsidRDefault="00DF44AB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G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>umidugóval és alumínium kupakkal lezárt</w:t>
      </w:r>
      <w:r w:rsidR="00E05A8C" w:rsidRPr="00DE2A1A">
        <w:rPr>
          <w:rFonts w:ascii="Times New Roman" w:hAnsi="Times New Roman"/>
          <w:sz w:val="22"/>
          <w:szCs w:val="22"/>
          <w:lang w:val="hu-HU"/>
        </w:rPr>
        <w:t>,</w:t>
      </w:r>
      <w:r w:rsidR="00792B08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F637B" w:rsidRPr="00DE2A1A">
        <w:rPr>
          <w:rFonts w:ascii="Times New Roman" w:hAnsi="Times New Roman"/>
          <w:sz w:val="22"/>
          <w:szCs w:val="22"/>
          <w:lang w:val="hu-HU"/>
        </w:rPr>
        <w:t>1</w:t>
      </w:r>
      <w:r w:rsidR="001A3D3C" w:rsidRPr="00DE2A1A">
        <w:rPr>
          <w:rFonts w:ascii="Times New Roman" w:hAnsi="Times New Roman"/>
          <w:sz w:val="22"/>
          <w:szCs w:val="22"/>
          <w:lang w:val="hu-HU"/>
        </w:rPr>
        <w:t>0</w:t>
      </w:r>
      <w:r w:rsidR="00BE7108" w:rsidRPr="00DE2A1A">
        <w:rPr>
          <w:rFonts w:ascii="Times New Roman" w:hAnsi="Times New Roman"/>
          <w:sz w:val="22"/>
          <w:szCs w:val="22"/>
          <w:lang w:val="hu-HU"/>
        </w:rPr>
        <w:t xml:space="preserve"> ml</w:t>
      </w:r>
      <w:r w:rsidR="001F637B" w:rsidRPr="00DE2A1A">
        <w:rPr>
          <w:rFonts w:ascii="Times New Roman" w:hAnsi="Times New Roman"/>
          <w:sz w:val="22"/>
          <w:szCs w:val="22"/>
          <w:lang w:val="hu-HU"/>
        </w:rPr>
        <w:t>-es</w:t>
      </w:r>
      <w:r w:rsidR="00BE7108" w:rsidRPr="00DE2A1A">
        <w:rPr>
          <w:rFonts w:ascii="Times New Roman" w:hAnsi="Times New Roman"/>
          <w:sz w:val="22"/>
          <w:szCs w:val="22"/>
          <w:lang w:val="hu-HU"/>
        </w:rPr>
        <w:t>,</w:t>
      </w:r>
      <w:r w:rsidR="004355C6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A3D3C" w:rsidRPr="00DE2A1A">
        <w:rPr>
          <w:rFonts w:ascii="Times New Roman" w:hAnsi="Times New Roman"/>
          <w:sz w:val="22"/>
          <w:szCs w:val="22"/>
          <w:lang w:val="hu-HU"/>
        </w:rPr>
        <w:t>III-as típusú</w:t>
      </w:r>
      <w:r w:rsidR="007721B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07B79" w:rsidRPr="00DE2A1A">
        <w:rPr>
          <w:rFonts w:ascii="Times New Roman" w:hAnsi="Times New Roman"/>
          <w:sz w:val="22"/>
          <w:szCs w:val="22"/>
          <w:lang w:val="hu-HU"/>
        </w:rPr>
        <w:t>injekciós üveg</w:t>
      </w:r>
      <w:r w:rsidR="00BE7108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27EC02DF" w14:textId="77777777" w:rsidR="00740023" w:rsidRPr="00DE2A1A" w:rsidRDefault="00740023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570A4DF" w14:textId="27BFD859" w:rsidR="00740023" w:rsidRPr="00DE2A1A" w:rsidRDefault="00740023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1000 mg ceftriaxonna</w:t>
      </w:r>
      <w:r w:rsidR="00DF44AB" w:rsidRPr="00DE2A1A">
        <w:rPr>
          <w:rFonts w:ascii="Times New Roman" w:hAnsi="Times New Roman"/>
          <w:sz w:val="22"/>
          <w:szCs w:val="22"/>
          <w:lang w:val="hu-HU"/>
        </w:rPr>
        <w:t>k megfelelő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A5B28" w:rsidRPr="00DE2A1A">
        <w:rPr>
          <w:rFonts w:ascii="Times New Roman" w:hAnsi="Times New Roman"/>
          <w:sz w:val="22"/>
          <w:szCs w:val="22"/>
          <w:lang w:val="hu-HU"/>
        </w:rPr>
        <w:t xml:space="preserve">steril </w:t>
      </w:r>
      <w:r w:rsidRPr="00DE2A1A">
        <w:rPr>
          <w:rFonts w:ascii="Times New Roman" w:hAnsi="Times New Roman"/>
          <w:sz w:val="22"/>
          <w:szCs w:val="22"/>
          <w:lang w:val="hu-HU"/>
        </w:rPr>
        <w:t>port tartalmaz injekciós üvegenként.</w:t>
      </w:r>
    </w:p>
    <w:p w14:paraId="6B5D7411" w14:textId="77777777" w:rsidR="00740023" w:rsidRPr="00DE2A1A" w:rsidRDefault="00740023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1162DAE5" w14:textId="39FA59E8" w:rsidR="00740023" w:rsidRPr="00DE2A1A" w:rsidRDefault="005A5B28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1</w:t>
      </w:r>
      <w:r w:rsidR="006D0D89" w:rsidRPr="00DE2A1A">
        <w:rPr>
          <w:rFonts w:ascii="Times New Roman" w:hAnsi="Times New Roman"/>
          <w:sz w:val="22"/>
          <w:szCs w:val="22"/>
          <w:lang w:val="hu-HU"/>
        </w:rPr>
        <w:t> db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injekciós üveg dobozban</w:t>
      </w:r>
    </w:p>
    <w:p w14:paraId="7B17DF0B" w14:textId="1210355B" w:rsidR="000137EA" w:rsidRPr="00DE2A1A" w:rsidRDefault="000137EA" w:rsidP="00EE32FE">
      <w:pPr>
        <w:rPr>
          <w:rFonts w:ascii="Times New Roman" w:hAnsi="Times New Roman"/>
          <w:sz w:val="22"/>
          <w:szCs w:val="22"/>
          <w:highlight w:val="lightGray"/>
          <w:lang w:val="hu-HU"/>
        </w:rPr>
      </w:pPr>
      <w:r w:rsidRPr="00DE2A1A">
        <w:rPr>
          <w:rFonts w:ascii="Times New Roman" w:hAnsi="Times New Roman"/>
          <w:sz w:val="22"/>
          <w:szCs w:val="22"/>
          <w:highlight w:val="lightGray"/>
          <w:lang w:val="hu-HU"/>
        </w:rPr>
        <w:t>5</w:t>
      </w:r>
      <w:r w:rsidR="006D0D89" w:rsidRPr="00DE2A1A">
        <w:rPr>
          <w:rFonts w:ascii="Times New Roman" w:hAnsi="Times New Roman"/>
          <w:sz w:val="22"/>
          <w:szCs w:val="22"/>
          <w:highlight w:val="lightGray"/>
          <w:lang w:val="hu-HU"/>
        </w:rPr>
        <w:t> db</w:t>
      </w:r>
      <w:r w:rsidRPr="00DE2A1A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 injekciós üveg tálcán, dobozban</w:t>
      </w:r>
    </w:p>
    <w:p w14:paraId="1A1A33C9" w14:textId="310156FA" w:rsidR="00F3646E" w:rsidRPr="00DE2A1A" w:rsidRDefault="00F3646E" w:rsidP="00EE32FE">
      <w:pPr>
        <w:rPr>
          <w:rFonts w:ascii="Times New Roman" w:hAnsi="Times New Roman"/>
          <w:sz w:val="22"/>
          <w:szCs w:val="22"/>
          <w:highlight w:val="lightGray"/>
          <w:lang w:val="hu-HU"/>
        </w:rPr>
      </w:pPr>
      <w:r w:rsidRPr="00DE2A1A">
        <w:rPr>
          <w:rFonts w:ascii="Times New Roman" w:hAnsi="Times New Roman"/>
          <w:sz w:val="22"/>
          <w:szCs w:val="22"/>
          <w:highlight w:val="lightGray"/>
          <w:lang w:val="hu-HU"/>
        </w:rPr>
        <w:t>55</w:t>
      </w:r>
      <w:r w:rsidR="006D0D89" w:rsidRPr="00DE2A1A">
        <w:rPr>
          <w:rFonts w:ascii="Times New Roman" w:hAnsi="Times New Roman"/>
          <w:sz w:val="22"/>
          <w:szCs w:val="22"/>
          <w:highlight w:val="lightGray"/>
          <w:lang w:val="hu-HU"/>
        </w:rPr>
        <w:t> db</w:t>
      </w:r>
      <w:r w:rsidRPr="00DE2A1A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 injekciós üveg (</w:t>
      </w:r>
      <w:r w:rsidR="00336F52" w:rsidRPr="00DE2A1A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5 db tálcánként, 11 </w:t>
      </w:r>
      <w:r w:rsidRPr="00DE2A1A">
        <w:rPr>
          <w:rFonts w:ascii="Times New Roman" w:hAnsi="Times New Roman"/>
          <w:sz w:val="22"/>
          <w:szCs w:val="22"/>
          <w:highlight w:val="lightGray"/>
          <w:lang w:val="hu-HU"/>
        </w:rPr>
        <w:t>tálc</w:t>
      </w:r>
      <w:r w:rsidR="00336F52" w:rsidRPr="00DE2A1A">
        <w:rPr>
          <w:rFonts w:ascii="Times New Roman" w:hAnsi="Times New Roman"/>
          <w:sz w:val="22"/>
          <w:szCs w:val="22"/>
          <w:highlight w:val="lightGray"/>
          <w:lang w:val="hu-HU"/>
        </w:rPr>
        <w:t>a)</w:t>
      </w:r>
      <w:r w:rsidRPr="00DE2A1A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 dobozban</w:t>
      </w:r>
    </w:p>
    <w:p w14:paraId="62AC4046" w14:textId="5838629B" w:rsidR="000137EA" w:rsidRPr="00DE2A1A" w:rsidRDefault="00F3646E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highlight w:val="lightGray"/>
          <w:lang w:val="hu-HU"/>
        </w:rPr>
        <w:t>5</w:t>
      </w:r>
      <w:r w:rsidR="000137EA" w:rsidRPr="00DE2A1A">
        <w:rPr>
          <w:rFonts w:ascii="Times New Roman" w:hAnsi="Times New Roman"/>
          <w:sz w:val="22"/>
          <w:szCs w:val="22"/>
          <w:highlight w:val="lightGray"/>
          <w:lang w:val="hu-HU"/>
        </w:rPr>
        <w:t>5</w:t>
      </w:r>
      <w:r w:rsidR="006D0D89" w:rsidRPr="00DE2A1A">
        <w:rPr>
          <w:rFonts w:ascii="Times New Roman" w:hAnsi="Times New Roman"/>
          <w:sz w:val="22"/>
          <w:szCs w:val="22"/>
          <w:highlight w:val="lightGray"/>
          <w:lang w:val="hu-HU"/>
        </w:rPr>
        <w:t> db</w:t>
      </w:r>
      <w:r w:rsidR="000137EA" w:rsidRPr="00DE2A1A">
        <w:rPr>
          <w:rFonts w:ascii="Times New Roman" w:hAnsi="Times New Roman"/>
          <w:sz w:val="22"/>
          <w:szCs w:val="22"/>
          <w:highlight w:val="lightGray"/>
          <w:lang w:val="hu-HU"/>
        </w:rPr>
        <w:t xml:space="preserve"> injekciós üveg tálcán, dobozban</w:t>
      </w:r>
    </w:p>
    <w:p w14:paraId="46E66349" w14:textId="77777777" w:rsidR="000137EA" w:rsidRPr="00DE2A1A" w:rsidRDefault="000137EA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26AD541E" w14:textId="6FF2D8AC" w:rsidR="00573016" w:rsidRPr="00DE2A1A" w:rsidRDefault="004C6528" w:rsidP="00EE32FE">
      <w:pPr>
        <w:rPr>
          <w:rFonts w:ascii="Times New Roman" w:hAnsi="Times New Roman"/>
          <w:sz w:val="22"/>
          <w:szCs w:val="22"/>
          <w:lang w:val="hu-HU" w:eastAsia="en-US"/>
        </w:rPr>
      </w:pPr>
      <w:r w:rsidRPr="00DE2A1A">
        <w:rPr>
          <w:rFonts w:ascii="Times New Roman" w:hAnsi="Times New Roman"/>
          <w:sz w:val="22"/>
          <w:szCs w:val="22"/>
          <w:lang w:val="hu-HU" w:eastAsia="en-US"/>
        </w:rPr>
        <w:t>Nem feltétlenül mindegyik kiszerelés kerül kereskedelmi forgalomba.</w:t>
      </w:r>
    </w:p>
    <w:p w14:paraId="7C921424" w14:textId="77777777" w:rsidR="004C6528" w:rsidRPr="00DE2A1A" w:rsidRDefault="004C6528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6280C56F" w14:textId="77777777" w:rsidR="004355C6" w:rsidRPr="00DE2A1A" w:rsidRDefault="001F637B" w:rsidP="00EE32FE">
      <w:pPr>
        <w:numPr>
          <w:ilvl w:val="1"/>
          <w:numId w:val="17"/>
        </w:numPr>
        <w:rPr>
          <w:rFonts w:ascii="Times New Roman" w:hAnsi="Times New Roman"/>
          <w:b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A megsemmisítésre vonatkozó különleges óvintézkedések és egyéb, a készítmény kezelésével kapcsolatos információk</w:t>
      </w:r>
    </w:p>
    <w:p w14:paraId="0123188E" w14:textId="7E01CF6E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267FA1AE" w14:textId="42FE8BED" w:rsidR="00176864" w:rsidRPr="00DE2A1A" w:rsidRDefault="00C763E6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injekciós vagy infúziós oldat elkészítése (</w:t>
      </w:r>
      <w:r w:rsidR="000B5994" w:rsidRPr="00DE2A1A">
        <w:rPr>
          <w:rFonts w:ascii="Times New Roman" w:hAnsi="Times New Roman"/>
          <w:sz w:val="22"/>
          <w:szCs w:val="22"/>
          <w:lang w:val="hu-HU"/>
        </w:rPr>
        <w:t>további információért lásd még a 4.2 pontot)</w:t>
      </w:r>
      <w:r w:rsidR="000260EC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328117C6" w14:textId="1D79C319" w:rsidR="00176864" w:rsidRPr="00DE2A1A" w:rsidRDefault="00176864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633E6A73" w14:textId="017FDCCA" w:rsidR="00176864" w:rsidRPr="00DE2A1A" w:rsidRDefault="002F043D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elkészített oldato</w:t>
      </w:r>
      <w:r w:rsidR="001A71C5" w:rsidRPr="00DE2A1A">
        <w:rPr>
          <w:rFonts w:ascii="Times New Roman" w:hAnsi="Times New Roman"/>
          <w:sz w:val="22"/>
          <w:szCs w:val="22"/>
          <w:lang w:val="hu-HU"/>
        </w:rPr>
        <w:t>t azonnal fel kell használni.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A</w:t>
      </w:r>
      <w:r w:rsidR="00B20134" w:rsidRPr="00DE2A1A">
        <w:rPr>
          <w:rFonts w:ascii="Times New Roman" w:hAnsi="Times New Roman"/>
          <w:sz w:val="22"/>
          <w:szCs w:val="22"/>
          <w:lang w:val="hu-HU"/>
        </w:rPr>
        <w:t>z elkészített oldat tárolási körülm</w:t>
      </w:r>
      <w:r w:rsidR="00DF44AB" w:rsidRPr="00DE2A1A">
        <w:rPr>
          <w:rFonts w:ascii="Times New Roman" w:hAnsi="Times New Roman"/>
          <w:sz w:val="22"/>
          <w:szCs w:val="22"/>
          <w:lang w:val="hu-HU"/>
        </w:rPr>
        <w:t>é</w:t>
      </w:r>
      <w:r w:rsidR="00B20134" w:rsidRPr="00DE2A1A">
        <w:rPr>
          <w:rFonts w:ascii="Times New Roman" w:hAnsi="Times New Roman"/>
          <w:sz w:val="22"/>
          <w:szCs w:val="22"/>
          <w:lang w:val="hu-HU"/>
        </w:rPr>
        <w:t xml:space="preserve">nyeiről </w:t>
      </w:r>
      <w:r w:rsidR="000260EC" w:rsidRPr="00DE2A1A">
        <w:rPr>
          <w:rFonts w:ascii="Times New Roman" w:hAnsi="Times New Roman"/>
          <w:sz w:val="22"/>
          <w:szCs w:val="22"/>
          <w:lang w:val="hu-HU"/>
        </w:rPr>
        <w:t>lásd még a 6.3 pontot.</w:t>
      </w:r>
    </w:p>
    <w:p w14:paraId="057B7728" w14:textId="3A4AE089" w:rsidR="00176864" w:rsidRPr="00DE2A1A" w:rsidRDefault="00176864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3A71C246" w14:textId="05DBA241" w:rsidR="002200B0" w:rsidRPr="00DE2A1A" w:rsidRDefault="002200B0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ceftriaxon</w:t>
      </w:r>
      <w:r w:rsidR="001F637B" w:rsidRPr="00DE2A1A">
        <w:rPr>
          <w:rFonts w:ascii="Times New Roman" w:hAnsi="Times New Roman"/>
          <w:sz w:val="22"/>
          <w:szCs w:val="22"/>
          <w:lang w:val="hu-HU"/>
        </w:rPr>
        <w:t xml:space="preserve"> nem keverhető ugyanabban a fecskendőben semmilyen más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gyógyszerrel</w:t>
      </w:r>
      <w:r w:rsidR="001F637B" w:rsidRPr="00DE2A1A">
        <w:rPr>
          <w:rFonts w:ascii="Times New Roman" w:hAnsi="Times New Roman"/>
          <w:sz w:val="22"/>
          <w:szCs w:val="22"/>
          <w:lang w:val="hu-HU"/>
        </w:rPr>
        <w:t xml:space="preserve">, kivéve </w:t>
      </w:r>
      <w:r w:rsidRPr="00DE2A1A">
        <w:rPr>
          <w:rFonts w:ascii="Times New Roman" w:hAnsi="Times New Roman"/>
          <w:sz w:val="22"/>
          <w:szCs w:val="22"/>
          <w:lang w:val="hu-HU"/>
        </w:rPr>
        <w:t>az 1%</w:t>
      </w:r>
      <w:r w:rsidR="0025029F" w:rsidRPr="00DE2A1A">
        <w:rPr>
          <w:rFonts w:ascii="Times New Roman" w:hAnsi="Times New Roman"/>
          <w:sz w:val="22"/>
          <w:szCs w:val="22"/>
          <w:lang w:val="hu-HU"/>
        </w:rPr>
        <w:noBreakHyphen/>
      </w:r>
      <w:r w:rsidRPr="00DE2A1A">
        <w:rPr>
          <w:rFonts w:ascii="Times New Roman" w:hAnsi="Times New Roman"/>
          <w:sz w:val="22"/>
          <w:szCs w:val="22"/>
          <w:lang w:val="hu-HU"/>
        </w:rPr>
        <w:t>os lido</w:t>
      </w:r>
      <w:r w:rsidR="000A336B" w:rsidRPr="00DE2A1A">
        <w:rPr>
          <w:rFonts w:ascii="Times New Roman" w:hAnsi="Times New Roman"/>
          <w:sz w:val="22"/>
          <w:szCs w:val="22"/>
          <w:lang w:val="hu-HU"/>
        </w:rPr>
        <w:t>k</w:t>
      </w:r>
      <w:r w:rsidRPr="00DE2A1A">
        <w:rPr>
          <w:rFonts w:ascii="Times New Roman" w:hAnsi="Times New Roman"/>
          <w:sz w:val="22"/>
          <w:szCs w:val="22"/>
          <w:lang w:val="hu-HU"/>
        </w:rPr>
        <w:t>ain</w:t>
      </w:r>
      <w:r w:rsidR="000A336B" w:rsidRPr="00DE2A1A">
        <w:rPr>
          <w:rFonts w:ascii="Times New Roman" w:hAnsi="Times New Roman"/>
          <w:sz w:val="22"/>
          <w:szCs w:val="22"/>
          <w:lang w:val="hu-HU"/>
        </w:rPr>
        <w:t>-hidroklorid</w:t>
      </w:r>
      <w:r w:rsidR="00DF44AB" w:rsidRPr="00DE2A1A">
        <w:rPr>
          <w:rFonts w:ascii="Times New Roman" w:hAnsi="Times New Roman"/>
          <w:sz w:val="22"/>
          <w:szCs w:val="22"/>
          <w:lang w:val="hu-HU"/>
        </w:rPr>
        <w:t>-</w:t>
      </w:r>
      <w:r w:rsidRPr="00DE2A1A">
        <w:rPr>
          <w:rFonts w:ascii="Times New Roman" w:hAnsi="Times New Roman"/>
          <w:sz w:val="22"/>
          <w:szCs w:val="22"/>
          <w:lang w:val="hu-HU"/>
        </w:rPr>
        <w:t>oldatot (</w:t>
      </w:r>
      <w:r w:rsidR="0051304B" w:rsidRPr="00DE2A1A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DE2A1A">
        <w:rPr>
          <w:rFonts w:ascii="Times New Roman" w:hAnsi="Times New Roman"/>
          <w:sz w:val="22"/>
          <w:szCs w:val="22"/>
          <w:lang w:val="hu-HU"/>
        </w:rPr>
        <w:t>intramus</w:t>
      </w:r>
      <w:r w:rsidR="00AB1073" w:rsidRPr="00DE2A1A">
        <w:rPr>
          <w:rFonts w:ascii="Times New Roman" w:hAnsi="Times New Roman"/>
          <w:sz w:val="22"/>
          <w:szCs w:val="22"/>
          <w:lang w:val="hu-HU"/>
        </w:rPr>
        <w:t>zk</w:t>
      </w:r>
      <w:r w:rsidRPr="00DE2A1A">
        <w:rPr>
          <w:rFonts w:ascii="Times New Roman" w:hAnsi="Times New Roman"/>
          <w:sz w:val="22"/>
          <w:szCs w:val="22"/>
          <w:lang w:val="hu-HU"/>
        </w:rPr>
        <w:t>ul</w:t>
      </w:r>
      <w:r w:rsidR="00AB1073" w:rsidRPr="00DE2A1A">
        <w:rPr>
          <w:rFonts w:ascii="Times New Roman" w:hAnsi="Times New Roman"/>
          <w:sz w:val="22"/>
          <w:szCs w:val="22"/>
          <w:lang w:val="hu-HU"/>
        </w:rPr>
        <w:t>á</w:t>
      </w:r>
      <w:r w:rsidRPr="00DE2A1A">
        <w:rPr>
          <w:rFonts w:ascii="Times New Roman" w:hAnsi="Times New Roman"/>
          <w:sz w:val="22"/>
          <w:szCs w:val="22"/>
          <w:lang w:val="hu-HU"/>
        </w:rPr>
        <w:t>ris injekció céljából).</w:t>
      </w:r>
    </w:p>
    <w:p w14:paraId="7D81398C" w14:textId="61899CE1" w:rsidR="00343CB4" w:rsidRPr="00DE2A1A" w:rsidRDefault="00343CB4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775448AA" w14:textId="72F87770" w:rsidR="00343CB4" w:rsidRPr="00DE2A1A" w:rsidRDefault="00343CB4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infúziós szereléket minden alkalmazás után át kell mosni.</w:t>
      </w:r>
    </w:p>
    <w:p w14:paraId="410AE77E" w14:textId="5A5FA483" w:rsidR="00343CB4" w:rsidRPr="00DE2A1A" w:rsidRDefault="00343CB4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22372A55" w14:textId="4218778F" w:rsidR="00343CB4" w:rsidRPr="00DE2A1A" w:rsidRDefault="00343CB4" w:rsidP="00EE32FE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 xml:space="preserve">Intravénás </w:t>
      </w:r>
      <w:r w:rsidR="002661C7" w:rsidRPr="00DE2A1A">
        <w:rPr>
          <w:rFonts w:ascii="Times New Roman" w:hAnsi="Times New Roman"/>
          <w:sz w:val="22"/>
          <w:szCs w:val="22"/>
          <w:u w:val="single"/>
          <w:lang w:val="hu-HU"/>
        </w:rPr>
        <w:t>injekció</w:t>
      </w:r>
    </w:p>
    <w:p w14:paraId="3936C43C" w14:textId="78EBF0BF" w:rsidR="002200B0" w:rsidRPr="00DE2A1A" w:rsidRDefault="00A2615B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25EF8" w:rsidRPr="00DE2A1A">
        <w:rPr>
          <w:rFonts w:ascii="Times New Roman" w:hAnsi="Times New Roman"/>
          <w:sz w:val="22"/>
          <w:szCs w:val="22"/>
          <w:lang w:val="hu-HU"/>
        </w:rPr>
        <w:t>1 g port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intravénás injekció céljából </w:t>
      </w:r>
      <w:r w:rsidR="00D050C3" w:rsidRPr="00DE2A1A">
        <w:rPr>
          <w:rFonts w:ascii="Times New Roman" w:hAnsi="Times New Roman"/>
          <w:sz w:val="22"/>
          <w:szCs w:val="22"/>
          <w:lang w:val="hu-HU"/>
        </w:rPr>
        <w:t xml:space="preserve">10 ml injekcióhoz való vízben kell feloldani. Az injekciót 5 perc alatt kell </w:t>
      </w:r>
      <w:r w:rsidR="005A174A" w:rsidRPr="00DE2A1A">
        <w:rPr>
          <w:rFonts w:ascii="Times New Roman" w:hAnsi="Times New Roman"/>
          <w:sz w:val="22"/>
          <w:szCs w:val="22"/>
          <w:lang w:val="hu-HU"/>
        </w:rPr>
        <w:t xml:space="preserve">közvetlenül a vénába </w:t>
      </w:r>
      <w:r w:rsidR="00D050C3" w:rsidRPr="00DE2A1A">
        <w:rPr>
          <w:rFonts w:ascii="Times New Roman" w:hAnsi="Times New Roman"/>
          <w:sz w:val="22"/>
          <w:szCs w:val="22"/>
          <w:lang w:val="hu-HU"/>
        </w:rPr>
        <w:t>beadni.</w:t>
      </w:r>
    </w:p>
    <w:p w14:paraId="4B788E36" w14:textId="6AF47911" w:rsidR="002661C7" w:rsidRPr="00DE2A1A" w:rsidRDefault="002661C7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3DB49803" w14:textId="4056C81F" w:rsidR="005A174A" w:rsidRPr="00DE2A1A" w:rsidRDefault="005A174A" w:rsidP="008E2383">
      <w:pPr>
        <w:keepNext/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lastRenderedPageBreak/>
        <w:t>Intravénás infúzió</w:t>
      </w:r>
    </w:p>
    <w:p w14:paraId="0DA16051" w14:textId="0E7FDA62" w:rsidR="005F1E96" w:rsidRPr="00DE2A1A" w:rsidRDefault="00660F59" w:rsidP="00EE32FE">
      <w:pPr>
        <w:pStyle w:val="Default"/>
        <w:rPr>
          <w:sz w:val="22"/>
          <w:szCs w:val="22"/>
        </w:rPr>
      </w:pPr>
      <w:r w:rsidRPr="00DE2A1A">
        <w:rPr>
          <w:sz w:val="22"/>
          <w:szCs w:val="22"/>
        </w:rPr>
        <w:t xml:space="preserve">A </w:t>
      </w:r>
      <w:r w:rsidR="00247B8A" w:rsidRPr="00DE2A1A">
        <w:rPr>
          <w:sz w:val="22"/>
          <w:szCs w:val="22"/>
        </w:rPr>
        <w:t xml:space="preserve">Ceftriaxone </w:t>
      </w:r>
      <w:r w:rsidR="00A477C5">
        <w:rPr>
          <w:sz w:val="22"/>
          <w:szCs w:val="22"/>
        </w:rPr>
        <w:t>Be Pharma</w:t>
      </w:r>
      <w:r w:rsidR="00247B8A" w:rsidRPr="00DE2A1A">
        <w:rPr>
          <w:sz w:val="22"/>
          <w:szCs w:val="22"/>
        </w:rPr>
        <w:t xml:space="preserve"> </w:t>
      </w:r>
      <w:r w:rsidRPr="00DE2A1A">
        <w:rPr>
          <w:sz w:val="22"/>
          <w:szCs w:val="22"/>
        </w:rPr>
        <w:t xml:space="preserve">1 g port </w:t>
      </w:r>
      <w:r w:rsidR="00DF44AB" w:rsidRPr="00DE2A1A">
        <w:rPr>
          <w:sz w:val="22"/>
          <w:szCs w:val="22"/>
        </w:rPr>
        <w:t xml:space="preserve">az alábbi </w:t>
      </w:r>
      <w:r w:rsidR="00C77336" w:rsidRPr="00DE2A1A">
        <w:rPr>
          <w:sz w:val="22"/>
          <w:szCs w:val="22"/>
        </w:rPr>
        <w:t>kalciummentes infúziós oldat</w:t>
      </w:r>
      <w:r w:rsidR="00DF44AB" w:rsidRPr="00DE2A1A">
        <w:rPr>
          <w:sz w:val="22"/>
          <w:szCs w:val="22"/>
        </w:rPr>
        <w:t>ok valamelyikének 50 ml-é</w:t>
      </w:r>
      <w:r w:rsidR="00C77336" w:rsidRPr="00DE2A1A">
        <w:rPr>
          <w:sz w:val="22"/>
          <w:szCs w:val="22"/>
        </w:rPr>
        <w:t>b</w:t>
      </w:r>
      <w:r w:rsidR="00DF44AB" w:rsidRPr="00DE2A1A">
        <w:rPr>
          <w:sz w:val="22"/>
          <w:szCs w:val="22"/>
        </w:rPr>
        <w:t>e</w:t>
      </w:r>
      <w:r w:rsidR="00C77336" w:rsidRPr="00DE2A1A">
        <w:rPr>
          <w:sz w:val="22"/>
          <w:szCs w:val="22"/>
        </w:rPr>
        <w:t xml:space="preserve">n kell </w:t>
      </w:r>
      <w:r w:rsidR="00A949AA" w:rsidRPr="00DE2A1A">
        <w:rPr>
          <w:sz w:val="22"/>
          <w:szCs w:val="22"/>
        </w:rPr>
        <w:t xml:space="preserve">feloldani: </w:t>
      </w:r>
      <w:r w:rsidR="009B13B3" w:rsidRPr="00DE2A1A">
        <w:rPr>
          <w:sz w:val="22"/>
          <w:szCs w:val="22"/>
        </w:rPr>
        <w:t xml:space="preserve">0,9%-os </w:t>
      </w:r>
      <w:r w:rsidR="005206EA" w:rsidRPr="00DE2A1A">
        <w:rPr>
          <w:sz w:val="22"/>
          <w:szCs w:val="22"/>
        </w:rPr>
        <w:t>nátrium-klorid</w:t>
      </w:r>
      <w:r w:rsidR="00DF44AB" w:rsidRPr="00DE2A1A">
        <w:rPr>
          <w:sz w:val="22"/>
          <w:szCs w:val="22"/>
        </w:rPr>
        <w:t>-</w:t>
      </w:r>
      <w:r w:rsidR="009B13B3" w:rsidRPr="00DE2A1A">
        <w:rPr>
          <w:sz w:val="22"/>
          <w:szCs w:val="22"/>
        </w:rPr>
        <w:t>oldat</w:t>
      </w:r>
      <w:r w:rsidR="005F1E96" w:rsidRPr="00DE2A1A">
        <w:rPr>
          <w:sz w:val="22"/>
          <w:szCs w:val="22"/>
        </w:rPr>
        <w:t>, 5%-os glükóz</w:t>
      </w:r>
      <w:r w:rsidR="00DF44AB" w:rsidRPr="00DE2A1A">
        <w:rPr>
          <w:sz w:val="22"/>
          <w:szCs w:val="22"/>
        </w:rPr>
        <w:t>-</w:t>
      </w:r>
      <w:r w:rsidR="005F1E96" w:rsidRPr="00DE2A1A">
        <w:rPr>
          <w:sz w:val="22"/>
          <w:szCs w:val="22"/>
        </w:rPr>
        <w:t>oldat, 10%-os glükóz</w:t>
      </w:r>
      <w:r w:rsidR="00DF44AB" w:rsidRPr="00DE2A1A">
        <w:rPr>
          <w:sz w:val="22"/>
          <w:szCs w:val="22"/>
        </w:rPr>
        <w:t>-</w:t>
      </w:r>
      <w:r w:rsidR="005F1E96" w:rsidRPr="00DE2A1A">
        <w:rPr>
          <w:sz w:val="22"/>
          <w:szCs w:val="22"/>
        </w:rPr>
        <w:t>oldat</w:t>
      </w:r>
      <w:r w:rsidR="00DF0831" w:rsidRPr="00DE2A1A">
        <w:rPr>
          <w:sz w:val="22"/>
          <w:szCs w:val="22"/>
        </w:rPr>
        <w:t xml:space="preserve">, </w:t>
      </w:r>
      <w:r w:rsidR="004B7797" w:rsidRPr="00DE2A1A">
        <w:rPr>
          <w:sz w:val="22"/>
          <w:szCs w:val="22"/>
        </w:rPr>
        <w:t xml:space="preserve">0,9%-os </w:t>
      </w:r>
      <w:r w:rsidR="005206EA" w:rsidRPr="00DE2A1A">
        <w:rPr>
          <w:sz w:val="22"/>
          <w:szCs w:val="22"/>
        </w:rPr>
        <w:t>nátrium-klorid</w:t>
      </w:r>
      <w:r w:rsidR="00DF44AB" w:rsidRPr="00DE2A1A">
        <w:rPr>
          <w:sz w:val="22"/>
          <w:szCs w:val="22"/>
        </w:rPr>
        <w:t>-</w:t>
      </w:r>
      <w:r w:rsidR="004B7797" w:rsidRPr="00DE2A1A">
        <w:rPr>
          <w:sz w:val="22"/>
          <w:szCs w:val="22"/>
        </w:rPr>
        <w:t>oldat</w:t>
      </w:r>
      <w:r w:rsidR="000F7F36" w:rsidRPr="00DE2A1A">
        <w:rPr>
          <w:sz w:val="22"/>
          <w:szCs w:val="22"/>
        </w:rPr>
        <w:t xml:space="preserve"> és</w:t>
      </w:r>
      <w:r w:rsidR="004B7797" w:rsidRPr="00DE2A1A">
        <w:rPr>
          <w:sz w:val="22"/>
          <w:szCs w:val="22"/>
        </w:rPr>
        <w:t xml:space="preserve"> 5%-os glükóz</w:t>
      </w:r>
      <w:r w:rsidR="00DF44AB" w:rsidRPr="00DE2A1A">
        <w:rPr>
          <w:sz w:val="22"/>
          <w:szCs w:val="22"/>
        </w:rPr>
        <w:t>-</w:t>
      </w:r>
      <w:r w:rsidR="004B7797" w:rsidRPr="00DE2A1A">
        <w:rPr>
          <w:sz w:val="22"/>
          <w:szCs w:val="22"/>
        </w:rPr>
        <w:t>oldat</w:t>
      </w:r>
      <w:r w:rsidR="000F7F36" w:rsidRPr="00DE2A1A">
        <w:rPr>
          <w:sz w:val="22"/>
          <w:szCs w:val="22"/>
        </w:rPr>
        <w:t>.</w:t>
      </w:r>
    </w:p>
    <w:p w14:paraId="333724D9" w14:textId="0F35ABD2" w:rsidR="005F1E96" w:rsidRPr="00DE2A1A" w:rsidRDefault="005F1E96" w:rsidP="00EE32FE">
      <w:pPr>
        <w:pStyle w:val="Default"/>
        <w:rPr>
          <w:sz w:val="22"/>
          <w:szCs w:val="22"/>
        </w:rPr>
      </w:pPr>
    </w:p>
    <w:p w14:paraId="2C33E74F" w14:textId="1A35C094" w:rsidR="00AC15AA" w:rsidRPr="00DE2A1A" w:rsidRDefault="00AC15AA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7E419D" w:rsidRPr="00DE2A1A">
        <w:rPr>
          <w:rFonts w:ascii="Times New Roman" w:hAnsi="Times New Roman"/>
          <w:sz w:val="22"/>
          <w:szCs w:val="22"/>
          <w:lang w:val="hu-HU"/>
        </w:rPr>
        <w:t>1 g</w:t>
      </w:r>
      <w:r w:rsidR="005A10F7" w:rsidRPr="00DE2A1A">
        <w:rPr>
          <w:rFonts w:ascii="Times New Roman" w:hAnsi="Times New Roman"/>
          <w:sz w:val="22"/>
          <w:szCs w:val="22"/>
          <w:lang w:val="hu-HU"/>
        </w:rPr>
        <w:t>-os injekciós üveg</w:t>
      </w:r>
      <w:r w:rsidR="00DF44AB" w:rsidRPr="00DE2A1A">
        <w:rPr>
          <w:rFonts w:ascii="Times New Roman" w:hAnsi="Times New Roman"/>
          <w:sz w:val="22"/>
          <w:szCs w:val="22"/>
          <w:lang w:val="hu-HU"/>
        </w:rPr>
        <w:t>hez készítse elő</w:t>
      </w:r>
      <w:r w:rsidR="005A10F7" w:rsidRPr="00DE2A1A">
        <w:rPr>
          <w:rFonts w:ascii="Times New Roman" w:hAnsi="Times New Roman"/>
          <w:sz w:val="22"/>
          <w:szCs w:val="22"/>
          <w:lang w:val="hu-HU"/>
        </w:rPr>
        <w:t xml:space="preserve"> a kompatibilis oldószer</w:t>
      </w:r>
      <w:r w:rsidR="00DF44AB" w:rsidRPr="00DE2A1A">
        <w:rPr>
          <w:rFonts w:ascii="Times New Roman" w:hAnsi="Times New Roman"/>
          <w:sz w:val="22"/>
          <w:szCs w:val="22"/>
          <w:lang w:val="hu-HU"/>
        </w:rPr>
        <w:t xml:space="preserve"> összesen 50 ml-ét, és részletekben adja hozzá, az alábbiak szerint</w:t>
      </w:r>
      <w:r w:rsidRPr="00DE2A1A">
        <w:rPr>
          <w:rFonts w:ascii="Times New Roman" w:hAnsi="Times New Roman"/>
          <w:sz w:val="22"/>
          <w:szCs w:val="22"/>
          <w:lang w:val="hu-HU"/>
        </w:rPr>
        <w:t>:</w:t>
      </w:r>
    </w:p>
    <w:p w14:paraId="5E3D9A0A" w14:textId="77777777" w:rsidR="00AC15AA" w:rsidRPr="00DE2A1A" w:rsidRDefault="00AC15AA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646545C" w14:textId="47B9DDA5" w:rsidR="00411C60" w:rsidRPr="00DE2A1A" w:rsidRDefault="0037186E" w:rsidP="00EE32FE">
      <w:pPr>
        <w:numPr>
          <w:ilvl w:val="0"/>
          <w:numId w:val="54"/>
        </w:num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Szúrja át a fecskendő tűjét az 1 g-os injekciós üveg záróelemén, és adjon az üveg tartalmához 10 ml oldószert</w:t>
      </w:r>
      <w:r w:rsidR="00AC15AA" w:rsidRPr="00DE2A1A">
        <w:rPr>
          <w:rFonts w:ascii="Times New Roman" w:hAnsi="Times New Roman"/>
          <w:sz w:val="22"/>
          <w:szCs w:val="22"/>
          <w:lang w:val="hu-HU"/>
        </w:rPr>
        <w:t xml:space="preserve">. </w:t>
      </w:r>
    </w:p>
    <w:p w14:paraId="0A56798E" w14:textId="4078E53F" w:rsidR="002E3281" w:rsidRPr="00DE2A1A" w:rsidRDefault="00FF559A" w:rsidP="00EE32FE">
      <w:pPr>
        <w:numPr>
          <w:ilvl w:val="0"/>
          <w:numId w:val="54"/>
        </w:num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tű </w:t>
      </w:r>
      <w:r w:rsidR="002E3281" w:rsidRPr="00DE2A1A">
        <w:rPr>
          <w:rFonts w:ascii="Times New Roman" w:hAnsi="Times New Roman"/>
          <w:sz w:val="22"/>
          <w:szCs w:val="22"/>
          <w:lang w:val="hu-HU"/>
        </w:rPr>
        <w:t>e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ltávolítása után </w:t>
      </w:r>
      <w:r w:rsidR="002E3281" w:rsidRPr="00DE2A1A">
        <w:rPr>
          <w:rFonts w:ascii="Times New Roman" w:hAnsi="Times New Roman"/>
          <w:sz w:val="22"/>
          <w:szCs w:val="22"/>
          <w:lang w:val="hu-HU"/>
        </w:rPr>
        <w:t>a tiszt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a</w:t>
      </w:r>
      <w:r w:rsidR="002E3281" w:rsidRPr="00DE2A1A">
        <w:rPr>
          <w:rFonts w:ascii="Times New Roman" w:hAnsi="Times New Roman"/>
          <w:sz w:val="22"/>
          <w:szCs w:val="22"/>
          <w:lang w:val="hu-HU"/>
        </w:rPr>
        <w:t xml:space="preserve"> oldat </w:t>
      </w:r>
      <w:r w:rsidR="006200E0" w:rsidRPr="00DE2A1A">
        <w:rPr>
          <w:rFonts w:ascii="Times New Roman" w:hAnsi="Times New Roman"/>
          <w:sz w:val="22"/>
          <w:szCs w:val="22"/>
          <w:lang w:val="hu-HU"/>
        </w:rPr>
        <w:t xml:space="preserve">elérése </w:t>
      </w:r>
      <w:r w:rsidR="002E3281" w:rsidRPr="00DE2A1A">
        <w:rPr>
          <w:rFonts w:ascii="Times New Roman" w:hAnsi="Times New Roman"/>
          <w:sz w:val="22"/>
          <w:szCs w:val="22"/>
          <w:lang w:val="hu-HU"/>
        </w:rPr>
        <w:t xml:space="preserve">érdekében </w:t>
      </w:r>
      <w:r w:rsidR="00CB43D1" w:rsidRPr="00DE2A1A">
        <w:rPr>
          <w:rFonts w:ascii="Times New Roman" w:hAnsi="Times New Roman"/>
          <w:sz w:val="22"/>
          <w:szCs w:val="22"/>
          <w:lang w:val="hu-HU"/>
        </w:rPr>
        <w:t>az injekciós üveget fel kell rázni</w:t>
      </w:r>
      <w:r w:rsidR="002E3281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724060F4" w14:textId="77645711" w:rsidR="00443860" w:rsidRPr="00DE2A1A" w:rsidRDefault="009D4416" w:rsidP="00EE32FE">
      <w:pPr>
        <w:numPr>
          <w:ilvl w:val="0"/>
          <w:numId w:val="54"/>
        </w:num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Ne szúrjon be a gáz eltávolítá</w:t>
      </w:r>
      <w:r w:rsidR="00443860" w:rsidRPr="00DE2A1A">
        <w:rPr>
          <w:rFonts w:ascii="Times New Roman" w:hAnsi="Times New Roman"/>
          <w:sz w:val="22"/>
          <w:szCs w:val="22"/>
          <w:lang w:val="hu-HU"/>
        </w:rPr>
        <w:t>sa céljából injekciós tűt addig, amíg a por fel nem oldódott.</w:t>
      </w:r>
      <w:r w:rsidR="00002B3E" w:rsidRPr="00DE2A1A">
        <w:rPr>
          <w:rFonts w:ascii="Times New Roman" w:hAnsi="Times New Roman"/>
          <w:sz w:val="22"/>
          <w:szCs w:val="22"/>
          <w:lang w:val="hu-HU"/>
        </w:rPr>
        <w:t xml:space="preserve"> Ezután távolítsa el a keletkezett gáz</w:t>
      </w:r>
      <w:r w:rsidR="007160A5" w:rsidRPr="00DE2A1A">
        <w:rPr>
          <w:rFonts w:ascii="Times New Roman" w:hAnsi="Times New Roman"/>
          <w:sz w:val="22"/>
          <w:szCs w:val="22"/>
          <w:lang w:val="hu-HU"/>
        </w:rPr>
        <w:t>t</w:t>
      </w:r>
      <w:r w:rsidR="00002B3E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62F84" w:rsidRPr="00DE2A1A">
        <w:rPr>
          <w:rFonts w:ascii="Times New Roman" w:hAnsi="Times New Roman"/>
          <w:sz w:val="22"/>
          <w:szCs w:val="22"/>
          <w:lang w:val="hu-HU"/>
        </w:rPr>
        <w:t>egy tű beszúrása segítségével.</w:t>
      </w:r>
    </w:p>
    <w:p w14:paraId="38388D33" w14:textId="0883228C" w:rsidR="00462F84" w:rsidRPr="00DE2A1A" w:rsidRDefault="00462F84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15958BDB" w14:textId="78FF87B6" w:rsidR="008C7724" w:rsidRPr="00DE2A1A" w:rsidRDefault="00F86152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Vigye át az </w:t>
      </w:r>
      <w:r w:rsidR="007160A5" w:rsidRPr="00DE2A1A">
        <w:rPr>
          <w:rFonts w:ascii="Times New Roman" w:hAnsi="Times New Roman"/>
          <w:sz w:val="22"/>
          <w:szCs w:val="22"/>
          <w:lang w:val="hu-HU"/>
        </w:rPr>
        <w:t xml:space="preserve">így elkészített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oldatot a végleges </w:t>
      </w:r>
      <w:r w:rsidR="000A17A6" w:rsidRPr="00DE2A1A">
        <w:rPr>
          <w:rFonts w:ascii="Times New Roman" w:hAnsi="Times New Roman"/>
          <w:sz w:val="22"/>
          <w:szCs w:val="22"/>
          <w:lang w:val="hu-HU"/>
        </w:rPr>
        <w:t>tartályba (pl. min</w:t>
      </w:r>
      <w:r w:rsidR="0029140B" w:rsidRPr="00DE2A1A">
        <w:rPr>
          <w:rFonts w:ascii="Times New Roman" w:hAnsi="Times New Roman"/>
          <w:sz w:val="22"/>
          <w:szCs w:val="22"/>
          <w:lang w:val="hu-HU"/>
        </w:rPr>
        <w:t>i</w:t>
      </w:r>
      <w:r w:rsidR="000A17A6" w:rsidRPr="00DE2A1A">
        <w:rPr>
          <w:rFonts w:ascii="Times New Roman" w:hAnsi="Times New Roman"/>
          <w:sz w:val="22"/>
          <w:szCs w:val="22"/>
          <w:lang w:val="hu-HU"/>
        </w:rPr>
        <w:t xml:space="preserve"> bag vagy </w:t>
      </w:r>
      <w:r w:rsidR="0029140B" w:rsidRPr="00DE2A1A">
        <w:rPr>
          <w:rFonts w:ascii="Times New Roman" w:hAnsi="Times New Roman"/>
          <w:sz w:val="22"/>
          <w:szCs w:val="22"/>
          <w:lang w:val="hu-HU"/>
        </w:rPr>
        <w:t>büretta típusú adagoló) és egészítse ki a térfogatot 50 ml-re</w:t>
      </w:r>
      <w:r w:rsidR="00820122" w:rsidRPr="00DE2A1A">
        <w:rPr>
          <w:rFonts w:ascii="Times New Roman" w:hAnsi="Times New Roman"/>
          <w:sz w:val="22"/>
          <w:szCs w:val="22"/>
          <w:lang w:val="hu-HU"/>
        </w:rPr>
        <w:t xml:space="preserve"> és </w:t>
      </w:r>
      <w:r w:rsidR="008C7724" w:rsidRPr="00DE2A1A">
        <w:rPr>
          <w:rFonts w:ascii="Times New Roman" w:hAnsi="Times New Roman"/>
          <w:sz w:val="22"/>
          <w:szCs w:val="22"/>
          <w:lang w:val="hu-HU"/>
        </w:rPr>
        <w:t xml:space="preserve">30 perc alatt </w:t>
      </w:r>
      <w:r w:rsidR="00820122" w:rsidRPr="00DE2A1A">
        <w:rPr>
          <w:rFonts w:ascii="Times New Roman" w:hAnsi="Times New Roman"/>
          <w:sz w:val="22"/>
          <w:szCs w:val="22"/>
          <w:lang w:val="hu-HU"/>
        </w:rPr>
        <w:t xml:space="preserve">adja be az 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 xml:space="preserve">intravénás </w:t>
      </w:r>
      <w:r w:rsidR="00820122" w:rsidRPr="00DE2A1A">
        <w:rPr>
          <w:rFonts w:ascii="Times New Roman" w:hAnsi="Times New Roman"/>
          <w:sz w:val="22"/>
          <w:szCs w:val="22"/>
          <w:lang w:val="hu-HU"/>
        </w:rPr>
        <w:t>infúziót</w:t>
      </w:r>
      <w:r w:rsidR="008C7724" w:rsidRPr="00DE2A1A">
        <w:rPr>
          <w:rFonts w:ascii="Times New Roman" w:hAnsi="Times New Roman"/>
          <w:sz w:val="22"/>
          <w:szCs w:val="22"/>
          <w:lang w:val="hu-HU"/>
        </w:rPr>
        <w:t>. Lásd még a 6.2 pont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ban található információka</w:t>
      </w:r>
      <w:r w:rsidR="008C7724" w:rsidRPr="00DE2A1A">
        <w:rPr>
          <w:rFonts w:ascii="Times New Roman" w:hAnsi="Times New Roman"/>
          <w:sz w:val="22"/>
          <w:szCs w:val="22"/>
          <w:lang w:val="hu-HU"/>
        </w:rPr>
        <w:t>t.</w:t>
      </w:r>
    </w:p>
    <w:p w14:paraId="29D11334" w14:textId="49360930" w:rsidR="00462F84" w:rsidRPr="00DE2A1A" w:rsidRDefault="00820122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</w:p>
    <w:p w14:paraId="37EC4E0F" w14:textId="77777777" w:rsidR="002200B0" w:rsidRPr="00DE2A1A" w:rsidRDefault="002200B0" w:rsidP="00EE32FE">
      <w:pPr>
        <w:rPr>
          <w:rFonts w:ascii="Times New Roman" w:hAnsi="Times New Roman"/>
          <w:sz w:val="22"/>
          <w:szCs w:val="22"/>
          <w:u w:val="single"/>
          <w:lang w:val="hu-HU"/>
        </w:rPr>
      </w:pP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Intramus</w:t>
      </w:r>
      <w:r w:rsidR="00792B08" w:rsidRPr="00DE2A1A">
        <w:rPr>
          <w:rFonts w:ascii="Times New Roman" w:hAnsi="Times New Roman"/>
          <w:sz w:val="22"/>
          <w:szCs w:val="22"/>
          <w:u w:val="single"/>
          <w:lang w:val="hu-HU"/>
        </w:rPr>
        <w:t>c</w:t>
      </w: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ul</w:t>
      </w:r>
      <w:r w:rsidR="00792B08" w:rsidRPr="00DE2A1A">
        <w:rPr>
          <w:rFonts w:ascii="Times New Roman" w:hAnsi="Times New Roman"/>
          <w:sz w:val="22"/>
          <w:szCs w:val="22"/>
          <w:u w:val="single"/>
          <w:lang w:val="hu-HU"/>
        </w:rPr>
        <w:t>a</w:t>
      </w:r>
      <w:r w:rsidRPr="00DE2A1A">
        <w:rPr>
          <w:rFonts w:ascii="Times New Roman" w:hAnsi="Times New Roman"/>
          <w:sz w:val="22"/>
          <w:szCs w:val="22"/>
          <w:u w:val="single"/>
          <w:lang w:val="hu-HU"/>
        </w:rPr>
        <w:t>ris injekció</w:t>
      </w:r>
    </w:p>
    <w:p w14:paraId="7F7B6C83" w14:textId="59E992FA" w:rsidR="00D938F6" w:rsidRPr="00DE2A1A" w:rsidRDefault="000A34F6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intr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a</w:t>
      </w:r>
      <w:r w:rsidRPr="00DE2A1A">
        <w:rPr>
          <w:rFonts w:ascii="Times New Roman" w:hAnsi="Times New Roman"/>
          <w:sz w:val="22"/>
          <w:szCs w:val="22"/>
          <w:lang w:val="hu-HU"/>
        </w:rPr>
        <w:t>mus</w:t>
      </w:r>
      <w:r w:rsidR="00225722" w:rsidRPr="00DE2A1A">
        <w:rPr>
          <w:rFonts w:ascii="Times New Roman" w:hAnsi="Times New Roman"/>
          <w:sz w:val="22"/>
          <w:szCs w:val="22"/>
          <w:lang w:val="hu-HU"/>
        </w:rPr>
        <w:t xml:space="preserve">cularis injekcióhoz </w:t>
      </w:r>
      <w:r w:rsidR="00A90F2F" w:rsidRPr="00DE2A1A">
        <w:rPr>
          <w:rFonts w:ascii="Times New Roman" w:hAnsi="Times New Roman"/>
          <w:sz w:val="22"/>
          <w:szCs w:val="22"/>
          <w:lang w:val="hu-HU"/>
        </w:rPr>
        <w:t xml:space="preserve">oldja fel a 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Ceftriaxone </w:t>
      </w:r>
      <w:r w:rsidR="00A477C5">
        <w:rPr>
          <w:rFonts w:ascii="Times New Roman" w:hAnsi="Times New Roman"/>
          <w:sz w:val="22"/>
          <w:szCs w:val="22"/>
          <w:lang w:val="hu-HU"/>
        </w:rPr>
        <w:t>Be Pharma</w:t>
      </w:r>
      <w:r w:rsidR="00247B8A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25722" w:rsidRPr="00DE2A1A">
        <w:rPr>
          <w:rFonts w:ascii="Times New Roman" w:hAnsi="Times New Roman"/>
          <w:sz w:val="22"/>
          <w:szCs w:val="22"/>
          <w:lang w:val="hu-HU"/>
        </w:rPr>
        <w:t>1 g port</w:t>
      </w:r>
      <w:r w:rsidR="00A90F2F" w:rsidRPr="00DE2A1A">
        <w:rPr>
          <w:rFonts w:ascii="Times New Roman" w:hAnsi="Times New Roman"/>
          <w:sz w:val="22"/>
          <w:szCs w:val="22"/>
          <w:lang w:val="hu-HU"/>
        </w:rPr>
        <w:t xml:space="preserve"> 3,5 ml </w:t>
      </w:r>
      <w:r w:rsidR="00A90F2F" w:rsidRPr="00DE2A1A">
        <w:rPr>
          <w:rFonts w:ascii="Times New Roman" w:hAnsi="Times New Roman"/>
          <w:iCs/>
          <w:sz w:val="22"/>
          <w:szCs w:val="22"/>
          <w:lang w:val="hu-HU"/>
        </w:rPr>
        <w:t>1%</w:t>
      </w:r>
      <w:r w:rsidR="004B7EE8" w:rsidRPr="00DE2A1A">
        <w:rPr>
          <w:rFonts w:ascii="Times New Roman" w:hAnsi="Times New Roman"/>
          <w:iCs/>
          <w:sz w:val="22"/>
          <w:szCs w:val="22"/>
          <w:lang w:val="hu-HU"/>
        </w:rPr>
        <w:t>-os</w:t>
      </w:r>
      <w:r w:rsidR="00A90F2F" w:rsidRPr="00DE2A1A">
        <w:rPr>
          <w:rFonts w:ascii="Times New Roman" w:hAnsi="Times New Roman"/>
          <w:iCs/>
          <w:sz w:val="22"/>
          <w:szCs w:val="22"/>
          <w:lang w:val="hu-HU"/>
        </w:rPr>
        <w:t xml:space="preserve"> </w:t>
      </w:r>
      <w:r w:rsidR="00A90F2F" w:rsidRPr="00DE2A1A">
        <w:rPr>
          <w:rFonts w:ascii="Times New Roman" w:hAnsi="Times New Roman"/>
          <w:sz w:val="22"/>
          <w:szCs w:val="22"/>
          <w:lang w:val="hu-HU"/>
        </w:rPr>
        <w:t>lidokain</w:t>
      </w:r>
      <w:r w:rsidR="00A90F2F" w:rsidRPr="00DE2A1A">
        <w:rPr>
          <w:rFonts w:ascii="Times New Roman" w:hAnsi="Times New Roman"/>
          <w:sz w:val="22"/>
          <w:szCs w:val="22"/>
          <w:lang w:val="hu-HU"/>
        </w:rPr>
        <w:noBreakHyphen/>
        <w:t>hidroklorid</w:t>
      </w:r>
      <w:r w:rsidR="00DF44AB" w:rsidRPr="00DE2A1A">
        <w:rPr>
          <w:rFonts w:ascii="Times New Roman" w:hAnsi="Times New Roman"/>
          <w:sz w:val="22"/>
          <w:szCs w:val="22"/>
          <w:lang w:val="hu-HU"/>
        </w:rPr>
        <w:t>-</w:t>
      </w:r>
      <w:r w:rsidR="00A90F2F" w:rsidRPr="00DE2A1A">
        <w:rPr>
          <w:rFonts w:ascii="Times New Roman" w:hAnsi="Times New Roman"/>
          <w:sz w:val="22"/>
          <w:szCs w:val="22"/>
          <w:lang w:val="hu-HU"/>
        </w:rPr>
        <w:t>oldatban</w:t>
      </w:r>
      <w:r w:rsidR="00F41B43" w:rsidRPr="00DE2A1A">
        <w:rPr>
          <w:rFonts w:ascii="Times New Roman" w:hAnsi="Times New Roman"/>
          <w:sz w:val="22"/>
          <w:szCs w:val="22"/>
          <w:lang w:val="hu-HU"/>
        </w:rPr>
        <w:t xml:space="preserve">. Az 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 xml:space="preserve">így elkészített oldatot </w:t>
      </w:r>
      <w:r w:rsidR="00F41B43" w:rsidRPr="00DE2A1A">
        <w:rPr>
          <w:rFonts w:ascii="Times New Roman" w:hAnsi="Times New Roman"/>
          <w:sz w:val="22"/>
          <w:szCs w:val="22"/>
          <w:lang w:val="hu-HU"/>
        </w:rPr>
        <w:t>mély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 xml:space="preserve"> intramuscularis injekcióban</w:t>
      </w:r>
      <w:r w:rsidR="00F41B43" w:rsidRPr="00DE2A1A">
        <w:rPr>
          <w:rFonts w:ascii="Times New Roman" w:hAnsi="Times New Roman"/>
          <w:sz w:val="22"/>
          <w:szCs w:val="22"/>
          <w:lang w:val="hu-HU"/>
        </w:rPr>
        <w:t xml:space="preserve"> kell beadni. </w:t>
      </w:r>
      <w:r w:rsidR="001471AB" w:rsidRPr="00DE2A1A">
        <w:rPr>
          <w:rFonts w:ascii="Times New Roman" w:hAnsi="Times New Roman"/>
          <w:sz w:val="22"/>
          <w:szCs w:val="22"/>
          <w:lang w:val="hu-HU"/>
        </w:rPr>
        <w:t xml:space="preserve">Az 1 g-nál nagyobb dózist </w:t>
      </w:r>
      <w:r w:rsidR="009A5ACE" w:rsidRPr="00DE2A1A">
        <w:rPr>
          <w:rFonts w:ascii="Times New Roman" w:hAnsi="Times New Roman"/>
          <w:sz w:val="22"/>
          <w:szCs w:val="22"/>
          <w:lang w:val="hu-HU"/>
        </w:rPr>
        <w:t xml:space="preserve">részletekben, több helyre kell beadni. </w:t>
      </w:r>
    </w:p>
    <w:p w14:paraId="1E1B97E4" w14:textId="239ED435" w:rsidR="00BA63F3" w:rsidRPr="00DE2A1A" w:rsidRDefault="00BA63F3" w:rsidP="00EE32FE">
      <w:pPr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1F3FA895" w14:textId="512477BA" w:rsidR="00BA63F3" w:rsidRPr="00DE2A1A" w:rsidRDefault="00684186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gyógyszer 1 g-jának kiszorítási térfogata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B7EE8" w:rsidRPr="00DE2A1A">
        <w:rPr>
          <w:rFonts w:ascii="Times New Roman" w:hAnsi="Times New Roman"/>
          <w:sz w:val="22"/>
          <w:szCs w:val="22"/>
          <w:lang w:val="hu-HU"/>
        </w:rPr>
        <w:t>0,71 ml injekcióhoz való víz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ben</w:t>
      </w:r>
      <w:r w:rsidR="004B7EE8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041A8" w:rsidRPr="00DE2A1A">
        <w:rPr>
          <w:rFonts w:ascii="Times New Roman" w:hAnsi="Times New Roman"/>
          <w:sz w:val="22"/>
          <w:szCs w:val="22"/>
          <w:lang w:val="hu-HU"/>
        </w:rPr>
        <w:t>és</w:t>
      </w:r>
      <w:r w:rsidR="004B7EE8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B7EE8" w:rsidRPr="00DE2A1A">
        <w:rPr>
          <w:rFonts w:ascii="Times New Roman" w:hAnsi="Times New Roman"/>
          <w:iCs/>
          <w:sz w:val="22"/>
          <w:szCs w:val="22"/>
          <w:lang w:val="hu-HU"/>
        </w:rPr>
        <w:t xml:space="preserve">1%-os </w:t>
      </w:r>
      <w:r w:rsidR="004B7EE8" w:rsidRPr="00DE2A1A">
        <w:rPr>
          <w:rFonts w:ascii="Times New Roman" w:hAnsi="Times New Roman"/>
          <w:sz w:val="22"/>
          <w:szCs w:val="22"/>
          <w:lang w:val="hu-HU"/>
        </w:rPr>
        <w:t>lidokain</w:t>
      </w:r>
      <w:r w:rsidR="004B7EE8" w:rsidRPr="00DE2A1A">
        <w:rPr>
          <w:rFonts w:ascii="Times New Roman" w:hAnsi="Times New Roman"/>
          <w:sz w:val="22"/>
          <w:szCs w:val="22"/>
          <w:lang w:val="hu-HU"/>
        </w:rPr>
        <w:noBreakHyphen/>
        <w:t>hidroklorid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-</w:t>
      </w:r>
      <w:r w:rsidR="004B7EE8" w:rsidRPr="00DE2A1A">
        <w:rPr>
          <w:rFonts w:ascii="Times New Roman" w:hAnsi="Times New Roman"/>
          <w:sz w:val="22"/>
          <w:szCs w:val="22"/>
          <w:lang w:val="hu-HU"/>
        </w:rPr>
        <w:t>oldat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ban</w:t>
      </w:r>
      <w:r w:rsidR="004B7EE8" w:rsidRPr="00DE2A1A">
        <w:rPr>
          <w:rFonts w:ascii="Times New Roman" w:hAnsi="Times New Roman"/>
          <w:sz w:val="22"/>
          <w:szCs w:val="22"/>
          <w:lang w:val="hu-HU"/>
        </w:rPr>
        <w:t xml:space="preserve"> pótolható.</w:t>
      </w:r>
      <w:r w:rsidR="00997BBF" w:rsidRPr="00DE2A1A">
        <w:rPr>
          <w:rFonts w:ascii="Times New Roman" w:hAnsi="Times New Roman"/>
          <w:sz w:val="22"/>
          <w:szCs w:val="22"/>
          <w:lang w:val="hu-HU"/>
        </w:rPr>
        <w:t xml:space="preserve"> 10 ml injekcióhoz való víz hozzáadása 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az elkészített oldat végső koncentrációja</w:t>
      </w:r>
      <w:r w:rsidR="00997BBF" w:rsidRPr="00DE2A1A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041A8" w:rsidRPr="00DE2A1A">
        <w:rPr>
          <w:rFonts w:ascii="Times New Roman" w:hAnsi="Times New Roman"/>
          <w:sz w:val="22"/>
          <w:szCs w:val="22"/>
          <w:lang w:val="hu-HU"/>
        </w:rPr>
        <w:t>93,37 mg/</w:t>
      </w:r>
      <w:r w:rsidR="004531E2" w:rsidRPr="00DE2A1A">
        <w:rPr>
          <w:rFonts w:ascii="Times New Roman" w:hAnsi="Times New Roman"/>
          <w:sz w:val="22"/>
          <w:szCs w:val="22"/>
          <w:lang w:val="hu-HU"/>
        </w:rPr>
        <w:t>m</w:t>
      </w:r>
      <w:r w:rsidR="00E041A8" w:rsidRPr="00DE2A1A">
        <w:rPr>
          <w:rFonts w:ascii="Times New Roman" w:hAnsi="Times New Roman"/>
          <w:sz w:val="22"/>
          <w:szCs w:val="22"/>
          <w:lang w:val="hu-HU"/>
        </w:rPr>
        <w:t xml:space="preserve">l lesz. 3,5 ml </w:t>
      </w:r>
      <w:r w:rsidR="00E041A8" w:rsidRPr="00DE2A1A">
        <w:rPr>
          <w:rFonts w:ascii="Times New Roman" w:hAnsi="Times New Roman"/>
          <w:iCs/>
          <w:sz w:val="22"/>
          <w:szCs w:val="22"/>
          <w:lang w:val="hu-HU"/>
        </w:rPr>
        <w:t xml:space="preserve">1%-os </w:t>
      </w:r>
      <w:r w:rsidR="00E041A8" w:rsidRPr="00DE2A1A">
        <w:rPr>
          <w:rFonts w:ascii="Times New Roman" w:hAnsi="Times New Roman"/>
          <w:sz w:val="22"/>
          <w:szCs w:val="22"/>
          <w:lang w:val="hu-HU"/>
        </w:rPr>
        <w:t>lidokain</w:t>
      </w:r>
      <w:r w:rsidR="00E041A8" w:rsidRPr="00DE2A1A">
        <w:rPr>
          <w:rFonts w:ascii="Times New Roman" w:hAnsi="Times New Roman"/>
          <w:sz w:val="22"/>
          <w:szCs w:val="22"/>
          <w:lang w:val="hu-HU"/>
        </w:rPr>
        <w:noBreakHyphen/>
        <w:t>hidroklorid</w:t>
      </w:r>
      <w:r w:rsidR="00DF44AB" w:rsidRPr="00DE2A1A">
        <w:rPr>
          <w:rFonts w:ascii="Times New Roman" w:hAnsi="Times New Roman"/>
          <w:sz w:val="22"/>
          <w:szCs w:val="22"/>
          <w:lang w:val="hu-HU"/>
        </w:rPr>
        <w:t>-</w:t>
      </w:r>
      <w:r w:rsidR="00E041A8" w:rsidRPr="00DE2A1A">
        <w:rPr>
          <w:rFonts w:ascii="Times New Roman" w:hAnsi="Times New Roman"/>
          <w:sz w:val="22"/>
          <w:szCs w:val="22"/>
          <w:lang w:val="hu-HU"/>
        </w:rPr>
        <w:t>oldat hozzáadása után a</w:t>
      </w:r>
      <w:r w:rsidR="004531E2" w:rsidRPr="00DE2A1A">
        <w:rPr>
          <w:rFonts w:ascii="Times New Roman" w:hAnsi="Times New Roman"/>
          <w:sz w:val="22"/>
          <w:szCs w:val="22"/>
          <w:lang w:val="hu-HU"/>
        </w:rPr>
        <w:t>z elkészített oldat vég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 xml:space="preserve">ső </w:t>
      </w:r>
      <w:r w:rsidR="004531E2" w:rsidRPr="00DE2A1A">
        <w:rPr>
          <w:rFonts w:ascii="Times New Roman" w:hAnsi="Times New Roman"/>
          <w:sz w:val="22"/>
          <w:szCs w:val="22"/>
          <w:lang w:val="hu-HU"/>
        </w:rPr>
        <w:t>koncentrációja 237,53 mg/ml lesz.</w:t>
      </w:r>
    </w:p>
    <w:p w14:paraId="4E915657" w14:textId="38AA16CE" w:rsidR="004B7EE8" w:rsidRPr="00DE2A1A" w:rsidRDefault="004B7EE8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7039B673" w14:textId="46996BAF" w:rsidR="004B7EE8" w:rsidRPr="00DE2A1A" w:rsidRDefault="00F25EC2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06C4E1EF" w14:textId="4A1C3AA2" w:rsidR="00F25EC2" w:rsidRPr="00DE2A1A" w:rsidRDefault="00F25EC2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38022428" w14:textId="2C01059A" w:rsidR="00F25EC2" w:rsidRPr="00DE2A1A" w:rsidRDefault="00B057C5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Az elkészített oldat kizárólag egyszeri felhasználásra való.</w:t>
      </w:r>
    </w:p>
    <w:p w14:paraId="2E1AB939" w14:textId="77777777" w:rsidR="004531E2" w:rsidRPr="00DE2A1A" w:rsidRDefault="004531E2" w:rsidP="00EE32FE">
      <w:pPr>
        <w:rPr>
          <w:rFonts w:ascii="Times New Roman" w:hAnsi="Times New Roman"/>
          <w:iCs/>
          <w:sz w:val="22"/>
          <w:szCs w:val="22"/>
          <w:lang w:val="hu-HU"/>
        </w:rPr>
      </w:pPr>
    </w:p>
    <w:p w14:paraId="1D33FECA" w14:textId="3BDC2DD9" w:rsidR="004E25AD" w:rsidRPr="00DE2A1A" w:rsidRDefault="002200B0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 xml:space="preserve">Az elkészített oldatot 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 xml:space="preserve">vizuálisan 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meg kell 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vizsgálni</w:t>
      </w:r>
      <w:r w:rsidRPr="00DE2A1A">
        <w:rPr>
          <w:rFonts w:ascii="Times New Roman" w:hAnsi="Times New Roman"/>
          <w:sz w:val="22"/>
          <w:szCs w:val="22"/>
          <w:lang w:val="hu-HU"/>
        </w:rPr>
        <w:t>. Csak teljesen tiszta, látható részecské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>k</w:t>
      </w:r>
      <w:r w:rsidRPr="00DE2A1A">
        <w:rPr>
          <w:rFonts w:ascii="Times New Roman" w:hAnsi="Times New Roman"/>
          <w:sz w:val="22"/>
          <w:szCs w:val="22"/>
          <w:lang w:val="hu-HU"/>
        </w:rPr>
        <w:t xml:space="preserve">től </w:t>
      </w:r>
      <w:r w:rsidR="0037186E" w:rsidRPr="00DE2A1A">
        <w:rPr>
          <w:rFonts w:ascii="Times New Roman" w:hAnsi="Times New Roman"/>
          <w:sz w:val="22"/>
          <w:szCs w:val="22"/>
          <w:lang w:val="hu-HU"/>
        </w:rPr>
        <w:t xml:space="preserve">gyakorlatilag </w:t>
      </w:r>
      <w:r w:rsidRPr="00DE2A1A">
        <w:rPr>
          <w:rFonts w:ascii="Times New Roman" w:hAnsi="Times New Roman"/>
          <w:sz w:val="22"/>
          <w:szCs w:val="22"/>
          <w:lang w:val="hu-HU"/>
        </w:rPr>
        <w:t>mentes oldatot szabad felhasználni.</w:t>
      </w:r>
    </w:p>
    <w:p w14:paraId="304AE90E" w14:textId="77777777" w:rsidR="002200B0" w:rsidRPr="00DE2A1A" w:rsidRDefault="002200B0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44DB9707" w14:textId="77777777" w:rsidR="00792B08" w:rsidRPr="00DE2A1A" w:rsidRDefault="00792B08" w:rsidP="00EE32FE">
      <w:pPr>
        <w:keepNext/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 xml:space="preserve">Megjegyzés: </w:t>
      </w:r>
      <w:r w:rsidRPr="00DE2A1A">
        <w:rPr>
          <w:rFonts w:ascii="Times New Roman" w:hAnsi="Times New Roman"/>
          <w:bCs/>
          <w:sz w:val="22"/>
          <w:szCs w:val="22"/>
          <w:lang w:val="hu-HU"/>
        </w:rPr>
        <w:sym w:font="Wingdings" w:char="F058"/>
      </w:r>
      <w:r w:rsidRPr="00DE2A1A">
        <w:rPr>
          <w:rFonts w:ascii="Times New Roman" w:hAnsi="Times New Roman"/>
          <w:bCs/>
          <w:sz w:val="22"/>
          <w:szCs w:val="22"/>
          <w:lang w:val="hu-HU"/>
        </w:rPr>
        <w:sym w:font="Wingdings" w:char="F058"/>
      </w:r>
      <w:r w:rsidRPr="00DE2A1A">
        <w:rPr>
          <w:rFonts w:ascii="Times New Roman" w:hAnsi="Times New Roman"/>
          <w:bCs/>
          <w:sz w:val="22"/>
          <w:szCs w:val="22"/>
          <w:lang w:val="hu-HU"/>
        </w:rPr>
        <w:t xml:space="preserve"> </w:t>
      </w:r>
      <w:r w:rsidRPr="00DE2A1A">
        <w:rPr>
          <w:rFonts w:ascii="Times New Roman" w:hAnsi="Times New Roman"/>
          <w:sz w:val="22"/>
          <w:szCs w:val="22"/>
          <w:lang w:val="hu-HU"/>
        </w:rPr>
        <w:t>(két keresztes)</w:t>
      </w:r>
    </w:p>
    <w:p w14:paraId="373DB253" w14:textId="77777777" w:rsidR="00792B08" w:rsidRPr="00DE2A1A" w:rsidRDefault="00792B08" w:rsidP="00EE32FE">
      <w:pPr>
        <w:keepNext/>
        <w:rPr>
          <w:rFonts w:ascii="Times New Roman" w:hAnsi="Times New Roman"/>
          <w:b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Cs/>
          <w:sz w:val="22"/>
          <w:szCs w:val="22"/>
          <w:lang w:val="hu-HU"/>
        </w:rPr>
        <w:t>Osztályozás</w:t>
      </w:r>
      <w:r w:rsidRPr="00DE2A1A">
        <w:rPr>
          <w:rFonts w:ascii="Times New Roman" w:hAnsi="Times New Roman"/>
          <w:b/>
          <w:bCs/>
          <w:sz w:val="22"/>
          <w:szCs w:val="22"/>
          <w:lang w:val="hu-HU"/>
        </w:rPr>
        <w:t>: II./3 csoport</w:t>
      </w:r>
    </w:p>
    <w:p w14:paraId="54EED844" w14:textId="77777777" w:rsidR="00792B08" w:rsidRPr="00DE2A1A" w:rsidRDefault="00792B08" w:rsidP="00EE32FE">
      <w:pPr>
        <w:rPr>
          <w:rFonts w:ascii="Times New Roman" w:hAnsi="Times New Roman"/>
          <w:bCs/>
          <w:sz w:val="22"/>
          <w:szCs w:val="22"/>
          <w:lang w:val="hu-HU"/>
        </w:rPr>
      </w:pPr>
      <w:r w:rsidRPr="00DE2A1A">
        <w:rPr>
          <w:rFonts w:ascii="Times New Roman" w:hAnsi="Times New Roman"/>
          <w:bCs/>
          <w:sz w:val="22"/>
          <w:szCs w:val="22"/>
          <w:lang w:val="hu-HU"/>
        </w:rPr>
        <w:t>Korlátozott érvényű orvosi rendelvényhez kötött, az egészségügyről szóló 1997. évi CLIV. törvény 3.§-ának ga) pontja szerinti rendelőintézeti járóbeteg-szakellátás vagy fekvőbeteg-szakellátást nyújtó szolgáltatók által biztosított körülmények között alkalmazható gyógyszer (I).</w:t>
      </w:r>
    </w:p>
    <w:p w14:paraId="55DD6C89" w14:textId="6723B4DE" w:rsidR="004355C6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FDEA4FE" w14:textId="77777777" w:rsidR="00FC43DC" w:rsidRPr="00DE2A1A" w:rsidRDefault="00FC43DC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2A99ABD9" w14:textId="77777777" w:rsidR="004355C6" w:rsidRPr="00DE2A1A" w:rsidRDefault="004355C6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7.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382F90" w:rsidRPr="00DE2A1A">
        <w:rPr>
          <w:rFonts w:ascii="Times New Roman" w:hAnsi="Times New Roman"/>
          <w:b/>
          <w:sz w:val="22"/>
          <w:szCs w:val="22"/>
          <w:lang w:val="hu-HU"/>
        </w:rPr>
        <w:t>A FORGALOMBA</w:t>
      </w:r>
      <w:r w:rsidR="00034928" w:rsidRPr="00DE2A1A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="00382F90" w:rsidRPr="00DE2A1A">
        <w:rPr>
          <w:rFonts w:ascii="Times New Roman" w:hAnsi="Times New Roman"/>
          <w:b/>
          <w:sz w:val="22"/>
          <w:szCs w:val="22"/>
          <w:lang w:val="hu-HU"/>
        </w:rPr>
        <w:t>HOZATALI ENGEDÉLY JOGOSULTJA</w:t>
      </w:r>
    </w:p>
    <w:p w14:paraId="646262C5" w14:textId="77777777" w:rsidR="00382F90" w:rsidRPr="00DE2A1A" w:rsidRDefault="00382F90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48727D88" w14:textId="77777777" w:rsidR="00A477C5" w:rsidRPr="00A477C5" w:rsidRDefault="00A477C5" w:rsidP="00A477C5">
      <w:pPr>
        <w:rPr>
          <w:rFonts w:ascii="Times New Roman" w:hAnsi="Times New Roman"/>
          <w:sz w:val="22"/>
          <w:szCs w:val="22"/>
          <w:lang w:val="hu-HU"/>
        </w:rPr>
      </w:pPr>
      <w:r w:rsidRPr="00A477C5">
        <w:rPr>
          <w:rFonts w:ascii="Times New Roman" w:hAnsi="Times New Roman"/>
          <w:sz w:val="22"/>
          <w:szCs w:val="22"/>
          <w:lang w:val="hu-HU"/>
        </w:rPr>
        <w:t xml:space="preserve">BE PHARMA d.o.o. </w:t>
      </w:r>
    </w:p>
    <w:p w14:paraId="6B469748" w14:textId="77777777" w:rsidR="00A477C5" w:rsidRPr="00A477C5" w:rsidRDefault="00A477C5" w:rsidP="00A477C5">
      <w:pPr>
        <w:rPr>
          <w:rFonts w:ascii="Times New Roman" w:hAnsi="Times New Roman"/>
          <w:sz w:val="22"/>
          <w:szCs w:val="22"/>
          <w:lang w:val="hu-HU"/>
        </w:rPr>
      </w:pPr>
      <w:r w:rsidRPr="00A477C5">
        <w:rPr>
          <w:rFonts w:ascii="Times New Roman" w:hAnsi="Times New Roman"/>
          <w:sz w:val="22"/>
          <w:szCs w:val="22"/>
          <w:lang w:val="hu-HU"/>
        </w:rPr>
        <w:t xml:space="preserve">Brdnikova ulica 44, </w:t>
      </w:r>
    </w:p>
    <w:p w14:paraId="0E268CEF" w14:textId="77777777" w:rsidR="00A477C5" w:rsidRPr="00A477C5" w:rsidRDefault="00A477C5" w:rsidP="00A477C5">
      <w:pPr>
        <w:rPr>
          <w:rFonts w:ascii="Times New Roman" w:hAnsi="Times New Roman"/>
          <w:sz w:val="22"/>
          <w:szCs w:val="22"/>
          <w:lang w:val="hu-HU"/>
        </w:rPr>
      </w:pPr>
      <w:r w:rsidRPr="00A477C5">
        <w:rPr>
          <w:rFonts w:ascii="Times New Roman" w:hAnsi="Times New Roman"/>
          <w:sz w:val="22"/>
          <w:szCs w:val="22"/>
          <w:lang w:val="hu-HU"/>
        </w:rPr>
        <w:t xml:space="preserve">Ljubljana, 1000, </w:t>
      </w:r>
    </w:p>
    <w:p w14:paraId="153F16A7" w14:textId="0D8BDC37" w:rsidR="004355C6" w:rsidRPr="00DE2A1A" w:rsidRDefault="00A477C5" w:rsidP="00EE32FE">
      <w:pPr>
        <w:rPr>
          <w:rFonts w:ascii="Times New Roman" w:hAnsi="Times New Roman"/>
          <w:sz w:val="22"/>
          <w:szCs w:val="22"/>
          <w:lang w:val="hu-HU"/>
        </w:rPr>
      </w:pPr>
      <w:r w:rsidRPr="00A477C5">
        <w:rPr>
          <w:rFonts w:ascii="Times New Roman" w:hAnsi="Times New Roman"/>
          <w:sz w:val="22"/>
          <w:szCs w:val="22"/>
          <w:lang w:val="hu-HU"/>
        </w:rPr>
        <w:t>Szlovénia</w:t>
      </w:r>
    </w:p>
    <w:p w14:paraId="3054C9D4" w14:textId="2A4E9A60" w:rsidR="004355C6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24851311" w14:textId="77777777" w:rsidR="00FC43DC" w:rsidRPr="00DE2A1A" w:rsidRDefault="00FC43DC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3FCF9698" w14:textId="77777777" w:rsidR="004355C6" w:rsidRPr="00DE2A1A" w:rsidRDefault="004355C6" w:rsidP="00891E5E">
      <w:pPr>
        <w:keepNext/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8.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382F90" w:rsidRPr="00DE2A1A">
        <w:rPr>
          <w:rFonts w:ascii="Times New Roman" w:hAnsi="Times New Roman"/>
          <w:b/>
          <w:sz w:val="22"/>
          <w:szCs w:val="22"/>
          <w:lang w:val="hu-HU"/>
        </w:rPr>
        <w:t>A FORGALOMBA</w:t>
      </w:r>
      <w:r w:rsidR="00034928" w:rsidRPr="00DE2A1A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  <w:r w:rsidR="00382F90" w:rsidRPr="00DE2A1A">
        <w:rPr>
          <w:rFonts w:ascii="Times New Roman" w:hAnsi="Times New Roman"/>
          <w:b/>
          <w:sz w:val="22"/>
          <w:szCs w:val="22"/>
          <w:lang w:val="hu-HU"/>
        </w:rPr>
        <w:t>HOZATALI ENGEDÉLY SZÁMA(I)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</w:p>
    <w:p w14:paraId="19D11120" w14:textId="77777777" w:rsidR="004C31FA" w:rsidRPr="00DE2A1A" w:rsidRDefault="004C31FA" w:rsidP="00891E5E">
      <w:pPr>
        <w:keepNext/>
        <w:rPr>
          <w:rFonts w:ascii="Times New Roman" w:hAnsi="Times New Roman"/>
          <w:sz w:val="22"/>
          <w:szCs w:val="22"/>
          <w:lang w:val="hu-HU"/>
        </w:rPr>
      </w:pPr>
    </w:p>
    <w:p w14:paraId="56FC12FD" w14:textId="5ADF8B8B" w:rsidR="003A63CB" w:rsidRDefault="003A63CB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OGYI-T-</w:t>
      </w:r>
      <w:r w:rsidR="00C41604">
        <w:rPr>
          <w:rFonts w:ascii="Times New Roman" w:hAnsi="Times New Roman"/>
          <w:sz w:val="22"/>
          <w:szCs w:val="22"/>
          <w:lang w:val="hu-HU"/>
        </w:rPr>
        <w:t>23843/01</w:t>
      </w:r>
      <w:r w:rsidR="00C41604">
        <w:rPr>
          <w:rFonts w:ascii="Times New Roman" w:hAnsi="Times New Roman"/>
          <w:sz w:val="22"/>
          <w:szCs w:val="22"/>
          <w:lang w:val="hu-HU"/>
        </w:rPr>
        <w:tab/>
        <w:t>1×</w:t>
      </w:r>
      <w:r w:rsidR="00FC43DC">
        <w:rPr>
          <w:rFonts w:ascii="Times New Roman" w:hAnsi="Times New Roman"/>
          <w:sz w:val="22"/>
          <w:szCs w:val="22"/>
          <w:lang w:val="hu-HU"/>
        </w:rPr>
        <w:tab/>
        <w:t>III-as típusú injekciós üvegben</w:t>
      </w:r>
    </w:p>
    <w:p w14:paraId="0942E6D5" w14:textId="6CF870DF" w:rsidR="00C41604" w:rsidRDefault="00C41604" w:rsidP="00C41604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OGYI-T-</w:t>
      </w:r>
      <w:r>
        <w:rPr>
          <w:rFonts w:ascii="Times New Roman" w:hAnsi="Times New Roman"/>
          <w:sz w:val="22"/>
          <w:szCs w:val="22"/>
          <w:lang w:val="hu-HU"/>
        </w:rPr>
        <w:t>23843/02</w:t>
      </w:r>
      <w:r>
        <w:rPr>
          <w:rFonts w:ascii="Times New Roman" w:hAnsi="Times New Roman"/>
          <w:sz w:val="22"/>
          <w:szCs w:val="22"/>
          <w:lang w:val="hu-HU"/>
        </w:rPr>
        <w:tab/>
        <w:t>5×</w:t>
      </w:r>
      <w:r w:rsidR="00FC43DC">
        <w:rPr>
          <w:rFonts w:ascii="Times New Roman" w:hAnsi="Times New Roman"/>
          <w:sz w:val="22"/>
          <w:szCs w:val="22"/>
          <w:lang w:val="hu-HU"/>
        </w:rPr>
        <w:tab/>
        <w:t>III-as típusú injekciós üvegben</w:t>
      </w:r>
    </w:p>
    <w:p w14:paraId="7A858A87" w14:textId="276D75FB" w:rsidR="00C41604" w:rsidRDefault="00C41604" w:rsidP="00C41604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OGYI-T-</w:t>
      </w:r>
      <w:r>
        <w:rPr>
          <w:rFonts w:ascii="Times New Roman" w:hAnsi="Times New Roman"/>
          <w:sz w:val="22"/>
          <w:szCs w:val="22"/>
          <w:lang w:val="hu-HU"/>
        </w:rPr>
        <w:t>23843/03</w:t>
      </w:r>
      <w:r>
        <w:rPr>
          <w:rFonts w:ascii="Times New Roman" w:hAnsi="Times New Roman"/>
          <w:sz w:val="22"/>
          <w:szCs w:val="22"/>
          <w:lang w:val="hu-HU"/>
        </w:rPr>
        <w:tab/>
        <w:t>11×5</w:t>
      </w:r>
      <w:r w:rsidR="00FC43DC">
        <w:rPr>
          <w:rFonts w:ascii="Times New Roman" w:hAnsi="Times New Roman"/>
          <w:sz w:val="22"/>
          <w:szCs w:val="22"/>
          <w:lang w:val="hu-HU"/>
        </w:rPr>
        <w:tab/>
        <w:t>III-as típusú injekciós üvegben</w:t>
      </w:r>
    </w:p>
    <w:p w14:paraId="50CA02C3" w14:textId="154B9022" w:rsidR="00C41604" w:rsidRDefault="00C41604" w:rsidP="00C41604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OGYI-T-</w:t>
      </w:r>
      <w:r>
        <w:rPr>
          <w:rFonts w:ascii="Times New Roman" w:hAnsi="Times New Roman"/>
          <w:sz w:val="22"/>
          <w:szCs w:val="22"/>
          <w:lang w:val="hu-HU"/>
        </w:rPr>
        <w:t>23843/04</w:t>
      </w:r>
      <w:r>
        <w:rPr>
          <w:rFonts w:ascii="Times New Roman" w:hAnsi="Times New Roman"/>
          <w:sz w:val="22"/>
          <w:szCs w:val="22"/>
          <w:lang w:val="hu-HU"/>
        </w:rPr>
        <w:tab/>
        <w:t>55×</w:t>
      </w:r>
      <w:r w:rsidR="00FC43DC">
        <w:rPr>
          <w:rFonts w:ascii="Times New Roman" w:hAnsi="Times New Roman"/>
          <w:sz w:val="22"/>
          <w:szCs w:val="22"/>
          <w:lang w:val="hu-HU"/>
        </w:rPr>
        <w:tab/>
        <w:t>III-as típusú injekciós üvegben</w:t>
      </w:r>
    </w:p>
    <w:p w14:paraId="1F71492E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5811384F" w14:textId="77777777" w:rsidR="00D938F6" w:rsidRPr="00DE2A1A" w:rsidRDefault="00D938F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27AA1D4C" w14:textId="77777777" w:rsidR="004355C6" w:rsidRPr="00DE2A1A" w:rsidRDefault="004355C6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9.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C959EC" w:rsidRPr="00DE2A1A">
        <w:rPr>
          <w:rFonts w:ascii="Times New Roman" w:hAnsi="Times New Roman"/>
          <w:b/>
          <w:sz w:val="22"/>
          <w:szCs w:val="22"/>
          <w:lang w:val="hu-HU"/>
        </w:rPr>
        <w:t>A FORGALOMBA HOZATALI ENGEDÉLY ELSŐ KIADÁSÁNAK/ MEGÚJÍTÁSÁNAK DÁTUMA</w:t>
      </w:r>
    </w:p>
    <w:p w14:paraId="4432A3FB" w14:textId="77777777" w:rsidR="004355C6" w:rsidRPr="00DE2A1A" w:rsidRDefault="004355C6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65C9B6F0" w14:textId="69759031" w:rsidR="00FF442D" w:rsidRPr="00DE2A1A" w:rsidRDefault="00FF442D" w:rsidP="00EE32FE">
      <w:pPr>
        <w:rPr>
          <w:rFonts w:ascii="Times New Roman" w:hAnsi="Times New Roman"/>
          <w:sz w:val="22"/>
          <w:szCs w:val="22"/>
          <w:lang w:val="hu-HU"/>
        </w:rPr>
      </w:pPr>
      <w:r w:rsidRPr="00DE2A1A">
        <w:rPr>
          <w:rFonts w:ascii="Times New Roman" w:hAnsi="Times New Roman"/>
          <w:sz w:val="22"/>
          <w:szCs w:val="22"/>
          <w:lang w:val="hu-HU"/>
        </w:rPr>
        <w:t>A forgalomba hozatali engedély első kiadásának dátuma:</w:t>
      </w:r>
      <w:r w:rsidR="00EE32FE" w:rsidRPr="00DE2A1A">
        <w:rPr>
          <w:rFonts w:ascii="Times New Roman" w:hAnsi="Times New Roman"/>
          <w:sz w:val="22"/>
          <w:szCs w:val="22"/>
          <w:lang w:val="hu-HU"/>
        </w:rPr>
        <w:t xml:space="preserve"> 2021. március </w:t>
      </w:r>
      <w:r w:rsidR="00771020">
        <w:rPr>
          <w:rFonts w:ascii="Times New Roman" w:hAnsi="Times New Roman"/>
          <w:sz w:val="22"/>
          <w:szCs w:val="22"/>
          <w:lang w:val="hu-HU"/>
        </w:rPr>
        <w:t>24</w:t>
      </w:r>
      <w:r w:rsidR="00EE32FE" w:rsidRPr="00DE2A1A">
        <w:rPr>
          <w:rFonts w:ascii="Times New Roman" w:hAnsi="Times New Roman"/>
          <w:sz w:val="22"/>
          <w:szCs w:val="22"/>
          <w:lang w:val="hu-HU"/>
        </w:rPr>
        <w:t>.</w:t>
      </w:r>
    </w:p>
    <w:p w14:paraId="067BFE77" w14:textId="77777777" w:rsidR="00CA28EB" w:rsidRPr="00DE2A1A" w:rsidRDefault="00CA28EB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4783E882" w14:textId="77777777" w:rsidR="0025392C" w:rsidRPr="00DE2A1A" w:rsidRDefault="0025392C" w:rsidP="00EE32FE">
      <w:pPr>
        <w:rPr>
          <w:rFonts w:ascii="Times New Roman" w:hAnsi="Times New Roman"/>
          <w:sz w:val="22"/>
          <w:szCs w:val="22"/>
          <w:lang w:val="hu-HU"/>
        </w:rPr>
      </w:pPr>
    </w:p>
    <w:p w14:paraId="4D78AFBF" w14:textId="27D34824" w:rsidR="004355C6" w:rsidRPr="00DE2A1A" w:rsidRDefault="004355C6" w:rsidP="00EE32FE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  <w:r w:rsidRPr="00DE2A1A">
        <w:rPr>
          <w:rFonts w:ascii="Times New Roman" w:hAnsi="Times New Roman"/>
          <w:b/>
          <w:sz w:val="22"/>
          <w:szCs w:val="22"/>
          <w:lang w:val="hu-HU"/>
        </w:rPr>
        <w:t>10.</w:t>
      </w:r>
      <w:r w:rsidRPr="00DE2A1A">
        <w:rPr>
          <w:rFonts w:ascii="Times New Roman" w:hAnsi="Times New Roman"/>
          <w:b/>
          <w:sz w:val="22"/>
          <w:szCs w:val="22"/>
          <w:lang w:val="hu-HU"/>
        </w:rPr>
        <w:tab/>
      </w:r>
      <w:r w:rsidR="00C959EC" w:rsidRPr="00DE2A1A">
        <w:rPr>
          <w:rFonts w:ascii="Times New Roman" w:hAnsi="Times New Roman"/>
          <w:b/>
          <w:sz w:val="22"/>
          <w:szCs w:val="22"/>
          <w:lang w:val="hu-HU"/>
        </w:rPr>
        <w:t xml:space="preserve">A SZÖVEG ELLENŐRZÉSÉNEK </w:t>
      </w:r>
      <w:r w:rsidR="002D773F" w:rsidRPr="00DE2A1A">
        <w:rPr>
          <w:rFonts w:ascii="Times New Roman" w:hAnsi="Times New Roman"/>
          <w:b/>
          <w:sz w:val="22"/>
          <w:szCs w:val="22"/>
          <w:lang w:val="hu-HU"/>
        </w:rPr>
        <w:t>DÁTUMA</w:t>
      </w:r>
    </w:p>
    <w:p w14:paraId="79C8CFA5" w14:textId="355D5118" w:rsidR="00EE32FE" w:rsidRPr="00DE2A1A" w:rsidRDefault="00EE32FE" w:rsidP="00EE32FE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</w:p>
    <w:p w14:paraId="168CFE5E" w14:textId="3CC9E06A" w:rsidR="00EE32FE" w:rsidRDefault="00FC43DC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2022. augusztus 12.</w:t>
      </w:r>
    </w:p>
    <w:p w14:paraId="27B30AE4" w14:textId="77777777" w:rsidR="00FC43DC" w:rsidRPr="00DE2A1A" w:rsidRDefault="00FC43DC" w:rsidP="00EE32FE">
      <w:pPr>
        <w:ind w:left="567" w:hanging="567"/>
        <w:rPr>
          <w:rFonts w:ascii="Times New Roman" w:hAnsi="Times New Roman"/>
          <w:sz w:val="22"/>
          <w:szCs w:val="22"/>
          <w:lang w:val="hu-HU"/>
        </w:rPr>
      </w:pPr>
    </w:p>
    <w:p w14:paraId="5252DED2" w14:textId="77777777" w:rsidR="00EE32FE" w:rsidRPr="00DE2A1A" w:rsidRDefault="00EE32FE" w:rsidP="00EE32FE">
      <w:pPr>
        <w:ind w:left="567" w:hanging="567"/>
        <w:rPr>
          <w:rFonts w:ascii="Times New Roman" w:hAnsi="Times New Roman"/>
          <w:b/>
          <w:sz w:val="22"/>
          <w:szCs w:val="22"/>
          <w:lang w:val="hu-HU"/>
        </w:rPr>
      </w:pPr>
    </w:p>
    <w:sectPr w:rsidR="00EE32FE" w:rsidRPr="00DE2A1A" w:rsidSect="00072D18">
      <w:headerReference w:type="even" r:id="rId9"/>
      <w:headerReference w:type="default" r:id="rId10"/>
      <w:footerReference w:type="first" r:id="rId11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04195" w14:textId="77777777" w:rsidR="00296DA9" w:rsidRDefault="00296DA9">
      <w:r>
        <w:separator/>
      </w:r>
    </w:p>
  </w:endnote>
  <w:endnote w:type="continuationSeparator" w:id="0">
    <w:p w14:paraId="43BB7275" w14:textId="77777777" w:rsidR="00296DA9" w:rsidRDefault="0029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853BA" w14:textId="3F2C4615" w:rsidR="004B583E" w:rsidRDefault="00FC43DC">
    <w:pPr>
      <w:pStyle w:val="llb"/>
      <w:rPr>
        <w:rFonts w:ascii="Times New Roman" w:hAnsi="Times New Roman"/>
        <w:sz w:val="18"/>
        <w:szCs w:val="18"/>
      </w:rPr>
    </w:pPr>
    <w:r w:rsidRPr="00FC43DC">
      <w:rPr>
        <w:rFonts w:ascii="Times New Roman" w:hAnsi="Times New Roman"/>
        <w:sz w:val="18"/>
        <w:szCs w:val="18"/>
      </w:rPr>
      <w:t>OGYÉI/32672/2022</w:t>
    </w:r>
  </w:p>
  <w:p w14:paraId="2089696D" w14:textId="61677B82" w:rsidR="00FC43DC" w:rsidRPr="00CF059D" w:rsidRDefault="00FC43DC">
    <w:pPr>
      <w:pStyle w:val="llb"/>
      <w:rPr>
        <w:rFonts w:ascii="Times New Roman" w:hAnsi="Times New Roman"/>
        <w:sz w:val="18"/>
        <w:szCs w:val="18"/>
      </w:rPr>
    </w:pPr>
    <w:r w:rsidRPr="00FC43DC">
      <w:rPr>
        <w:rFonts w:ascii="Times New Roman" w:hAnsi="Times New Roman"/>
        <w:sz w:val="18"/>
        <w:szCs w:val="18"/>
      </w:rPr>
      <w:t>OGYÉI/39623/2022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5A8B9" w14:textId="77777777" w:rsidR="00296DA9" w:rsidRDefault="00296DA9">
      <w:r>
        <w:separator/>
      </w:r>
    </w:p>
  </w:footnote>
  <w:footnote w:type="continuationSeparator" w:id="0">
    <w:p w14:paraId="245F823E" w14:textId="77777777" w:rsidR="00296DA9" w:rsidRDefault="00296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B1EC2" w14:textId="77777777" w:rsidR="004B583E" w:rsidRDefault="004B583E" w:rsidP="00D51E3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E77BC97" w14:textId="77777777" w:rsidR="004B583E" w:rsidRDefault="004B583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9872E" w14:textId="274559A0" w:rsidR="004B583E" w:rsidRPr="001D026B" w:rsidRDefault="004B583E" w:rsidP="00D51E3F">
    <w:pPr>
      <w:pStyle w:val="lfej"/>
      <w:framePr w:wrap="around" w:vAnchor="text" w:hAnchor="margin" w:xAlign="center" w:y="1"/>
      <w:rPr>
        <w:rStyle w:val="Oldalszm"/>
        <w:rFonts w:ascii="Times New Roman" w:hAnsi="Times New Roman"/>
      </w:rPr>
    </w:pPr>
    <w:r w:rsidRPr="001D026B">
      <w:rPr>
        <w:rStyle w:val="Oldalszm"/>
        <w:rFonts w:ascii="Times New Roman" w:hAnsi="Times New Roman"/>
      </w:rPr>
      <w:fldChar w:fldCharType="begin"/>
    </w:r>
    <w:r w:rsidRPr="001D026B">
      <w:rPr>
        <w:rStyle w:val="Oldalszm"/>
        <w:rFonts w:ascii="Times New Roman" w:hAnsi="Times New Roman"/>
      </w:rPr>
      <w:instrText xml:space="preserve">PAGE  </w:instrText>
    </w:r>
    <w:r w:rsidRPr="001D026B">
      <w:rPr>
        <w:rStyle w:val="Oldalszm"/>
        <w:rFonts w:ascii="Times New Roman" w:hAnsi="Times New Roman"/>
      </w:rPr>
      <w:fldChar w:fldCharType="separate"/>
    </w:r>
    <w:r w:rsidR="00977249">
      <w:rPr>
        <w:rStyle w:val="Oldalszm"/>
        <w:rFonts w:ascii="Times New Roman" w:hAnsi="Times New Roman"/>
        <w:noProof/>
      </w:rPr>
      <w:t>19</w:t>
    </w:r>
    <w:r w:rsidRPr="001D026B">
      <w:rPr>
        <w:rStyle w:val="Oldalszm"/>
        <w:rFonts w:ascii="Times New Roman" w:hAnsi="Times New Roman"/>
      </w:rPr>
      <w:fldChar w:fldCharType="end"/>
    </w:r>
  </w:p>
  <w:p w14:paraId="7323C474" w14:textId="77777777" w:rsidR="004B583E" w:rsidRDefault="004B583E" w:rsidP="00E02F5B">
    <w:pPr>
      <w:tabs>
        <w:tab w:val="left" w:pos="-1259"/>
        <w:tab w:val="left" w:pos="-539"/>
        <w:tab w:val="left" w:pos="181"/>
        <w:tab w:val="left" w:pos="901"/>
        <w:tab w:val="left" w:pos="1261"/>
        <w:tab w:val="left" w:pos="1621"/>
        <w:tab w:val="left" w:pos="2341"/>
        <w:tab w:val="left" w:pos="3061"/>
        <w:tab w:val="left" w:pos="3781"/>
        <w:tab w:val="left" w:pos="4501"/>
        <w:tab w:val="left" w:pos="5221"/>
        <w:tab w:val="left" w:pos="5941"/>
        <w:tab w:val="left" w:pos="6661"/>
        <w:tab w:val="left" w:pos="7381"/>
        <w:tab w:val="left" w:pos="8101"/>
        <w:tab w:val="left" w:pos="8821"/>
        <w:tab w:val="left" w:pos="9541"/>
        <w:tab w:val="left" w:pos="10261"/>
      </w:tabs>
      <w:suppressAutoHyphens/>
      <w:jc w:val="both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E93CA0"/>
    <w:multiLevelType w:val="hybridMultilevel"/>
    <w:tmpl w:val="373420E6"/>
    <w:lvl w:ilvl="0" w:tplc="2DB03A9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B637D46"/>
    <w:multiLevelType w:val="multilevel"/>
    <w:tmpl w:val="5A3ABF4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10C6390B"/>
    <w:multiLevelType w:val="hybridMultilevel"/>
    <w:tmpl w:val="C8FC212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1E2F4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75415A8"/>
    <w:multiLevelType w:val="singleLevel"/>
    <w:tmpl w:val="A2F4FDB6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18CB48A2"/>
    <w:multiLevelType w:val="multilevel"/>
    <w:tmpl w:val="464E87E0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1AB7040A"/>
    <w:multiLevelType w:val="hybridMultilevel"/>
    <w:tmpl w:val="48D0A336"/>
    <w:lvl w:ilvl="0" w:tplc="88BAAA44">
      <w:start w:val="3"/>
      <w:numFmt w:val="bullet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1B9851E9"/>
    <w:multiLevelType w:val="hybridMultilevel"/>
    <w:tmpl w:val="8A6CD5DE"/>
    <w:lvl w:ilvl="0" w:tplc="0407000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8E40CF"/>
    <w:multiLevelType w:val="singleLevel"/>
    <w:tmpl w:val="3998EF06"/>
    <w:lvl w:ilvl="0">
      <w:numFmt w:val="bullet"/>
      <w:lvlText w:val="–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" w15:restartNumberingAfterBreak="0">
    <w:nsid w:val="205B6A54"/>
    <w:multiLevelType w:val="hybridMultilevel"/>
    <w:tmpl w:val="55DE95A4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9A7A6E"/>
    <w:multiLevelType w:val="hybridMultilevel"/>
    <w:tmpl w:val="1B76ED08"/>
    <w:lvl w:ilvl="0" w:tplc="FD66E8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9E7FCA"/>
    <w:multiLevelType w:val="hybridMultilevel"/>
    <w:tmpl w:val="83887A2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5E57EB1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6" w15:restartNumberingAfterBreak="0">
    <w:nsid w:val="2A244F4A"/>
    <w:multiLevelType w:val="multilevel"/>
    <w:tmpl w:val="3216E6CA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656323F"/>
    <w:multiLevelType w:val="hybridMultilevel"/>
    <w:tmpl w:val="C76AD3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F7E73"/>
    <w:multiLevelType w:val="hybridMultilevel"/>
    <w:tmpl w:val="6B60DB24"/>
    <w:lvl w:ilvl="0" w:tplc="9C68CF7C">
      <w:start w:val="3"/>
      <w:numFmt w:val="bullet"/>
      <w:lvlText w:val="-"/>
      <w:lvlJc w:val="left"/>
      <w:pPr>
        <w:tabs>
          <w:tab w:val="num" w:pos="2563"/>
        </w:tabs>
        <w:ind w:left="25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20" w15:restartNumberingAfterBreak="0">
    <w:nsid w:val="368E30D3"/>
    <w:multiLevelType w:val="multilevel"/>
    <w:tmpl w:val="1E90F40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37B60528"/>
    <w:multiLevelType w:val="hybridMultilevel"/>
    <w:tmpl w:val="1B7A803A"/>
    <w:lvl w:ilvl="0" w:tplc="52A888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4B2A29"/>
    <w:multiLevelType w:val="hybridMultilevel"/>
    <w:tmpl w:val="3F2E1C60"/>
    <w:lvl w:ilvl="0" w:tplc="55065AA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AD4EFB"/>
    <w:multiLevelType w:val="hybridMultilevel"/>
    <w:tmpl w:val="60565BFA"/>
    <w:lvl w:ilvl="0" w:tplc="52A888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262931"/>
    <w:multiLevelType w:val="hybridMultilevel"/>
    <w:tmpl w:val="53FAEE7E"/>
    <w:lvl w:ilvl="0" w:tplc="040E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2812041"/>
    <w:multiLevelType w:val="singleLevel"/>
    <w:tmpl w:val="3998EF06"/>
    <w:lvl w:ilvl="0">
      <w:numFmt w:val="bullet"/>
      <w:lvlText w:val="–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9" w15:restartNumberingAfterBreak="0">
    <w:nsid w:val="5633181D"/>
    <w:multiLevelType w:val="hybridMultilevel"/>
    <w:tmpl w:val="8A6CD5D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DE3A82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31" w15:restartNumberingAfterBreak="0">
    <w:nsid w:val="5A6C3821"/>
    <w:multiLevelType w:val="multilevel"/>
    <w:tmpl w:val="D5F0DB0C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5B396BF5"/>
    <w:multiLevelType w:val="multilevel"/>
    <w:tmpl w:val="A6A48390"/>
    <w:lvl w:ilvl="0"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3" w15:restartNumberingAfterBreak="0">
    <w:nsid w:val="63A75950"/>
    <w:multiLevelType w:val="hybridMultilevel"/>
    <w:tmpl w:val="2DBE624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233B07"/>
    <w:multiLevelType w:val="hybridMultilevel"/>
    <w:tmpl w:val="890ACE9A"/>
    <w:lvl w:ilvl="0" w:tplc="040E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7ACAFE5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71424E3"/>
    <w:multiLevelType w:val="hybridMultilevel"/>
    <w:tmpl w:val="7DEC47EA"/>
    <w:lvl w:ilvl="0" w:tplc="FD66E8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65D5C"/>
    <w:multiLevelType w:val="hybridMultilevel"/>
    <w:tmpl w:val="CAF0D190"/>
    <w:lvl w:ilvl="0" w:tplc="0407000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E32EC6"/>
    <w:multiLevelType w:val="multilevel"/>
    <w:tmpl w:val="1D4AE982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1" w15:restartNumberingAfterBreak="0">
    <w:nsid w:val="6B224B6E"/>
    <w:multiLevelType w:val="singleLevel"/>
    <w:tmpl w:val="E318C358"/>
    <w:lvl w:ilvl="0">
      <w:start w:val="8"/>
      <w:numFmt w:val="decimal"/>
      <w:lvlText w:val="%1."/>
      <w:lvlJc w:val="left"/>
      <w:pPr>
        <w:tabs>
          <w:tab w:val="num" w:pos="852"/>
        </w:tabs>
        <w:ind w:left="852" w:hanging="852"/>
      </w:pPr>
      <w:rPr>
        <w:rFonts w:hint="default"/>
      </w:rPr>
    </w:lvl>
  </w:abstractNum>
  <w:abstractNum w:abstractNumId="4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3" w15:restartNumberingAfterBreak="0">
    <w:nsid w:val="6D035B51"/>
    <w:multiLevelType w:val="hybridMultilevel"/>
    <w:tmpl w:val="31E8F97C"/>
    <w:lvl w:ilvl="0" w:tplc="D08063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676737"/>
    <w:multiLevelType w:val="hybridMultilevel"/>
    <w:tmpl w:val="E6528E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6" w15:restartNumberingAfterBreak="0">
    <w:nsid w:val="6FEE552F"/>
    <w:multiLevelType w:val="hybridMultilevel"/>
    <w:tmpl w:val="517C5A02"/>
    <w:lvl w:ilvl="0" w:tplc="FD66E8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716EEE"/>
    <w:multiLevelType w:val="hybridMultilevel"/>
    <w:tmpl w:val="E0884482"/>
    <w:lvl w:ilvl="0" w:tplc="52A888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8D0E99"/>
    <w:multiLevelType w:val="multilevel"/>
    <w:tmpl w:val="51188CA2"/>
    <w:lvl w:ilvl="0"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9" w15:restartNumberingAfterBreak="0">
    <w:nsid w:val="74FB085E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50" w15:restartNumberingAfterBreak="0">
    <w:nsid w:val="76185773"/>
    <w:multiLevelType w:val="hybridMultilevel"/>
    <w:tmpl w:val="6BF6520A"/>
    <w:lvl w:ilvl="0" w:tplc="88BAAA44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1" w15:restartNumberingAfterBreak="0">
    <w:nsid w:val="7B2043F8"/>
    <w:multiLevelType w:val="hybridMultilevel"/>
    <w:tmpl w:val="F8FEEA8A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52ACA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D9518FD"/>
    <w:multiLevelType w:val="hybridMultilevel"/>
    <w:tmpl w:val="A9AA6578"/>
    <w:lvl w:ilvl="0" w:tplc="328ED1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 w15:restartNumberingAfterBreak="0">
    <w:nsid w:val="7DA03806"/>
    <w:multiLevelType w:val="hybridMultilevel"/>
    <w:tmpl w:val="E5103728"/>
    <w:lvl w:ilvl="0" w:tplc="55065AA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50"/>
  </w:num>
  <w:num w:numId="3">
    <w:abstractNumId w:val="8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2"/>
  </w:num>
  <w:num w:numId="6">
    <w:abstractNumId w:val="35"/>
  </w:num>
  <w:num w:numId="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9">
    <w:abstractNumId w:val="45"/>
  </w:num>
  <w:num w:numId="10">
    <w:abstractNumId w:val="42"/>
  </w:num>
  <w:num w:numId="11">
    <w:abstractNumId w:val="17"/>
  </w:num>
  <w:num w:numId="12">
    <w:abstractNumId w:val="28"/>
  </w:num>
  <w:num w:numId="13">
    <w:abstractNumId w:val="26"/>
  </w:num>
  <w:num w:numId="14">
    <w:abstractNumId w:val="10"/>
  </w:num>
  <w:num w:numId="15">
    <w:abstractNumId w:val="39"/>
  </w:num>
  <w:num w:numId="16">
    <w:abstractNumId w:val="40"/>
  </w:num>
  <w:num w:numId="17">
    <w:abstractNumId w:val="20"/>
  </w:num>
  <w:num w:numId="18">
    <w:abstractNumId w:val="36"/>
  </w:num>
  <w:num w:numId="19">
    <w:abstractNumId w:val="22"/>
  </w:num>
  <w:num w:numId="20">
    <w:abstractNumId w:val="53"/>
  </w:num>
  <w:num w:numId="21">
    <w:abstractNumId w:val="48"/>
  </w:num>
  <w:num w:numId="22">
    <w:abstractNumId w:val="32"/>
  </w:num>
  <w:num w:numId="23">
    <w:abstractNumId w:val="13"/>
  </w:num>
  <w:num w:numId="24">
    <w:abstractNumId w:val="46"/>
  </w:num>
  <w:num w:numId="25">
    <w:abstractNumId w:val="1"/>
  </w:num>
  <w:num w:numId="26">
    <w:abstractNumId w:val="38"/>
  </w:num>
  <w:num w:numId="27">
    <w:abstractNumId w:val="33"/>
  </w:num>
  <w:num w:numId="28">
    <w:abstractNumId w:val="25"/>
  </w:num>
  <w:num w:numId="29">
    <w:abstractNumId w:val="11"/>
  </w:num>
  <w:num w:numId="30">
    <w:abstractNumId w:val="49"/>
  </w:num>
  <w:num w:numId="31">
    <w:abstractNumId w:val="15"/>
  </w:num>
  <w:num w:numId="32">
    <w:abstractNumId w:val="30"/>
  </w:num>
  <w:num w:numId="33">
    <w:abstractNumId w:val="6"/>
  </w:num>
  <w:num w:numId="34">
    <w:abstractNumId w:val="14"/>
  </w:num>
  <w:num w:numId="35">
    <w:abstractNumId w:val="29"/>
  </w:num>
  <w:num w:numId="36">
    <w:abstractNumId w:val="9"/>
  </w:num>
  <w:num w:numId="37">
    <w:abstractNumId w:val="5"/>
  </w:num>
  <w:num w:numId="38">
    <w:abstractNumId w:val="37"/>
  </w:num>
  <w:num w:numId="39">
    <w:abstractNumId w:val="7"/>
  </w:num>
  <w:num w:numId="40">
    <w:abstractNumId w:val="19"/>
  </w:num>
  <w:num w:numId="41">
    <w:abstractNumId w:val="16"/>
  </w:num>
  <w:num w:numId="42">
    <w:abstractNumId w:val="3"/>
  </w:num>
  <w:num w:numId="43">
    <w:abstractNumId w:val="4"/>
  </w:num>
  <w:num w:numId="44">
    <w:abstractNumId w:val="52"/>
  </w:num>
  <w:num w:numId="45">
    <w:abstractNumId w:val="31"/>
  </w:num>
  <w:num w:numId="46">
    <w:abstractNumId w:val="34"/>
  </w:num>
  <w:num w:numId="47">
    <w:abstractNumId w:val="24"/>
  </w:num>
  <w:num w:numId="48">
    <w:abstractNumId w:val="51"/>
  </w:num>
  <w:num w:numId="49">
    <w:abstractNumId w:val="21"/>
  </w:num>
  <w:num w:numId="50">
    <w:abstractNumId w:val="23"/>
  </w:num>
  <w:num w:numId="51">
    <w:abstractNumId w:val="44"/>
  </w:num>
  <w:num w:numId="52">
    <w:abstractNumId w:val="43"/>
  </w:num>
  <w:num w:numId="5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8"/>
  </w:num>
  <w:num w:numId="55">
    <w:abstractNumId w:val="47"/>
  </w:num>
  <w:num w:numId="56">
    <w:abstractNumId w:val="1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B35"/>
    <w:rsid w:val="00002B3E"/>
    <w:rsid w:val="00003242"/>
    <w:rsid w:val="000047E2"/>
    <w:rsid w:val="0001176C"/>
    <w:rsid w:val="000137EA"/>
    <w:rsid w:val="00017F73"/>
    <w:rsid w:val="000260EC"/>
    <w:rsid w:val="00026F59"/>
    <w:rsid w:val="00027839"/>
    <w:rsid w:val="000340EB"/>
    <w:rsid w:val="00034928"/>
    <w:rsid w:val="000413FB"/>
    <w:rsid w:val="0004184F"/>
    <w:rsid w:val="00046C64"/>
    <w:rsid w:val="00055A97"/>
    <w:rsid w:val="00057E85"/>
    <w:rsid w:val="00061472"/>
    <w:rsid w:val="0006395B"/>
    <w:rsid w:val="00070C0C"/>
    <w:rsid w:val="00072D18"/>
    <w:rsid w:val="000742E8"/>
    <w:rsid w:val="00080E69"/>
    <w:rsid w:val="00081416"/>
    <w:rsid w:val="00081548"/>
    <w:rsid w:val="00082307"/>
    <w:rsid w:val="000837BF"/>
    <w:rsid w:val="0008461F"/>
    <w:rsid w:val="00086015"/>
    <w:rsid w:val="000917AC"/>
    <w:rsid w:val="00091E20"/>
    <w:rsid w:val="000A17A6"/>
    <w:rsid w:val="000A336B"/>
    <w:rsid w:val="000A34F6"/>
    <w:rsid w:val="000B25D4"/>
    <w:rsid w:val="000B2E95"/>
    <w:rsid w:val="000B4551"/>
    <w:rsid w:val="000B5855"/>
    <w:rsid w:val="000B5994"/>
    <w:rsid w:val="000B628E"/>
    <w:rsid w:val="000C01B4"/>
    <w:rsid w:val="000C2581"/>
    <w:rsid w:val="000C339F"/>
    <w:rsid w:val="000C59F2"/>
    <w:rsid w:val="000C5B58"/>
    <w:rsid w:val="000D50F2"/>
    <w:rsid w:val="000D5E97"/>
    <w:rsid w:val="000D68A6"/>
    <w:rsid w:val="000D6C6D"/>
    <w:rsid w:val="000D76E8"/>
    <w:rsid w:val="000E152D"/>
    <w:rsid w:val="000E4683"/>
    <w:rsid w:val="000E6EC3"/>
    <w:rsid w:val="000E7D17"/>
    <w:rsid w:val="000F7D5C"/>
    <w:rsid w:val="000F7F36"/>
    <w:rsid w:val="00102782"/>
    <w:rsid w:val="00104FFC"/>
    <w:rsid w:val="00106B8B"/>
    <w:rsid w:val="001151AC"/>
    <w:rsid w:val="00123A09"/>
    <w:rsid w:val="00123BBC"/>
    <w:rsid w:val="00126308"/>
    <w:rsid w:val="0012772B"/>
    <w:rsid w:val="00134D89"/>
    <w:rsid w:val="001351AD"/>
    <w:rsid w:val="0013572B"/>
    <w:rsid w:val="001362A6"/>
    <w:rsid w:val="00142354"/>
    <w:rsid w:val="0014275B"/>
    <w:rsid w:val="0014405C"/>
    <w:rsid w:val="001470B6"/>
    <w:rsid w:val="001471AB"/>
    <w:rsid w:val="00163127"/>
    <w:rsid w:val="001638FB"/>
    <w:rsid w:val="00165B3F"/>
    <w:rsid w:val="00171765"/>
    <w:rsid w:val="00172EEE"/>
    <w:rsid w:val="001739A2"/>
    <w:rsid w:val="00176864"/>
    <w:rsid w:val="0018171C"/>
    <w:rsid w:val="00181987"/>
    <w:rsid w:val="0018207A"/>
    <w:rsid w:val="001820DD"/>
    <w:rsid w:val="00185987"/>
    <w:rsid w:val="00185B12"/>
    <w:rsid w:val="0019129A"/>
    <w:rsid w:val="001915D5"/>
    <w:rsid w:val="00193138"/>
    <w:rsid w:val="00194659"/>
    <w:rsid w:val="001958DA"/>
    <w:rsid w:val="001A3D3C"/>
    <w:rsid w:val="001A3D88"/>
    <w:rsid w:val="001A3F30"/>
    <w:rsid w:val="001A4619"/>
    <w:rsid w:val="001A48C3"/>
    <w:rsid w:val="001A4BF3"/>
    <w:rsid w:val="001A5F79"/>
    <w:rsid w:val="001A71C5"/>
    <w:rsid w:val="001B691C"/>
    <w:rsid w:val="001C08CC"/>
    <w:rsid w:val="001C1BA9"/>
    <w:rsid w:val="001C3C9E"/>
    <w:rsid w:val="001D026B"/>
    <w:rsid w:val="001D12BE"/>
    <w:rsid w:val="001D50F1"/>
    <w:rsid w:val="001D6899"/>
    <w:rsid w:val="001E0079"/>
    <w:rsid w:val="001E2A1A"/>
    <w:rsid w:val="001E494D"/>
    <w:rsid w:val="001F00A6"/>
    <w:rsid w:val="001F0953"/>
    <w:rsid w:val="001F3B53"/>
    <w:rsid w:val="001F60E6"/>
    <w:rsid w:val="001F637B"/>
    <w:rsid w:val="00205633"/>
    <w:rsid w:val="0020754B"/>
    <w:rsid w:val="002200B0"/>
    <w:rsid w:val="0022223F"/>
    <w:rsid w:val="002227F1"/>
    <w:rsid w:val="002238A0"/>
    <w:rsid w:val="00224436"/>
    <w:rsid w:val="002252FC"/>
    <w:rsid w:val="00225722"/>
    <w:rsid w:val="0022746F"/>
    <w:rsid w:val="00227A50"/>
    <w:rsid w:val="00231666"/>
    <w:rsid w:val="0023182E"/>
    <w:rsid w:val="00234673"/>
    <w:rsid w:val="00242720"/>
    <w:rsid w:val="00247B8A"/>
    <w:rsid w:val="0025029F"/>
    <w:rsid w:val="002533D1"/>
    <w:rsid w:val="0025392C"/>
    <w:rsid w:val="0025628F"/>
    <w:rsid w:val="00256830"/>
    <w:rsid w:val="00257117"/>
    <w:rsid w:val="0025745C"/>
    <w:rsid w:val="0026083C"/>
    <w:rsid w:val="00261C4C"/>
    <w:rsid w:val="00261C72"/>
    <w:rsid w:val="00263DB2"/>
    <w:rsid w:val="002647E3"/>
    <w:rsid w:val="00264BD8"/>
    <w:rsid w:val="0026516E"/>
    <w:rsid w:val="002655F6"/>
    <w:rsid w:val="002661C7"/>
    <w:rsid w:val="00270871"/>
    <w:rsid w:val="00277E16"/>
    <w:rsid w:val="00282492"/>
    <w:rsid w:val="00283509"/>
    <w:rsid w:val="00283F37"/>
    <w:rsid w:val="002848F9"/>
    <w:rsid w:val="00285DA6"/>
    <w:rsid w:val="00286A29"/>
    <w:rsid w:val="00291018"/>
    <w:rsid w:val="0029140B"/>
    <w:rsid w:val="00296DA9"/>
    <w:rsid w:val="002A0189"/>
    <w:rsid w:val="002A0A96"/>
    <w:rsid w:val="002A15DF"/>
    <w:rsid w:val="002A3D9E"/>
    <w:rsid w:val="002A6C4E"/>
    <w:rsid w:val="002B0362"/>
    <w:rsid w:val="002B759C"/>
    <w:rsid w:val="002C16B6"/>
    <w:rsid w:val="002C2122"/>
    <w:rsid w:val="002C2F38"/>
    <w:rsid w:val="002C575C"/>
    <w:rsid w:val="002C6440"/>
    <w:rsid w:val="002D0F87"/>
    <w:rsid w:val="002D15FC"/>
    <w:rsid w:val="002D2277"/>
    <w:rsid w:val="002D30BE"/>
    <w:rsid w:val="002D52C5"/>
    <w:rsid w:val="002D773F"/>
    <w:rsid w:val="002E0D93"/>
    <w:rsid w:val="002E3281"/>
    <w:rsid w:val="002E3582"/>
    <w:rsid w:val="002E4D4C"/>
    <w:rsid w:val="002E72DE"/>
    <w:rsid w:val="002F043D"/>
    <w:rsid w:val="002F06C7"/>
    <w:rsid w:val="002F2EAB"/>
    <w:rsid w:val="002F3661"/>
    <w:rsid w:val="002F4724"/>
    <w:rsid w:val="00300140"/>
    <w:rsid w:val="0030054C"/>
    <w:rsid w:val="00303E23"/>
    <w:rsid w:val="00304122"/>
    <w:rsid w:val="00306705"/>
    <w:rsid w:val="003075FF"/>
    <w:rsid w:val="00314EFA"/>
    <w:rsid w:val="00316630"/>
    <w:rsid w:val="00321C4C"/>
    <w:rsid w:val="003221AD"/>
    <w:rsid w:val="00322237"/>
    <w:rsid w:val="00322DD2"/>
    <w:rsid w:val="003240EB"/>
    <w:rsid w:val="003313C6"/>
    <w:rsid w:val="003326A2"/>
    <w:rsid w:val="00333D07"/>
    <w:rsid w:val="00336F52"/>
    <w:rsid w:val="003377B1"/>
    <w:rsid w:val="00343CB4"/>
    <w:rsid w:val="00351D05"/>
    <w:rsid w:val="00356ABC"/>
    <w:rsid w:val="00356B21"/>
    <w:rsid w:val="00357FD1"/>
    <w:rsid w:val="003610C4"/>
    <w:rsid w:val="0037186E"/>
    <w:rsid w:val="0037493B"/>
    <w:rsid w:val="00375C43"/>
    <w:rsid w:val="003802DF"/>
    <w:rsid w:val="00382F90"/>
    <w:rsid w:val="0038494A"/>
    <w:rsid w:val="003857ED"/>
    <w:rsid w:val="00386C47"/>
    <w:rsid w:val="00387BBF"/>
    <w:rsid w:val="00391206"/>
    <w:rsid w:val="0039519A"/>
    <w:rsid w:val="00395C6D"/>
    <w:rsid w:val="00396298"/>
    <w:rsid w:val="003972DB"/>
    <w:rsid w:val="003A2EFE"/>
    <w:rsid w:val="003A4F9B"/>
    <w:rsid w:val="003A5DB7"/>
    <w:rsid w:val="003A63CB"/>
    <w:rsid w:val="003B47E6"/>
    <w:rsid w:val="003B6407"/>
    <w:rsid w:val="003C0CC0"/>
    <w:rsid w:val="003C7622"/>
    <w:rsid w:val="003D6A86"/>
    <w:rsid w:val="003E0A75"/>
    <w:rsid w:val="003E349F"/>
    <w:rsid w:val="003F3440"/>
    <w:rsid w:val="003F424E"/>
    <w:rsid w:val="00401D09"/>
    <w:rsid w:val="00403078"/>
    <w:rsid w:val="0040549B"/>
    <w:rsid w:val="00407D6D"/>
    <w:rsid w:val="00411C60"/>
    <w:rsid w:val="0041205B"/>
    <w:rsid w:val="00412D1D"/>
    <w:rsid w:val="00412EC7"/>
    <w:rsid w:val="004132C2"/>
    <w:rsid w:val="00413D6B"/>
    <w:rsid w:val="00415872"/>
    <w:rsid w:val="00416BA1"/>
    <w:rsid w:val="00420FB9"/>
    <w:rsid w:val="004218F1"/>
    <w:rsid w:val="00426AE6"/>
    <w:rsid w:val="00432BD9"/>
    <w:rsid w:val="004355C6"/>
    <w:rsid w:val="00435ABF"/>
    <w:rsid w:val="00443860"/>
    <w:rsid w:val="00444B8E"/>
    <w:rsid w:val="004461EF"/>
    <w:rsid w:val="0044637A"/>
    <w:rsid w:val="00447F13"/>
    <w:rsid w:val="00451244"/>
    <w:rsid w:val="004531E2"/>
    <w:rsid w:val="00454B87"/>
    <w:rsid w:val="00455472"/>
    <w:rsid w:val="004606A5"/>
    <w:rsid w:val="00462F84"/>
    <w:rsid w:val="00463565"/>
    <w:rsid w:val="0046433C"/>
    <w:rsid w:val="00464484"/>
    <w:rsid w:val="00466A0C"/>
    <w:rsid w:val="00467247"/>
    <w:rsid w:val="00467B90"/>
    <w:rsid w:val="00474008"/>
    <w:rsid w:val="00475075"/>
    <w:rsid w:val="004760D4"/>
    <w:rsid w:val="00476AC4"/>
    <w:rsid w:val="00477C72"/>
    <w:rsid w:val="00483029"/>
    <w:rsid w:val="00485188"/>
    <w:rsid w:val="00485436"/>
    <w:rsid w:val="004868C2"/>
    <w:rsid w:val="004875CE"/>
    <w:rsid w:val="00490AA3"/>
    <w:rsid w:val="004910D3"/>
    <w:rsid w:val="00495053"/>
    <w:rsid w:val="004A48F1"/>
    <w:rsid w:val="004A7EBB"/>
    <w:rsid w:val="004B140D"/>
    <w:rsid w:val="004B1793"/>
    <w:rsid w:val="004B2CF6"/>
    <w:rsid w:val="004B3A1E"/>
    <w:rsid w:val="004B49C7"/>
    <w:rsid w:val="004B583E"/>
    <w:rsid w:val="004B6849"/>
    <w:rsid w:val="004B6F76"/>
    <w:rsid w:val="004B7797"/>
    <w:rsid w:val="004B7EE8"/>
    <w:rsid w:val="004C31FA"/>
    <w:rsid w:val="004C558C"/>
    <w:rsid w:val="004C5C47"/>
    <w:rsid w:val="004C6528"/>
    <w:rsid w:val="004C7C55"/>
    <w:rsid w:val="004C7CCB"/>
    <w:rsid w:val="004C7DA0"/>
    <w:rsid w:val="004D14E3"/>
    <w:rsid w:val="004D1725"/>
    <w:rsid w:val="004D2530"/>
    <w:rsid w:val="004D3EC2"/>
    <w:rsid w:val="004D604C"/>
    <w:rsid w:val="004D6727"/>
    <w:rsid w:val="004E0F0D"/>
    <w:rsid w:val="004E25AD"/>
    <w:rsid w:val="004E2E0E"/>
    <w:rsid w:val="004E4DB1"/>
    <w:rsid w:val="004E5DEB"/>
    <w:rsid w:val="004F3EE9"/>
    <w:rsid w:val="004F476C"/>
    <w:rsid w:val="004F56AB"/>
    <w:rsid w:val="004F570C"/>
    <w:rsid w:val="004F5894"/>
    <w:rsid w:val="004F7C4D"/>
    <w:rsid w:val="00500370"/>
    <w:rsid w:val="005036B1"/>
    <w:rsid w:val="00504ECF"/>
    <w:rsid w:val="00505F17"/>
    <w:rsid w:val="0051304B"/>
    <w:rsid w:val="00515016"/>
    <w:rsid w:val="00516EB7"/>
    <w:rsid w:val="00520446"/>
    <w:rsid w:val="005206EA"/>
    <w:rsid w:val="00520A77"/>
    <w:rsid w:val="00521A0B"/>
    <w:rsid w:val="00522DA6"/>
    <w:rsid w:val="005251BC"/>
    <w:rsid w:val="0052668D"/>
    <w:rsid w:val="005273AB"/>
    <w:rsid w:val="005306E6"/>
    <w:rsid w:val="00530BE7"/>
    <w:rsid w:val="00533E71"/>
    <w:rsid w:val="0053774A"/>
    <w:rsid w:val="005400EE"/>
    <w:rsid w:val="00540FDD"/>
    <w:rsid w:val="0054189C"/>
    <w:rsid w:val="00541CF5"/>
    <w:rsid w:val="0054283E"/>
    <w:rsid w:val="0054307C"/>
    <w:rsid w:val="0054402C"/>
    <w:rsid w:val="00545276"/>
    <w:rsid w:val="00545F8A"/>
    <w:rsid w:val="0055202C"/>
    <w:rsid w:val="00552152"/>
    <w:rsid w:val="00555888"/>
    <w:rsid w:val="00557A4D"/>
    <w:rsid w:val="005610EF"/>
    <w:rsid w:val="00561273"/>
    <w:rsid w:val="00563701"/>
    <w:rsid w:val="00563BB5"/>
    <w:rsid w:val="00566854"/>
    <w:rsid w:val="005677A9"/>
    <w:rsid w:val="00567A27"/>
    <w:rsid w:val="00573016"/>
    <w:rsid w:val="00580049"/>
    <w:rsid w:val="00585594"/>
    <w:rsid w:val="00585BBB"/>
    <w:rsid w:val="005870CB"/>
    <w:rsid w:val="005909C4"/>
    <w:rsid w:val="00591F10"/>
    <w:rsid w:val="005920C2"/>
    <w:rsid w:val="005978BA"/>
    <w:rsid w:val="005A10F7"/>
    <w:rsid w:val="005A174A"/>
    <w:rsid w:val="005A4865"/>
    <w:rsid w:val="005A5B28"/>
    <w:rsid w:val="005A7056"/>
    <w:rsid w:val="005B10C7"/>
    <w:rsid w:val="005B45E2"/>
    <w:rsid w:val="005B5AF4"/>
    <w:rsid w:val="005B7100"/>
    <w:rsid w:val="005C303C"/>
    <w:rsid w:val="005C463B"/>
    <w:rsid w:val="005C7A8C"/>
    <w:rsid w:val="005D4722"/>
    <w:rsid w:val="005E0102"/>
    <w:rsid w:val="005E14B4"/>
    <w:rsid w:val="005E3159"/>
    <w:rsid w:val="005E4078"/>
    <w:rsid w:val="005E4EB1"/>
    <w:rsid w:val="005E5459"/>
    <w:rsid w:val="005F1E96"/>
    <w:rsid w:val="005F2BE4"/>
    <w:rsid w:val="005F310A"/>
    <w:rsid w:val="005F3DA7"/>
    <w:rsid w:val="005F59ED"/>
    <w:rsid w:val="005F6D2F"/>
    <w:rsid w:val="00600B74"/>
    <w:rsid w:val="0060299E"/>
    <w:rsid w:val="00604DC6"/>
    <w:rsid w:val="00605076"/>
    <w:rsid w:val="0061328E"/>
    <w:rsid w:val="0061725E"/>
    <w:rsid w:val="0061783E"/>
    <w:rsid w:val="006200E0"/>
    <w:rsid w:val="0062265A"/>
    <w:rsid w:val="006238A6"/>
    <w:rsid w:val="0062547A"/>
    <w:rsid w:val="0064488E"/>
    <w:rsid w:val="006500C4"/>
    <w:rsid w:val="00653068"/>
    <w:rsid w:val="00653A1A"/>
    <w:rsid w:val="00660F59"/>
    <w:rsid w:val="00663437"/>
    <w:rsid w:val="0067124A"/>
    <w:rsid w:val="00671BB8"/>
    <w:rsid w:val="006751F3"/>
    <w:rsid w:val="00675A68"/>
    <w:rsid w:val="00676410"/>
    <w:rsid w:val="00680077"/>
    <w:rsid w:val="00684186"/>
    <w:rsid w:val="006944D0"/>
    <w:rsid w:val="00696DC4"/>
    <w:rsid w:val="006A17DA"/>
    <w:rsid w:val="006A6DDC"/>
    <w:rsid w:val="006A72FF"/>
    <w:rsid w:val="006A77C7"/>
    <w:rsid w:val="006B11F7"/>
    <w:rsid w:val="006B1D76"/>
    <w:rsid w:val="006B34D3"/>
    <w:rsid w:val="006C05CE"/>
    <w:rsid w:val="006C3D05"/>
    <w:rsid w:val="006C4180"/>
    <w:rsid w:val="006D0D89"/>
    <w:rsid w:val="006D1103"/>
    <w:rsid w:val="006D2535"/>
    <w:rsid w:val="006D4BEC"/>
    <w:rsid w:val="006E19CB"/>
    <w:rsid w:val="006E4231"/>
    <w:rsid w:val="006F1715"/>
    <w:rsid w:val="006F1EC3"/>
    <w:rsid w:val="006F4ED2"/>
    <w:rsid w:val="006F7D3C"/>
    <w:rsid w:val="00702BAF"/>
    <w:rsid w:val="0070497F"/>
    <w:rsid w:val="00707582"/>
    <w:rsid w:val="00707618"/>
    <w:rsid w:val="00710D4B"/>
    <w:rsid w:val="007149C6"/>
    <w:rsid w:val="00715736"/>
    <w:rsid w:val="00716051"/>
    <w:rsid w:val="007160A5"/>
    <w:rsid w:val="007248D6"/>
    <w:rsid w:val="00724B1A"/>
    <w:rsid w:val="00731748"/>
    <w:rsid w:val="00736092"/>
    <w:rsid w:val="007361B0"/>
    <w:rsid w:val="00740023"/>
    <w:rsid w:val="00741879"/>
    <w:rsid w:val="0075103A"/>
    <w:rsid w:val="00751B1C"/>
    <w:rsid w:val="00753D17"/>
    <w:rsid w:val="00760637"/>
    <w:rsid w:val="00765204"/>
    <w:rsid w:val="007672CE"/>
    <w:rsid w:val="00771020"/>
    <w:rsid w:val="007721BA"/>
    <w:rsid w:val="00772D31"/>
    <w:rsid w:val="00784D01"/>
    <w:rsid w:val="007875DA"/>
    <w:rsid w:val="00790F3D"/>
    <w:rsid w:val="00792331"/>
    <w:rsid w:val="00792B08"/>
    <w:rsid w:val="007A2A74"/>
    <w:rsid w:val="007A2B62"/>
    <w:rsid w:val="007A3530"/>
    <w:rsid w:val="007A3615"/>
    <w:rsid w:val="007A4715"/>
    <w:rsid w:val="007B25CF"/>
    <w:rsid w:val="007B4A8D"/>
    <w:rsid w:val="007B5881"/>
    <w:rsid w:val="007B7229"/>
    <w:rsid w:val="007C02E8"/>
    <w:rsid w:val="007C4587"/>
    <w:rsid w:val="007C522D"/>
    <w:rsid w:val="007C6137"/>
    <w:rsid w:val="007D15D7"/>
    <w:rsid w:val="007D62F3"/>
    <w:rsid w:val="007D7314"/>
    <w:rsid w:val="007E419D"/>
    <w:rsid w:val="007E6DD2"/>
    <w:rsid w:val="007E6EBF"/>
    <w:rsid w:val="007F2B43"/>
    <w:rsid w:val="00802F4A"/>
    <w:rsid w:val="00804D6B"/>
    <w:rsid w:val="0080580E"/>
    <w:rsid w:val="00810C61"/>
    <w:rsid w:val="00811E1D"/>
    <w:rsid w:val="00813DCD"/>
    <w:rsid w:val="00820122"/>
    <w:rsid w:val="008213E6"/>
    <w:rsid w:val="0082295E"/>
    <w:rsid w:val="0082403E"/>
    <w:rsid w:val="00825CC1"/>
    <w:rsid w:val="0082627A"/>
    <w:rsid w:val="008270E4"/>
    <w:rsid w:val="00827B5F"/>
    <w:rsid w:val="0083053C"/>
    <w:rsid w:val="0083062A"/>
    <w:rsid w:val="00833D72"/>
    <w:rsid w:val="00834347"/>
    <w:rsid w:val="0083557B"/>
    <w:rsid w:val="008360D0"/>
    <w:rsid w:val="008374F8"/>
    <w:rsid w:val="0084122B"/>
    <w:rsid w:val="00842674"/>
    <w:rsid w:val="00845285"/>
    <w:rsid w:val="0084710F"/>
    <w:rsid w:val="008473F2"/>
    <w:rsid w:val="008539C6"/>
    <w:rsid w:val="00854794"/>
    <w:rsid w:val="00856FE1"/>
    <w:rsid w:val="00857EDC"/>
    <w:rsid w:val="00866CAD"/>
    <w:rsid w:val="00867CAE"/>
    <w:rsid w:val="00870E55"/>
    <w:rsid w:val="0087237D"/>
    <w:rsid w:val="00875A0C"/>
    <w:rsid w:val="008822E8"/>
    <w:rsid w:val="00885C94"/>
    <w:rsid w:val="008861BE"/>
    <w:rsid w:val="00891E5E"/>
    <w:rsid w:val="0089230B"/>
    <w:rsid w:val="008968D4"/>
    <w:rsid w:val="008A1F20"/>
    <w:rsid w:val="008A438A"/>
    <w:rsid w:val="008B2BEA"/>
    <w:rsid w:val="008B3263"/>
    <w:rsid w:val="008B5F2C"/>
    <w:rsid w:val="008B602F"/>
    <w:rsid w:val="008C02FD"/>
    <w:rsid w:val="008C07F2"/>
    <w:rsid w:val="008C2D1C"/>
    <w:rsid w:val="008C3861"/>
    <w:rsid w:val="008C41B5"/>
    <w:rsid w:val="008C5E3D"/>
    <w:rsid w:val="008C70FE"/>
    <w:rsid w:val="008C7724"/>
    <w:rsid w:val="008E097E"/>
    <w:rsid w:val="008E2383"/>
    <w:rsid w:val="008E4E85"/>
    <w:rsid w:val="008F3745"/>
    <w:rsid w:val="008F381B"/>
    <w:rsid w:val="0090060B"/>
    <w:rsid w:val="00903FFA"/>
    <w:rsid w:val="00914377"/>
    <w:rsid w:val="00916CDE"/>
    <w:rsid w:val="00920244"/>
    <w:rsid w:val="00920D23"/>
    <w:rsid w:val="00921110"/>
    <w:rsid w:val="00921C6B"/>
    <w:rsid w:val="0092205D"/>
    <w:rsid w:val="00926F96"/>
    <w:rsid w:val="00927EAA"/>
    <w:rsid w:val="009315AE"/>
    <w:rsid w:val="009364F4"/>
    <w:rsid w:val="009407BE"/>
    <w:rsid w:val="00941056"/>
    <w:rsid w:val="009426B6"/>
    <w:rsid w:val="00942915"/>
    <w:rsid w:val="00947629"/>
    <w:rsid w:val="00951A82"/>
    <w:rsid w:val="00951DAA"/>
    <w:rsid w:val="00951F81"/>
    <w:rsid w:val="00952070"/>
    <w:rsid w:val="00952DDB"/>
    <w:rsid w:val="009576DB"/>
    <w:rsid w:val="009667BF"/>
    <w:rsid w:val="009712D9"/>
    <w:rsid w:val="00973945"/>
    <w:rsid w:val="0097481A"/>
    <w:rsid w:val="009771F8"/>
    <w:rsid w:val="00977249"/>
    <w:rsid w:val="009779E8"/>
    <w:rsid w:val="00981125"/>
    <w:rsid w:val="00981886"/>
    <w:rsid w:val="009828A3"/>
    <w:rsid w:val="00983240"/>
    <w:rsid w:val="00986492"/>
    <w:rsid w:val="009905CA"/>
    <w:rsid w:val="00991D85"/>
    <w:rsid w:val="009969A2"/>
    <w:rsid w:val="00996A7E"/>
    <w:rsid w:val="00997BBF"/>
    <w:rsid w:val="00997C3B"/>
    <w:rsid w:val="009A37BD"/>
    <w:rsid w:val="009A3FC4"/>
    <w:rsid w:val="009A5350"/>
    <w:rsid w:val="009A5508"/>
    <w:rsid w:val="009A5ACE"/>
    <w:rsid w:val="009A6F77"/>
    <w:rsid w:val="009B13B3"/>
    <w:rsid w:val="009B2616"/>
    <w:rsid w:val="009B49EF"/>
    <w:rsid w:val="009B57C3"/>
    <w:rsid w:val="009C172C"/>
    <w:rsid w:val="009C498F"/>
    <w:rsid w:val="009C7C67"/>
    <w:rsid w:val="009D1E7A"/>
    <w:rsid w:val="009D2554"/>
    <w:rsid w:val="009D4416"/>
    <w:rsid w:val="009D5095"/>
    <w:rsid w:val="009D609B"/>
    <w:rsid w:val="009D7E8B"/>
    <w:rsid w:val="009E751B"/>
    <w:rsid w:val="009E7DAE"/>
    <w:rsid w:val="009F0EEF"/>
    <w:rsid w:val="009F119E"/>
    <w:rsid w:val="009F2165"/>
    <w:rsid w:val="009F3133"/>
    <w:rsid w:val="009F5CD7"/>
    <w:rsid w:val="00A0136B"/>
    <w:rsid w:val="00A03EA6"/>
    <w:rsid w:val="00A041A5"/>
    <w:rsid w:val="00A06FE4"/>
    <w:rsid w:val="00A07B79"/>
    <w:rsid w:val="00A14697"/>
    <w:rsid w:val="00A16A93"/>
    <w:rsid w:val="00A23C3F"/>
    <w:rsid w:val="00A25E64"/>
    <w:rsid w:val="00A2615B"/>
    <w:rsid w:val="00A26A6D"/>
    <w:rsid w:val="00A26DBB"/>
    <w:rsid w:val="00A3076D"/>
    <w:rsid w:val="00A30807"/>
    <w:rsid w:val="00A35C78"/>
    <w:rsid w:val="00A360D6"/>
    <w:rsid w:val="00A36299"/>
    <w:rsid w:val="00A373F0"/>
    <w:rsid w:val="00A37F53"/>
    <w:rsid w:val="00A4127E"/>
    <w:rsid w:val="00A4352E"/>
    <w:rsid w:val="00A4606B"/>
    <w:rsid w:val="00A46230"/>
    <w:rsid w:val="00A473E1"/>
    <w:rsid w:val="00A477C5"/>
    <w:rsid w:val="00A50675"/>
    <w:rsid w:val="00A5274B"/>
    <w:rsid w:val="00A54060"/>
    <w:rsid w:val="00A568CB"/>
    <w:rsid w:val="00A57B9D"/>
    <w:rsid w:val="00A61406"/>
    <w:rsid w:val="00A61945"/>
    <w:rsid w:val="00A635B2"/>
    <w:rsid w:val="00A66083"/>
    <w:rsid w:val="00A6710D"/>
    <w:rsid w:val="00A722D4"/>
    <w:rsid w:val="00A74DD9"/>
    <w:rsid w:val="00A77B72"/>
    <w:rsid w:val="00A8189F"/>
    <w:rsid w:val="00A82FB1"/>
    <w:rsid w:val="00A83B58"/>
    <w:rsid w:val="00A85B6F"/>
    <w:rsid w:val="00A86019"/>
    <w:rsid w:val="00A90C6E"/>
    <w:rsid w:val="00A90F2F"/>
    <w:rsid w:val="00A9261E"/>
    <w:rsid w:val="00A93C9B"/>
    <w:rsid w:val="00A949AA"/>
    <w:rsid w:val="00A96A42"/>
    <w:rsid w:val="00A975FC"/>
    <w:rsid w:val="00AA175B"/>
    <w:rsid w:val="00AA2E8F"/>
    <w:rsid w:val="00AA6144"/>
    <w:rsid w:val="00AA61EB"/>
    <w:rsid w:val="00AA6885"/>
    <w:rsid w:val="00AA7373"/>
    <w:rsid w:val="00AB0747"/>
    <w:rsid w:val="00AB1073"/>
    <w:rsid w:val="00AB3D2B"/>
    <w:rsid w:val="00AB69C5"/>
    <w:rsid w:val="00AB7F09"/>
    <w:rsid w:val="00AC15AA"/>
    <w:rsid w:val="00AC1683"/>
    <w:rsid w:val="00AC4809"/>
    <w:rsid w:val="00AC6D9E"/>
    <w:rsid w:val="00AC797B"/>
    <w:rsid w:val="00AC79B6"/>
    <w:rsid w:val="00AC7CF0"/>
    <w:rsid w:val="00AD26D0"/>
    <w:rsid w:val="00AD38C1"/>
    <w:rsid w:val="00AE0353"/>
    <w:rsid w:val="00AE2A00"/>
    <w:rsid w:val="00AE2A16"/>
    <w:rsid w:val="00AE7E84"/>
    <w:rsid w:val="00AF0569"/>
    <w:rsid w:val="00AF2879"/>
    <w:rsid w:val="00AF3169"/>
    <w:rsid w:val="00AF3FBC"/>
    <w:rsid w:val="00AF7E7C"/>
    <w:rsid w:val="00B007B6"/>
    <w:rsid w:val="00B01B35"/>
    <w:rsid w:val="00B04E2B"/>
    <w:rsid w:val="00B05438"/>
    <w:rsid w:val="00B057C5"/>
    <w:rsid w:val="00B076DF"/>
    <w:rsid w:val="00B07D47"/>
    <w:rsid w:val="00B145D9"/>
    <w:rsid w:val="00B1522A"/>
    <w:rsid w:val="00B20134"/>
    <w:rsid w:val="00B26E36"/>
    <w:rsid w:val="00B3100F"/>
    <w:rsid w:val="00B36DE5"/>
    <w:rsid w:val="00B4571A"/>
    <w:rsid w:val="00B523FF"/>
    <w:rsid w:val="00B5287E"/>
    <w:rsid w:val="00B53339"/>
    <w:rsid w:val="00B56AB3"/>
    <w:rsid w:val="00B603FC"/>
    <w:rsid w:val="00B64EBC"/>
    <w:rsid w:val="00B660B1"/>
    <w:rsid w:val="00B72FC0"/>
    <w:rsid w:val="00B74DDA"/>
    <w:rsid w:val="00B7646A"/>
    <w:rsid w:val="00B81CA4"/>
    <w:rsid w:val="00B83297"/>
    <w:rsid w:val="00B8644F"/>
    <w:rsid w:val="00B86A9F"/>
    <w:rsid w:val="00B86C1A"/>
    <w:rsid w:val="00B86FDD"/>
    <w:rsid w:val="00B93CD0"/>
    <w:rsid w:val="00B93E64"/>
    <w:rsid w:val="00BA0BFE"/>
    <w:rsid w:val="00BA1442"/>
    <w:rsid w:val="00BA63F3"/>
    <w:rsid w:val="00BB05A2"/>
    <w:rsid w:val="00BB31C6"/>
    <w:rsid w:val="00BB4140"/>
    <w:rsid w:val="00BB6D07"/>
    <w:rsid w:val="00BC0440"/>
    <w:rsid w:val="00BC0626"/>
    <w:rsid w:val="00BC2EC2"/>
    <w:rsid w:val="00BC3DBB"/>
    <w:rsid w:val="00BC58ED"/>
    <w:rsid w:val="00BC6FD4"/>
    <w:rsid w:val="00BD0A0D"/>
    <w:rsid w:val="00BD2D67"/>
    <w:rsid w:val="00BD4DF6"/>
    <w:rsid w:val="00BD79E8"/>
    <w:rsid w:val="00BD7CCB"/>
    <w:rsid w:val="00BE3117"/>
    <w:rsid w:val="00BE44FD"/>
    <w:rsid w:val="00BE4A3A"/>
    <w:rsid w:val="00BE4B58"/>
    <w:rsid w:val="00BE7108"/>
    <w:rsid w:val="00BF0A6D"/>
    <w:rsid w:val="00BF38C7"/>
    <w:rsid w:val="00BF48AC"/>
    <w:rsid w:val="00C00099"/>
    <w:rsid w:val="00C012BA"/>
    <w:rsid w:val="00C04333"/>
    <w:rsid w:val="00C07359"/>
    <w:rsid w:val="00C07520"/>
    <w:rsid w:val="00C113EF"/>
    <w:rsid w:val="00C11E5E"/>
    <w:rsid w:val="00C143A7"/>
    <w:rsid w:val="00C16475"/>
    <w:rsid w:val="00C1747D"/>
    <w:rsid w:val="00C20C05"/>
    <w:rsid w:val="00C23CEB"/>
    <w:rsid w:val="00C26512"/>
    <w:rsid w:val="00C27DE7"/>
    <w:rsid w:val="00C34875"/>
    <w:rsid w:val="00C355E3"/>
    <w:rsid w:val="00C3599D"/>
    <w:rsid w:val="00C35B64"/>
    <w:rsid w:val="00C41604"/>
    <w:rsid w:val="00C42FD0"/>
    <w:rsid w:val="00C46886"/>
    <w:rsid w:val="00C54D39"/>
    <w:rsid w:val="00C56020"/>
    <w:rsid w:val="00C56D91"/>
    <w:rsid w:val="00C63AA7"/>
    <w:rsid w:val="00C649F2"/>
    <w:rsid w:val="00C676F6"/>
    <w:rsid w:val="00C67A72"/>
    <w:rsid w:val="00C7325F"/>
    <w:rsid w:val="00C75C19"/>
    <w:rsid w:val="00C763E6"/>
    <w:rsid w:val="00C76559"/>
    <w:rsid w:val="00C77063"/>
    <w:rsid w:val="00C77336"/>
    <w:rsid w:val="00C80E71"/>
    <w:rsid w:val="00C82FA9"/>
    <w:rsid w:val="00C84EB3"/>
    <w:rsid w:val="00C850A8"/>
    <w:rsid w:val="00C92775"/>
    <w:rsid w:val="00C92F2C"/>
    <w:rsid w:val="00C93054"/>
    <w:rsid w:val="00C94BF0"/>
    <w:rsid w:val="00C959EC"/>
    <w:rsid w:val="00C9789B"/>
    <w:rsid w:val="00CA14AB"/>
    <w:rsid w:val="00CA28EB"/>
    <w:rsid w:val="00CA3166"/>
    <w:rsid w:val="00CA39E3"/>
    <w:rsid w:val="00CA3F8E"/>
    <w:rsid w:val="00CA4C9E"/>
    <w:rsid w:val="00CA6FE1"/>
    <w:rsid w:val="00CA79DD"/>
    <w:rsid w:val="00CB267E"/>
    <w:rsid w:val="00CB2A2D"/>
    <w:rsid w:val="00CB32E6"/>
    <w:rsid w:val="00CB366D"/>
    <w:rsid w:val="00CB43D1"/>
    <w:rsid w:val="00CB5CA3"/>
    <w:rsid w:val="00CC335F"/>
    <w:rsid w:val="00CD14A4"/>
    <w:rsid w:val="00CD292C"/>
    <w:rsid w:val="00CD2F62"/>
    <w:rsid w:val="00CD488F"/>
    <w:rsid w:val="00CD586E"/>
    <w:rsid w:val="00CD5CF4"/>
    <w:rsid w:val="00CD6CC8"/>
    <w:rsid w:val="00CE2041"/>
    <w:rsid w:val="00CE2B29"/>
    <w:rsid w:val="00CE491F"/>
    <w:rsid w:val="00CE5975"/>
    <w:rsid w:val="00CE6BD8"/>
    <w:rsid w:val="00CE73E4"/>
    <w:rsid w:val="00CE7F96"/>
    <w:rsid w:val="00CF059D"/>
    <w:rsid w:val="00CF2497"/>
    <w:rsid w:val="00CF557F"/>
    <w:rsid w:val="00D01D65"/>
    <w:rsid w:val="00D050C3"/>
    <w:rsid w:val="00D06F95"/>
    <w:rsid w:val="00D10831"/>
    <w:rsid w:val="00D205C8"/>
    <w:rsid w:val="00D2073F"/>
    <w:rsid w:val="00D214B8"/>
    <w:rsid w:val="00D25EF8"/>
    <w:rsid w:val="00D305D6"/>
    <w:rsid w:val="00D31FB0"/>
    <w:rsid w:val="00D3374C"/>
    <w:rsid w:val="00D40BB2"/>
    <w:rsid w:val="00D42182"/>
    <w:rsid w:val="00D513AD"/>
    <w:rsid w:val="00D51E3F"/>
    <w:rsid w:val="00D52DE3"/>
    <w:rsid w:val="00D56475"/>
    <w:rsid w:val="00D56689"/>
    <w:rsid w:val="00D566D7"/>
    <w:rsid w:val="00D60C79"/>
    <w:rsid w:val="00D6283C"/>
    <w:rsid w:val="00D7147C"/>
    <w:rsid w:val="00D7475F"/>
    <w:rsid w:val="00D749CF"/>
    <w:rsid w:val="00D7750F"/>
    <w:rsid w:val="00D81C8F"/>
    <w:rsid w:val="00D931D6"/>
    <w:rsid w:val="00D938F6"/>
    <w:rsid w:val="00D968A5"/>
    <w:rsid w:val="00DA0B4D"/>
    <w:rsid w:val="00DA1CFA"/>
    <w:rsid w:val="00DA2189"/>
    <w:rsid w:val="00DA28E0"/>
    <w:rsid w:val="00DA43E8"/>
    <w:rsid w:val="00DA5F2C"/>
    <w:rsid w:val="00DA67A3"/>
    <w:rsid w:val="00DB2FBB"/>
    <w:rsid w:val="00DB4A3C"/>
    <w:rsid w:val="00DC5E27"/>
    <w:rsid w:val="00DC5E58"/>
    <w:rsid w:val="00DC75C8"/>
    <w:rsid w:val="00DD1651"/>
    <w:rsid w:val="00DD4B50"/>
    <w:rsid w:val="00DD57C0"/>
    <w:rsid w:val="00DD5E7B"/>
    <w:rsid w:val="00DD79B0"/>
    <w:rsid w:val="00DE0165"/>
    <w:rsid w:val="00DE1252"/>
    <w:rsid w:val="00DE2981"/>
    <w:rsid w:val="00DE2A1A"/>
    <w:rsid w:val="00DE49FD"/>
    <w:rsid w:val="00DF0831"/>
    <w:rsid w:val="00DF0A33"/>
    <w:rsid w:val="00DF44AB"/>
    <w:rsid w:val="00DF5972"/>
    <w:rsid w:val="00E02834"/>
    <w:rsid w:val="00E02F5B"/>
    <w:rsid w:val="00E03B89"/>
    <w:rsid w:val="00E04147"/>
    <w:rsid w:val="00E041A8"/>
    <w:rsid w:val="00E05A8C"/>
    <w:rsid w:val="00E10AB9"/>
    <w:rsid w:val="00E11625"/>
    <w:rsid w:val="00E177E2"/>
    <w:rsid w:val="00E17FF9"/>
    <w:rsid w:val="00E21861"/>
    <w:rsid w:val="00E2231C"/>
    <w:rsid w:val="00E2631C"/>
    <w:rsid w:val="00E2667A"/>
    <w:rsid w:val="00E27654"/>
    <w:rsid w:val="00E300CC"/>
    <w:rsid w:val="00E309FA"/>
    <w:rsid w:val="00E32F34"/>
    <w:rsid w:val="00E355A2"/>
    <w:rsid w:val="00E36420"/>
    <w:rsid w:val="00E4242B"/>
    <w:rsid w:val="00E42966"/>
    <w:rsid w:val="00E45415"/>
    <w:rsid w:val="00E53A38"/>
    <w:rsid w:val="00E55921"/>
    <w:rsid w:val="00E61106"/>
    <w:rsid w:val="00E61CDD"/>
    <w:rsid w:val="00E63553"/>
    <w:rsid w:val="00E636F4"/>
    <w:rsid w:val="00E666DC"/>
    <w:rsid w:val="00E73135"/>
    <w:rsid w:val="00E7575F"/>
    <w:rsid w:val="00E8108A"/>
    <w:rsid w:val="00E8348D"/>
    <w:rsid w:val="00E8370B"/>
    <w:rsid w:val="00E84BF8"/>
    <w:rsid w:val="00E869C3"/>
    <w:rsid w:val="00E87BF2"/>
    <w:rsid w:val="00E923F6"/>
    <w:rsid w:val="00E9722C"/>
    <w:rsid w:val="00E97C40"/>
    <w:rsid w:val="00E97D9F"/>
    <w:rsid w:val="00EA0968"/>
    <w:rsid w:val="00EB0525"/>
    <w:rsid w:val="00EB088C"/>
    <w:rsid w:val="00EB0CEB"/>
    <w:rsid w:val="00EB3DCA"/>
    <w:rsid w:val="00EB65B2"/>
    <w:rsid w:val="00EC0BA5"/>
    <w:rsid w:val="00EC0E76"/>
    <w:rsid w:val="00EC129F"/>
    <w:rsid w:val="00EC2CD4"/>
    <w:rsid w:val="00EC3748"/>
    <w:rsid w:val="00EC408A"/>
    <w:rsid w:val="00ED2DF8"/>
    <w:rsid w:val="00ED3AF5"/>
    <w:rsid w:val="00ED4ED7"/>
    <w:rsid w:val="00ED753E"/>
    <w:rsid w:val="00ED7E13"/>
    <w:rsid w:val="00EE138F"/>
    <w:rsid w:val="00EE2EE5"/>
    <w:rsid w:val="00EE2F45"/>
    <w:rsid w:val="00EE32CB"/>
    <w:rsid w:val="00EE32FE"/>
    <w:rsid w:val="00EF08CC"/>
    <w:rsid w:val="00EF1C45"/>
    <w:rsid w:val="00EF3611"/>
    <w:rsid w:val="00EF516C"/>
    <w:rsid w:val="00EF53A1"/>
    <w:rsid w:val="00EF594B"/>
    <w:rsid w:val="00F120E0"/>
    <w:rsid w:val="00F13BAF"/>
    <w:rsid w:val="00F144D6"/>
    <w:rsid w:val="00F1716A"/>
    <w:rsid w:val="00F25EC2"/>
    <w:rsid w:val="00F322E8"/>
    <w:rsid w:val="00F32F3E"/>
    <w:rsid w:val="00F3646E"/>
    <w:rsid w:val="00F37904"/>
    <w:rsid w:val="00F406FE"/>
    <w:rsid w:val="00F4105A"/>
    <w:rsid w:val="00F4172B"/>
    <w:rsid w:val="00F41B43"/>
    <w:rsid w:val="00F41F92"/>
    <w:rsid w:val="00F44725"/>
    <w:rsid w:val="00F44E26"/>
    <w:rsid w:val="00F45125"/>
    <w:rsid w:val="00F5195A"/>
    <w:rsid w:val="00F519D1"/>
    <w:rsid w:val="00F53D29"/>
    <w:rsid w:val="00F55AD9"/>
    <w:rsid w:val="00F60058"/>
    <w:rsid w:val="00F60414"/>
    <w:rsid w:val="00F622CF"/>
    <w:rsid w:val="00F655AB"/>
    <w:rsid w:val="00F71599"/>
    <w:rsid w:val="00F725FA"/>
    <w:rsid w:val="00F733AD"/>
    <w:rsid w:val="00F7432C"/>
    <w:rsid w:val="00F7476B"/>
    <w:rsid w:val="00F82AE7"/>
    <w:rsid w:val="00F86152"/>
    <w:rsid w:val="00F87D3C"/>
    <w:rsid w:val="00F95911"/>
    <w:rsid w:val="00FA0861"/>
    <w:rsid w:val="00FA34CC"/>
    <w:rsid w:val="00FA60E2"/>
    <w:rsid w:val="00FB1C01"/>
    <w:rsid w:val="00FB1D37"/>
    <w:rsid w:val="00FB3C3B"/>
    <w:rsid w:val="00FB4250"/>
    <w:rsid w:val="00FB661F"/>
    <w:rsid w:val="00FC014D"/>
    <w:rsid w:val="00FC0B66"/>
    <w:rsid w:val="00FC1DC8"/>
    <w:rsid w:val="00FC43DC"/>
    <w:rsid w:val="00FC4A21"/>
    <w:rsid w:val="00FC6538"/>
    <w:rsid w:val="00FD2DDA"/>
    <w:rsid w:val="00FD4C43"/>
    <w:rsid w:val="00FD59C7"/>
    <w:rsid w:val="00FE187A"/>
    <w:rsid w:val="00FE40FB"/>
    <w:rsid w:val="00FE6326"/>
    <w:rsid w:val="00FE6866"/>
    <w:rsid w:val="00FE69CD"/>
    <w:rsid w:val="00FE78AF"/>
    <w:rsid w:val="00FF3ED9"/>
    <w:rsid w:val="00FF442D"/>
    <w:rsid w:val="00FF457D"/>
    <w:rsid w:val="00FF559A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8A0BF08"/>
  <w15:chartTrackingRefBased/>
  <w15:docId w15:val="{77D95CED-D9C5-4FBC-9CB9-E1C2B9B93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hAnsi="Arial"/>
      <w:lang w:val="de-DE" w:eastAsia="de-DE"/>
    </w:rPr>
  </w:style>
  <w:style w:type="paragraph" w:styleId="Cmsor1">
    <w:name w:val="heading 1"/>
    <w:aliases w:val="Info rubrik 1"/>
    <w:basedOn w:val="Norml"/>
    <w:next w:val="Norml"/>
    <w:qFormat/>
    <w:pPr>
      <w:keepNext/>
      <w:tabs>
        <w:tab w:val="left" w:pos="-1259"/>
        <w:tab w:val="left" w:pos="-539"/>
        <w:tab w:val="left" w:pos="181"/>
        <w:tab w:val="left" w:pos="901"/>
        <w:tab w:val="left" w:pos="1261"/>
        <w:tab w:val="left" w:pos="1621"/>
        <w:tab w:val="left" w:pos="2341"/>
        <w:tab w:val="left" w:pos="3061"/>
        <w:tab w:val="left" w:pos="3781"/>
        <w:tab w:val="left" w:pos="4501"/>
        <w:tab w:val="left" w:pos="5221"/>
        <w:tab w:val="left" w:pos="5941"/>
        <w:tab w:val="left" w:pos="6661"/>
        <w:tab w:val="left" w:pos="7381"/>
        <w:tab w:val="left" w:pos="8101"/>
        <w:tab w:val="left" w:pos="8821"/>
        <w:tab w:val="left" w:pos="9541"/>
        <w:tab w:val="left" w:pos="10261"/>
      </w:tabs>
      <w:suppressAutoHyphens/>
      <w:ind w:left="851" w:hanging="851"/>
      <w:jc w:val="both"/>
      <w:outlineLvl w:val="0"/>
    </w:pPr>
    <w:rPr>
      <w:b/>
      <w:spacing w:val="-2"/>
    </w:rPr>
  </w:style>
  <w:style w:type="paragraph" w:styleId="Cmsor2">
    <w:name w:val="heading 2"/>
    <w:basedOn w:val="Norml"/>
    <w:next w:val="Norml"/>
    <w:qFormat/>
    <w:pPr>
      <w:keepNext/>
      <w:pBdr>
        <w:bottom w:val="single" w:sz="6" w:space="1" w:color="auto"/>
      </w:pBdr>
      <w:tabs>
        <w:tab w:val="left" w:pos="851"/>
      </w:tabs>
      <w:spacing w:after="120" w:line="312" w:lineRule="auto"/>
      <w:outlineLvl w:val="1"/>
    </w:pPr>
    <w:rPr>
      <w:sz w:val="24"/>
      <w:lang w:val="en-GB"/>
    </w:rPr>
  </w:style>
  <w:style w:type="paragraph" w:styleId="Cmsor3">
    <w:name w:val="heading 3"/>
    <w:basedOn w:val="Norml"/>
    <w:next w:val="Norml"/>
    <w:qFormat/>
    <w:pPr>
      <w:keepNext/>
      <w:pBdr>
        <w:bottom w:val="single" w:sz="6" w:space="1" w:color="auto"/>
      </w:pBdr>
      <w:spacing w:after="120" w:line="312" w:lineRule="auto"/>
      <w:ind w:firstLine="851"/>
      <w:outlineLvl w:val="2"/>
    </w:pPr>
    <w:rPr>
      <w:i/>
      <w:sz w:val="24"/>
      <w:lang w:val="en-GB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rFonts w:ascii="Times New Roman" w:hAnsi="Times New Roman"/>
      <w:b/>
      <w:bCs/>
      <w:sz w:val="24"/>
      <w:lang w:val="it-IT"/>
    </w:rPr>
  </w:style>
  <w:style w:type="paragraph" w:styleId="Cmsor5">
    <w:name w:val="heading 5"/>
    <w:basedOn w:val="Norml"/>
    <w:next w:val="Norml"/>
    <w:qFormat/>
    <w:pPr>
      <w:keepNext/>
      <w:ind w:left="567"/>
      <w:jc w:val="both"/>
      <w:outlineLvl w:val="4"/>
    </w:pPr>
    <w:rPr>
      <w:rFonts w:cs="Arial"/>
      <w:i/>
      <w:sz w:val="22"/>
      <w:szCs w:val="24"/>
      <w:lang w:val="en-GB"/>
    </w:rPr>
  </w:style>
  <w:style w:type="paragraph" w:styleId="Cmsor6">
    <w:name w:val="heading 6"/>
    <w:basedOn w:val="Norml"/>
    <w:next w:val="Norml"/>
    <w:qFormat/>
    <w:pPr>
      <w:keepNext/>
      <w:spacing w:after="120"/>
      <w:jc w:val="both"/>
      <w:outlineLvl w:val="5"/>
    </w:pPr>
    <w:rPr>
      <w:b/>
      <w:bCs/>
      <w:i/>
      <w:iCs/>
      <w:szCs w:val="22"/>
      <w:lang w:val="en-GB"/>
    </w:rPr>
  </w:style>
  <w:style w:type="paragraph" w:styleId="Cmsor7">
    <w:name w:val="heading 7"/>
    <w:basedOn w:val="Norml"/>
    <w:next w:val="Norml"/>
    <w:qFormat/>
    <w:pPr>
      <w:keepNext/>
      <w:outlineLvl w:val="6"/>
    </w:pPr>
    <w:rPr>
      <w:b/>
      <w:bCs/>
      <w:i/>
      <w:iCs/>
    </w:rPr>
  </w:style>
  <w:style w:type="paragraph" w:styleId="Cmsor8">
    <w:name w:val="heading 8"/>
    <w:basedOn w:val="Norml"/>
    <w:next w:val="Norml"/>
    <w:qFormat/>
    <w:pPr>
      <w:keepNext/>
      <w:outlineLvl w:val="7"/>
    </w:pPr>
    <w:rPr>
      <w:u w:val="single"/>
      <w:lang w:val="en-GB"/>
    </w:rPr>
  </w:style>
  <w:style w:type="paragraph" w:styleId="Cmsor9">
    <w:name w:val="heading 9"/>
    <w:basedOn w:val="Norml"/>
    <w:next w:val="Norml"/>
    <w:qFormat/>
    <w:pPr>
      <w:keepNext/>
      <w:spacing w:after="120"/>
      <w:jc w:val="both"/>
      <w:outlineLvl w:val="8"/>
    </w:pPr>
    <w:rPr>
      <w:szCs w:val="24"/>
      <w:u w:val="single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-part">
    <w:name w:val="üs-part"/>
    <w:basedOn w:val="Norml"/>
    <w:pPr>
      <w:tabs>
        <w:tab w:val="left" w:pos="-1259"/>
        <w:tab w:val="left" w:pos="-539"/>
        <w:tab w:val="left" w:pos="181"/>
        <w:tab w:val="left" w:pos="851"/>
        <w:tab w:val="left" w:pos="901"/>
        <w:tab w:val="left" w:pos="1261"/>
        <w:tab w:val="left" w:pos="1621"/>
        <w:tab w:val="left" w:pos="2341"/>
        <w:tab w:val="left" w:pos="3061"/>
        <w:tab w:val="left" w:pos="3781"/>
        <w:tab w:val="left" w:pos="4501"/>
        <w:tab w:val="left" w:pos="5221"/>
        <w:tab w:val="left" w:pos="5941"/>
        <w:tab w:val="left" w:pos="6661"/>
        <w:tab w:val="left" w:pos="7381"/>
        <w:tab w:val="left" w:pos="8101"/>
        <w:tab w:val="left" w:pos="8821"/>
        <w:tab w:val="left" w:pos="9541"/>
        <w:tab w:val="left" w:pos="10261"/>
      </w:tabs>
      <w:suppressAutoHyphens/>
      <w:spacing w:after="360" w:line="312" w:lineRule="auto"/>
      <w:ind w:left="851" w:hanging="851"/>
      <w:jc w:val="both"/>
    </w:pPr>
    <w:rPr>
      <w:rFonts w:ascii="Times New Roman" w:hAnsi="Times New Roman"/>
      <w:b/>
      <w:sz w:val="26"/>
    </w:rPr>
  </w:style>
  <w:style w:type="paragraph" w:customStyle="1" w:styleId="s-text2">
    <w:name w:val="s-text2"/>
    <w:basedOn w:val="Norml"/>
    <w:pPr>
      <w:tabs>
        <w:tab w:val="left" w:pos="-1259"/>
        <w:tab w:val="left" w:pos="-539"/>
        <w:tab w:val="left" w:pos="0"/>
        <w:tab w:val="left" w:pos="851"/>
        <w:tab w:val="left" w:pos="1261"/>
        <w:tab w:val="left" w:pos="1621"/>
        <w:tab w:val="left" w:pos="2341"/>
        <w:tab w:val="left" w:pos="3061"/>
        <w:tab w:val="left" w:pos="3781"/>
        <w:tab w:val="left" w:pos="4501"/>
        <w:tab w:val="left" w:pos="5221"/>
        <w:tab w:val="left" w:pos="5941"/>
        <w:tab w:val="left" w:pos="6661"/>
        <w:tab w:val="left" w:pos="7381"/>
        <w:tab w:val="left" w:pos="8101"/>
        <w:tab w:val="left" w:pos="8821"/>
        <w:tab w:val="left" w:pos="9541"/>
        <w:tab w:val="left" w:pos="10261"/>
      </w:tabs>
      <w:suppressAutoHyphens/>
      <w:spacing w:line="312" w:lineRule="auto"/>
      <w:jc w:val="both"/>
    </w:pPr>
    <w:rPr>
      <w:rFonts w:ascii="Times New Roman" w:hAnsi="Times New Roman"/>
      <w:sz w:val="24"/>
    </w:rPr>
  </w:style>
  <w:style w:type="paragraph" w:customStyle="1" w:styleId="s-text1">
    <w:name w:val="s-text1"/>
    <w:basedOn w:val="Norml"/>
    <w:pPr>
      <w:suppressAutoHyphens/>
      <w:spacing w:line="312" w:lineRule="auto"/>
      <w:ind w:left="851"/>
    </w:pPr>
    <w:rPr>
      <w:rFonts w:ascii="Times New Roman" w:hAnsi="Times New Roman"/>
      <w:sz w:val="24"/>
    </w:rPr>
  </w:style>
  <w:style w:type="paragraph" w:customStyle="1" w:styleId="aufz1">
    <w:name w:val="aufz1"/>
    <w:basedOn w:val="Norml"/>
    <w:pPr>
      <w:tabs>
        <w:tab w:val="left" w:pos="0"/>
        <w:tab w:val="left" w:pos="397"/>
      </w:tabs>
      <w:suppressAutoHyphens/>
      <w:spacing w:after="120" w:line="312" w:lineRule="auto"/>
      <w:jc w:val="both"/>
    </w:pPr>
    <w:rPr>
      <w:rFonts w:ascii="Times New Roman" w:hAnsi="Times New Roman"/>
      <w:sz w:val="24"/>
      <w:u w:val="single"/>
    </w:rPr>
  </w:style>
  <w:style w:type="paragraph" w:customStyle="1" w:styleId="s-text3">
    <w:name w:val="s-text3"/>
    <w:basedOn w:val="Norml"/>
    <w:pPr>
      <w:suppressAutoHyphens/>
      <w:spacing w:line="312" w:lineRule="auto"/>
      <w:ind w:left="397"/>
      <w:jc w:val="both"/>
    </w:pPr>
    <w:rPr>
      <w:rFonts w:ascii="Times New Roman" w:hAnsi="Times New Roman"/>
      <w:sz w:val="24"/>
    </w:rPr>
  </w:style>
  <w:style w:type="paragraph" w:customStyle="1" w:styleId="s-text1fett">
    <w:name w:val="s-text1fett"/>
    <w:basedOn w:val="s-text1"/>
    <w:pPr>
      <w:tabs>
        <w:tab w:val="left" w:pos="901"/>
      </w:tabs>
      <w:jc w:val="both"/>
    </w:pPr>
    <w:rPr>
      <w:b/>
    </w:rPr>
  </w:style>
  <w:style w:type="paragraph" w:customStyle="1" w:styleId="s-2us">
    <w:name w:val="üs-2us"/>
    <w:basedOn w:val="Norml"/>
    <w:pPr>
      <w:tabs>
        <w:tab w:val="left" w:pos="-1259"/>
        <w:tab w:val="left" w:pos="-539"/>
        <w:tab w:val="left" w:pos="851"/>
        <w:tab w:val="left" w:pos="1261"/>
        <w:tab w:val="left" w:pos="1621"/>
        <w:tab w:val="left" w:pos="2341"/>
        <w:tab w:val="left" w:pos="3061"/>
        <w:tab w:val="left" w:pos="3781"/>
        <w:tab w:val="left" w:pos="4501"/>
        <w:tab w:val="left" w:pos="5221"/>
        <w:tab w:val="left" w:pos="5941"/>
        <w:tab w:val="left" w:pos="6661"/>
        <w:tab w:val="left" w:pos="7381"/>
        <w:tab w:val="left" w:pos="8101"/>
        <w:tab w:val="left" w:pos="8821"/>
        <w:tab w:val="left" w:pos="9541"/>
        <w:tab w:val="left" w:pos="10261"/>
      </w:tabs>
      <w:suppressAutoHyphens/>
      <w:spacing w:after="120" w:line="312" w:lineRule="auto"/>
      <w:ind w:left="851" w:hanging="851"/>
    </w:pPr>
    <w:rPr>
      <w:rFonts w:ascii="Times New Roman" w:hAnsi="Times New Roman"/>
      <w:sz w:val="24"/>
      <w:u w:val="single"/>
    </w:rPr>
  </w:style>
  <w:style w:type="paragraph" w:customStyle="1" w:styleId="s-text2fett">
    <w:name w:val="s-text2fett"/>
    <w:basedOn w:val="s-text2"/>
    <w:pPr>
      <w:tabs>
        <w:tab w:val="left" w:pos="901"/>
      </w:tabs>
      <w:spacing w:after="120"/>
    </w:pPr>
    <w:rPr>
      <w:b/>
    </w:rPr>
  </w:style>
  <w:style w:type="paragraph" w:customStyle="1" w:styleId="s-text2us">
    <w:name w:val="s-text2us"/>
    <w:basedOn w:val="s-text2"/>
    <w:pPr>
      <w:tabs>
        <w:tab w:val="left" w:pos="901"/>
      </w:tabs>
    </w:pPr>
    <w:rPr>
      <w:sz w:val="22"/>
      <w:u w:val="single"/>
    </w:rPr>
  </w:style>
  <w:style w:type="paragraph" w:customStyle="1" w:styleId="s-text2az">
    <w:name w:val="s-text2az"/>
    <w:basedOn w:val="s-text2"/>
    <w:pPr>
      <w:tabs>
        <w:tab w:val="clear" w:pos="-1259"/>
        <w:tab w:val="clear" w:pos="-539"/>
        <w:tab w:val="clear" w:pos="0"/>
        <w:tab w:val="clear" w:pos="851"/>
        <w:tab w:val="clear" w:pos="1261"/>
        <w:tab w:val="clear" w:pos="1621"/>
        <w:tab w:val="clear" w:pos="2341"/>
        <w:tab w:val="clear" w:pos="3061"/>
        <w:tab w:val="clear" w:pos="3781"/>
        <w:tab w:val="clear" w:pos="4501"/>
        <w:tab w:val="clear" w:pos="5221"/>
        <w:tab w:val="clear" w:pos="5941"/>
        <w:tab w:val="clear" w:pos="6661"/>
        <w:tab w:val="clear" w:pos="7381"/>
        <w:tab w:val="clear" w:pos="8101"/>
        <w:tab w:val="clear" w:pos="8821"/>
        <w:tab w:val="clear" w:pos="9541"/>
        <w:tab w:val="clear" w:pos="10261"/>
        <w:tab w:val="left" w:pos="567"/>
      </w:tabs>
      <w:ind w:left="567" w:hanging="567"/>
    </w:pPr>
  </w:style>
  <w:style w:type="paragraph" w:customStyle="1" w:styleId="s-text1us">
    <w:name w:val="s-text1us"/>
    <w:basedOn w:val="s-text1"/>
    <w:rPr>
      <w:u w:val="single"/>
    </w:rPr>
  </w:style>
  <w:style w:type="paragraph" w:customStyle="1" w:styleId="s-4">
    <w:name w:val="üs-4"/>
    <w:basedOn w:val="s-2"/>
    <w:pPr>
      <w:tabs>
        <w:tab w:val="clear" w:pos="-1259"/>
        <w:tab w:val="clear" w:pos="-539"/>
        <w:tab w:val="clear" w:pos="851"/>
        <w:tab w:val="clear" w:pos="1261"/>
        <w:tab w:val="clear" w:pos="1621"/>
        <w:tab w:val="clear" w:pos="2341"/>
        <w:tab w:val="clear" w:pos="3061"/>
        <w:tab w:val="clear" w:pos="3781"/>
        <w:tab w:val="clear" w:pos="4501"/>
        <w:tab w:val="clear" w:pos="5221"/>
        <w:tab w:val="clear" w:pos="5941"/>
        <w:tab w:val="clear" w:pos="6661"/>
        <w:tab w:val="clear" w:pos="7381"/>
        <w:tab w:val="clear" w:pos="8101"/>
        <w:tab w:val="clear" w:pos="8821"/>
        <w:tab w:val="clear" w:pos="9541"/>
        <w:tab w:val="clear" w:pos="10261"/>
        <w:tab w:val="left" w:pos="1418"/>
      </w:tabs>
      <w:ind w:left="1702"/>
    </w:pPr>
  </w:style>
  <w:style w:type="paragraph" w:customStyle="1" w:styleId="s-2">
    <w:name w:val="üs-2"/>
    <w:basedOn w:val="Norml"/>
    <w:pPr>
      <w:tabs>
        <w:tab w:val="left" w:pos="-1259"/>
        <w:tab w:val="left" w:pos="-539"/>
        <w:tab w:val="left" w:pos="851"/>
        <w:tab w:val="left" w:pos="1261"/>
        <w:tab w:val="left" w:pos="1621"/>
        <w:tab w:val="left" w:pos="2341"/>
        <w:tab w:val="left" w:pos="3061"/>
        <w:tab w:val="left" w:pos="3781"/>
        <w:tab w:val="left" w:pos="4501"/>
        <w:tab w:val="left" w:pos="5221"/>
        <w:tab w:val="left" w:pos="5941"/>
        <w:tab w:val="left" w:pos="6661"/>
        <w:tab w:val="left" w:pos="7381"/>
        <w:tab w:val="left" w:pos="8101"/>
        <w:tab w:val="left" w:pos="8821"/>
        <w:tab w:val="left" w:pos="9541"/>
        <w:tab w:val="left" w:pos="10261"/>
      </w:tabs>
      <w:suppressAutoHyphens/>
      <w:spacing w:after="240" w:line="312" w:lineRule="auto"/>
      <w:ind w:left="851" w:hanging="851"/>
    </w:pPr>
    <w:rPr>
      <w:rFonts w:ascii="Times New Roman" w:hAnsi="Times New Roman"/>
      <w:b/>
      <w:sz w:val="24"/>
    </w:rPr>
  </w:style>
  <w:style w:type="paragraph" w:customStyle="1" w:styleId="s-3">
    <w:name w:val="üs-3"/>
    <w:basedOn w:val="Norml"/>
    <w:pPr>
      <w:spacing w:after="120" w:line="312" w:lineRule="auto"/>
      <w:ind w:left="851"/>
    </w:pPr>
    <w:rPr>
      <w:rFonts w:ascii="Times New Roman" w:hAnsi="Times New Roman"/>
      <w:sz w:val="24"/>
    </w:rPr>
  </w:style>
  <w:style w:type="paragraph" w:customStyle="1" w:styleId="s-2fett">
    <w:name w:val="üs-2fett"/>
    <w:basedOn w:val="s-text1"/>
    <w:pPr>
      <w:spacing w:after="120"/>
    </w:pPr>
    <w:rPr>
      <w:b/>
    </w:rPr>
  </w:style>
  <w:style w:type="paragraph" w:customStyle="1" w:styleId="s-tab1">
    <w:name w:val="üs-tab1"/>
    <w:basedOn w:val="s-2"/>
    <w:pPr>
      <w:spacing w:after="120"/>
    </w:pPr>
  </w:style>
  <w:style w:type="paragraph" w:customStyle="1" w:styleId="s-3einz">
    <w:name w:val="üs-3einz"/>
    <w:basedOn w:val="Norml"/>
    <w:pPr>
      <w:spacing w:line="312" w:lineRule="auto"/>
      <w:ind w:left="851"/>
    </w:pPr>
    <w:rPr>
      <w:rFonts w:ascii="Times New Roman" w:hAnsi="Times New Roman"/>
      <w:sz w:val="24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customStyle="1" w:styleId="spc-s">
    <w:name w:val="spc-üs"/>
    <w:basedOn w:val="Norml"/>
    <w:pPr>
      <w:tabs>
        <w:tab w:val="left" w:pos="851"/>
      </w:tabs>
      <w:spacing w:before="240" w:after="200"/>
    </w:pPr>
    <w:rPr>
      <w:b/>
    </w:rPr>
  </w:style>
  <w:style w:type="paragraph" w:customStyle="1" w:styleId="spc-text">
    <w:name w:val="spc-text"/>
    <w:basedOn w:val="Norml"/>
    <w:pPr>
      <w:tabs>
        <w:tab w:val="left" w:pos="851"/>
      </w:tabs>
      <w:spacing w:line="288" w:lineRule="auto"/>
      <w:ind w:left="851"/>
    </w:pPr>
  </w:style>
  <w:style w:type="paragraph" w:styleId="Szvegtrzs">
    <w:name w:val="Body Text"/>
    <w:basedOn w:val="Norml"/>
    <w:pPr>
      <w:pBdr>
        <w:bottom w:val="single" w:sz="6" w:space="1" w:color="auto"/>
      </w:pBdr>
      <w:tabs>
        <w:tab w:val="left" w:pos="851"/>
      </w:tabs>
      <w:spacing w:after="120" w:line="312" w:lineRule="auto"/>
    </w:pPr>
    <w:rPr>
      <w:sz w:val="24"/>
      <w:lang w:val="en-GB"/>
    </w:rPr>
  </w:style>
  <w:style w:type="paragraph" w:styleId="Szvegtrzsbehzssal">
    <w:name w:val="Body Text Indent"/>
    <w:basedOn w:val="Norml"/>
    <w:pPr>
      <w:tabs>
        <w:tab w:val="left" w:pos="851"/>
        <w:tab w:val="left" w:pos="993"/>
      </w:tabs>
      <w:spacing w:line="360" w:lineRule="auto"/>
      <w:ind w:left="851"/>
    </w:pPr>
    <w:rPr>
      <w:b/>
      <w:i/>
      <w:sz w:val="24"/>
    </w:rPr>
  </w:style>
  <w:style w:type="paragraph" w:styleId="Szvegtrzs2">
    <w:name w:val="Body Text 2"/>
    <w:basedOn w:val="Norml"/>
    <w:pPr>
      <w:pBdr>
        <w:bottom w:val="single" w:sz="6" w:space="1" w:color="auto"/>
      </w:pBdr>
      <w:tabs>
        <w:tab w:val="left" w:pos="851"/>
      </w:tabs>
      <w:spacing w:after="120" w:line="312" w:lineRule="auto"/>
    </w:pPr>
    <w:rPr>
      <w:b/>
      <w:i/>
      <w:sz w:val="24"/>
    </w:rPr>
  </w:style>
  <w:style w:type="paragraph" w:styleId="Szvegtrzsbehzssal2">
    <w:name w:val="Body Text Indent 2"/>
    <w:basedOn w:val="Norml"/>
    <w:pPr>
      <w:tabs>
        <w:tab w:val="left" w:pos="851"/>
      </w:tabs>
      <w:spacing w:after="120" w:line="312" w:lineRule="auto"/>
      <w:ind w:left="851" w:hanging="709"/>
    </w:pPr>
    <w:rPr>
      <w:rFonts w:ascii="Times New Roman" w:hAnsi="Times New Roman"/>
      <w:sz w:val="24"/>
      <w:lang w:val="en-GB"/>
    </w:rPr>
  </w:style>
  <w:style w:type="paragraph" w:styleId="Vgjegyzetszvege">
    <w:name w:val="endnote text"/>
    <w:basedOn w:val="Norml"/>
    <w:next w:val="Norml"/>
    <w:semiHidden/>
    <w:pPr>
      <w:tabs>
        <w:tab w:val="left" w:pos="567"/>
      </w:tabs>
    </w:pPr>
    <w:rPr>
      <w:rFonts w:ascii="Times New Roman" w:hAnsi="Times New Roman"/>
      <w:sz w:val="22"/>
      <w:lang w:val="en-GB" w:eastAsia="en-US"/>
    </w:rPr>
  </w:style>
  <w:style w:type="paragraph" w:styleId="NormlWeb">
    <w:name w:val="Normal (Web)"/>
    <w:basedOn w:val="Norml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Buborkszveg1">
    <w:name w:val="Buborékszöveg1"/>
    <w:basedOn w:val="Norml"/>
    <w:semiHidden/>
    <w:pPr>
      <w:tabs>
        <w:tab w:val="left" w:pos="-1440"/>
        <w:tab w:val="left" w:pos="-720"/>
        <w:tab w:val="left" w:pos="0"/>
        <w:tab w:val="left" w:pos="576"/>
        <w:tab w:val="left" w:pos="1440"/>
      </w:tabs>
      <w:spacing w:after="120"/>
      <w:jc w:val="both"/>
    </w:pPr>
    <w:rPr>
      <w:rFonts w:ascii="Times New Roman" w:hAnsi="Times New Roman"/>
      <w:noProof/>
      <w:snapToGrid w:val="0"/>
      <w:sz w:val="16"/>
      <w:szCs w:val="16"/>
      <w:lang w:val="en-GB" w:eastAsia="en-GB"/>
    </w:rPr>
  </w:style>
  <w:style w:type="paragraph" w:styleId="Szvegtrzsbehzssal3">
    <w:name w:val="Body Text Indent 3"/>
    <w:basedOn w:val="Norml"/>
    <w:pPr>
      <w:spacing w:line="288" w:lineRule="auto"/>
      <w:ind w:left="851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rFonts w:ascii="Times New Roman" w:hAnsi="Times New Roman"/>
      <w:sz w:val="22"/>
      <w:lang w:val="en-US" w:eastAsia="en-US"/>
    </w:rPr>
  </w:style>
  <w:style w:type="paragraph" w:styleId="Szvegtrzs3">
    <w:name w:val="Body Text 3"/>
    <w:basedOn w:val="Norml"/>
    <w:pPr>
      <w:spacing w:after="120"/>
      <w:ind w:right="3401"/>
      <w:jc w:val="both"/>
    </w:pPr>
    <w:rPr>
      <w:rFonts w:ascii="Times New Roman" w:hAnsi="Times New Roman"/>
      <w:color w:val="000000"/>
      <w:szCs w:val="22"/>
      <w:lang w:val="en-GB" w:eastAsia="en-US"/>
    </w:rPr>
  </w:style>
  <w:style w:type="paragraph" w:customStyle="1" w:styleId="Para0s">
    <w:name w:val="Para:0:s"/>
    <w:basedOn w:val="Norml"/>
    <w:next w:val="Norml"/>
    <w:pPr>
      <w:autoSpaceDE w:val="0"/>
      <w:autoSpaceDN w:val="0"/>
      <w:adjustRightInd w:val="0"/>
      <w:spacing w:after="240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knZulassung02">
    <w:name w:val="knZulassung02"/>
    <w:basedOn w:val="Norml"/>
    <w:pPr>
      <w:autoSpaceDE w:val="0"/>
      <w:autoSpaceDN w:val="0"/>
      <w:ind w:left="1843" w:right="284"/>
    </w:pPr>
    <w:rPr>
      <w:rFonts w:ascii="Courier" w:hAnsi="Courier"/>
      <w:sz w:val="24"/>
      <w:szCs w:val="24"/>
    </w:rPr>
  </w:style>
  <w:style w:type="paragraph" w:styleId="Normlbehzs">
    <w:name w:val="Normal Indent"/>
    <w:basedOn w:val="Norml"/>
    <w:pPr>
      <w:ind w:left="720"/>
    </w:pPr>
    <w:rPr>
      <w:rFonts w:ascii="Times New Roman" w:hAnsi="Times New Roman"/>
      <w:sz w:val="24"/>
      <w:lang w:val="en-GB"/>
    </w:rPr>
  </w:style>
  <w:style w:type="paragraph" w:styleId="Csakszveg">
    <w:name w:val="Plain Text"/>
    <w:basedOn w:val="Norml"/>
    <w:link w:val="CsakszvegChar"/>
    <w:pPr>
      <w:autoSpaceDE w:val="0"/>
      <w:autoSpaceDN w:val="0"/>
    </w:pPr>
    <w:rPr>
      <w:rFonts w:ascii="Courier New" w:hAnsi="Courier New" w:cs="Courier New"/>
      <w:lang w:val="en-GB" w:eastAsia="en-US"/>
    </w:rPr>
  </w:style>
  <w:style w:type="paragraph" w:customStyle="1" w:styleId="Formatvorlage2">
    <w:name w:val="Formatvorlage2"/>
    <w:basedOn w:val="Norml"/>
    <w:pPr>
      <w:tabs>
        <w:tab w:val="left" w:pos="7797"/>
      </w:tabs>
      <w:jc w:val="both"/>
    </w:pPr>
    <w:rPr>
      <w:rFonts w:ascii="Times New Roman" w:hAnsi="Times New Roman"/>
      <w:sz w:val="24"/>
      <w:lang w:eastAsia="en-US"/>
    </w:rPr>
  </w:style>
  <w:style w:type="paragraph" w:customStyle="1" w:styleId="knZulassung03">
    <w:name w:val="knZulassung03"/>
    <w:basedOn w:val="Norml"/>
    <w:pPr>
      <w:autoSpaceDE w:val="0"/>
      <w:autoSpaceDN w:val="0"/>
      <w:ind w:left="2269" w:right="284" w:hanging="426"/>
    </w:pPr>
    <w:rPr>
      <w:rFonts w:ascii="Courier" w:hAnsi="Courier"/>
      <w:sz w:val="24"/>
      <w:szCs w:val="24"/>
    </w:rPr>
  </w:style>
  <w:style w:type="paragraph" w:customStyle="1" w:styleId="knZulassung01">
    <w:name w:val="knZulassung01"/>
    <w:basedOn w:val="Norml"/>
    <w:pPr>
      <w:tabs>
        <w:tab w:val="left" w:pos="567"/>
      </w:tabs>
      <w:autoSpaceDE w:val="0"/>
      <w:autoSpaceDN w:val="0"/>
      <w:ind w:left="1843" w:right="284" w:hanging="1843"/>
    </w:pPr>
    <w:rPr>
      <w:rFonts w:ascii="Courier" w:hAnsi="Courier"/>
      <w:sz w:val="24"/>
      <w:szCs w:val="24"/>
    </w:rPr>
  </w:style>
  <w:style w:type="character" w:customStyle="1" w:styleId="grund">
    <w:name w:val="grund"/>
    <w:basedOn w:val="Bekezdsalapbettpusa"/>
  </w:style>
  <w:style w:type="paragraph" w:customStyle="1" w:styleId="Voettekst1">
    <w:name w:val="Voettekst1"/>
    <w:basedOn w:val="llb"/>
    <w:rPr>
      <w:rFonts w:eastAsia="SimSun"/>
      <w:lang w:val="nl-NL" w:eastAsia="en-US"/>
    </w:rPr>
  </w:style>
  <w:style w:type="paragraph" w:styleId="Buborkszveg">
    <w:name w:val="Balloon Text"/>
    <w:basedOn w:val="Norml"/>
    <w:semiHidden/>
    <w:rsid w:val="00F519D1"/>
    <w:rPr>
      <w:rFonts w:ascii="Tahoma" w:hAnsi="Tahoma" w:cs="Tahoma"/>
      <w:sz w:val="16"/>
      <w:szCs w:val="16"/>
    </w:rPr>
  </w:style>
  <w:style w:type="paragraph" w:customStyle="1" w:styleId="Sprechblasentext">
    <w:name w:val="Sprechblasen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</w:style>
  <w:style w:type="paragraph" w:customStyle="1" w:styleId="Kommentarthema">
    <w:name w:val="Kommentarthema"/>
    <w:basedOn w:val="Jegyzetszveg"/>
    <w:next w:val="Jegyzetszveg"/>
    <w:semiHidden/>
    <w:rPr>
      <w:b/>
      <w:bCs/>
    </w:rPr>
  </w:style>
  <w:style w:type="paragraph" w:customStyle="1" w:styleId="berschrift">
    <w:name w:val="_Überschrift"/>
    <w:basedOn w:val="Norml"/>
    <w:pPr>
      <w:spacing w:before="240" w:after="240" w:line="260" w:lineRule="atLeast"/>
      <w:ind w:left="567" w:hanging="567"/>
    </w:pPr>
    <w:rPr>
      <w:rFonts w:eastAsia="MS Mincho" w:cs="Arial"/>
      <w:b/>
      <w:bCs/>
      <w:lang w:eastAsia="en-US"/>
    </w:rPr>
  </w:style>
  <w:style w:type="paragraph" w:customStyle="1" w:styleId="Absatz06">
    <w:name w:val="_Absatz /06"/>
    <w:basedOn w:val="Norml"/>
    <w:pPr>
      <w:spacing w:after="120" w:line="260" w:lineRule="atLeast"/>
      <w:ind w:left="567"/>
      <w:jc w:val="both"/>
    </w:pPr>
    <w:rPr>
      <w:rFonts w:eastAsia="MS Mincho" w:cs="Arial"/>
      <w:lang w:eastAsia="en-US"/>
    </w:rPr>
  </w:style>
  <w:style w:type="paragraph" w:customStyle="1" w:styleId="Abs06">
    <w:name w:val="_Abs. /06"/>
    <w:pPr>
      <w:spacing w:after="120" w:line="260" w:lineRule="exact"/>
      <w:ind w:left="567"/>
      <w:jc w:val="both"/>
    </w:pPr>
    <w:rPr>
      <w:rFonts w:ascii="Arial" w:eastAsia="MS Mincho" w:hAnsi="Arial" w:cs="Arial"/>
      <w:lang w:val="de-DE" w:eastAsia="en-US"/>
    </w:rPr>
  </w:style>
  <w:style w:type="paragraph" w:styleId="Megjegyzstrgya">
    <w:name w:val="annotation subject"/>
    <w:basedOn w:val="Jegyzetszveg"/>
    <w:next w:val="Jegyzetszveg"/>
    <w:semiHidden/>
    <w:rsid w:val="00490AA3"/>
    <w:rPr>
      <w:b/>
      <w:bCs/>
    </w:rPr>
  </w:style>
  <w:style w:type="table" w:styleId="Rcsostblzat">
    <w:name w:val="Table Grid"/>
    <w:basedOn w:val="Normltblzat"/>
    <w:rsid w:val="00B86C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7E6EBF"/>
    <w:rPr>
      <w:rFonts w:ascii="Arial" w:hAnsi="Arial"/>
      <w:lang w:val="de-DE" w:eastAsia="de-DE"/>
    </w:rPr>
  </w:style>
  <w:style w:type="paragraph" w:customStyle="1" w:styleId="Default">
    <w:name w:val="Default"/>
    <w:rsid w:val="005978BA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customStyle="1" w:styleId="TextTi12">
    <w:name w:val="Text:Ti12"/>
    <w:basedOn w:val="Norml"/>
    <w:link w:val="TextTi12Char"/>
    <w:rsid w:val="005978BA"/>
    <w:pPr>
      <w:spacing w:after="170" w:line="280" w:lineRule="atLeast"/>
      <w:jc w:val="both"/>
    </w:pPr>
    <w:rPr>
      <w:rFonts w:ascii="Times New Roman" w:hAnsi="Times New Roman"/>
      <w:sz w:val="24"/>
      <w:szCs w:val="24"/>
      <w:lang w:val="en-US"/>
    </w:rPr>
  </w:style>
  <w:style w:type="character" w:customStyle="1" w:styleId="TextTi12Char">
    <w:name w:val="Text:Ti12 Char"/>
    <w:link w:val="TextTi12"/>
    <w:rsid w:val="005978BA"/>
    <w:rPr>
      <w:sz w:val="24"/>
      <w:szCs w:val="24"/>
      <w:lang w:val="en-US" w:eastAsia="de-DE"/>
    </w:rPr>
  </w:style>
  <w:style w:type="character" w:customStyle="1" w:styleId="CsakszvegChar">
    <w:name w:val="Csak szöveg Char"/>
    <w:link w:val="Csakszveg"/>
    <w:rsid w:val="005978BA"/>
    <w:rPr>
      <w:rFonts w:ascii="Courier New" w:hAnsi="Courier New" w:cs="Courier New"/>
      <w:lang w:val="en-GB" w:eastAsia="en-US"/>
    </w:rPr>
  </w:style>
  <w:style w:type="character" w:styleId="Hiperhivatkozs">
    <w:name w:val="Hyperlink"/>
    <w:rsid w:val="00A26DBB"/>
    <w:rPr>
      <w:color w:val="0000FF"/>
      <w:u w:val="single"/>
    </w:rPr>
  </w:style>
  <w:style w:type="paragraph" w:customStyle="1" w:styleId="TableCell10Left">
    <w:name w:val="Table Cell 10 Left"/>
    <w:basedOn w:val="Norml"/>
    <w:rsid w:val="00A26DBB"/>
    <w:pPr>
      <w:keepNext/>
      <w:keepLines/>
      <w:spacing w:before="50" w:after="50" w:line="240" w:lineRule="exact"/>
    </w:pPr>
    <w:rPr>
      <w:rFonts w:eastAsia="SimSun"/>
      <w:szCs w:val="24"/>
      <w:lang w:val="en-US" w:eastAsia="zh-CN"/>
    </w:rPr>
  </w:style>
  <w:style w:type="paragraph" w:customStyle="1" w:styleId="TableCell10Center">
    <w:name w:val="Table Cell 10 Center"/>
    <w:basedOn w:val="TableCell10Left"/>
    <w:rsid w:val="00A26DBB"/>
    <w:pPr>
      <w:jc w:val="center"/>
    </w:pPr>
  </w:style>
  <w:style w:type="paragraph" w:styleId="Listaszerbekezds">
    <w:name w:val="List Paragraph"/>
    <w:basedOn w:val="Norml"/>
    <w:uiPriority w:val="34"/>
    <w:qFormat/>
    <w:rsid w:val="00FB1C01"/>
    <w:pPr>
      <w:ind w:left="720"/>
      <w:contextualSpacing/>
    </w:pPr>
  </w:style>
  <w:style w:type="character" w:styleId="Mrltotthiperhivatkozs">
    <w:name w:val="FollowedHyperlink"/>
    <w:basedOn w:val="Bekezdsalapbettpusa"/>
    <w:rsid w:val="004B583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7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7251D-FA0D-4BF4-BB0A-D0CC651A1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19</Pages>
  <Words>5825</Words>
  <Characters>40200</Characters>
  <Application>Microsoft Office Word</Application>
  <DocSecurity>0</DocSecurity>
  <Lines>335</Lines>
  <Paragraphs>91</Paragraphs>
  <ScaleCrop>false</ScaleCrop>
  <Manager/>
  <Company/>
  <LinksUpToDate>false</LinksUpToDate>
  <CharactersWithSpaces>45934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HU_OGYI_56.1</cp:lastModifiedBy>
  <cp:revision>13</cp:revision>
  <dcterms:created xsi:type="dcterms:W3CDTF">2021-03-24T23:37:00Z</dcterms:created>
  <dcterms:modified xsi:type="dcterms:W3CDTF">2022-09-07T13:11:00Z</dcterms:modified>
</cp:coreProperties>
</file>