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B12E3" w14:textId="77777777" w:rsidR="00956F16" w:rsidRPr="00956F16" w:rsidRDefault="00956F16" w:rsidP="00956F16">
      <w:pPr>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1.</w:t>
      </w:r>
      <w:r w:rsidRPr="00956F16">
        <w:rPr>
          <w:rFonts w:ascii="Times New Roman" w:eastAsia="Calibri" w:hAnsi="Times New Roman" w:cs="Times New Roman"/>
          <w:b/>
        </w:rPr>
        <w:tab/>
        <w:t>A GYÓGYSZER NEVE</w:t>
      </w:r>
    </w:p>
    <w:p w14:paraId="1D2054E6" w14:textId="77777777" w:rsidR="00956F16" w:rsidRPr="00956F16" w:rsidRDefault="00956F16" w:rsidP="00956F16">
      <w:pPr>
        <w:spacing w:after="0" w:line="240" w:lineRule="auto"/>
        <w:rPr>
          <w:rFonts w:ascii="Times New Roman" w:eastAsia="Calibri" w:hAnsi="Times New Roman" w:cs="Times New Roman"/>
        </w:rPr>
      </w:pPr>
    </w:p>
    <w:p w14:paraId="7C65CB80"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Lenalidomide Grindeks 2,5 mg kemény kapszula</w:t>
      </w:r>
    </w:p>
    <w:p w14:paraId="683CE66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Lenalidomide Grindeks 5 mg kemény kapszula</w:t>
      </w:r>
    </w:p>
    <w:p w14:paraId="036110C3"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Lenalidomide Grindeks 7,5 mg kemény kapszula</w:t>
      </w:r>
    </w:p>
    <w:p w14:paraId="3DCCB38D"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Lenalidomide Grindeks 10 mg kemény kapszula</w:t>
      </w:r>
    </w:p>
    <w:p w14:paraId="7110F03A"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Lenalidomide Grindeks 15 mg kemény kapszula</w:t>
      </w:r>
    </w:p>
    <w:p w14:paraId="31DCD044"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Lenalidomide Grindeks 20 mg kemény kapszula</w:t>
      </w:r>
    </w:p>
    <w:p w14:paraId="7F2E8974"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Lenalidomide Grindeks 25 mg kemény kapszula</w:t>
      </w:r>
    </w:p>
    <w:p w14:paraId="375C35A8" w14:textId="77777777" w:rsidR="00956F16" w:rsidRPr="00956F16" w:rsidRDefault="00956F16" w:rsidP="00956F16">
      <w:pPr>
        <w:spacing w:after="0" w:line="240" w:lineRule="auto"/>
        <w:rPr>
          <w:rFonts w:ascii="Times New Roman" w:eastAsia="Calibri" w:hAnsi="Times New Roman" w:cs="Times New Roman"/>
        </w:rPr>
      </w:pPr>
    </w:p>
    <w:p w14:paraId="67833416" w14:textId="77777777" w:rsidR="00956F16" w:rsidRPr="00956F16" w:rsidRDefault="00956F16" w:rsidP="00956F16">
      <w:pPr>
        <w:spacing w:after="0" w:line="240" w:lineRule="auto"/>
        <w:rPr>
          <w:rFonts w:ascii="Times New Roman" w:eastAsia="Calibri" w:hAnsi="Times New Roman" w:cs="Times New Roman"/>
        </w:rPr>
      </w:pPr>
    </w:p>
    <w:p w14:paraId="2F7229D4" w14:textId="77777777" w:rsidR="00956F16" w:rsidRPr="00956F16" w:rsidRDefault="00956F16" w:rsidP="00956F16">
      <w:pPr>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2.</w:t>
      </w:r>
      <w:r w:rsidRPr="00956F16">
        <w:rPr>
          <w:rFonts w:ascii="Times New Roman" w:eastAsia="Calibri" w:hAnsi="Times New Roman" w:cs="Times New Roman"/>
          <w:b/>
        </w:rPr>
        <w:tab/>
        <w:t>MINŐSÉGI ÉS MENNYISÉGI ÖSSZETÉTEL</w:t>
      </w:r>
    </w:p>
    <w:p w14:paraId="49BB6AD4" w14:textId="77777777" w:rsidR="00956F16" w:rsidRPr="00956F16" w:rsidRDefault="00956F16" w:rsidP="00956F16">
      <w:pPr>
        <w:spacing w:after="0" w:line="240" w:lineRule="auto"/>
        <w:rPr>
          <w:rFonts w:ascii="Times New Roman" w:eastAsia="Calibri" w:hAnsi="Times New Roman" w:cs="Times New Roman"/>
        </w:rPr>
      </w:pPr>
    </w:p>
    <w:p w14:paraId="35FE256D"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2,5 mg kemény kapszula</w:t>
      </w:r>
    </w:p>
    <w:p w14:paraId="71EE9B57" w14:textId="56B1318A"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2,5 mg lenalidomid</w:t>
      </w:r>
      <w:r w:rsidR="00985432">
        <w:rPr>
          <w:rFonts w:ascii="Times New Roman" w:eastAsia="Calibri" w:hAnsi="Times New Roman" w:cs="Times New Roman"/>
        </w:rPr>
        <w:t>nak megfelelő</w:t>
      </w:r>
      <w:r w:rsidRPr="00956F16">
        <w:rPr>
          <w:rFonts w:ascii="Times New Roman" w:eastAsia="Calibri" w:hAnsi="Times New Roman" w:cs="Times New Roman"/>
        </w:rPr>
        <w:t xml:space="preserve"> </w:t>
      </w:r>
      <w:r w:rsidR="00985432" w:rsidRPr="00956F16">
        <w:rPr>
          <w:rFonts w:ascii="Times New Roman" w:eastAsia="Calibri" w:hAnsi="Times New Roman" w:cs="Times New Roman"/>
        </w:rPr>
        <w:t>lenalidomid</w:t>
      </w:r>
      <w:r w:rsidR="00104634">
        <w:rPr>
          <w:rFonts w:ascii="Times New Roman" w:eastAsia="Calibri" w:hAnsi="Times New Roman" w:cs="Times New Roman"/>
        </w:rPr>
        <w:t>-</w:t>
      </w:r>
      <w:r w:rsidR="00985432" w:rsidRPr="00956F16">
        <w:rPr>
          <w:rFonts w:ascii="Times New Roman" w:eastAsia="Calibri" w:hAnsi="Times New Roman" w:cs="Times New Roman"/>
        </w:rPr>
        <w:t>ammónium</w:t>
      </w:r>
      <w:r w:rsidR="00104634">
        <w:rPr>
          <w:rFonts w:ascii="Times New Roman" w:eastAsia="Calibri" w:hAnsi="Times New Roman" w:cs="Times New Roman"/>
        </w:rPr>
        <w:t>-</w:t>
      </w:r>
      <w:r w:rsidR="00985432" w:rsidRPr="00956F16">
        <w:rPr>
          <w:rFonts w:ascii="Times New Roman" w:eastAsia="Calibri" w:hAnsi="Times New Roman" w:cs="Times New Roman"/>
        </w:rPr>
        <w:t>klorid</w:t>
      </w:r>
      <w:r w:rsidR="00985432">
        <w:rPr>
          <w:rFonts w:ascii="Times New Roman" w:eastAsia="Calibri" w:hAnsi="Times New Roman" w:cs="Times New Roman"/>
        </w:rPr>
        <w:t>ot</w:t>
      </w:r>
      <w:r w:rsidR="00985432" w:rsidRPr="00956F16">
        <w:rPr>
          <w:rFonts w:ascii="Times New Roman" w:eastAsia="Calibri" w:hAnsi="Times New Roman" w:cs="Times New Roman"/>
        </w:rPr>
        <w:t xml:space="preserve"> </w:t>
      </w:r>
      <w:r w:rsidRPr="00956F16">
        <w:rPr>
          <w:rFonts w:ascii="Times New Roman" w:eastAsia="Calibri" w:hAnsi="Times New Roman" w:cs="Times New Roman"/>
        </w:rPr>
        <w:t>tartalmaz kapszulánként.</w:t>
      </w:r>
    </w:p>
    <w:p w14:paraId="69CA4327"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Ismert hatású segédanyag</w:t>
      </w:r>
    </w:p>
    <w:p w14:paraId="0F7F1466" w14:textId="66C66B73" w:rsidR="00956F16" w:rsidRPr="00956F16" w:rsidRDefault="0059789D" w:rsidP="00956F16">
      <w:pPr>
        <w:spacing w:after="0" w:line="240" w:lineRule="auto"/>
        <w:rPr>
          <w:rFonts w:ascii="Times New Roman" w:eastAsia="Calibri" w:hAnsi="Times New Roman" w:cs="Times New Roman"/>
        </w:rPr>
      </w:pPr>
      <w:r>
        <w:rPr>
          <w:rFonts w:ascii="Times New Roman" w:eastAsia="Calibri" w:hAnsi="Times New Roman" w:cs="Times New Roman"/>
        </w:rPr>
        <w:t>20</w:t>
      </w:r>
      <w:r w:rsidR="00956F16" w:rsidRPr="00956F16">
        <w:rPr>
          <w:rFonts w:ascii="Times New Roman" w:eastAsia="Calibri" w:hAnsi="Times New Roman" w:cs="Times New Roman"/>
        </w:rPr>
        <w:t> mg laktózt tartalmaz (laktóz</w:t>
      </w:r>
      <w:r w:rsidR="00104634">
        <w:rPr>
          <w:rFonts w:ascii="Times New Roman" w:eastAsia="Calibri" w:hAnsi="Times New Roman" w:cs="Times New Roman"/>
        </w:rPr>
        <w:t>-</w:t>
      </w:r>
      <w:r w:rsidR="00956F16" w:rsidRPr="00956F16">
        <w:rPr>
          <w:rFonts w:ascii="Times New Roman" w:eastAsia="Calibri" w:hAnsi="Times New Roman" w:cs="Times New Roman"/>
        </w:rPr>
        <w:t>monohidrát formájában) kapszulánként.</w:t>
      </w:r>
    </w:p>
    <w:p w14:paraId="193E4FBE" w14:textId="77777777" w:rsidR="00956F16" w:rsidRPr="00956F16" w:rsidRDefault="00956F16" w:rsidP="00956F16">
      <w:pPr>
        <w:spacing w:after="0" w:line="240" w:lineRule="auto"/>
        <w:rPr>
          <w:rFonts w:ascii="Times New Roman" w:eastAsia="Calibri" w:hAnsi="Times New Roman" w:cs="Times New Roman"/>
          <w:u w:val="single"/>
        </w:rPr>
      </w:pPr>
    </w:p>
    <w:p w14:paraId="0685F8D4"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5 mg kemény kapszula</w:t>
      </w:r>
    </w:p>
    <w:p w14:paraId="5CA79775" w14:textId="71943093"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5 mg lenalidomid</w:t>
      </w:r>
      <w:r w:rsidR="00985432">
        <w:rPr>
          <w:rFonts w:ascii="Times New Roman" w:eastAsia="Calibri" w:hAnsi="Times New Roman" w:cs="Times New Roman"/>
        </w:rPr>
        <w:t>nak megfelelő</w:t>
      </w:r>
      <w:r w:rsidRPr="00956F16">
        <w:rPr>
          <w:rFonts w:ascii="Times New Roman" w:eastAsia="Calibri" w:hAnsi="Times New Roman" w:cs="Times New Roman"/>
        </w:rPr>
        <w:t xml:space="preserve"> </w:t>
      </w:r>
      <w:r w:rsidR="00985432" w:rsidRPr="00956F16">
        <w:rPr>
          <w:rFonts w:ascii="Times New Roman" w:eastAsia="Calibri" w:hAnsi="Times New Roman" w:cs="Times New Roman"/>
        </w:rPr>
        <w:t>lenalidomid</w:t>
      </w:r>
      <w:r w:rsidR="00104634">
        <w:rPr>
          <w:rFonts w:ascii="Times New Roman" w:eastAsia="Calibri" w:hAnsi="Times New Roman" w:cs="Times New Roman"/>
        </w:rPr>
        <w:t>-</w:t>
      </w:r>
      <w:r w:rsidR="00985432" w:rsidRPr="00956F16">
        <w:rPr>
          <w:rFonts w:ascii="Times New Roman" w:eastAsia="Calibri" w:hAnsi="Times New Roman" w:cs="Times New Roman"/>
        </w:rPr>
        <w:t>ammónium</w:t>
      </w:r>
      <w:r w:rsidR="00104634">
        <w:rPr>
          <w:rFonts w:ascii="Times New Roman" w:eastAsia="Calibri" w:hAnsi="Times New Roman" w:cs="Times New Roman"/>
        </w:rPr>
        <w:t>-</w:t>
      </w:r>
      <w:r w:rsidR="00985432" w:rsidRPr="00956F16">
        <w:rPr>
          <w:rFonts w:ascii="Times New Roman" w:eastAsia="Calibri" w:hAnsi="Times New Roman" w:cs="Times New Roman"/>
        </w:rPr>
        <w:t>klorid</w:t>
      </w:r>
      <w:r w:rsidR="00985432">
        <w:rPr>
          <w:rFonts w:ascii="Times New Roman" w:eastAsia="Calibri" w:hAnsi="Times New Roman" w:cs="Times New Roman"/>
        </w:rPr>
        <w:t>ot</w:t>
      </w:r>
      <w:r w:rsidR="00985432" w:rsidRPr="00956F16">
        <w:rPr>
          <w:rFonts w:ascii="Times New Roman" w:eastAsia="Calibri" w:hAnsi="Times New Roman" w:cs="Times New Roman"/>
        </w:rPr>
        <w:t xml:space="preserve"> </w:t>
      </w:r>
      <w:r w:rsidRPr="00956F16">
        <w:rPr>
          <w:rFonts w:ascii="Times New Roman" w:eastAsia="Calibri" w:hAnsi="Times New Roman" w:cs="Times New Roman"/>
        </w:rPr>
        <w:t>tartalmaz kapszulánként.</w:t>
      </w:r>
    </w:p>
    <w:p w14:paraId="246A576C"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Ismert hatású segédanyag</w:t>
      </w:r>
    </w:p>
    <w:p w14:paraId="1EA87DA3" w14:textId="5D18694B"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39 mg laktózt tartalmaz (laktóz</w:t>
      </w:r>
      <w:r w:rsidR="00104634">
        <w:rPr>
          <w:rFonts w:ascii="Times New Roman" w:eastAsia="Calibri" w:hAnsi="Times New Roman" w:cs="Times New Roman"/>
        </w:rPr>
        <w:t>-</w:t>
      </w:r>
      <w:r w:rsidRPr="00956F16">
        <w:rPr>
          <w:rFonts w:ascii="Times New Roman" w:eastAsia="Calibri" w:hAnsi="Times New Roman" w:cs="Times New Roman"/>
        </w:rPr>
        <w:t>monohidrát formájában) kapszulánként.</w:t>
      </w:r>
    </w:p>
    <w:p w14:paraId="40E8A0EB" w14:textId="77777777" w:rsidR="00956F16" w:rsidRPr="00956F16" w:rsidRDefault="00956F16" w:rsidP="00956F16">
      <w:pPr>
        <w:spacing w:after="0" w:line="240" w:lineRule="auto"/>
        <w:rPr>
          <w:rFonts w:ascii="Times New Roman" w:eastAsia="Calibri" w:hAnsi="Times New Roman" w:cs="Times New Roman"/>
          <w:u w:val="single"/>
        </w:rPr>
      </w:pPr>
    </w:p>
    <w:p w14:paraId="377234E2"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7,5 mg kemény kapszula</w:t>
      </w:r>
    </w:p>
    <w:p w14:paraId="33638FF4" w14:textId="7B73E374"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7,5 mg lenalidomid</w:t>
      </w:r>
      <w:r w:rsidR="00985432">
        <w:rPr>
          <w:rFonts w:ascii="Times New Roman" w:eastAsia="Calibri" w:hAnsi="Times New Roman" w:cs="Times New Roman"/>
        </w:rPr>
        <w:t>nak megfelelő</w:t>
      </w:r>
      <w:r w:rsidRPr="00956F16">
        <w:rPr>
          <w:rFonts w:ascii="Times New Roman" w:eastAsia="Calibri" w:hAnsi="Times New Roman" w:cs="Times New Roman"/>
        </w:rPr>
        <w:t xml:space="preserve"> </w:t>
      </w:r>
      <w:r w:rsidR="00985432" w:rsidRPr="00956F16">
        <w:rPr>
          <w:rFonts w:ascii="Times New Roman" w:eastAsia="Calibri" w:hAnsi="Times New Roman" w:cs="Times New Roman"/>
        </w:rPr>
        <w:t>lenalidomid</w:t>
      </w:r>
      <w:r w:rsidR="00104634">
        <w:rPr>
          <w:rFonts w:ascii="Times New Roman" w:eastAsia="Calibri" w:hAnsi="Times New Roman" w:cs="Times New Roman"/>
        </w:rPr>
        <w:t>-</w:t>
      </w:r>
      <w:r w:rsidR="00985432" w:rsidRPr="00956F16">
        <w:rPr>
          <w:rFonts w:ascii="Times New Roman" w:eastAsia="Calibri" w:hAnsi="Times New Roman" w:cs="Times New Roman"/>
        </w:rPr>
        <w:t>ammónium</w:t>
      </w:r>
      <w:r w:rsidR="00104634">
        <w:rPr>
          <w:rFonts w:ascii="Times New Roman" w:eastAsia="Calibri" w:hAnsi="Times New Roman" w:cs="Times New Roman"/>
        </w:rPr>
        <w:t>-</w:t>
      </w:r>
      <w:r w:rsidR="00985432" w:rsidRPr="00956F16">
        <w:rPr>
          <w:rFonts w:ascii="Times New Roman" w:eastAsia="Calibri" w:hAnsi="Times New Roman" w:cs="Times New Roman"/>
        </w:rPr>
        <w:t>klorid</w:t>
      </w:r>
      <w:r w:rsidR="00985432">
        <w:rPr>
          <w:rFonts w:ascii="Times New Roman" w:eastAsia="Calibri" w:hAnsi="Times New Roman" w:cs="Times New Roman"/>
        </w:rPr>
        <w:t>ot</w:t>
      </w:r>
      <w:r w:rsidR="00985432" w:rsidRPr="00956F16">
        <w:rPr>
          <w:rFonts w:ascii="Times New Roman" w:eastAsia="Calibri" w:hAnsi="Times New Roman" w:cs="Times New Roman"/>
        </w:rPr>
        <w:t xml:space="preserve"> </w:t>
      </w:r>
      <w:r w:rsidRPr="00956F16">
        <w:rPr>
          <w:rFonts w:ascii="Times New Roman" w:eastAsia="Calibri" w:hAnsi="Times New Roman" w:cs="Times New Roman"/>
        </w:rPr>
        <w:t>tartalmaz kapszulánként.</w:t>
      </w:r>
    </w:p>
    <w:p w14:paraId="0D9652EB"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Ismert hatású segédanyag</w:t>
      </w:r>
    </w:p>
    <w:p w14:paraId="5AF7BB97" w14:textId="27E9D2E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59 mg laktózt tartalmaz (laktóz</w:t>
      </w:r>
      <w:r w:rsidR="00104634">
        <w:rPr>
          <w:rFonts w:ascii="Times New Roman" w:eastAsia="Calibri" w:hAnsi="Times New Roman" w:cs="Times New Roman"/>
        </w:rPr>
        <w:t>-</w:t>
      </w:r>
      <w:r w:rsidRPr="00956F16">
        <w:rPr>
          <w:rFonts w:ascii="Times New Roman" w:eastAsia="Calibri" w:hAnsi="Times New Roman" w:cs="Times New Roman"/>
        </w:rPr>
        <w:t>monohidrát formájában) kapszulánként.</w:t>
      </w:r>
    </w:p>
    <w:p w14:paraId="6CE46EDD" w14:textId="77777777" w:rsidR="00956F16" w:rsidRPr="00956F16" w:rsidRDefault="00956F16" w:rsidP="00956F16">
      <w:pPr>
        <w:spacing w:after="0" w:line="240" w:lineRule="auto"/>
        <w:rPr>
          <w:rFonts w:ascii="Times New Roman" w:eastAsia="Calibri" w:hAnsi="Times New Roman" w:cs="Times New Roman"/>
          <w:u w:val="single"/>
        </w:rPr>
      </w:pPr>
    </w:p>
    <w:p w14:paraId="127DFA6A"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10 mg kemény kapszula</w:t>
      </w:r>
    </w:p>
    <w:p w14:paraId="05FC7E2B" w14:textId="26E9783E"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10 mg lenalidomid</w:t>
      </w:r>
      <w:r w:rsidR="00985432">
        <w:rPr>
          <w:rFonts w:ascii="Times New Roman" w:eastAsia="Calibri" w:hAnsi="Times New Roman" w:cs="Times New Roman"/>
        </w:rPr>
        <w:t>nak megfelelő</w:t>
      </w:r>
      <w:r w:rsidRPr="00956F16">
        <w:rPr>
          <w:rFonts w:ascii="Times New Roman" w:eastAsia="Calibri" w:hAnsi="Times New Roman" w:cs="Times New Roman"/>
        </w:rPr>
        <w:t xml:space="preserve"> </w:t>
      </w:r>
      <w:r w:rsidR="00985432" w:rsidRPr="00956F16">
        <w:rPr>
          <w:rFonts w:ascii="Times New Roman" w:eastAsia="Calibri" w:hAnsi="Times New Roman" w:cs="Times New Roman"/>
        </w:rPr>
        <w:t>lenalidomid</w:t>
      </w:r>
      <w:r w:rsidR="00104634">
        <w:rPr>
          <w:rFonts w:ascii="Times New Roman" w:eastAsia="Calibri" w:hAnsi="Times New Roman" w:cs="Times New Roman"/>
        </w:rPr>
        <w:t>-</w:t>
      </w:r>
      <w:r w:rsidR="00985432" w:rsidRPr="00956F16">
        <w:rPr>
          <w:rFonts w:ascii="Times New Roman" w:eastAsia="Calibri" w:hAnsi="Times New Roman" w:cs="Times New Roman"/>
        </w:rPr>
        <w:t>ammónium</w:t>
      </w:r>
      <w:r w:rsidR="00104634">
        <w:rPr>
          <w:rFonts w:ascii="Times New Roman" w:eastAsia="Calibri" w:hAnsi="Times New Roman" w:cs="Times New Roman"/>
        </w:rPr>
        <w:t>-</w:t>
      </w:r>
      <w:r w:rsidR="00985432" w:rsidRPr="00956F16">
        <w:rPr>
          <w:rFonts w:ascii="Times New Roman" w:eastAsia="Calibri" w:hAnsi="Times New Roman" w:cs="Times New Roman"/>
        </w:rPr>
        <w:t>klorid</w:t>
      </w:r>
      <w:r w:rsidR="00985432">
        <w:rPr>
          <w:rFonts w:ascii="Times New Roman" w:eastAsia="Calibri" w:hAnsi="Times New Roman" w:cs="Times New Roman"/>
        </w:rPr>
        <w:t>ot</w:t>
      </w:r>
      <w:r w:rsidR="00985432" w:rsidRPr="00956F16">
        <w:rPr>
          <w:rFonts w:ascii="Times New Roman" w:eastAsia="Calibri" w:hAnsi="Times New Roman" w:cs="Times New Roman"/>
        </w:rPr>
        <w:t xml:space="preserve"> </w:t>
      </w:r>
      <w:r w:rsidRPr="00956F16">
        <w:rPr>
          <w:rFonts w:ascii="Times New Roman" w:eastAsia="Calibri" w:hAnsi="Times New Roman" w:cs="Times New Roman"/>
        </w:rPr>
        <w:t>tartalmaz kapszulánként.</w:t>
      </w:r>
    </w:p>
    <w:p w14:paraId="4280D9F0"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Ismert hatású segédanyag</w:t>
      </w:r>
    </w:p>
    <w:p w14:paraId="6435AD5E" w14:textId="65B6B2C5"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7</w:t>
      </w:r>
      <w:r w:rsidR="0059789D">
        <w:rPr>
          <w:rFonts w:ascii="Times New Roman" w:eastAsia="Calibri" w:hAnsi="Times New Roman" w:cs="Times New Roman"/>
        </w:rPr>
        <w:t>9</w:t>
      </w:r>
      <w:r w:rsidRPr="00956F16">
        <w:rPr>
          <w:rFonts w:ascii="Times New Roman" w:eastAsia="Calibri" w:hAnsi="Times New Roman" w:cs="Times New Roman"/>
        </w:rPr>
        <w:t> mg laktózt tartalmaz (laktóz</w:t>
      </w:r>
      <w:r w:rsidR="00104634">
        <w:rPr>
          <w:rFonts w:ascii="Times New Roman" w:eastAsia="Calibri" w:hAnsi="Times New Roman" w:cs="Times New Roman"/>
        </w:rPr>
        <w:t>-</w:t>
      </w:r>
      <w:r w:rsidRPr="00956F16">
        <w:rPr>
          <w:rFonts w:ascii="Times New Roman" w:eastAsia="Calibri" w:hAnsi="Times New Roman" w:cs="Times New Roman"/>
        </w:rPr>
        <w:t>monohidrát formájában) kapszulánként.</w:t>
      </w:r>
    </w:p>
    <w:p w14:paraId="7A48DF8A" w14:textId="77777777" w:rsidR="00956F16" w:rsidRPr="00956F16" w:rsidRDefault="00956F16" w:rsidP="00956F16">
      <w:pPr>
        <w:spacing w:after="0" w:line="240" w:lineRule="auto"/>
        <w:rPr>
          <w:rFonts w:ascii="Times New Roman" w:eastAsia="Calibri" w:hAnsi="Times New Roman" w:cs="Times New Roman"/>
          <w:u w:val="single"/>
        </w:rPr>
      </w:pPr>
    </w:p>
    <w:p w14:paraId="58B49CA7"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15 mg kemény kapszula</w:t>
      </w:r>
    </w:p>
    <w:p w14:paraId="23EAA5AF" w14:textId="528D28E3"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15 mg lenalidomid</w:t>
      </w:r>
      <w:r w:rsidR="00985432">
        <w:rPr>
          <w:rFonts w:ascii="Times New Roman" w:eastAsia="Calibri" w:hAnsi="Times New Roman" w:cs="Times New Roman"/>
        </w:rPr>
        <w:t>nak megfelelő</w:t>
      </w:r>
      <w:r w:rsidRPr="00956F16">
        <w:rPr>
          <w:rFonts w:ascii="Times New Roman" w:eastAsia="Calibri" w:hAnsi="Times New Roman" w:cs="Times New Roman"/>
        </w:rPr>
        <w:t xml:space="preserve"> </w:t>
      </w:r>
      <w:r w:rsidR="00985432" w:rsidRPr="00956F16">
        <w:rPr>
          <w:rFonts w:ascii="Times New Roman" w:eastAsia="Calibri" w:hAnsi="Times New Roman" w:cs="Times New Roman"/>
        </w:rPr>
        <w:t>lenalidomid</w:t>
      </w:r>
      <w:r w:rsidR="00104634">
        <w:rPr>
          <w:rFonts w:ascii="Times New Roman" w:eastAsia="Calibri" w:hAnsi="Times New Roman" w:cs="Times New Roman"/>
        </w:rPr>
        <w:t>-</w:t>
      </w:r>
      <w:r w:rsidR="00985432" w:rsidRPr="00956F16">
        <w:rPr>
          <w:rFonts w:ascii="Times New Roman" w:eastAsia="Calibri" w:hAnsi="Times New Roman" w:cs="Times New Roman"/>
        </w:rPr>
        <w:t>ammónium</w:t>
      </w:r>
      <w:r w:rsidR="00104634">
        <w:rPr>
          <w:rFonts w:ascii="Times New Roman" w:eastAsia="Calibri" w:hAnsi="Times New Roman" w:cs="Times New Roman"/>
        </w:rPr>
        <w:t>-</w:t>
      </w:r>
      <w:r w:rsidR="00985432" w:rsidRPr="00956F16">
        <w:rPr>
          <w:rFonts w:ascii="Times New Roman" w:eastAsia="Calibri" w:hAnsi="Times New Roman" w:cs="Times New Roman"/>
        </w:rPr>
        <w:t>klorid</w:t>
      </w:r>
      <w:r w:rsidR="00985432">
        <w:rPr>
          <w:rFonts w:ascii="Times New Roman" w:eastAsia="Calibri" w:hAnsi="Times New Roman" w:cs="Times New Roman"/>
        </w:rPr>
        <w:t>ot</w:t>
      </w:r>
      <w:r w:rsidR="00985432" w:rsidRPr="00956F16">
        <w:rPr>
          <w:rFonts w:ascii="Times New Roman" w:eastAsia="Calibri" w:hAnsi="Times New Roman" w:cs="Times New Roman"/>
        </w:rPr>
        <w:t xml:space="preserve"> </w:t>
      </w:r>
      <w:r w:rsidRPr="00956F16">
        <w:rPr>
          <w:rFonts w:ascii="Times New Roman" w:eastAsia="Calibri" w:hAnsi="Times New Roman" w:cs="Times New Roman"/>
        </w:rPr>
        <w:t>tartalmaz kapszulánként.</w:t>
      </w:r>
    </w:p>
    <w:p w14:paraId="7BE2FD71"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Ismert hatású segédanyag</w:t>
      </w:r>
    </w:p>
    <w:p w14:paraId="4E21D435" w14:textId="0C66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118 mg laktózt tartalmaz (laktóz</w:t>
      </w:r>
      <w:r w:rsidR="00104634">
        <w:rPr>
          <w:rFonts w:ascii="Times New Roman" w:eastAsia="Calibri" w:hAnsi="Times New Roman" w:cs="Times New Roman"/>
        </w:rPr>
        <w:t>-</w:t>
      </w:r>
      <w:r w:rsidRPr="00956F16">
        <w:rPr>
          <w:rFonts w:ascii="Times New Roman" w:eastAsia="Calibri" w:hAnsi="Times New Roman" w:cs="Times New Roman"/>
        </w:rPr>
        <w:t>monohidrát formájában) kapszulánként.</w:t>
      </w:r>
    </w:p>
    <w:p w14:paraId="02D6CE59" w14:textId="77777777" w:rsidR="00956F16" w:rsidRPr="00956F16" w:rsidRDefault="00956F16" w:rsidP="00956F16">
      <w:pPr>
        <w:spacing w:after="0" w:line="240" w:lineRule="auto"/>
        <w:rPr>
          <w:rFonts w:ascii="Times New Roman" w:eastAsia="Calibri" w:hAnsi="Times New Roman" w:cs="Times New Roman"/>
          <w:u w:val="single"/>
        </w:rPr>
      </w:pPr>
    </w:p>
    <w:p w14:paraId="05B6DEB0"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20 mg kemény kapszula</w:t>
      </w:r>
    </w:p>
    <w:p w14:paraId="5389BBD0" w14:textId="2AF12F14"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20 mg lenalidomid</w:t>
      </w:r>
      <w:r w:rsidR="00985432">
        <w:rPr>
          <w:rFonts w:ascii="Times New Roman" w:eastAsia="Calibri" w:hAnsi="Times New Roman" w:cs="Times New Roman"/>
        </w:rPr>
        <w:t>nak megfelelő</w:t>
      </w:r>
      <w:r w:rsidRPr="00956F16">
        <w:rPr>
          <w:rFonts w:ascii="Times New Roman" w:eastAsia="Calibri" w:hAnsi="Times New Roman" w:cs="Times New Roman"/>
        </w:rPr>
        <w:t xml:space="preserve"> </w:t>
      </w:r>
      <w:r w:rsidR="00985432" w:rsidRPr="00956F16">
        <w:rPr>
          <w:rFonts w:ascii="Times New Roman" w:eastAsia="Calibri" w:hAnsi="Times New Roman" w:cs="Times New Roman"/>
        </w:rPr>
        <w:t>lenalidomid</w:t>
      </w:r>
      <w:r w:rsidR="00104634">
        <w:rPr>
          <w:rFonts w:ascii="Times New Roman" w:eastAsia="Calibri" w:hAnsi="Times New Roman" w:cs="Times New Roman"/>
        </w:rPr>
        <w:t>-</w:t>
      </w:r>
      <w:r w:rsidR="00985432" w:rsidRPr="00956F16">
        <w:rPr>
          <w:rFonts w:ascii="Times New Roman" w:eastAsia="Calibri" w:hAnsi="Times New Roman" w:cs="Times New Roman"/>
        </w:rPr>
        <w:t>ammónium</w:t>
      </w:r>
      <w:r w:rsidR="00104634">
        <w:rPr>
          <w:rFonts w:ascii="Times New Roman" w:eastAsia="Calibri" w:hAnsi="Times New Roman" w:cs="Times New Roman"/>
        </w:rPr>
        <w:t>-</w:t>
      </w:r>
      <w:r w:rsidR="00985432" w:rsidRPr="00956F16">
        <w:rPr>
          <w:rFonts w:ascii="Times New Roman" w:eastAsia="Calibri" w:hAnsi="Times New Roman" w:cs="Times New Roman"/>
        </w:rPr>
        <w:t>klorid</w:t>
      </w:r>
      <w:r w:rsidR="00985432">
        <w:rPr>
          <w:rFonts w:ascii="Times New Roman" w:eastAsia="Calibri" w:hAnsi="Times New Roman" w:cs="Times New Roman"/>
        </w:rPr>
        <w:t>ot</w:t>
      </w:r>
      <w:r w:rsidR="00985432" w:rsidRPr="00956F16">
        <w:rPr>
          <w:rFonts w:ascii="Times New Roman" w:eastAsia="Calibri" w:hAnsi="Times New Roman" w:cs="Times New Roman"/>
        </w:rPr>
        <w:t xml:space="preserve"> </w:t>
      </w:r>
      <w:r w:rsidRPr="00956F16">
        <w:rPr>
          <w:rFonts w:ascii="Times New Roman" w:eastAsia="Calibri" w:hAnsi="Times New Roman" w:cs="Times New Roman"/>
        </w:rPr>
        <w:t>tartalmaz</w:t>
      </w:r>
      <w:r w:rsidR="00985432">
        <w:rPr>
          <w:rFonts w:ascii="Times New Roman" w:eastAsia="Calibri" w:hAnsi="Times New Roman" w:cs="Times New Roman"/>
        </w:rPr>
        <w:t xml:space="preserve"> </w:t>
      </w:r>
      <w:r w:rsidRPr="00956F16">
        <w:rPr>
          <w:rFonts w:ascii="Times New Roman" w:eastAsia="Calibri" w:hAnsi="Times New Roman" w:cs="Times New Roman"/>
        </w:rPr>
        <w:t>kapszulánként.</w:t>
      </w:r>
    </w:p>
    <w:p w14:paraId="65F6FC08"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Ismert hatású segédanyag</w:t>
      </w:r>
    </w:p>
    <w:p w14:paraId="4F2FBBE3" w14:textId="01A7E990"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157 mg laktózt tartalmaz (laktóz</w:t>
      </w:r>
      <w:r w:rsidR="00104634">
        <w:rPr>
          <w:rFonts w:ascii="Times New Roman" w:eastAsia="Calibri" w:hAnsi="Times New Roman" w:cs="Times New Roman"/>
        </w:rPr>
        <w:t>-</w:t>
      </w:r>
      <w:r w:rsidRPr="00956F16">
        <w:rPr>
          <w:rFonts w:ascii="Times New Roman" w:eastAsia="Calibri" w:hAnsi="Times New Roman" w:cs="Times New Roman"/>
        </w:rPr>
        <w:t>monohidrát formájában) kapszulánként.</w:t>
      </w:r>
    </w:p>
    <w:p w14:paraId="7547CC67" w14:textId="77777777" w:rsidR="00956F16" w:rsidRPr="00956F16" w:rsidRDefault="00956F16" w:rsidP="00956F16">
      <w:pPr>
        <w:spacing w:after="0" w:line="240" w:lineRule="auto"/>
        <w:rPr>
          <w:rFonts w:ascii="Times New Roman" w:eastAsia="Calibri" w:hAnsi="Times New Roman" w:cs="Times New Roman"/>
          <w:u w:val="single"/>
        </w:rPr>
      </w:pPr>
    </w:p>
    <w:p w14:paraId="5E797C8F"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25 mg kemény kapszula</w:t>
      </w:r>
    </w:p>
    <w:p w14:paraId="75AC5E93" w14:textId="25C7CCCB"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25 mg lenalidomid</w:t>
      </w:r>
      <w:r w:rsidR="00985432">
        <w:rPr>
          <w:rFonts w:ascii="Times New Roman" w:eastAsia="Calibri" w:hAnsi="Times New Roman" w:cs="Times New Roman"/>
        </w:rPr>
        <w:t>nak megfelelő</w:t>
      </w:r>
      <w:r w:rsidRPr="00956F16">
        <w:rPr>
          <w:rFonts w:ascii="Times New Roman" w:eastAsia="Calibri" w:hAnsi="Times New Roman" w:cs="Times New Roman"/>
        </w:rPr>
        <w:t xml:space="preserve"> </w:t>
      </w:r>
      <w:r w:rsidR="00985432" w:rsidRPr="00956F16">
        <w:rPr>
          <w:rFonts w:ascii="Times New Roman" w:eastAsia="Calibri" w:hAnsi="Times New Roman" w:cs="Times New Roman"/>
        </w:rPr>
        <w:t>lenalidomid</w:t>
      </w:r>
      <w:r w:rsidR="00104634">
        <w:rPr>
          <w:rFonts w:ascii="Times New Roman" w:eastAsia="Calibri" w:hAnsi="Times New Roman" w:cs="Times New Roman"/>
        </w:rPr>
        <w:t>-</w:t>
      </w:r>
      <w:r w:rsidR="00985432" w:rsidRPr="00956F16">
        <w:rPr>
          <w:rFonts w:ascii="Times New Roman" w:eastAsia="Calibri" w:hAnsi="Times New Roman" w:cs="Times New Roman"/>
        </w:rPr>
        <w:t>ammónium</w:t>
      </w:r>
      <w:r w:rsidR="00104634">
        <w:rPr>
          <w:rFonts w:ascii="Times New Roman" w:eastAsia="Calibri" w:hAnsi="Times New Roman" w:cs="Times New Roman"/>
        </w:rPr>
        <w:t>-</w:t>
      </w:r>
      <w:r w:rsidR="00985432" w:rsidRPr="00956F16">
        <w:rPr>
          <w:rFonts w:ascii="Times New Roman" w:eastAsia="Calibri" w:hAnsi="Times New Roman" w:cs="Times New Roman"/>
        </w:rPr>
        <w:t>klorid</w:t>
      </w:r>
      <w:r w:rsidR="00985432">
        <w:rPr>
          <w:rFonts w:ascii="Times New Roman" w:eastAsia="Calibri" w:hAnsi="Times New Roman" w:cs="Times New Roman"/>
        </w:rPr>
        <w:t>ot</w:t>
      </w:r>
      <w:r w:rsidR="00985432" w:rsidRPr="00956F16">
        <w:rPr>
          <w:rFonts w:ascii="Times New Roman" w:eastAsia="Calibri" w:hAnsi="Times New Roman" w:cs="Times New Roman"/>
        </w:rPr>
        <w:t xml:space="preserve"> </w:t>
      </w:r>
      <w:r w:rsidRPr="00956F16">
        <w:rPr>
          <w:rFonts w:ascii="Times New Roman" w:eastAsia="Calibri" w:hAnsi="Times New Roman" w:cs="Times New Roman"/>
        </w:rPr>
        <w:t>tartalmaz kapszulánként.</w:t>
      </w:r>
    </w:p>
    <w:p w14:paraId="70B52B6E" w14:textId="77777777" w:rsidR="00956F16" w:rsidRPr="00956F16" w:rsidRDefault="00956F16" w:rsidP="00956F16">
      <w:pPr>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Ismert hatású segédanyag</w:t>
      </w:r>
    </w:p>
    <w:p w14:paraId="715008E1" w14:textId="7D0854BB"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19</w:t>
      </w:r>
      <w:r w:rsidR="0059789D">
        <w:rPr>
          <w:rFonts w:ascii="Times New Roman" w:eastAsia="Calibri" w:hAnsi="Times New Roman" w:cs="Times New Roman"/>
        </w:rPr>
        <w:t>7</w:t>
      </w:r>
      <w:r w:rsidRPr="00956F16">
        <w:rPr>
          <w:rFonts w:ascii="Times New Roman" w:eastAsia="Calibri" w:hAnsi="Times New Roman" w:cs="Times New Roman"/>
        </w:rPr>
        <w:t> mg laktózt tartalmaz (laktóz</w:t>
      </w:r>
      <w:r w:rsidR="00104634">
        <w:rPr>
          <w:rFonts w:ascii="Times New Roman" w:eastAsia="Calibri" w:hAnsi="Times New Roman" w:cs="Times New Roman"/>
        </w:rPr>
        <w:t>-</w:t>
      </w:r>
      <w:r w:rsidRPr="00956F16">
        <w:rPr>
          <w:rFonts w:ascii="Times New Roman" w:eastAsia="Calibri" w:hAnsi="Times New Roman" w:cs="Times New Roman"/>
        </w:rPr>
        <w:t>monohidrát formájában) kapszulánként.</w:t>
      </w:r>
    </w:p>
    <w:p w14:paraId="26718B90" w14:textId="77777777" w:rsidR="00956F16" w:rsidRPr="00956F16" w:rsidRDefault="00956F16" w:rsidP="00956F16">
      <w:pPr>
        <w:spacing w:after="0" w:line="240" w:lineRule="auto"/>
        <w:rPr>
          <w:rFonts w:ascii="Times New Roman" w:eastAsia="Calibri" w:hAnsi="Times New Roman" w:cs="Times New Roman"/>
        </w:rPr>
      </w:pPr>
    </w:p>
    <w:p w14:paraId="6D03D579"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segédanyagok teljes listáját lásd a 6.1 pontban.</w:t>
      </w:r>
    </w:p>
    <w:p w14:paraId="2FC0A8A0" w14:textId="77777777" w:rsidR="00615B71" w:rsidRPr="007E5A32" w:rsidRDefault="00615B71" w:rsidP="00615B71">
      <w:pPr>
        <w:spacing w:after="0" w:line="240" w:lineRule="auto"/>
        <w:rPr>
          <w:rFonts w:ascii="Times New Roman" w:hAnsi="Times New Roman"/>
        </w:rPr>
      </w:pPr>
    </w:p>
    <w:p w14:paraId="2D2BB547" w14:textId="77777777" w:rsidR="00615B71" w:rsidRPr="007E5A32" w:rsidRDefault="00615B71" w:rsidP="00956F16">
      <w:pPr>
        <w:spacing w:after="0" w:line="240" w:lineRule="auto"/>
        <w:rPr>
          <w:rFonts w:ascii="Times New Roman" w:hAnsi="Times New Roman"/>
        </w:rPr>
      </w:pPr>
    </w:p>
    <w:p w14:paraId="417F1507"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lastRenderedPageBreak/>
        <w:t>3.</w:t>
      </w:r>
      <w:r w:rsidRPr="00956F16">
        <w:rPr>
          <w:rFonts w:ascii="Times New Roman" w:eastAsia="Calibri" w:hAnsi="Times New Roman" w:cs="Times New Roman"/>
          <w:b/>
        </w:rPr>
        <w:tab/>
        <w:t>GYÓGYSZERFORMA</w:t>
      </w:r>
    </w:p>
    <w:p w14:paraId="435697B7" w14:textId="77777777" w:rsidR="00956F16" w:rsidRPr="00956F16" w:rsidRDefault="00956F16" w:rsidP="00956F16">
      <w:pPr>
        <w:keepNext/>
        <w:spacing w:after="0" w:line="240" w:lineRule="auto"/>
        <w:rPr>
          <w:rFonts w:ascii="Times New Roman" w:eastAsia="Calibri" w:hAnsi="Times New Roman" w:cs="Times New Roman"/>
        </w:rPr>
      </w:pPr>
    </w:p>
    <w:p w14:paraId="6C073014"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Kemény kapszula.</w:t>
      </w:r>
    </w:p>
    <w:p w14:paraId="6ACC5EFB" w14:textId="77777777" w:rsidR="00956F16" w:rsidRPr="00956F16" w:rsidRDefault="00956F16" w:rsidP="00956F16">
      <w:pPr>
        <w:keepNext/>
        <w:spacing w:after="0" w:line="240" w:lineRule="auto"/>
        <w:rPr>
          <w:rFonts w:ascii="Times New Roman" w:eastAsia="Calibri" w:hAnsi="Times New Roman" w:cs="Times New Roman"/>
        </w:rPr>
      </w:pPr>
    </w:p>
    <w:p w14:paraId="3D64BCCB"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2,5 mg kemény kapszula</w:t>
      </w:r>
    </w:p>
    <w:p w14:paraId="5CAB8A17"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Fehér vagy csaknem fehér port tartalmazó, világoszöld és fehér színű, 4-es méretű (14,3 mm hosszúságú) kemény kapszula, „L2.5” jelöléssel ellátva.</w:t>
      </w:r>
    </w:p>
    <w:p w14:paraId="3BDD8619" w14:textId="77777777" w:rsidR="00956F16" w:rsidRPr="00956F16" w:rsidRDefault="00956F16" w:rsidP="00956F16">
      <w:pPr>
        <w:spacing w:after="0" w:line="240" w:lineRule="auto"/>
        <w:rPr>
          <w:rFonts w:ascii="Times New Roman" w:eastAsia="Calibri" w:hAnsi="Times New Roman" w:cs="Times New Roman"/>
        </w:rPr>
      </w:pPr>
    </w:p>
    <w:p w14:paraId="3C6E3C95"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5 mg kemény kapszula</w:t>
      </w:r>
    </w:p>
    <w:p w14:paraId="6C16EF40"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Fehér vagy csaknem fehér port tartalmazó, fehér színű, 4-es méretű (14,3 mm hosszúságú) kemény kapszula, „L5” jelöléssel ellátva.</w:t>
      </w:r>
    </w:p>
    <w:p w14:paraId="46E56342" w14:textId="77777777" w:rsidR="00956F16" w:rsidRPr="00956F16" w:rsidRDefault="00956F16" w:rsidP="00956F16">
      <w:pPr>
        <w:spacing w:after="0" w:line="240" w:lineRule="auto"/>
        <w:rPr>
          <w:rFonts w:ascii="Times New Roman" w:eastAsia="Calibri" w:hAnsi="Times New Roman" w:cs="Times New Roman"/>
        </w:rPr>
      </w:pPr>
    </w:p>
    <w:p w14:paraId="691DC24D"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7,5 mg kemény kapszula</w:t>
      </w:r>
    </w:p>
    <w:p w14:paraId="35B3F052"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Fehér vagy csaknem fehér port tartalmazó, halványsárga és fehér színű, 3-as méretű (15,9 mm hosszúságú) kemény kapszula, „L7.5” jelöléssel ellátva.</w:t>
      </w:r>
    </w:p>
    <w:p w14:paraId="5317464A" w14:textId="77777777" w:rsidR="00956F16" w:rsidRPr="00956F16" w:rsidRDefault="00956F16" w:rsidP="00956F16">
      <w:pPr>
        <w:spacing w:after="0" w:line="240" w:lineRule="auto"/>
        <w:rPr>
          <w:rFonts w:ascii="Times New Roman" w:eastAsia="Calibri" w:hAnsi="Times New Roman" w:cs="Times New Roman"/>
        </w:rPr>
      </w:pPr>
    </w:p>
    <w:p w14:paraId="3EF0702E"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10 mg kemény kapszula</w:t>
      </w:r>
    </w:p>
    <w:p w14:paraId="290C72B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Fehér vagy csaknem fehér port tartalmazó, világoszöld és halványsárga színű, 2-es méretű (18,0 mm hosszúságú) kemény kapszula, „L10” jelöléssel ellátva.</w:t>
      </w:r>
    </w:p>
    <w:p w14:paraId="5D9AE1A7" w14:textId="77777777" w:rsidR="00956F16" w:rsidRPr="00956F16" w:rsidRDefault="00956F16" w:rsidP="00956F16">
      <w:pPr>
        <w:spacing w:after="0" w:line="240" w:lineRule="auto"/>
        <w:rPr>
          <w:rFonts w:ascii="Times New Roman" w:eastAsia="Calibri" w:hAnsi="Times New Roman" w:cs="Times New Roman"/>
        </w:rPr>
      </w:pPr>
    </w:p>
    <w:p w14:paraId="19CF9C76"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15 mg kemény kapszula</w:t>
      </w:r>
    </w:p>
    <w:p w14:paraId="4CB217B5"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Fehér vagy csaknem fehér port tartalmazó, kék és fehér színű, 1-es méretű (19,4 mm hosszúságú) kemény kapszula, „L15” jelöléssel ellátva.</w:t>
      </w:r>
    </w:p>
    <w:p w14:paraId="67446779" w14:textId="77777777" w:rsidR="00956F16" w:rsidRPr="00956F16" w:rsidRDefault="00956F16" w:rsidP="00956F16">
      <w:pPr>
        <w:spacing w:after="0" w:line="240" w:lineRule="auto"/>
        <w:rPr>
          <w:rFonts w:ascii="Times New Roman" w:eastAsia="Calibri" w:hAnsi="Times New Roman" w:cs="Times New Roman"/>
        </w:rPr>
      </w:pPr>
    </w:p>
    <w:p w14:paraId="46427C4D"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20 mg kemény kapszula</w:t>
      </w:r>
    </w:p>
    <w:p w14:paraId="7FA76CA9"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Fehér vagy csaknem fehér port tartalmazó, világoszöld és kék színű, 0-ás méretű (21,7 mm hosszúságú) kemény kapszula, „L20” jelöléssel ellátva.</w:t>
      </w:r>
    </w:p>
    <w:p w14:paraId="550095AA" w14:textId="77777777" w:rsidR="00956F16" w:rsidRPr="00956F16" w:rsidRDefault="00956F16" w:rsidP="00956F16">
      <w:pPr>
        <w:spacing w:after="0" w:line="240" w:lineRule="auto"/>
        <w:rPr>
          <w:rFonts w:ascii="Times New Roman" w:eastAsia="Calibri" w:hAnsi="Times New Roman" w:cs="Times New Roman"/>
        </w:rPr>
      </w:pPr>
    </w:p>
    <w:p w14:paraId="127A87C8"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25 mg kemény kapszula</w:t>
      </w:r>
    </w:p>
    <w:p w14:paraId="01B7C227"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Fehér vagy csaknem fehér port tartalmazó, fehér színű, 0-ás méretű (21,7 mm hosszúságú) kemény kapszula, „L25” jelöléssel ellátva.</w:t>
      </w:r>
    </w:p>
    <w:p w14:paraId="019FF204" w14:textId="77777777" w:rsidR="00956F16" w:rsidRPr="00956F16" w:rsidRDefault="00956F16" w:rsidP="00956F16">
      <w:pPr>
        <w:spacing w:after="0" w:line="240" w:lineRule="auto"/>
        <w:rPr>
          <w:rFonts w:ascii="Times New Roman" w:eastAsia="Calibri" w:hAnsi="Times New Roman" w:cs="Times New Roman"/>
        </w:rPr>
      </w:pPr>
    </w:p>
    <w:p w14:paraId="70143E7F" w14:textId="77777777" w:rsidR="00956F16" w:rsidRPr="00956F16" w:rsidRDefault="00956F16" w:rsidP="00956F16">
      <w:pPr>
        <w:spacing w:after="0" w:line="240" w:lineRule="auto"/>
        <w:rPr>
          <w:rFonts w:ascii="Times New Roman" w:eastAsia="Calibri" w:hAnsi="Times New Roman" w:cs="Times New Roman"/>
        </w:rPr>
      </w:pPr>
    </w:p>
    <w:p w14:paraId="53AE8411"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4.</w:t>
      </w:r>
      <w:r w:rsidRPr="00956F16">
        <w:rPr>
          <w:rFonts w:ascii="Times New Roman" w:eastAsia="Calibri" w:hAnsi="Times New Roman" w:cs="Times New Roman"/>
          <w:b/>
        </w:rPr>
        <w:tab/>
        <w:t>KLINIKAI JELLEMZŐK</w:t>
      </w:r>
    </w:p>
    <w:p w14:paraId="690D6999" w14:textId="77777777" w:rsidR="00956F16" w:rsidRPr="00956F16" w:rsidRDefault="00956F16" w:rsidP="00956F16">
      <w:pPr>
        <w:keepNext/>
        <w:spacing w:after="0" w:line="240" w:lineRule="auto"/>
        <w:rPr>
          <w:rFonts w:ascii="Times New Roman" w:eastAsia="Calibri" w:hAnsi="Times New Roman" w:cs="Times New Roman"/>
        </w:rPr>
      </w:pPr>
    </w:p>
    <w:p w14:paraId="4299023A"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4.1</w:t>
      </w:r>
      <w:r w:rsidRPr="00956F16">
        <w:rPr>
          <w:rFonts w:ascii="Times New Roman" w:eastAsia="Calibri" w:hAnsi="Times New Roman" w:cs="Times New Roman"/>
          <w:b/>
        </w:rPr>
        <w:tab/>
        <w:t>Terápiás javallatok</w:t>
      </w:r>
    </w:p>
    <w:p w14:paraId="02F73747" w14:textId="77777777" w:rsidR="00956F16" w:rsidRPr="00956F16" w:rsidRDefault="00956F16" w:rsidP="00956F16">
      <w:pPr>
        <w:keepNext/>
        <w:spacing w:after="0" w:line="240" w:lineRule="auto"/>
        <w:rPr>
          <w:rFonts w:ascii="Times New Roman" w:eastAsia="Calibri" w:hAnsi="Times New Roman" w:cs="Times New Roman"/>
        </w:rPr>
      </w:pPr>
    </w:p>
    <w:p w14:paraId="611047DA"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Myeloma multiplex</w:t>
      </w:r>
    </w:p>
    <w:p w14:paraId="48A164B7"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Lenalidomide Grindeks monoterápiában, fenntartó kezelésként olyan, újonnan diagnosztizált myeloma multiplexben (MM) szenvedő felnőtt betegek számára javallott, akik autológ őssejt-transzplantáción estek át.</w:t>
      </w:r>
    </w:p>
    <w:p w14:paraId="72A1AE3F" w14:textId="77777777" w:rsidR="00956F16" w:rsidRPr="00956F16" w:rsidRDefault="00956F16" w:rsidP="00956F16">
      <w:pPr>
        <w:spacing w:after="0" w:line="240" w:lineRule="auto"/>
        <w:rPr>
          <w:rFonts w:ascii="Times New Roman" w:eastAsia="Calibri" w:hAnsi="Times New Roman" w:cs="Times New Roman"/>
        </w:rPr>
      </w:pPr>
    </w:p>
    <w:p w14:paraId="3FA6AB10" w14:textId="3EEF0B9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Lenalidomide Grindeks kombinációs </w:t>
      </w:r>
      <w:r w:rsidR="00701BDA">
        <w:rPr>
          <w:rFonts w:ascii="Times New Roman" w:eastAsia="Calibri" w:hAnsi="Times New Roman" w:cs="Times New Roman"/>
        </w:rPr>
        <w:t xml:space="preserve">kezelés részeként </w:t>
      </w:r>
      <w:r w:rsidR="00701BDA" w:rsidRPr="00441247">
        <w:rPr>
          <w:rFonts w:ascii="Times New Roman" w:eastAsia="Calibri" w:hAnsi="Times New Roman" w:cs="Times New Roman"/>
        </w:rPr>
        <w:t>dexametazonnal, illetve bor</w:t>
      </w:r>
      <w:r w:rsidR="00701BDA">
        <w:rPr>
          <w:rFonts w:ascii="Times New Roman" w:eastAsia="Calibri" w:hAnsi="Times New Roman" w:cs="Times New Roman"/>
        </w:rPr>
        <w:t>tezomibbal és dexametazonnal</w:t>
      </w:r>
      <w:r w:rsidR="00701BDA" w:rsidRPr="00441247">
        <w:rPr>
          <w:rFonts w:ascii="Times New Roman" w:eastAsia="Calibri" w:hAnsi="Times New Roman" w:cs="Times New Roman"/>
        </w:rPr>
        <w:t xml:space="preserve"> vagy melfalánnal és prednizonnal</w:t>
      </w:r>
      <w:r w:rsidR="00701BDA">
        <w:rPr>
          <w:sz w:val="28"/>
          <w:szCs w:val="28"/>
        </w:rPr>
        <w:t xml:space="preserve"> </w:t>
      </w:r>
      <w:r w:rsidRPr="00956F16">
        <w:rPr>
          <w:rFonts w:ascii="Times New Roman" w:eastAsia="Calibri" w:hAnsi="Times New Roman" w:cs="Times New Roman"/>
        </w:rPr>
        <w:t>(lásd 4.2 pont)</w:t>
      </w:r>
      <w:r w:rsidR="00701BDA">
        <w:rPr>
          <w:rFonts w:ascii="Times New Roman" w:eastAsia="Calibri" w:hAnsi="Times New Roman" w:cs="Times New Roman"/>
        </w:rPr>
        <w:t>,</w:t>
      </w:r>
      <w:r w:rsidRPr="00956F16">
        <w:rPr>
          <w:rFonts w:ascii="Times New Roman" w:eastAsia="Calibri" w:hAnsi="Times New Roman" w:cs="Times New Roman"/>
        </w:rPr>
        <w:t xml:space="preserve"> korábban nem kezelt, myeloma multiplexben szenvedő, transzplantációra nem alkalmas felnőtt betegek kezelésére javallott.</w:t>
      </w:r>
    </w:p>
    <w:p w14:paraId="4C233397" w14:textId="77777777" w:rsidR="008E7F1D" w:rsidRPr="00956F16" w:rsidRDefault="008E7F1D" w:rsidP="00956F16">
      <w:pPr>
        <w:spacing w:after="0" w:line="240" w:lineRule="auto"/>
        <w:rPr>
          <w:rFonts w:ascii="Times New Roman" w:eastAsia="Calibri" w:hAnsi="Times New Roman" w:cs="Times New Roman"/>
        </w:rPr>
      </w:pPr>
    </w:p>
    <w:p w14:paraId="4AC6A523"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Lenalidomide Grindeks dexametazonnal kombinálva olyan, myeloma multiplexben szenvedő felnőtt betegek kezelésére javallott, akik korábban már legalább egy kezelésben részesültek.</w:t>
      </w:r>
    </w:p>
    <w:p w14:paraId="41BA11F2" w14:textId="556E9825" w:rsidR="00956F16" w:rsidRDefault="00956F16" w:rsidP="00956F16">
      <w:pPr>
        <w:spacing w:after="0" w:line="240" w:lineRule="auto"/>
        <w:rPr>
          <w:rFonts w:ascii="Times New Roman" w:eastAsia="Calibri" w:hAnsi="Times New Roman" w:cs="Times New Roman"/>
        </w:rPr>
      </w:pPr>
    </w:p>
    <w:p w14:paraId="3B86B265" w14:textId="77777777" w:rsidR="005A0090" w:rsidRPr="00934095" w:rsidRDefault="005A0090" w:rsidP="00934095">
      <w:pPr>
        <w:keepNext/>
        <w:spacing w:after="0" w:line="240" w:lineRule="auto"/>
        <w:rPr>
          <w:rFonts w:ascii="Times New Roman" w:eastAsia="Calibri" w:hAnsi="Times New Roman" w:cs="Times New Roman"/>
          <w:u w:val="single"/>
        </w:rPr>
      </w:pPr>
      <w:r w:rsidRPr="00934095">
        <w:rPr>
          <w:rFonts w:ascii="Times New Roman" w:eastAsia="Calibri" w:hAnsi="Times New Roman" w:cs="Times New Roman"/>
          <w:u w:val="single"/>
        </w:rPr>
        <w:t>Myelodysplasiás szindrómák</w:t>
      </w:r>
    </w:p>
    <w:p w14:paraId="0ECFB735" w14:textId="2F276F9F" w:rsidR="005A0090" w:rsidRDefault="005A0090" w:rsidP="005A0090">
      <w:pPr>
        <w:spacing w:after="0" w:line="240" w:lineRule="auto"/>
        <w:rPr>
          <w:rFonts w:ascii="Times New Roman" w:eastAsia="Calibri" w:hAnsi="Times New Roman" w:cs="Times New Roman"/>
        </w:rPr>
      </w:pPr>
      <w:r w:rsidRPr="005A0090">
        <w:rPr>
          <w:rFonts w:ascii="Times New Roman" w:eastAsia="Calibri" w:hAnsi="Times New Roman" w:cs="Times New Roman"/>
        </w:rPr>
        <w:t xml:space="preserve">A </w:t>
      </w:r>
      <w:r w:rsidRPr="00956F16">
        <w:rPr>
          <w:rFonts w:ascii="Times New Roman" w:eastAsia="Calibri" w:hAnsi="Times New Roman" w:cs="Times New Roman"/>
        </w:rPr>
        <w:t>Lenalidomide Grindeks</w:t>
      </w:r>
      <w:r w:rsidRPr="005A0090">
        <w:rPr>
          <w:rFonts w:ascii="Times New Roman" w:eastAsia="Calibri" w:hAnsi="Times New Roman" w:cs="Times New Roman"/>
        </w:rPr>
        <w:t xml:space="preserve"> monoterápiában izolált 5q deléció típusú citogenetikai elváltozással járó, alacsony vagy</w:t>
      </w:r>
      <w:r>
        <w:rPr>
          <w:rFonts w:ascii="Times New Roman" w:eastAsia="Calibri" w:hAnsi="Times New Roman" w:cs="Times New Roman"/>
        </w:rPr>
        <w:t xml:space="preserve"> </w:t>
      </w:r>
      <w:r w:rsidRPr="005A0090">
        <w:rPr>
          <w:rFonts w:ascii="Times New Roman" w:eastAsia="Calibri" w:hAnsi="Times New Roman" w:cs="Times New Roman"/>
        </w:rPr>
        <w:t>közepes-1.</w:t>
      </w:r>
      <w:r>
        <w:rPr>
          <w:rFonts w:ascii="Times New Roman" w:eastAsia="Calibri" w:hAnsi="Times New Roman" w:cs="Times New Roman"/>
        </w:rPr>
        <w:t> </w:t>
      </w:r>
      <w:r w:rsidRPr="005A0090">
        <w:rPr>
          <w:rFonts w:ascii="Times New Roman" w:eastAsia="Calibri" w:hAnsi="Times New Roman" w:cs="Times New Roman"/>
        </w:rPr>
        <w:t>kockázatú myelodysplasiás szindrómák okozta, transzfúzió-dependens anaemiában</w:t>
      </w:r>
      <w:r>
        <w:rPr>
          <w:rFonts w:ascii="Times New Roman" w:eastAsia="Calibri" w:hAnsi="Times New Roman" w:cs="Times New Roman"/>
        </w:rPr>
        <w:t xml:space="preserve"> </w:t>
      </w:r>
      <w:r w:rsidRPr="005A0090">
        <w:rPr>
          <w:rFonts w:ascii="Times New Roman" w:eastAsia="Calibri" w:hAnsi="Times New Roman" w:cs="Times New Roman"/>
        </w:rPr>
        <w:t>szenvedő felnőtt betegek kezelésére javallott, amikor az egyéb terápiás lehetőségek elégtelenek vagy</w:t>
      </w:r>
      <w:r>
        <w:rPr>
          <w:rFonts w:ascii="Times New Roman" w:eastAsia="Calibri" w:hAnsi="Times New Roman" w:cs="Times New Roman"/>
        </w:rPr>
        <w:t xml:space="preserve"> </w:t>
      </w:r>
      <w:r w:rsidRPr="005A0090">
        <w:rPr>
          <w:rFonts w:ascii="Times New Roman" w:eastAsia="Calibri" w:hAnsi="Times New Roman" w:cs="Times New Roman"/>
        </w:rPr>
        <w:t>nem megfelelőek.</w:t>
      </w:r>
    </w:p>
    <w:p w14:paraId="2D1060F8" w14:textId="77777777" w:rsidR="005A0090" w:rsidRDefault="005A0090" w:rsidP="005A0090">
      <w:pPr>
        <w:spacing w:after="0" w:line="240" w:lineRule="auto"/>
        <w:rPr>
          <w:rFonts w:ascii="Times New Roman" w:eastAsia="Calibri" w:hAnsi="Times New Roman" w:cs="Times New Roman"/>
        </w:rPr>
      </w:pPr>
    </w:p>
    <w:p w14:paraId="306CC87D" w14:textId="77777777" w:rsidR="00181C38" w:rsidRPr="00E83289" w:rsidRDefault="00181C38" w:rsidP="007E5A32">
      <w:pPr>
        <w:keepNext/>
        <w:spacing w:after="0" w:line="240" w:lineRule="auto"/>
        <w:rPr>
          <w:rFonts w:ascii="Times New Roman" w:eastAsia="Calibri" w:hAnsi="Times New Roman" w:cs="Times New Roman"/>
          <w:u w:val="single"/>
        </w:rPr>
      </w:pPr>
      <w:r w:rsidRPr="00E83289">
        <w:rPr>
          <w:rFonts w:ascii="Times New Roman" w:eastAsia="Calibri" w:hAnsi="Times New Roman" w:cs="Times New Roman"/>
          <w:u w:val="single"/>
        </w:rPr>
        <w:lastRenderedPageBreak/>
        <w:t>Follicularis lymphoma</w:t>
      </w:r>
    </w:p>
    <w:p w14:paraId="36C0D222" w14:textId="5F113236" w:rsidR="00181C38" w:rsidRDefault="00181C38" w:rsidP="00181C38">
      <w:pPr>
        <w:spacing w:after="0" w:line="240" w:lineRule="auto"/>
        <w:rPr>
          <w:rFonts w:ascii="Times New Roman" w:eastAsia="Calibri" w:hAnsi="Times New Roman" w:cs="Times New Roman"/>
        </w:rPr>
      </w:pPr>
      <w:r w:rsidRPr="00181C38">
        <w:rPr>
          <w:rFonts w:ascii="Times New Roman" w:eastAsia="Calibri" w:hAnsi="Times New Roman" w:cs="Times New Roman"/>
        </w:rPr>
        <w:t xml:space="preserve">A </w:t>
      </w:r>
      <w:r w:rsidRPr="00956F16">
        <w:rPr>
          <w:rFonts w:ascii="Times New Roman" w:eastAsia="Calibri" w:hAnsi="Times New Roman" w:cs="Times New Roman"/>
        </w:rPr>
        <w:t>Lenalidomide Grindeks</w:t>
      </w:r>
      <w:r w:rsidRPr="00181C38">
        <w:rPr>
          <w:rFonts w:ascii="Times New Roman" w:eastAsia="Calibri" w:hAnsi="Times New Roman" w:cs="Times New Roman"/>
        </w:rPr>
        <w:t xml:space="preserve"> rituximabbal (CD20</w:t>
      </w:r>
      <w:r>
        <w:rPr>
          <w:rFonts w:ascii="Times New Roman" w:eastAsia="Calibri" w:hAnsi="Times New Roman" w:cs="Times New Roman"/>
        </w:rPr>
        <w:t>-</w:t>
      </w:r>
      <w:r w:rsidRPr="00181C38">
        <w:rPr>
          <w:rFonts w:ascii="Times New Roman" w:eastAsia="Calibri" w:hAnsi="Times New Roman" w:cs="Times New Roman"/>
        </w:rPr>
        <w:t>ellenes antitest) kombinációban javallott korábban már kezelt (1</w:t>
      </w:r>
      <w:r>
        <w:rPr>
          <w:rFonts w:ascii="Times New Roman" w:eastAsia="Calibri" w:hAnsi="Times New Roman" w:cs="Times New Roman"/>
        </w:rPr>
        <w:t>–</w:t>
      </w:r>
      <w:r w:rsidRPr="00181C38">
        <w:rPr>
          <w:rFonts w:ascii="Times New Roman" w:eastAsia="Calibri" w:hAnsi="Times New Roman" w:cs="Times New Roman"/>
        </w:rPr>
        <w:t>3a</w:t>
      </w:r>
      <w:r>
        <w:rPr>
          <w:rFonts w:ascii="Times New Roman" w:eastAsia="Calibri" w:hAnsi="Times New Roman" w:cs="Times New Roman"/>
        </w:rPr>
        <w:t xml:space="preserve"> </w:t>
      </w:r>
      <w:r w:rsidRPr="00181C38">
        <w:rPr>
          <w:rFonts w:ascii="Times New Roman" w:eastAsia="Calibri" w:hAnsi="Times New Roman" w:cs="Times New Roman"/>
        </w:rPr>
        <w:t>súlyossági fokú) follicularis lymphomában szenvedő felnőtt betegek kezelésére.</w:t>
      </w:r>
    </w:p>
    <w:p w14:paraId="31C01BE8" w14:textId="77777777" w:rsidR="004C5574" w:rsidRPr="00956F16" w:rsidRDefault="004C5574" w:rsidP="00181C38">
      <w:pPr>
        <w:spacing w:after="0" w:line="240" w:lineRule="auto"/>
        <w:rPr>
          <w:rFonts w:ascii="Times New Roman" w:eastAsia="Calibri" w:hAnsi="Times New Roman" w:cs="Times New Roman"/>
        </w:rPr>
      </w:pPr>
    </w:p>
    <w:p w14:paraId="1A4F4FC7"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4.2</w:t>
      </w:r>
      <w:r w:rsidRPr="00956F16">
        <w:rPr>
          <w:rFonts w:ascii="Times New Roman" w:eastAsia="Calibri" w:hAnsi="Times New Roman" w:cs="Times New Roman"/>
          <w:b/>
        </w:rPr>
        <w:tab/>
        <w:t>Adagolás és alkalmazás</w:t>
      </w:r>
    </w:p>
    <w:p w14:paraId="6FB4371E" w14:textId="77777777" w:rsidR="00956F16" w:rsidRPr="00956F16" w:rsidRDefault="00956F16" w:rsidP="00956F16">
      <w:pPr>
        <w:keepNext/>
        <w:spacing w:after="0" w:line="240" w:lineRule="auto"/>
        <w:rPr>
          <w:rFonts w:ascii="Times New Roman" w:eastAsia="Calibri" w:hAnsi="Times New Roman" w:cs="Times New Roman"/>
        </w:rPr>
      </w:pPr>
    </w:p>
    <w:p w14:paraId="6FB37215"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A Lenalidomide Grindeks-kezelést a daganatellenes terápiák alkalmazásában gyakorlott orvosnak kell felügyelnie.</w:t>
      </w:r>
    </w:p>
    <w:p w14:paraId="522C76F4" w14:textId="77777777" w:rsidR="00956F16" w:rsidRPr="00956F16" w:rsidRDefault="00956F16" w:rsidP="00956F16">
      <w:pPr>
        <w:keepNext/>
        <w:spacing w:after="0" w:line="240" w:lineRule="auto"/>
        <w:rPr>
          <w:rFonts w:ascii="Times New Roman" w:eastAsia="Calibri" w:hAnsi="Times New Roman" w:cs="Times New Roman"/>
        </w:rPr>
      </w:pPr>
    </w:p>
    <w:p w14:paraId="0EDC5B11"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Az alábbiakban szereplő valamennyi javallatra vonatkozóan:</w:t>
      </w:r>
    </w:p>
    <w:p w14:paraId="369E4849" w14:textId="77777777" w:rsidR="00956F16" w:rsidRPr="00956F16" w:rsidRDefault="00956F16" w:rsidP="00956F16">
      <w:pPr>
        <w:keepNext/>
        <w:numPr>
          <w:ilvl w:val="0"/>
          <w:numId w:val="2"/>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A dózist a klinikai és laboratóriumi vizsgálati eredmények alapján kell módosítani (lásd 4.4 pont).</w:t>
      </w:r>
    </w:p>
    <w:p w14:paraId="7147D954" w14:textId="77777777" w:rsidR="00956F16" w:rsidRPr="00956F16" w:rsidRDefault="00956F16" w:rsidP="00956F16">
      <w:pPr>
        <w:numPr>
          <w:ilvl w:val="0"/>
          <w:numId w:val="2"/>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A kezelés során és annak újrakezdésekor dózismódosítás ajánlott a 3-as és 4-es súlyossági fokú thrombocytopenia, a neutropenia, illetve a lenalidomidnak tulajdonított egyéb, 3-as vagy 4-es fokozatú toxicitás kezeléséhez.</w:t>
      </w:r>
    </w:p>
    <w:p w14:paraId="6C697049" w14:textId="77777777" w:rsidR="00956F16" w:rsidRPr="00956F16" w:rsidRDefault="00956F16" w:rsidP="00956F16">
      <w:pPr>
        <w:numPr>
          <w:ilvl w:val="0"/>
          <w:numId w:val="2"/>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Neutropenia esetén mérlegelni kell növekedési faktorok alkalmazását a betegek kezelése során.</w:t>
      </w:r>
    </w:p>
    <w:p w14:paraId="24059BA1" w14:textId="55D8AB36" w:rsidR="00956F16" w:rsidRPr="00956F16" w:rsidRDefault="00956F16" w:rsidP="00956F16">
      <w:pPr>
        <w:numPr>
          <w:ilvl w:val="0"/>
          <w:numId w:val="2"/>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 xml:space="preserve">Ha kevesebb, mint 12 óra telt el egy </w:t>
      </w:r>
      <w:r w:rsidR="00AC4F6E">
        <w:rPr>
          <w:rFonts w:ascii="Times New Roman" w:eastAsia="Calibri" w:hAnsi="Times New Roman" w:cs="Times New Roman"/>
        </w:rPr>
        <w:t>dózis</w:t>
      </w:r>
      <w:r w:rsidR="00AC4F6E" w:rsidRPr="00956F16">
        <w:rPr>
          <w:rFonts w:ascii="Times New Roman" w:eastAsia="Calibri" w:hAnsi="Times New Roman" w:cs="Times New Roman"/>
        </w:rPr>
        <w:t xml:space="preserve"> </w:t>
      </w:r>
      <w:r w:rsidRPr="00956F16">
        <w:rPr>
          <w:rFonts w:ascii="Times New Roman" w:eastAsia="Calibri" w:hAnsi="Times New Roman" w:cs="Times New Roman"/>
        </w:rPr>
        <w:t xml:space="preserve">kihagyása óta, akkor a beteg még beveheti azt a </w:t>
      </w:r>
      <w:r w:rsidR="00AC4F6E">
        <w:rPr>
          <w:rFonts w:ascii="Times New Roman" w:eastAsia="Calibri" w:hAnsi="Times New Roman" w:cs="Times New Roman"/>
        </w:rPr>
        <w:t>dózist</w:t>
      </w:r>
      <w:r w:rsidRPr="00956F16">
        <w:rPr>
          <w:rFonts w:ascii="Times New Roman" w:eastAsia="Calibri" w:hAnsi="Times New Roman" w:cs="Times New Roman"/>
        </w:rPr>
        <w:t xml:space="preserve">. Ha több mint 12 óra telt el azóta, hogy a beteg az előírt időben kihagyott egy </w:t>
      </w:r>
      <w:r w:rsidR="00AC4F6E">
        <w:rPr>
          <w:rFonts w:ascii="Times New Roman" w:eastAsia="Calibri" w:hAnsi="Times New Roman" w:cs="Times New Roman"/>
        </w:rPr>
        <w:t>dózist</w:t>
      </w:r>
      <w:r w:rsidRPr="00956F16">
        <w:rPr>
          <w:rFonts w:ascii="Times New Roman" w:eastAsia="Calibri" w:hAnsi="Times New Roman" w:cs="Times New Roman"/>
        </w:rPr>
        <w:t xml:space="preserve">, akkor ezt a beteg már nem veheti be, hanem a következő napon kell a szokott időben bevennie az esedékes </w:t>
      </w:r>
      <w:r w:rsidR="00AC4F6E">
        <w:rPr>
          <w:rFonts w:ascii="Times New Roman" w:eastAsia="Calibri" w:hAnsi="Times New Roman" w:cs="Times New Roman"/>
        </w:rPr>
        <w:t>dózist</w:t>
      </w:r>
      <w:r w:rsidRPr="00956F16">
        <w:rPr>
          <w:rFonts w:ascii="Times New Roman" w:eastAsia="Calibri" w:hAnsi="Times New Roman" w:cs="Times New Roman"/>
        </w:rPr>
        <w:t>.</w:t>
      </w:r>
    </w:p>
    <w:p w14:paraId="063033C0" w14:textId="77777777" w:rsidR="00956F16" w:rsidRPr="00956F16" w:rsidRDefault="00956F16" w:rsidP="00956F16">
      <w:pPr>
        <w:spacing w:after="0" w:line="240" w:lineRule="auto"/>
        <w:rPr>
          <w:rFonts w:ascii="Times New Roman" w:eastAsia="Calibri" w:hAnsi="Times New Roman" w:cs="Times New Roman"/>
        </w:rPr>
      </w:pPr>
    </w:p>
    <w:p w14:paraId="023E1270"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Adagolás</w:t>
      </w:r>
    </w:p>
    <w:p w14:paraId="22560351" w14:textId="77777777" w:rsidR="00956F16" w:rsidRPr="00956F16" w:rsidRDefault="00956F16" w:rsidP="00956F16">
      <w:pPr>
        <w:keepNext/>
        <w:spacing w:after="0" w:line="240" w:lineRule="auto"/>
        <w:rPr>
          <w:rFonts w:ascii="Times New Roman" w:eastAsia="Calibri" w:hAnsi="Times New Roman" w:cs="Times New Roman"/>
        </w:rPr>
      </w:pPr>
    </w:p>
    <w:p w14:paraId="58CA0FD8"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Újonnan diagnosztizált myeloma multiplex (NDMM/newly diagnosed multiple myeloma)</w:t>
      </w:r>
    </w:p>
    <w:p w14:paraId="23C0F5DF" w14:textId="77777777" w:rsidR="00956F16" w:rsidRPr="00956F16" w:rsidRDefault="00956F16" w:rsidP="00956F16">
      <w:pPr>
        <w:spacing w:after="0" w:line="240" w:lineRule="auto"/>
        <w:rPr>
          <w:rFonts w:ascii="Times New Roman" w:eastAsia="Calibri" w:hAnsi="Times New Roman" w:cs="Times New Roman"/>
        </w:rPr>
      </w:pPr>
    </w:p>
    <w:p w14:paraId="3CA5366B" w14:textId="77777777" w:rsidR="00956F16" w:rsidRPr="00956F16" w:rsidRDefault="00956F16" w:rsidP="00956F16">
      <w:pPr>
        <w:keepNext/>
        <w:numPr>
          <w:ilvl w:val="0"/>
          <w:numId w:val="14"/>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Lenalidomid és dexametazon kombináció alkalmazása a betegség progressziójáig a transzplantációra nem alkalmas betegeknél</w:t>
      </w:r>
    </w:p>
    <w:p w14:paraId="29256883" w14:textId="742D1AB8"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Nem szabad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kezelést elkezdeni, amennyiben az </w:t>
      </w:r>
      <w:r w:rsidR="000A7346" w:rsidRPr="00956F16">
        <w:rPr>
          <w:rFonts w:ascii="Times New Roman" w:eastAsia="Calibri" w:hAnsi="Times New Roman" w:cs="Times New Roman"/>
        </w:rPr>
        <w:t>abszolút neutrophilszám (ANC/Absolute Neutrophil Count)</w:t>
      </w:r>
      <w:r w:rsidRPr="00956F16">
        <w:rPr>
          <w:rFonts w:ascii="Times New Roman" w:eastAsia="Calibri" w:hAnsi="Times New Roman" w:cs="Times New Roman"/>
        </w:rPr>
        <w:t xml:space="preserve"> 1,0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alatti és/vagy a thrombocytaszám 50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alatti érték</w:t>
      </w:r>
      <w:r w:rsidR="00AE053F">
        <w:rPr>
          <w:rFonts w:ascii="Times New Roman" w:eastAsia="Calibri" w:hAnsi="Times New Roman" w:cs="Times New Roman"/>
        </w:rPr>
        <w:t>et mutat</w:t>
      </w:r>
      <w:r w:rsidRPr="00956F16">
        <w:rPr>
          <w:rFonts w:ascii="Times New Roman" w:eastAsia="Calibri" w:hAnsi="Times New Roman" w:cs="Times New Roman"/>
        </w:rPr>
        <w:t>.</w:t>
      </w:r>
    </w:p>
    <w:p w14:paraId="1B272190" w14:textId="77777777" w:rsidR="00956F16" w:rsidRPr="00956F16" w:rsidRDefault="00956F16" w:rsidP="00956F16">
      <w:pPr>
        <w:spacing w:after="0" w:line="240" w:lineRule="auto"/>
        <w:rPr>
          <w:rFonts w:ascii="Times New Roman" w:eastAsia="Calibri" w:hAnsi="Times New Roman" w:cs="Times New Roman"/>
        </w:rPr>
      </w:pPr>
    </w:p>
    <w:p w14:paraId="473F5F17" w14:textId="77777777" w:rsidR="00956F16" w:rsidRPr="00956F16" w:rsidRDefault="00956F16" w:rsidP="00956F16">
      <w:pPr>
        <w:keepNext/>
        <w:spacing w:after="0" w:line="240" w:lineRule="auto"/>
        <w:rPr>
          <w:rFonts w:ascii="Times New Roman" w:eastAsia="Calibri" w:hAnsi="Times New Roman" w:cs="Times New Roman"/>
          <w:i/>
        </w:rPr>
      </w:pPr>
      <w:r w:rsidRPr="00956F16">
        <w:rPr>
          <w:rFonts w:ascii="Times New Roman" w:eastAsia="Calibri" w:hAnsi="Times New Roman" w:cs="Times New Roman"/>
          <w:i/>
        </w:rPr>
        <w:t>Javasolt dózis</w:t>
      </w:r>
    </w:p>
    <w:p w14:paraId="652FBDA9" w14:textId="0166F876"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javasolt kezdő dózisa naponta egyszer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alkalmazott 25 mg, az ismétlődő, 28 napos ciklusok 1</w:t>
      </w:r>
      <w:r w:rsidR="00404E9B">
        <w:rPr>
          <w:rFonts w:ascii="Times New Roman" w:eastAsia="Calibri" w:hAnsi="Times New Roman" w:cs="Times New Roman"/>
        </w:rPr>
        <w:t>–</w:t>
      </w:r>
      <w:r w:rsidRPr="00956F16">
        <w:rPr>
          <w:rFonts w:ascii="Times New Roman" w:eastAsia="Calibri" w:hAnsi="Times New Roman" w:cs="Times New Roman"/>
        </w:rPr>
        <w:t>21. napján.</w:t>
      </w:r>
    </w:p>
    <w:p w14:paraId="738BE118" w14:textId="2032C18A"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dexametazon javasolt </w:t>
      </w:r>
      <w:r w:rsidR="00AC4F6E">
        <w:rPr>
          <w:rFonts w:ascii="Times New Roman" w:eastAsia="Calibri" w:hAnsi="Times New Roman" w:cs="Times New Roman"/>
        </w:rPr>
        <w:t xml:space="preserve">dózisa </w:t>
      </w:r>
      <w:r w:rsidRPr="00956F16">
        <w:rPr>
          <w:rFonts w:ascii="Times New Roman" w:eastAsia="Calibri" w:hAnsi="Times New Roman" w:cs="Times New Roman"/>
        </w:rPr>
        <w:t xml:space="preserve">naponta egyszer 40 mg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az ismétlődő 28 napos ciklusok 1., 8., 15. és 22. napján. A betegek a betegség progressziójáig vagy intolerancia kialakulásáig folytathatják a lenalidomid- és dexametazon</w:t>
      </w:r>
      <w:r w:rsidR="00104634">
        <w:rPr>
          <w:rFonts w:ascii="Times New Roman" w:eastAsia="Calibri" w:hAnsi="Times New Roman" w:cs="Times New Roman"/>
        </w:rPr>
        <w:t>-</w:t>
      </w:r>
      <w:r w:rsidRPr="00956F16">
        <w:rPr>
          <w:rFonts w:ascii="Times New Roman" w:eastAsia="Calibri" w:hAnsi="Times New Roman" w:cs="Times New Roman"/>
        </w:rPr>
        <w:t>terápiát.</w:t>
      </w:r>
    </w:p>
    <w:p w14:paraId="58475AB7" w14:textId="77777777" w:rsidR="00956F16" w:rsidRPr="00956F16" w:rsidRDefault="00956F16" w:rsidP="00956F16">
      <w:pPr>
        <w:spacing w:after="0" w:line="240" w:lineRule="auto"/>
        <w:rPr>
          <w:rFonts w:ascii="Times New Roman" w:eastAsia="Calibri" w:hAnsi="Times New Roman" w:cs="Times New Roman"/>
        </w:rPr>
      </w:pPr>
    </w:p>
    <w:p w14:paraId="44700834" w14:textId="77777777" w:rsidR="00956F16" w:rsidRPr="00956F16" w:rsidRDefault="00956F16" w:rsidP="00956F16">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t>A dóziscsökkentés lépései</w:t>
      </w:r>
    </w:p>
    <w:tbl>
      <w:tblPr>
        <w:tblW w:w="9094" w:type="dxa"/>
        <w:tblInd w:w="5" w:type="dxa"/>
        <w:tblLayout w:type="fixed"/>
        <w:tblCellMar>
          <w:left w:w="0" w:type="dxa"/>
          <w:right w:w="0" w:type="dxa"/>
        </w:tblCellMar>
        <w:tblLook w:val="0000" w:firstRow="0" w:lastRow="0" w:firstColumn="0" w:lastColumn="0" w:noHBand="0" w:noVBand="0"/>
      </w:tblPr>
      <w:tblGrid>
        <w:gridCol w:w="3141"/>
        <w:gridCol w:w="2976"/>
        <w:gridCol w:w="2977"/>
      </w:tblGrid>
      <w:tr w:rsidR="00956F16" w:rsidRPr="00956F16" w14:paraId="6D1961DE" w14:textId="77777777" w:rsidTr="00694E9C">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18F7980C" w14:textId="77777777" w:rsidR="00956F16" w:rsidRPr="00956F16" w:rsidRDefault="00956F16" w:rsidP="00956F16">
            <w:pPr>
              <w:keepNext/>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6D90C013"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na</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do</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d</w:t>
            </w:r>
            <w:r w:rsidRPr="00956F16">
              <w:rPr>
                <w:rFonts w:ascii="Times New Roman" w:eastAsia="Times New Roman" w:hAnsi="Times New Roman" w:cs="Times New Roman"/>
                <w:szCs w:val="20"/>
                <w:vertAlign w:val="superscript"/>
              </w:rPr>
              <w:t>a</w:t>
            </w:r>
          </w:p>
        </w:tc>
        <w:tc>
          <w:tcPr>
            <w:tcW w:w="2977" w:type="dxa"/>
            <w:tcBorders>
              <w:top w:val="single" w:sz="4" w:space="0" w:color="000000"/>
              <w:left w:val="single" w:sz="4" w:space="0" w:color="000000"/>
              <w:bottom w:val="single" w:sz="4" w:space="0" w:color="000000"/>
              <w:right w:val="single" w:sz="4" w:space="0" w:color="000000"/>
            </w:tcBorders>
          </w:tcPr>
          <w:p w14:paraId="65259030"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xa</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tazon</w:t>
            </w:r>
            <w:r w:rsidRPr="00956F16">
              <w:rPr>
                <w:rFonts w:ascii="Times New Roman" w:eastAsia="Times New Roman" w:hAnsi="Times New Roman" w:cs="Times New Roman"/>
                <w:szCs w:val="20"/>
                <w:vertAlign w:val="superscript"/>
              </w:rPr>
              <w:t>a</w:t>
            </w:r>
          </w:p>
        </w:tc>
      </w:tr>
      <w:tr w:rsidR="00956F16" w:rsidRPr="00956F16" w14:paraId="3DF857EB" w14:textId="77777777" w:rsidTr="00694E9C">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01CC7917"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Kezdő</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1"/>
                <w:szCs w:val="20"/>
              </w:rPr>
              <w:t>dózis</w:t>
            </w:r>
          </w:p>
        </w:tc>
        <w:tc>
          <w:tcPr>
            <w:tcW w:w="2976" w:type="dxa"/>
            <w:tcBorders>
              <w:top w:val="single" w:sz="4" w:space="0" w:color="000000"/>
              <w:left w:val="single" w:sz="4" w:space="0" w:color="000000"/>
              <w:bottom w:val="single" w:sz="4" w:space="0" w:color="000000"/>
              <w:right w:val="single" w:sz="4" w:space="0" w:color="000000"/>
            </w:tcBorders>
          </w:tcPr>
          <w:p w14:paraId="1C4E0927" w14:textId="77777777" w:rsidR="00956F16" w:rsidRPr="00956F16" w:rsidRDefault="00956F16" w:rsidP="00956F16">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25 </w:t>
            </w:r>
            <w:r w:rsidRPr="00956F16">
              <w:rPr>
                <w:rFonts w:ascii="Times New Roman" w:eastAsia="Times New Roman" w:hAnsi="Times New Roman" w:cs="Times New Roman"/>
                <w:spacing w:val="-2"/>
                <w:szCs w:val="20"/>
              </w:rPr>
              <w:t>m</w:t>
            </w:r>
            <w:r w:rsidRPr="00956F16">
              <w:rPr>
                <w:rFonts w:ascii="Times New Roman" w:eastAsia="Times New Roman" w:hAnsi="Times New Roman" w:cs="Times New Roman"/>
                <w:szCs w:val="20"/>
              </w:rPr>
              <w:t>g</w:t>
            </w:r>
          </w:p>
        </w:tc>
        <w:tc>
          <w:tcPr>
            <w:tcW w:w="2977" w:type="dxa"/>
            <w:tcBorders>
              <w:top w:val="single" w:sz="4" w:space="0" w:color="000000"/>
              <w:left w:val="single" w:sz="4" w:space="0" w:color="000000"/>
              <w:bottom w:val="single" w:sz="4" w:space="0" w:color="000000"/>
              <w:right w:val="single" w:sz="4" w:space="0" w:color="000000"/>
            </w:tcBorders>
          </w:tcPr>
          <w:p w14:paraId="78C1CD92" w14:textId="77777777" w:rsidR="00956F16" w:rsidRPr="00956F16" w:rsidRDefault="00956F16" w:rsidP="00956F16">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40 </w:t>
            </w: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zCs w:val="20"/>
              </w:rPr>
              <w:t>g</w:t>
            </w:r>
          </w:p>
        </w:tc>
      </w:tr>
      <w:tr w:rsidR="00956F16" w:rsidRPr="00956F16" w14:paraId="0DB0989F" w14:textId="77777777" w:rsidTr="00694E9C">
        <w:trPr>
          <w:trHeight w:hRule="exact" w:val="261"/>
        </w:trPr>
        <w:tc>
          <w:tcPr>
            <w:tcW w:w="3141" w:type="dxa"/>
            <w:tcBorders>
              <w:top w:val="single" w:sz="4" w:space="0" w:color="000000"/>
              <w:left w:val="single" w:sz="4" w:space="0" w:color="000000"/>
              <w:bottom w:val="single" w:sz="4" w:space="0" w:color="000000"/>
              <w:right w:val="single" w:sz="4" w:space="0" w:color="000000"/>
            </w:tcBorders>
          </w:tcPr>
          <w:p w14:paraId="7B51B233" w14:textId="6468F70A" w:rsidR="00956F16" w:rsidRPr="00956F16" w:rsidRDefault="008A3DE8"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w:t>
            </w:r>
            <w:r w:rsidR="00956F16" w:rsidRPr="00956F16">
              <w:rPr>
                <w:rFonts w:ascii="Times New Roman" w:eastAsia="Times New Roman" w:hAnsi="Times New Roman" w:cs="Times New Roman"/>
                <w:szCs w:val="20"/>
              </w:rPr>
              <w:t>1. dózisszint</w:t>
            </w:r>
          </w:p>
        </w:tc>
        <w:tc>
          <w:tcPr>
            <w:tcW w:w="2976" w:type="dxa"/>
            <w:tcBorders>
              <w:top w:val="single" w:sz="4" w:space="0" w:color="000000"/>
              <w:left w:val="single" w:sz="4" w:space="0" w:color="000000"/>
              <w:bottom w:val="single" w:sz="4" w:space="0" w:color="000000"/>
              <w:right w:val="single" w:sz="4" w:space="0" w:color="000000"/>
            </w:tcBorders>
          </w:tcPr>
          <w:p w14:paraId="082E5AF2" w14:textId="77777777" w:rsidR="00956F16" w:rsidRPr="00956F16" w:rsidRDefault="00956F16" w:rsidP="00956F16">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20 </w:t>
            </w:r>
            <w:r w:rsidRPr="00956F16">
              <w:rPr>
                <w:rFonts w:ascii="Times New Roman" w:eastAsia="Times New Roman" w:hAnsi="Times New Roman" w:cs="Times New Roman"/>
                <w:spacing w:val="-2"/>
                <w:szCs w:val="20"/>
              </w:rPr>
              <w:t>m</w:t>
            </w:r>
            <w:r w:rsidRPr="00956F16">
              <w:rPr>
                <w:rFonts w:ascii="Times New Roman" w:eastAsia="Times New Roman" w:hAnsi="Times New Roman" w:cs="Times New Roman"/>
                <w:szCs w:val="20"/>
              </w:rPr>
              <w:t>g</w:t>
            </w:r>
          </w:p>
        </w:tc>
        <w:tc>
          <w:tcPr>
            <w:tcW w:w="2977" w:type="dxa"/>
            <w:tcBorders>
              <w:top w:val="single" w:sz="4" w:space="0" w:color="000000"/>
              <w:left w:val="single" w:sz="4" w:space="0" w:color="000000"/>
              <w:bottom w:val="single" w:sz="4" w:space="0" w:color="000000"/>
              <w:right w:val="single" w:sz="4" w:space="0" w:color="000000"/>
            </w:tcBorders>
          </w:tcPr>
          <w:p w14:paraId="7563B8AC" w14:textId="77777777" w:rsidR="00956F16" w:rsidRPr="00956F16" w:rsidRDefault="00956F16" w:rsidP="00956F16">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20 </w:t>
            </w: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zCs w:val="20"/>
              </w:rPr>
              <w:t>g</w:t>
            </w:r>
          </w:p>
        </w:tc>
      </w:tr>
      <w:tr w:rsidR="00956F16" w:rsidRPr="00956F16" w14:paraId="791327F9" w14:textId="77777777" w:rsidTr="00694E9C">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4ADBC23C" w14:textId="160CB0BF" w:rsidR="00956F16" w:rsidRPr="00956F16" w:rsidRDefault="008A3DE8"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w:t>
            </w:r>
            <w:r w:rsidR="00956F16" w:rsidRPr="00956F16">
              <w:rPr>
                <w:rFonts w:ascii="Times New Roman" w:eastAsia="Times New Roman" w:hAnsi="Times New Roman" w:cs="Times New Roman"/>
                <w:szCs w:val="20"/>
              </w:rPr>
              <w:t>2. dózisszint</w:t>
            </w:r>
          </w:p>
        </w:tc>
        <w:tc>
          <w:tcPr>
            <w:tcW w:w="2976" w:type="dxa"/>
            <w:tcBorders>
              <w:top w:val="single" w:sz="4" w:space="0" w:color="000000"/>
              <w:left w:val="single" w:sz="4" w:space="0" w:color="000000"/>
              <w:bottom w:val="single" w:sz="4" w:space="0" w:color="000000"/>
              <w:right w:val="single" w:sz="4" w:space="0" w:color="000000"/>
            </w:tcBorders>
          </w:tcPr>
          <w:p w14:paraId="6BB753A8" w14:textId="77777777" w:rsidR="00956F16" w:rsidRPr="00956F16" w:rsidRDefault="00956F16" w:rsidP="00956F16">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15 </w:t>
            </w:r>
            <w:r w:rsidRPr="00956F16">
              <w:rPr>
                <w:rFonts w:ascii="Times New Roman" w:eastAsia="Times New Roman" w:hAnsi="Times New Roman" w:cs="Times New Roman"/>
                <w:spacing w:val="-2"/>
                <w:szCs w:val="20"/>
              </w:rPr>
              <w:t>m</w:t>
            </w:r>
            <w:r w:rsidRPr="00956F16">
              <w:rPr>
                <w:rFonts w:ascii="Times New Roman" w:eastAsia="Times New Roman" w:hAnsi="Times New Roman" w:cs="Times New Roman"/>
                <w:szCs w:val="20"/>
              </w:rPr>
              <w:t>g</w:t>
            </w:r>
          </w:p>
        </w:tc>
        <w:tc>
          <w:tcPr>
            <w:tcW w:w="2977" w:type="dxa"/>
            <w:tcBorders>
              <w:top w:val="single" w:sz="4" w:space="0" w:color="000000"/>
              <w:left w:val="single" w:sz="4" w:space="0" w:color="000000"/>
              <w:bottom w:val="single" w:sz="4" w:space="0" w:color="000000"/>
              <w:right w:val="single" w:sz="4" w:space="0" w:color="000000"/>
            </w:tcBorders>
          </w:tcPr>
          <w:p w14:paraId="73114864" w14:textId="77777777" w:rsidR="00956F16" w:rsidRPr="00956F16" w:rsidRDefault="00956F16" w:rsidP="00956F16">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12 </w:t>
            </w: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zCs w:val="20"/>
              </w:rPr>
              <w:t>g</w:t>
            </w:r>
          </w:p>
        </w:tc>
      </w:tr>
      <w:tr w:rsidR="00956F16" w:rsidRPr="00956F16" w14:paraId="642426AA" w14:textId="77777777" w:rsidTr="00694E9C">
        <w:trPr>
          <w:trHeight w:hRule="exact" w:val="262"/>
        </w:trPr>
        <w:tc>
          <w:tcPr>
            <w:tcW w:w="3141" w:type="dxa"/>
            <w:tcBorders>
              <w:top w:val="single" w:sz="4" w:space="0" w:color="000000"/>
              <w:left w:val="single" w:sz="4" w:space="0" w:color="000000"/>
              <w:bottom w:val="single" w:sz="4" w:space="0" w:color="000000"/>
              <w:right w:val="single" w:sz="4" w:space="0" w:color="000000"/>
            </w:tcBorders>
          </w:tcPr>
          <w:p w14:paraId="6EF18134" w14:textId="6888B16E" w:rsidR="00956F16" w:rsidRPr="00956F16" w:rsidRDefault="008A3DE8"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w:t>
            </w:r>
            <w:r w:rsidR="00956F16" w:rsidRPr="00956F16">
              <w:rPr>
                <w:rFonts w:ascii="Times New Roman" w:eastAsia="Times New Roman" w:hAnsi="Times New Roman" w:cs="Times New Roman"/>
                <w:szCs w:val="20"/>
              </w:rPr>
              <w:t>3. dózisszint</w:t>
            </w:r>
          </w:p>
        </w:tc>
        <w:tc>
          <w:tcPr>
            <w:tcW w:w="2976" w:type="dxa"/>
            <w:tcBorders>
              <w:top w:val="single" w:sz="4" w:space="0" w:color="000000"/>
              <w:left w:val="single" w:sz="4" w:space="0" w:color="000000"/>
              <w:bottom w:val="single" w:sz="4" w:space="0" w:color="000000"/>
              <w:right w:val="single" w:sz="4" w:space="0" w:color="000000"/>
            </w:tcBorders>
          </w:tcPr>
          <w:p w14:paraId="41F68A92" w14:textId="77777777" w:rsidR="00956F16" w:rsidRPr="00956F16" w:rsidRDefault="00956F16" w:rsidP="00956F16">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10 </w:t>
            </w:r>
            <w:r w:rsidRPr="00956F16">
              <w:rPr>
                <w:rFonts w:ascii="Times New Roman" w:eastAsia="Times New Roman" w:hAnsi="Times New Roman" w:cs="Times New Roman"/>
                <w:spacing w:val="-2"/>
                <w:szCs w:val="20"/>
              </w:rPr>
              <w:t>m</w:t>
            </w:r>
            <w:r w:rsidRPr="00956F16">
              <w:rPr>
                <w:rFonts w:ascii="Times New Roman" w:eastAsia="Times New Roman" w:hAnsi="Times New Roman" w:cs="Times New Roman"/>
                <w:szCs w:val="20"/>
              </w:rPr>
              <w:t>g</w:t>
            </w:r>
          </w:p>
        </w:tc>
        <w:tc>
          <w:tcPr>
            <w:tcW w:w="2977" w:type="dxa"/>
            <w:tcBorders>
              <w:top w:val="single" w:sz="4" w:space="0" w:color="000000"/>
              <w:left w:val="single" w:sz="4" w:space="0" w:color="000000"/>
              <w:bottom w:val="single" w:sz="4" w:space="0" w:color="000000"/>
              <w:right w:val="single" w:sz="4" w:space="0" w:color="000000"/>
            </w:tcBorders>
          </w:tcPr>
          <w:p w14:paraId="2A2EE56C" w14:textId="77777777" w:rsidR="00956F16" w:rsidRPr="00956F16" w:rsidRDefault="00956F16" w:rsidP="00956F16">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8 </w:t>
            </w: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zCs w:val="20"/>
              </w:rPr>
              <w:t>g</w:t>
            </w:r>
          </w:p>
        </w:tc>
      </w:tr>
      <w:tr w:rsidR="00956F16" w:rsidRPr="00956F16" w14:paraId="546B78A4" w14:textId="77777777" w:rsidTr="00694E9C">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59EC3E11" w14:textId="3F54B2E9" w:rsidR="00956F16" w:rsidRPr="00956F16" w:rsidRDefault="008A3DE8"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w:t>
            </w:r>
            <w:r w:rsidR="00956F16" w:rsidRPr="00956F16">
              <w:rPr>
                <w:rFonts w:ascii="Times New Roman" w:eastAsia="Times New Roman" w:hAnsi="Times New Roman" w:cs="Times New Roman"/>
                <w:szCs w:val="20"/>
              </w:rPr>
              <w:t>4. dózisszint</w:t>
            </w:r>
          </w:p>
        </w:tc>
        <w:tc>
          <w:tcPr>
            <w:tcW w:w="2976" w:type="dxa"/>
            <w:tcBorders>
              <w:top w:val="single" w:sz="4" w:space="0" w:color="000000"/>
              <w:left w:val="single" w:sz="4" w:space="0" w:color="000000"/>
              <w:bottom w:val="single" w:sz="4" w:space="0" w:color="000000"/>
              <w:right w:val="single" w:sz="4" w:space="0" w:color="000000"/>
            </w:tcBorders>
          </w:tcPr>
          <w:p w14:paraId="57160B1C" w14:textId="77777777" w:rsidR="00956F16" w:rsidRPr="00956F16" w:rsidRDefault="00956F16" w:rsidP="00956F16">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5 </w:t>
            </w: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zCs w:val="20"/>
              </w:rPr>
              <w:t>g</w:t>
            </w:r>
          </w:p>
        </w:tc>
        <w:tc>
          <w:tcPr>
            <w:tcW w:w="2977" w:type="dxa"/>
            <w:tcBorders>
              <w:top w:val="single" w:sz="4" w:space="0" w:color="000000"/>
              <w:left w:val="single" w:sz="4" w:space="0" w:color="000000"/>
              <w:bottom w:val="single" w:sz="4" w:space="0" w:color="000000"/>
              <w:right w:val="single" w:sz="4" w:space="0" w:color="000000"/>
            </w:tcBorders>
          </w:tcPr>
          <w:p w14:paraId="03B51175" w14:textId="77777777" w:rsidR="00956F16" w:rsidRPr="00956F16" w:rsidRDefault="00956F16" w:rsidP="00956F16">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4 </w:t>
            </w: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zCs w:val="20"/>
              </w:rPr>
              <w:t>g</w:t>
            </w:r>
          </w:p>
        </w:tc>
      </w:tr>
      <w:tr w:rsidR="00956F16" w:rsidRPr="00956F16" w14:paraId="5171D4BC" w14:textId="77777777" w:rsidTr="00694E9C">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39FFFBD4" w14:textId="7F466FFF" w:rsidR="00956F16" w:rsidRPr="00956F16" w:rsidRDefault="008A3DE8"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w:t>
            </w:r>
            <w:r w:rsidR="00956F16" w:rsidRPr="00956F16">
              <w:rPr>
                <w:rFonts w:ascii="Times New Roman" w:eastAsia="Times New Roman" w:hAnsi="Times New Roman" w:cs="Times New Roman"/>
                <w:szCs w:val="20"/>
              </w:rPr>
              <w:t>5. dózisszint</w:t>
            </w:r>
          </w:p>
        </w:tc>
        <w:tc>
          <w:tcPr>
            <w:tcW w:w="2976" w:type="dxa"/>
            <w:tcBorders>
              <w:top w:val="single" w:sz="4" w:space="0" w:color="000000"/>
              <w:left w:val="single" w:sz="4" w:space="0" w:color="000000"/>
              <w:bottom w:val="single" w:sz="4" w:space="0" w:color="000000"/>
              <w:right w:val="single" w:sz="4" w:space="0" w:color="000000"/>
            </w:tcBorders>
          </w:tcPr>
          <w:p w14:paraId="2C6CBC19" w14:textId="77777777" w:rsidR="00956F16" w:rsidRPr="00956F16" w:rsidRDefault="00956F16" w:rsidP="00956F16">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2,5 </w:t>
            </w:r>
            <w:r w:rsidRPr="00956F16">
              <w:rPr>
                <w:rFonts w:ascii="Times New Roman" w:eastAsia="Times New Roman" w:hAnsi="Times New Roman" w:cs="Times New Roman"/>
                <w:spacing w:val="-2"/>
                <w:szCs w:val="20"/>
              </w:rPr>
              <w:t>m</w:t>
            </w:r>
            <w:r w:rsidRPr="00956F16">
              <w:rPr>
                <w:rFonts w:ascii="Times New Roman" w:eastAsia="Times New Roman" w:hAnsi="Times New Roman" w:cs="Times New Roman"/>
                <w:szCs w:val="20"/>
              </w:rPr>
              <w:t>g</w:t>
            </w:r>
          </w:p>
        </w:tc>
        <w:tc>
          <w:tcPr>
            <w:tcW w:w="2977" w:type="dxa"/>
            <w:tcBorders>
              <w:top w:val="single" w:sz="4" w:space="0" w:color="000000"/>
              <w:left w:val="single" w:sz="4" w:space="0" w:color="000000"/>
              <w:bottom w:val="single" w:sz="4" w:space="0" w:color="000000"/>
              <w:right w:val="single" w:sz="4" w:space="0" w:color="000000"/>
            </w:tcBorders>
          </w:tcPr>
          <w:p w14:paraId="6278DAE1"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nem alkalmazható</w:t>
            </w:r>
          </w:p>
        </w:tc>
      </w:tr>
    </w:tbl>
    <w:p w14:paraId="16FB18D3"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ª A dóziscsökkentés a két készítmény esetében egymástól függetlenül végezhető.</w:t>
      </w:r>
    </w:p>
    <w:p w14:paraId="39F4190A" w14:textId="77777777" w:rsidR="00956F16" w:rsidRPr="00956F16" w:rsidRDefault="00956F16" w:rsidP="00956F16">
      <w:pPr>
        <w:spacing w:after="0" w:line="240" w:lineRule="auto"/>
        <w:rPr>
          <w:rFonts w:ascii="Times New Roman" w:eastAsia="Calibri" w:hAnsi="Times New Roman" w:cs="Times New Roman"/>
        </w:rPr>
      </w:pPr>
    </w:p>
    <w:p w14:paraId="64716BEC" w14:textId="77777777" w:rsidR="00956F16" w:rsidRPr="00956F16" w:rsidRDefault="00956F16" w:rsidP="00956F16">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t>Thrombocytopenia</w:t>
      </w:r>
    </w:p>
    <w:tbl>
      <w:tblPr>
        <w:tblStyle w:val="Rcsostblzat"/>
        <w:tblW w:w="0" w:type="auto"/>
        <w:tblLook w:val="04A0" w:firstRow="1" w:lastRow="0" w:firstColumn="1" w:lastColumn="0" w:noHBand="0" w:noVBand="1"/>
      </w:tblPr>
      <w:tblGrid>
        <w:gridCol w:w="3539"/>
        <w:gridCol w:w="5521"/>
      </w:tblGrid>
      <w:tr w:rsidR="00956F16" w:rsidRPr="00956F16" w14:paraId="344B4525" w14:textId="77777777" w:rsidTr="00E83289">
        <w:tc>
          <w:tcPr>
            <w:tcW w:w="3539" w:type="dxa"/>
          </w:tcPr>
          <w:p w14:paraId="6E462E06"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Ha a thrombocytaszám</w:t>
            </w:r>
          </w:p>
        </w:tc>
        <w:tc>
          <w:tcPr>
            <w:tcW w:w="5521" w:type="dxa"/>
          </w:tcPr>
          <w:p w14:paraId="15608E99"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Javasolt kezelés</w:t>
            </w:r>
          </w:p>
        </w:tc>
      </w:tr>
      <w:tr w:rsidR="00956F16" w:rsidRPr="00956F16" w14:paraId="2010ED04" w14:textId="77777777" w:rsidTr="00E83289">
        <w:tc>
          <w:tcPr>
            <w:tcW w:w="3539" w:type="dxa"/>
          </w:tcPr>
          <w:p w14:paraId="46A873CF" w14:textId="257192A9"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25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 xml:space="preserve">/l alá </w:t>
            </w:r>
            <w:r w:rsidR="00181C38">
              <w:rPr>
                <w:rFonts w:ascii="Times New Roman" w:eastAsia="Calibri" w:hAnsi="Times New Roman" w:cs="Times New Roman"/>
              </w:rPr>
              <w:t>esik</w:t>
            </w:r>
          </w:p>
        </w:tc>
        <w:tc>
          <w:tcPr>
            <w:tcW w:w="5521" w:type="dxa"/>
          </w:tcPr>
          <w:p w14:paraId="476F9E19" w14:textId="56378820" w:rsidR="00956F16" w:rsidRPr="00956F16" w:rsidRDefault="002F39C0" w:rsidP="00956F16">
            <w:pPr>
              <w:keepNext/>
              <w:rPr>
                <w:rFonts w:ascii="Times New Roman" w:eastAsia="Calibri" w:hAnsi="Times New Roman" w:cs="Times New Roman"/>
              </w:rPr>
            </w:pPr>
            <w:r>
              <w:rPr>
                <w:rFonts w:ascii="Times New Roman" w:eastAsia="Calibri" w:hAnsi="Times New Roman" w:cs="Times New Roman"/>
              </w:rPr>
              <w:t>A</w:t>
            </w:r>
            <w:r w:rsidRPr="00956F16">
              <w:rPr>
                <w:rFonts w:ascii="Times New Roman" w:eastAsia="Calibri" w:hAnsi="Times New Roman" w:cs="Times New Roman"/>
              </w:rPr>
              <w:t xml:space="preserve"> ciklus fennmaradó részére </w:t>
            </w:r>
            <w:r>
              <w:rPr>
                <w:rFonts w:ascii="Times New Roman" w:eastAsia="Calibri" w:hAnsi="Times New Roman" w:cs="Times New Roman"/>
              </w:rPr>
              <w:t>á</w:t>
            </w:r>
            <w:r w:rsidR="00956F16" w:rsidRPr="00956F16">
              <w:rPr>
                <w:rFonts w:ascii="Times New Roman" w:eastAsia="Calibri" w:hAnsi="Times New Roman" w:cs="Times New Roman"/>
              </w:rPr>
              <w:t>llítsa le a lenalidomid</w:t>
            </w:r>
            <w:r w:rsidR="00104634">
              <w:rPr>
                <w:rFonts w:ascii="Times New Roman" w:eastAsia="Calibri" w:hAnsi="Times New Roman" w:cs="Times New Roman"/>
              </w:rPr>
              <w:t>-</w:t>
            </w:r>
            <w:r w:rsidR="00956F16" w:rsidRPr="00956F16">
              <w:rPr>
                <w:rFonts w:ascii="Times New Roman" w:eastAsia="Calibri" w:hAnsi="Times New Roman" w:cs="Times New Roman"/>
              </w:rPr>
              <w:t>kezelést.</w:t>
            </w:r>
            <w:r w:rsidR="00956F16" w:rsidRPr="00956F16">
              <w:rPr>
                <w:rFonts w:ascii="Times New Roman" w:eastAsia="Calibri" w:hAnsi="Times New Roman" w:cs="Times New Roman"/>
                <w:sz w:val="18"/>
                <w:szCs w:val="18"/>
              </w:rPr>
              <w:t>ª</w:t>
            </w:r>
          </w:p>
        </w:tc>
      </w:tr>
      <w:tr w:rsidR="00956F16" w:rsidRPr="00956F16" w14:paraId="55EFB5BF" w14:textId="77777777" w:rsidTr="00E83289">
        <w:tc>
          <w:tcPr>
            <w:tcW w:w="3539" w:type="dxa"/>
          </w:tcPr>
          <w:p w14:paraId="44617451"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visszatér ≥ 50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69B8144D" w14:textId="2ECB7F24" w:rsidR="00956F16" w:rsidRPr="00956F16" w:rsidRDefault="001F7D23">
            <w:pPr>
              <w:keepNext/>
              <w:rPr>
                <w:rFonts w:ascii="Times New Roman" w:eastAsia="Calibri" w:hAnsi="Times New Roman" w:cs="Times New Roman"/>
              </w:rPr>
            </w:pPr>
            <w:r w:rsidRPr="001F7D23">
              <w:rPr>
                <w:rFonts w:ascii="Times New Roman" w:eastAsia="Calibri" w:hAnsi="Times New Roman" w:cs="Times New Roman"/>
              </w:rPr>
              <w:t>A következő ciklusban az adagolás</w:t>
            </w:r>
            <w:r>
              <w:rPr>
                <w:rFonts w:ascii="Times New Roman" w:eastAsia="Calibri" w:hAnsi="Times New Roman" w:cs="Times New Roman"/>
              </w:rPr>
              <w:t xml:space="preserve"> </w:t>
            </w:r>
            <w:r w:rsidRPr="001F7D23">
              <w:rPr>
                <w:rFonts w:ascii="Times New Roman" w:eastAsia="Calibri" w:hAnsi="Times New Roman" w:cs="Times New Roman"/>
              </w:rPr>
              <w:t>újrakezdésekor csökkentse a dózist egy</w:t>
            </w:r>
            <w:r>
              <w:rPr>
                <w:rFonts w:ascii="Times New Roman" w:eastAsia="Calibri" w:hAnsi="Times New Roman" w:cs="Times New Roman"/>
              </w:rPr>
              <w:t xml:space="preserve"> </w:t>
            </w:r>
            <w:r w:rsidRPr="001F7D23">
              <w:rPr>
                <w:rFonts w:ascii="Times New Roman" w:eastAsia="Calibri" w:hAnsi="Times New Roman" w:cs="Times New Roman"/>
              </w:rPr>
              <w:t>dózisszinttel</w:t>
            </w:r>
            <w:r w:rsidR="00956F16" w:rsidRPr="00956F16">
              <w:rPr>
                <w:rFonts w:ascii="Times New Roman" w:eastAsia="Calibri" w:hAnsi="Times New Roman" w:cs="Times New Roman"/>
              </w:rPr>
              <w:t>.</w:t>
            </w:r>
          </w:p>
        </w:tc>
      </w:tr>
    </w:tbl>
    <w:p w14:paraId="681C502D" w14:textId="77777777" w:rsidR="00956F16" w:rsidRPr="00956F16" w:rsidRDefault="00956F16" w:rsidP="00956F16">
      <w:pPr>
        <w:keepNext/>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ª Amennyiben a ciklus 15. napja után dóziskorlátozó toxicitás (DLT/dose limiting toxicity) jelentkezik, a lenalidomid adagolását meg kell szakítani legalább az aktuális 28 napos ciklus fennmaradó részére.</w:t>
      </w:r>
    </w:p>
    <w:p w14:paraId="213CCEDA" w14:textId="77777777" w:rsidR="00956F16" w:rsidRPr="00956F16" w:rsidRDefault="00956F16" w:rsidP="00956F16">
      <w:pPr>
        <w:spacing w:after="0" w:line="240" w:lineRule="auto"/>
        <w:rPr>
          <w:rFonts w:ascii="Times New Roman" w:eastAsia="Calibri" w:hAnsi="Times New Roman" w:cs="Times New Roman"/>
        </w:rPr>
      </w:pPr>
    </w:p>
    <w:p w14:paraId="34D84861" w14:textId="4FD94811" w:rsidR="00956F16" w:rsidRPr="00956F16" w:rsidRDefault="001F7D23" w:rsidP="00441247">
      <w:pPr>
        <w:keepNext/>
        <w:numPr>
          <w:ilvl w:val="0"/>
          <w:numId w:val="15"/>
        </w:numPr>
        <w:tabs>
          <w:tab w:val="left" w:pos="567"/>
        </w:tabs>
        <w:spacing w:after="0" w:line="240" w:lineRule="auto"/>
        <w:ind w:hanging="720"/>
        <w:rPr>
          <w:rFonts w:ascii="Times New Roman" w:eastAsia="Calibri" w:hAnsi="Times New Roman" w:cs="Times New Roman"/>
          <w:i/>
        </w:rPr>
      </w:pPr>
      <w:r>
        <w:rPr>
          <w:rFonts w:ascii="Times New Roman" w:eastAsia="Calibri" w:hAnsi="Times New Roman" w:cs="Times New Roman"/>
          <w:i/>
        </w:rPr>
        <w:lastRenderedPageBreak/>
        <w:t>Abszolút neutrophilszám (Absolute Neutrophil Count, ANC) – n</w:t>
      </w:r>
      <w:r w:rsidR="00956F16" w:rsidRPr="00956F16">
        <w:rPr>
          <w:rFonts w:ascii="Times New Roman" w:eastAsia="Calibri" w:hAnsi="Times New Roman" w:cs="Times New Roman"/>
          <w:i/>
        </w:rPr>
        <w:t>eutropenia</w:t>
      </w:r>
    </w:p>
    <w:tbl>
      <w:tblPr>
        <w:tblStyle w:val="Rcsostblzat"/>
        <w:tblW w:w="0" w:type="auto"/>
        <w:tblLook w:val="04A0" w:firstRow="1" w:lastRow="0" w:firstColumn="1" w:lastColumn="0" w:noHBand="0" w:noVBand="1"/>
      </w:tblPr>
      <w:tblGrid>
        <w:gridCol w:w="3539"/>
        <w:gridCol w:w="5521"/>
      </w:tblGrid>
      <w:tr w:rsidR="00956F16" w:rsidRPr="00956F16" w14:paraId="24B7084A" w14:textId="77777777" w:rsidTr="00E83289">
        <w:tc>
          <w:tcPr>
            <w:tcW w:w="3539" w:type="dxa"/>
          </w:tcPr>
          <w:p w14:paraId="685D7A24" w14:textId="5DAE92A9" w:rsidR="00956F16" w:rsidRPr="00956F16" w:rsidRDefault="00956F16" w:rsidP="00441247">
            <w:pPr>
              <w:keepNext/>
              <w:rPr>
                <w:rFonts w:ascii="Times New Roman" w:eastAsia="Calibri" w:hAnsi="Times New Roman" w:cs="Times New Roman"/>
              </w:rPr>
            </w:pPr>
            <w:r w:rsidRPr="00956F16">
              <w:rPr>
                <w:rFonts w:ascii="Times New Roman" w:eastAsia="Calibri" w:hAnsi="Times New Roman" w:cs="Times New Roman"/>
              </w:rPr>
              <w:t>Ha a</w:t>
            </w:r>
            <w:r w:rsidR="001F7D23">
              <w:rPr>
                <w:rFonts w:ascii="Times New Roman" w:eastAsia="Calibri" w:hAnsi="Times New Roman" w:cs="Times New Roman"/>
              </w:rPr>
              <w:t>z ANC</w:t>
            </w:r>
          </w:p>
        </w:tc>
        <w:tc>
          <w:tcPr>
            <w:tcW w:w="5521" w:type="dxa"/>
          </w:tcPr>
          <w:p w14:paraId="6523AD2A" w14:textId="6548D5CE" w:rsidR="00956F16" w:rsidRPr="00956F16" w:rsidRDefault="00956F16" w:rsidP="00441247">
            <w:pPr>
              <w:keepNext/>
              <w:rPr>
                <w:rFonts w:ascii="Times New Roman" w:eastAsia="Calibri" w:hAnsi="Times New Roman" w:cs="Times New Roman"/>
              </w:rPr>
            </w:pPr>
            <w:r w:rsidRPr="00956F16">
              <w:rPr>
                <w:rFonts w:ascii="Times New Roman" w:eastAsia="Calibri" w:hAnsi="Times New Roman" w:cs="Times New Roman"/>
              </w:rPr>
              <w:t>Javasolt kezelés</w:t>
            </w:r>
            <w:r w:rsidR="001F7D23" w:rsidRPr="00E83289">
              <w:rPr>
                <w:rFonts w:ascii="Times New Roman" w:eastAsia="Calibri" w:hAnsi="Times New Roman" w:cs="Times New Roman"/>
                <w:vertAlign w:val="superscript"/>
              </w:rPr>
              <w:t>a</w:t>
            </w:r>
          </w:p>
        </w:tc>
      </w:tr>
      <w:tr w:rsidR="00956F16" w:rsidRPr="00956F16" w14:paraId="5F6955AA" w14:textId="77777777" w:rsidTr="00E83289">
        <w:tc>
          <w:tcPr>
            <w:tcW w:w="3539" w:type="dxa"/>
          </w:tcPr>
          <w:p w14:paraId="1CC5C52B" w14:textId="77777777" w:rsidR="00956F16" w:rsidRPr="00956F16" w:rsidRDefault="00956F16" w:rsidP="00441247">
            <w:pPr>
              <w:keepNext/>
              <w:rPr>
                <w:rFonts w:ascii="Times New Roman" w:eastAsia="Calibri" w:hAnsi="Times New Roman" w:cs="Times New Roman"/>
              </w:rPr>
            </w:pPr>
            <w:r w:rsidRPr="00956F16">
              <w:rPr>
                <w:rFonts w:ascii="Times New Roman" w:eastAsia="Calibri" w:hAnsi="Times New Roman" w:cs="Times New Roman"/>
              </w:rPr>
              <w:t>először esik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w:t>
            </w:r>
          </w:p>
        </w:tc>
        <w:tc>
          <w:tcPr>
            <w:tcW w:w="5521" w:type="dxa"/>
          </w:tcPr>
          <w:p w14:paraId="6A29C4A1" w14:textId="2B6E07EC" w:rsidR="00956F16" w:rsidRPr="00956F16" w:rsidRDefault="00956F16" w:rsidP="00441247">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tc>
      </w:tr>
      <w:tr w:rsidR="00956F16" w:rsidRPr="00956F16" w14:paraId="42293DB1" w14:textId="77777777" w:rsidTr="00E83289">
        <w:tc>
          <w:tcPr>
            <w:tcW w:w="3539" w:type="dxa"/>
          </w:tcPr>
          <w:p w14:paraId="67083A4A" w14:textId="77777777" w:rsidR="00956F16" w:rsidRPr="00956F16" w:rsidRDefault="00956F16" w:rsidP="00441247">
            <w:pPr>
              <w:keepNext/>
              <w:rPr>
                <w:rFonts w:ascii="Times New Roman" w:eastAsia="Calibri" w:hAnsi="Times New Roman" w:cs="Times New Roman"/>
              </w:rPr>
            </w:pPr>
            <w:r w:rsidRPr="00956F16">
              <w:rPr>
                <w:rFonts w:ascii="Times New Roman" w:eastAsia="Calibri" w:hAnsi="Times New Roman" w:cs="Times New Roman"/>
              </w:rPr>
              <w:t>visszatér ≥ 1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 és a neutropenia az egyetlen megfigyelt toxicitás</w:t>
            </w:r>
          </w:p>
        </w:tc>
        <w:tc>
          <w:tcPr>
            <w:tcW w:w="5521" w:type="dxa"/>
          </w:tcPr>
          <w:p w14:paraId="41B1196D" w14:textId="3732A979" w:rsidR="00956F16" w:rsidRPr="00956F16" w:rsidRDefault="00956F16" w:rsidP="00441247">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kezdő dózissal, napi egyszeri adagolással.</w:t>
            </w:r>
          </w:p>
        </w:tc>
      </w:tr>
      <w:tr w:rsidR="00956F16" w:rsidRPr="00956F16" w14:paraId="5DEEDF8A" w14:textId="77777777" w:rsidTr="00E83289">
        <w:tc>
          <w:tcPr>
            <w:tcW w:w="3539" w:type="dxa"/>
          </w:tcPr>
          <w:p w14:paraId="43309A00" w14:textId="77777777" w:rsidR="00956F16" w:rsidRPr="00956F16" w:rsidRDefault="00956F16" w:rsidP="00956F16">
            <w:pPr>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 és a neutropenián kívül egyéb dózisfüggő hematológiai toxicitás figyelhető meg</w:t>
            </w:r>
          </w:p>
        </w:tc>
        <w:tc>
          <w:tcPr>
            <w:tcW w:w="5521" w:type="dxa"/>
          </w:tcPr>
          <w:p w14:paraId="3A90BEA7" w14:textId="2D9C5E66" w:rsidR="00956F16" w:rsidRPr="00956F16" w:rsidRDefault="00956F16" w:rsidP="00956F16">
            <w:pPr>
              <w:rPr>
                <w:rFonts w:ascii="Times New Roman" w:eastAsia="Calibri" w:hAnsi="Times New Roman" w:cs="Times New Roman"/>
              </w:rPr>
            </w:pPr>
            <w:r w:rsidRPr="00956F16">
              <w:rPr>
                <w:rFonts w:ascii="Times New Roman" w:eastAsia="Calibri" w:hAnsi="Times New Roman" w:cs="Times New Roman"/>
              </w:rPr>
              <w:t xml:space="preserve">Folytassa a lenalidomid kezelést a </w:t>
            </w:r>
            <w:r w:rsidR="000C20E4">
              <w:rPr>
                <w:rFonts w:ascii="Times New Roman" w:eastAsia="Times New Roman" w:hAnsi="Times New Roman" w:cs="Times New Roman"/>
                <w:szCs w:val="20"/>
              </w:rPr>
              <w:t>–</w:t>
            </w:r>
            <w:r w:rsidRPr="00956F16">
              <w:rPr>
                <w:rFonts w:ascii="Times New Roman" w:eastAsia="Calibri" w:hAnsi="Times New Roman" w:cs="Times New Roman"/>
              </w:rPr>
              <w:t>1. dózisszinttel, napi egyszeri adagolással.</w:t>
            </w:r>
          </w:p>
        </w:tc>
      </w:tr>
      <w:tr w:rsidR="00956F16" w:rsidRPr="00956F16" w14:paraId="04B7C679" w14:textId="77777777" w:rsidTr="00E83289">
        <w:tc>
          <w:tcPr>
            <w:tcW w:w="3539" w:type="dxa"/>
          </w:tcPr>
          <w:p w14:paraId="6BFF0B1C" w14:textId="146E04D8" w:rsidR="00956F16" w:rsidRPr="00956F16" w:rsidRDefault="00956F16" w:rsidP="00956F16">
            <w:pPr>
              <w:rPr>
                <w:rFonts w:ascii="Times New Roman" w:eastAsia="Calibri" w:hAnsi="Times New Roman" w:cs="Times New Roman"/>
              </w:rPr>
            </w:pPr>
            <w:r w:rsidRPr="00956F16">
              <w:rPr>
                <w:rFonts w:ascii="Times New Roman" w:eastAsia="Calibri" w:hAnsi="Times New Roman" w:cs="Times New Roman"/>
              </w:rPr>
              <w:t>minden további alkalommal, ha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 esik</w:t>
            </w:r>
          </w:p>
        </w:tc>
        <w:tc>
          <w:tcPr>
            <w:tcW w:w="5521" w:type="dxa"/>
          </w:tcPr>
          <w:p w14:paraId="47EE8F97" w14:textId="62DE47EB" w:rsidR="00956F16" w:rsidRPr="00956F16" w:rsidRDefault="00956F16" w:rsidP="00956F16">
            <w:pPr>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p w14:paraId="260764EE" w14:textId="6E15EC5C" w:rsidR="00956F16" w:rsidRPr="00956F16" w:rsidRDefault="00956F16" w:rsidP="00956F16">
            <w:pPr>
              <w:rPr>
                <w:rFonts w:ascii="Times New Roman" w:eastAsia="Calibri" w:hAnsi="Times New Roman" w:cs="Times New Roman"/>
              </w:rPr>
            </w:pPr>
          </w:p>
        </w:tc>
      </w:tr>
      <w:tr w:rsidR="001F7D23" w:rsidRPr="00956F16" w14:paraId="36C2F46F" w14:textId="77777777" w:rsidTr="001F7D23">
        <w:tc>
          <w:tcPr>
            <w:tcW w:w="3539" w:type="dxa"/>
          </w:tcPr>
          <w:p w14:paraId="4E0F7911" w14:textId="0D46356A" w:rsidR="001F7D23" w:rsidRPr="00956F16" w:rsidRDefault="001F7D23" w:rsidP="00956F16">
            <w:pPr>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42A45E50" w14:textId="0479EC8C" w:rsidR="001F7D23" w:rsidRPr="00956F16" w:rsidRDefault="001F7D23" w:rsidP="00956F16">
            <w:pPr>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következő alacsonyabb dózisszinttel, napi egyszeri adagolással.</w:t>
            </w:r>
          </w:p>
        </w:tc>
      </w:tr>
    </w:tbl>
    <w:p w14:paraId="1945B26D" w14:textId="54747918" w:rsidR="00956F16" w:rsidRPr="00441247" w:rsidRDefault="000A7346" w:rsidP="00956F16">
      <w:pPr>
        <w:spacing w:after="0" w:line="240" w:lineRule="auto"/>
        <w:rPr>
          <w:rFonts w:ascii="Times New Roman" w:eastAsia="Calibri" w:hAnsi="Times New Roman" w:cs="Times New Roman"/>
          <w:sz w:val="18"/>
          <w:szCs w:val="18"/>
        </w:rPr>
      </w:pPr>
      <w:r w:rsidRPr="00441247">
        <w:rPr>
          <w:rFonts w:ascii="Times" w:eastAsia="Calibri" w:hAnsi="Times" w:cs="Times New Roman"/>
          <w:sz w:val="18"/>
          <w:szCs w:val="18"/>
          <w:vertAlign w:val="superscript"/>
        </w:rPr>
        <w:t>a</w:t>
      </w:r>
      <w:r w:rsidRPr="00441247">
        <w:rPr>
          <w:rFonts w:ascii="Times New Roman" w:eastAsia="Calibri" w:hAnsi="Times New Roman" w:cs="Times New Roman"/>
          <w:sz w:val="18"/>
          <w:szCs w:val="18"/>
        </w:rPr>
        <w:t xml:space="preserve"> A kezelőorvos belátása szerint, amennyiben bármelyik dózisszint mellett a neutropenia az egyetlen toxicitás, akkor a terápiát ki kell egészíteni granulocyta-kolónia</w:t>
      </w:r>
      <w:r w:rsidR="00404E9B">
        <w:rPr>
          <w:rFonts w:ascii="Times New Roman" w:eastAsia="Calibri" w:hAnsi="Times New Roman" w:cs="Times New Roman"/>
          <w:sz w:val="18"/>
          <w:szCs w:val="18"/>
        </w:rPr>
        <w:t>-</w:t>
      </w:r>
      <w:r w:rsidRPr="00441247">
        <w:rPr>
          <w:rFonts w:ascii="Times New Roman" w:eastAsia="Calibri" w:hAnsi="Times New Roman" w:cs="Times New Roman"/>
          <w:sz w:val="18"/>
          <w:szCs w:val="18"/>
        </w:rPr>
        <w:t>stimuláló faktorral (G-CSF), és a lenalidomid dózisszintjét fenn kell tartani.</w:t>
      </w:r>
    </w:p>
    <w:p w14:paraId="079D52AC" w14:textId="77777777" w:rsidR="000A7346" w:rsidRPr="00956F16" w:rsidRDefault="000A7346" w:rsidP="00956F16">
      <w:pPr>
        <w:spacing w:after="0" w:line="240" w:lineRule="auto"/>
        <w:rPr>
          <w:rFonts w:ascii="Times New Roman" w:eastAsia="Calibri" w:hAnsi="Times New Roman" w:cs="Times New Roman"/>
        </w:rPr>
      </w:pPr>
    </w:p>
    <w:p w14:paraId="21DAC85B" w14:textId="13567D71"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Hematológiai toxicitás esetén a lenalidomid </w:t>
      </w:r>
      <w:r w:rsidR="00AC4F6E">
        <w:rPr>
          <w:rFonts w:ascii="Times New Roman" w:eastAsia="Calibri" w:hAnsi="Times New Roman" w:cs="Times New Roman"/>
        </w:rPr>
        <w:t xml:space="preserve">dózisa </w:t>
      </w:r>
      <w:r w:rsidRPr="00956F16">
        <w:rPr>
          <w:rFonts w:ascii="Times New Roman" w:eastAsia="Calibri" w:hAnsi="Times New Roman" w:cs="Times New Roman"/>
        </w:rPr>
        <w:t>akkor vezethető be újra a következő magasabb dózisszintre (a kezdő dózisig), ha a csontvelő működése javult (legalább két egymást követő cikluson keresztül nem áll fenn hematológiai toxicitás: ANC ≥ 1,5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emellett a thrombocytaszám ≥ 100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az új ciklus kezdetén).</w:t>
      </w:r>
    </w:p>
    <w:p w14:paraId="61450CD8" w14:textId="77777777" w:rsidR="00956F16" w:rsidRDefault="00956F16" w:rsidP="00956F16">
      <w:pPr>
        <w:spacing w:after="0" w:line="240" w:lineRule="auto"/>
        <w:rPr>
          <w:rFonts w:ascii="Times New Roman" w:eastAsia="Calibri" w:hAnsi="Times New Roman" w:cs="Times New Roman"/>
        </w:rPr>
      </w:pPr>
    </w:p>
    <w:p w14:paraId="19162A6B" w14:textId="1331F079" w:rsidR="007D276A" w:rsidRPr="00441247" w:rsidRDefault="007D276A" w:rsidP="00441247">
      <w:pPr>
        <w:keepNext/>
        <w:numPr>
          <w:ilvl w:val="0"/>
          <w:numId w:val="14"/>
        </w:numPr>
        <w:tabs>
          <w:tab w:val="left" w:pos="567"/>
        </w:tabs>
        <w:spacing w:after="0" w:line="240" w:lineRule="auto"/>
        <w:ind w:left="567" w:hanging="567"/>
        <w:rPr>
          <w:rFonts w:ascii="Times New Roman" w:eastAsia="Calibri" w:hAnsi="Times New Roman" w:cs="Times New Roman"/>
          <w:u w:val="single"/>
        </w:rPr>
      </w:pPr>
      <w:r>
        <w:rPr>
          <w:rFonts w:ascii="Times New Roman" w:eastAsia="Calibri" w:hAnsi="Times New Roman" w:cs="Times New Roman"/>
          <w:u w:val="single"/>
        </w:rPr>
        <w:t>A l</w:t>
      </w:r>
      <w:r w:rsidRPr="00441247">
        <w:rPr>
          <w:rFonts w:ascii="Times New Roman" w:eastAsia="Calibri" w:hAnsi="Times New Roman" w:cs="Times New Roman"/>
          <w:u w:val="single"/>
        </w:rPr>
        <w:t xml:space="preserve">enalidomid bortezomibbal és dexametazonnal kombinációban, majd lenalidomid és dexametazon alkalmazása a betegség progressziójáig, transzplantációra nem alkalmas betegeknél </w:t>
      </w:r>
    </w:p>
    <w:p w14:paraId="20DDCB59" w14:textId="77777777" w:rsidR="007D276A" w:rsidRDefault="007D276A" w:rsidP="00956F16">
      <w:pPr>
        <w:spacing w:after="0" w:line="240" w:lineRule="auto"/>
        <w:rPr>
          <w:rFonts w:ascii="Times New Roman" w:eastAsia="Calibri" w:hAnsi="Times New Roman" w:cs="Times New Roman"/>
        </w:rPr>
      </w:pPr>
    </w:p>
    <w:p w14:paraId="7DE31FA7" w14:textId="77777777" w:rsidR="007D276A" w:rsidRPr="00441247" w:rsidRDefault="007D276A" w:rsidP="00956F16">
      <w:pPr>
        <w:spacing w:after="0" w:line="240" w:lineRule="auto"/>
        <w:rPr>
          <w:rFonts w:ascii="Times New Roman" w:eastAsia="Calibri" w:hAnsi="Times New Roman" w:cs="Times New Roman"/>
          <w:i/>
        </w:rPr>
      </w:pPr>
      <w:r w:rsidRPr="00441247">
        <w:rPr>
          <w:rFonts w:ascii="Times New Roman" w:eastAsia="Calibri" w:hAnsi="Times New Roman" w:cs="Times New Roman"/>
          <w:i/>
        </w:rPr>
        <w:t>Kezdő kezelés: lenalidomid bortezomibbal és dexametazonnal kombinációban</w:t>
      </w:r>
    </w:p>
    <w:p w14:paraId="58ADB5BC" w14:textId="2A304791" w:rsidR="007D276A" w:rsidRDefault="007D276A" w:rsidP="00956F16">
      <w:pPr>
        <w:spacing w:after="0" w:line="240" w:lineRule="auto"/>
        <w:rPr>
          <w:rFonts w:ascii="Times New Roman" w:eastAsia="Calibri" w:hAnsi="Times New Roman" w:cs="Times New Roman"/>
        </w:rPr>
      </w:pPr>
      <w:r w:rsidRPr="00441247">
        <w:rPr>
          <w:rFonts w:ascii="Times New Roman" w:eastAsia="Calibri" w:hAnsi="Times New Roman" w:cs="Times New Roman"/>
        </w:rPr>
        <w:t xml:space="preserve">Tilos megkezdeni a bortezomibbal és dexametazonnal kombinációban adott lenalidomid alkalmazását, ha az </w:t>
      </w:r>
      <w:r>
        <w:rPr>
          <w:rFonts w:ascii="Times New Roman" w:eastAsia="Calibri" w:hAnsi="Times New Roman" w:cs="Times New Roman"/>
        </w:rPr>
        <w:t>ANC 1,0 × </w:t>
      </w:r>
      <w:r w:rsidRPr="00441247">
        <w:rPr>
          <w:rFonts w:ascii="Times New Roman" w:eastAsia="Calibri" w:hAnsi="Times New Roman" w:cs="Times New Roman"/>
        </w:rPr>
        <w:t xml:space="preserve">109/l alatt van és/vagy a </w:t>
      </w:r>
      <w:r>
        <w:rPr>
          <w:rFonts w:ascii="Times New Roman" w:eastAsia="Calibri" w:hAnsi="Times New Roman" w:cs="Times New Roman"/>
        </w:rPr>
        <w:t>thrombocytaszám 50 × </w:t>
      </w:r>
      <w:r w:rsidRPr="00441247">
        <w:rPr>
          <w:rFonts w:ascii="Times New Roman" w:eastAsia="Calibri" w:hAnsi="Times New Roman" w:cs="Times New Roman"/>
        </w:rPr>
        <w:t>109/l alatt van.</w:t>
      </w:r>
    </w:p>
    <w:p w14:paraId="7CC6FA04" w14:textId="77777777" w:rsidR="007D276A" w:rsidRDefault="007D276A" w:rsidP="00956F16">
      <w:pPr>
        <w:spacing w:after="0" w:line="240" w:lineRule="auto"/>
        <w:rPr>
          <w:rFonts w:ascii="Times New Roman" w:eastAsia="Calibri" w:hAnsi="Times New Roman" w:cs="Times New Roman"/>
        </w:rPr>
      </w:pPr>
    </w:p>
    <w:p w14:paraId="53A257A7" w14:textId="2622373A" w:rsidR="007D276A" w:rsidRDefault="00C819C3" w:rsidP="00956F16">
      <w:pPr>
        <w:spacing w:after="0" w:line="240" w:lineRule="auto"/>
        <w:rPr>
          <w:rFonts w:ascii="Times New Roman" w:eastAsia="Calibri" w:hAnsi="Times New Roman" w:cs="Times New Roman"/>
        </w:rPr>
      </w:pPr>
      <w:r>
        <w:rPr>
          <w:rFonts w:ascii="Times New Roman" w:eastAsia="Calibri" w:hAnsi="Times New Roman" w:cs="Times New Roman"/>
        </w:rPr>
        <w:t>A lenalidomid javasolt</w:t>
      </w:r>
      <w:r w:rsidR="007D276A" w:rsidRPr="00441247">
        <w:rPr>
          <w:rFonts w:ascii="Times New Roman" w:eastAsia="Calibri" w:hAnsi="Times New Roman" w:cs="Times New Roman"/>
        </w:rPr>
        <w:t xml:space="preserve"> </w:t>
      </w:r>
      <w:r>
        <w:rPr>
          <w:rFonts w:ascii="Times New Roman" w:eastAsia="Calibri" w:hAnsi="Times New Roman" w:cs="Times New Roman"/>
        </w:rPr>
        <w:t xml:space="preserve">kezdő </w:t>
      </w:r>
      <w:r w:rsidR="00426AD5">
        <w:rPr>
          <w:rFonts w:ascii="Times New Roman" w:eastAsia="Calibri" w:hAnsi="Times New Roman" w:cs="Times New Roman"/>
        </w:rPr>
        <w:t>dózisa</w:t>
      </w:r>
      <w:r w:rsidR="00426AD5" w:rsidRPr="00956F16">
        <w:rPr>
          <w:rFonts w:ascii="Times New Roman" w:eastAsia="Calibri" w:hAnsi="Times New Roman" w:cs="Times New Roman"/>
        </w:rPr>
        <w:t xml:space="preserve"> </w:t>
      </w:r>
      <w:r>
        <w:rPr>
          <w:rFonts w:ascii="Times New Roman" w:eastAsia="Calibri" w:hAnsi="Times New Roman" w:cs="Times New Roman"/>
        </w:rPr>
        <w:t xml:space="preserve">naponta egyszer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w:t>
      </w:r>
      <w:r>
        <w:rPr>
          <w:rFonts w:ascii="Times New Roman" w:eastAsia="Calibri" w:hAnsi="Times New Roman" w:cs="Times New Roman"/>
        </w:rPr>
        <w:t>alkalmazott 25 mg minden 21 </w:t>
      </w:r>
      <w:r w:rsidR="007D276A" w:rsidRPr="00441247">
        <w:rPr>
          <w:rFonts w:ascii="Times New Roman" w:eastAsia="Calibri" w:hAnsi="Times New Roman" w:cs="Times New Roman"/>
        </w:rPr>
        <w:t>napos ciklus 1</w:t>
      </w:r>
      <w:r w:rsidR="00404E9B">
        <w:rPr>
          <w:rFonts w:ascii="Times New Roman" w:eastAsia="Calibri" w:hAnsi="Times New Roman" w:cs="Times New Roman"/>
        </w:rPr>
        <w:t>–</w:t>
      </w:r>
      <w:r w:rsidR="007D276A" w:rsidRPr="00441247">
        <w:rPr>
          <w:rFonts w:ascii="Times New Roman" w:eastAsia="Calibri" w:hAnsi="Times New Roman" w:cs="Times New Roman"/>
        </w:rPr>
        <w:t>14.</w:t>
      </w:r>
      <w:r>
        <w:rPr>
          <w:rFonts w:ascii="Times New Roman" w:eastAsia="Calibri" w:hAnsi="Times New Roman" w:cs="Times New Roman"/>
        </w:rPr>
        <w:t> </w:t>
      </w:r>
      <w:r w:rsidR="007D276A" w:rsidRPr="00441247">
        <w:rPr>
          <w:rFonts w:ascii="Times New Roman" w:eastAsia="Calibri" w:hAnsi="Times New Roman" w:cs="Times New Roman"/>
        </w:rPr>
        <w:t xml:space="preserve">napján, bortezomibbal és dexametazonnal kombinációban. A bortezomibot subcutan injekcióban </w:t>
      </w:r>
      <w:r>
        <w:rPr>
          <w:rFonts w:ascii="Times New Roman" w:eastAsia="Calibri" w:hAnsi="Times New Roman" w:cs="Times New Roman"/>
        </w:rPr>
        <w:t>kell beadni (1,3 </w:t>
      </w:r>
      <w:r w:rsidR="007D276A" w:rsidRPr="00441247">
        <w:rPr>
          <w:rFonts w:ascii="Times New Roman" w:eastAsia="Calibri" w:hAnsi="Times New Roman" w:cs="Times New Roman"/>
        </w:rPr>
        <w:t>mg/testfelület m</w:t>
      </w:r>
      <w:r w:rsidR="007D276A" w:rsidRPr="00441247">
        <w:rPr>
          <w:rFonts w:ascii="Times" w:eastAsia="Calibri" w:hAnsi="Times" w:cs="Times New Roman"/>
          <w:vertAlign w:val="superscript"/>
        </w:rPr>
        <w:t>2</w:t>
      </w:r>
      <w:r>
        <w:rPr>
          <w:rFonts w:ascii="Times New Roman" w:eastAsia="Calibri" w:hAnsi="Times New Roman" w:cs="Times New Roman"/>
        </w:rPr>
        <w:t>) hetente kétszer, minden 21 napos ciklus 1., 4., 8. és 11. </w:t>
      </w:r>
      <w:r w:rsidR="007D276A" w:rsidRPr="00441247">
        <w:rPr>
          <w:rFonts w:ascii="Times New Roman" w:eastAsia="Calibri" w:hAnsi="Times New Roman" w:cs="Times New Roman"/>
        </w:rPr>
        <w:t>napján. A lenalidomiddal együ</w:t>
      </w:r>
      <w:r>
        <w:rPr>
          <w:rFonts w:ascii="Times New Roman" w:eastAsia="Calibri" w:hAnsi="Times New Roman" w:cs="Times New Roman"/>
        </w:rPr>
        <w:t>tt alkalmazott gyógyszerek dózis</w:t>
      </w:r>
      <w:r w:rsidR="007D276A" w:rsidRPr="00441247">
        <w:rPr>
          <w:rFonts w:ascii="Times New Roman" w:eastAsia="Calibri" w:hAnsi="Times New Roman" w:cs="Times New Roman"/>
        </w:rPr>
        <w:t xml:space="preserve">ára, adagolási rendjére és dózismódosításaira vonatkozó további </w:t>
      </w:r>
      <w:r>
        <w:rPr>
          <w:rFonts w:ascii="Times New Roman" w:eastAsia="Calibri" w:hAnsi="Times New Roman" w:cs="Times New Roman"/>
        </w:rPr>
        <w:t>információkat lásd a vonatkozó alkalmazási előírások 5.1 </w:t>
      </w:r>
      <w:r w:rsidR="007D276A" w:rsidRPr="00441247">
        <w:rPr>
          <w:rFonts w:ascii="Times New Roman" w:eastAsia="Calibri" w:hAnsi="Times New Roman" w:cs="Times New Roman"/>
        </w:rPr>
        <w:t>pontjában.</w:t>
      </w:r>
    </w:p>
    <w:p w14:paraId="075ABECE" w14:textId="77777777" w:rsidR="007D276A" w:rsidRDefault="007D276A" w:rsidP="00956F16">
      <w:pPr>
        <w:spacing w:after="0" w:line="240" w:lineRule="auto"/>
        <w:rPr>
          <w:rFonts w:ascii="Times New Roman" w:eastAsia="Calibri" w:hAnsi="Times New Roman" w:cs="Times New Roman"/>
        </w:rPr>
      </w:pPr>
    </w:p>
    <w:p w14:paraId="19E48A35" w14:textId="0DA8EE51" w:rsidR="00C819C3" w:rsidRDefault="00C819C3" w:rsidP="00956F16">
      <w:pPr>
        <w:spacing w:after="0" w:line="240" w:lineRule="auto"/>
        <w:rPr>
          <w:rFonts w:ascii="Times New Roman" w:eastAsia="Calibri" w:hAnsi="Times New Roman" w:cs="Times New Roman"/>
        </w:rPr>
      </w:pPr>
      <w:r>
        <w:rPr>
          <w:rFonts w:ascii="Times New Roman" w:eastAsia="Calibri" w:hAnsi="Times New Roman" w:cs="Times New Roman"/>
        </w:rPr>
        <w:t>Legfeljebb nyolc 21 napos kezelési ciklus (24 </w:t>
      </w:r>
      <w:r w:rsidR="007D276A" w:rsidRPr="00441247">
        <w:rPr>
          <w:rFonts w:ascii="Times New Roman" w:eastAsia="Calibri" w:hAnsi="Times New Roman" w:cs="Times New Roman"/>
        </w:rPr>
        <w:t>hetes kezdő kezelés) ajánlott.</w:t>
      </w:r>
    </w:p>
    <w:p w14:paraId="0ACAD223" w14:textId="77777777" w:rsidR="00C819C3" w:rsidRDefault="00C819C3" w:rsidP="00956F16">
      <w:pPr>
        <w:spacing w:after="0" w:line="240" w:lineRule="auto"/>
        <w:rPr>
          <w:rFonts w:ascii="Times New Roman" w:eastAsia="Calibri" w:hAnsi="Times New Roman" w:cs="Times New Roman"/>
        </w:rPr>
      </w:pPr>
    </w:p>
    <w:p w14:paraId="266BEA6E" w14:textId="77777777" w:rsidR="00C819C3" w:rsidRPr="00441247" w:rsidRDefault="007D276A" w:rsidP="00956F16">
      <w:pPr>
        <w:spacing w:after="0" w:line="240" w:lineRule="auto"/>
        <w:rPr>
          <w:rFonts w:ascii="Times New Roman" w:eastAsia="Calibri" w:hAnsi="Times New Roman" w:cs="Times New Roman"/>
          <w:i/>
        </w:rPr>
      </w:pPr>
      <w:r w:rsidRPr="00441247">
        <w:rPr>
          <w:rFonts w:ascii="Times New Roman" w:eastAsia="Calibri" w:hAnsi="Times New Roman" w:cs="Times New Roman"/>
          <w:i/>
        </w:rPr>
        <w:t>Folyamatos kezelés: lenalidomid dexametazonnal kombinációban a betegség progressziójáig</w:t>
      </w:r>
    </w:p>
    <w:p w14:paraId="404877DF" w14:textId="09AD74AE" w:rsidR="007D276A" w:rsidRDefault="007D276A" w:rsidP="00956F16">
      <w:pPr>
        <w:spacing w:after="0" w:line="240" w:lineRule="auto"/>
        <w:rPr>
          <w:rFonts w:ascii="Times New Roman" w:eastAsia="Calibri" w:hAnsi="Times New Roman" w:cs="Times New Roman"/>
        </w:rPr>
      </w:pPr>
      <w:r w:rsidRPr="00441247">
        <w:rPr>
          <w:rFonts w:ascii="Times New Roman" w:eastAsia="Calibri" w:hAnsi="Times New Roman" w:cs="Times New Roman"/>
        </w:rPr>
        <w:t>Foly</w:t>
      </w:r>
      <w:r w:rsidR="00C819C3">
        <w:rPr>
          <w:rFonts w:ascii="Times New Roman" w:eastAsia="Calibri" w:hAnsi="Times New Roman" w:cs="Times New Roman"/>
        </w:rPr>
        <w:t>tatni kell a naponta egyszer 25 </w:t>
      </w:r>
      <w:r w:rsidRPr="00441247">
        <w:rPr>
          <w:rFonts w:ascii="Times New Roman" w:eastAsia="Calibri" w:hAnsi="Times New Roman" w:cs="Times New Roman"/>
        </w:rPr>
        <w:t xml:space="preserve">mg lenalidomid </w:t>
      </w:r>
      <w:r w:rsidR="00C819C3" w:rsidRPr="00956F16">
        <w:rPr>
          <w:rFonts w:ascii="Times New Roman" w:eastAsia="Calibri" w:hAnsi="Times New Roman" w:cs="Times New Roman"/>
          <w:i/>
        </w:rPr>
        <w:t>per os</w:t>
      </w:r>
      <w:r w:rsidR="00C819C3" w:rsidRPr="00956F16">
        <w:rPr>
          <w:rFonts w:ascii="Times New Roman" w:eastAsia="Calibri" w:hAnsi="Times New Roman" w:cs="Times New Roman"/>
        </w:rPr>
        <w:t xml:space="preserve"> </w:t>
      </w:r>
      <w:r w:rsidRPr="00441247">
        <w:rPr>
          <w:rFonts w:ascii="Times New Roman" w:eastAsia="Calibri" w:hAnsi="Times New Roman" w:cs="Times New Roman"/>
        </w:rPr>
        <w:t xml:space="preserve">alkalmazását dexametazonnal </w:t>
      </w:r>
      <w:r w:rsidR="00C819C3">
        <w:rPr>
          <w:rFonts w:ascii="Times New Roman" w:eastAsia="Calibri" w:hAnsi="Times New Roman" w:cs="Times New Roman"/>
        </w:rPr>
        <w:t>kombinációban az ismétlődő 28 napos ciklusok 1</w:t>
      </w:r>
      <w:r w:rsidR="005467DF">
        <w:rPr>
          <w:rFonts w:ascii="Times New Roman" w:eastAsia="Calibri" w:hAnsi="Times New Roman" w:cs="Times New Roman"/>
        </w:rPr>
        <w:t>–</w:t>
      </w:r>
      <w:r w:rsidR="00C819C3">
        <w:rPr>
          <w:rFonts w:ascii="Times New Roman" w:eastAsia="Calibri" w:hAnsi="Times New Roman" w:cs="Times New Roman"/>
        </w:rPr>
        <w:t>21. </w:t>
      </w:r>
      <w:r w:rsidRPr="00441247">
        <w:rPr>
          <w:rFonts w:ascii="Times New Roman" w:eastAsia="Calibri" w:hAnsi="Times New Roman" w:cs="Times New Roman"/>
        </w:rPr>
        <w:t xml:space="preserve">napján. A kezelést a betegség progressziójáig, illetve </w:t>
      </w:r>
      <w:r w:rsidR="00C819C3">
        <w:rPr>
          <w:rFonts w:ascii="Times New Roman" w:eastAsia="Calibri" w:hAnsi="Times New Roman" w:cs="Times New Roman"/>
        </w:rPr>
        <w:t>elfogadhatatlan mértékű</w:t>
      </w:r>
      <w:r w:rsidRPr="00441247">
        <w:rPr>
          <w:rFonts w:ascii="Times New Roman" w:eastAsia="Calibri" w:hAnsi="Times New Roman" w:cs="Times New Roman"/>
        </w:rPr>
        <w:t xml:space="preserve"> toxicitás jelentkezéséig kell folytatni.</w:t>
      </w:r>
    </w:p>
    <w:p w14:paraId="364E05F0" w14:textId="77777777" w:rsidR="00C819C3" w:rsidRDefault="00C819C3" w:rsidP="00956F16">
      <w:pPr>
        <w:spacing w:after="0" w:line="240" w:lineRule="auto"/>
        <w:rPr>
          <w:rFonts w:ascii="Times New Roman" w:eastAsia="Calibri" w:hAnsi="Times New Roman" w:cs="Times New Roman"/>
        </w:rPr>
      </w:pPr>
    </w:p>
    <w:p w14:paraId="0964C4C6" w14:textId="77777777" w:rsidR="00C819C3" w:rsidRPr="00956F16" w:rsidRDefault="00C819C3" w:rsidP="00C819C3">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lastRenderedPageBreak/>
        <w:t>A dóziscsökkentés lépései</w:t>
      </w:r>
    </w:p>
    <w:tbl>
      <w:tblPr>
        <w:tblW w:w="6117" w:type="dxa"/>
        <w:tblInd w:w="5" w:type="dxa"/>
        <w:tblLayout w:type="fixed"/>
        <w:tblCellMar>
          <w:left w:w="0" w:type="dxa"/>
          <w:right w:w="0" w:type="dxa"/>
        </w:tblCellMar>
        <w:tblLook w:val="0000" w:firstRow="0" w:lastRow="0" w:firstColumn="0" w:lastColumn="0" w:noHBand="0" w:noVBand="0"/>
      </w:tblPr>
      <w:tblGrid>
        <w:gridCol w:w="3141"/>
        <w:gridCol w:w="2976"/>
      </w:tblGrid>
      <w:tr w:rsidR="00C819C3" w:rsidRPr="00956F16" w14:paraId="523245FF" w14:textId="77777777" w:rsidTr="00441247">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79DDA2B0" w14:textId="77777777" w:rsidR="00C819C3" w:rsidRPr="00956F16" w:rsidRDefault="00C819C3" w:rsidP="00CB4B6D">
            <w:pPr>
              <w:keepNext/>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c>
          <w:tcPr>
            <w:tcW w:w="2976" w:type="dxa"/>
            <w:tcBorders>
              <w:top w:val="single" w:sz="4" w:space="0" w:color="000000"/>
              <w:left w:val="single" w:sz="4" w:space="0" w:color="000000"/>
              <w:bottom w:val="single" w:sz="4" w:space="0" w:color="000000"/>
              <w:right w:val="single" w:sz="4" w:space="0" w:color="000000"/>
            </w:tcBorders>
          </w:tcPr>
          <w:p w14:paraId="46B73412" w14:textId="77777777" w:rsidR="00C819C3" w:rsidRPr="00956F16" w:rsidRDefault="00C819C3" w:rsidP="00CB4B6D">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na</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do</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d</w:t>
            </w:r>
            <w:r w:rsidRPr="00956F16">
              <w:rPr>
                <w:rFonts w:ascii="Times New Roman" w:eastAsia="Times New Roman" w:hAnsi="Times New Roman" w:cs="Times New Roman"/>
                <w:szCs w:val="20"/>
                <w:vertAlign w:val="superscript"/>
              </w:rPr>
              <w:t>a</w:t>
            </w:r>
          </w:p>
        </w:tc>
      </w:tr>
      <w:tr w:rsidR="00C819C3" w:rsidRPr="00956F16" w14:paraId="66182940" w14:textId="77777777" w:rsidTr="00441247">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6DB41DE0" w14:textId="77777777" w:rsidR="00C819C3" w:rsidRPr="00956F16" w:rsidRDefault="00C819C3" w:rsidP="00CB4B6D">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Kezdő</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1"/>
                <w:szCs w:val="20"/>
              </w:rPr>
              <w:t>dózis</w:t>
            </w:r>
          </w:p>
        </w:tc>
        <w:tc>
          <w:tcPr>
            <w:tcW w:w="2976" w:type="dxa"/>
            <w:tcBorders>
              <w:top w:val="single" w:sz="4" w:space="0" w:color="000000"/>
              <w:left w:val="single" w:sz="4" w:space="0" w:color="000000"/>
              <w:bottom w:val="single" w:sz="4" w:space="0" w:color="000000"/>
              <w:right w:val="single" w:sz="4" w:space="0" w:color="000000"/>
            </w:tcBorders>
          </w:tcPr>
          <w:p w14:paraId="31EB1D33" w14:textId="77777777" w:rsidR="00C819C3" w:rsidRPr="00956F16" w:rsidRDefault="00C819C3" w:rsidP="00CB4B6D">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25 </w:t>
            </w:r>
            <w:r w:rsidRPr="00956F16">
              <w:rPr>
                <w:rFonts w:ascii="Times New Roman" w:eastAsia="Times New Roman" w:hAnsi="Times New Roman" w:cs="Times New Roman"/>
                <w:spacing w:val="-2"/>
                <w:szCs w:val="20"/>
              </w:rPr>
              <w:t>m</w:t>
            </w:r>
            <w:r w:rsidRPr="00956F16">
              <w:rPr>
                <w:rFonts w:ascii="Times New Roman" w:eastAsia="Times New Roman" w:hAnsi="Times New Roman" w:cs="Times New Roman"/>
                <w:szCs w:val="20"/>
              </w:rPr>
              <w:t>g</w:t>
            </w:r>
          </w:p>
        </w:tc>
      </w:tr>
      <w:tr w:rsidR="00C819C3" w:rsidRPr="00956F16" w14:paraId="241B261B" w14:textId="77777777" w:rsidTr="00441247">
        <w:trPr>
          <w:trHeight w:hRule="exact" w:val="261"/>
        </w:trPr>
        <w:tc>
          <w:tcPr>
            <w:tcW w:w="3141" w:type="dxa"/>
            <w:tcBorders>
              <w:top w:val="single" w:sz="4" w:space="0" w:color="000000"/>
              <w:left w:val="single" w:sz="4" w:space="0" w:color="000000"/>
              <w:bottom w:val="single" w:sz="4" w:space="0" w:color="000000"/>
              <w:right w:val="single" w:sz="4" w:space="0" w:color="000000"/>
            </w:tcBorders>
          </w:tcPr>
          <w:p w14:paraId="47F35796" w14:textId="4054120D" w:rsidR="00C819C3" w:rsidRPr="00956F16" w:rsidRDefault="008A3DE8" w:rsidP="00CB4B6D">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w:t>
            </w:r>
            <w:r w:rsidR="00C819C3" w:rsidRPr="00956F16">
              <w:rPr>
                <w:rFonts w:ascii="Times New Roman" w:eastAsia="Times New Roman" w:hAnsi="Times New Roman" w:cs="Times New Roman"/>
                <w:szCs w:val="20"/>
              </w:rPr>
              <w:t>1. dózisszint</w:t>
            </w:r>
          </w:p>
        </w:tc>
        <w:tc>
          <w:tcPr>
            <w:tcW w:w="2976" w:type="dxa"/>
            <w:tcBorders>
              <w:top w:val="single" w:sz="4" w:space="0" w:color="000000"/>
              <w:left w:val="single" w:sz="4" w:space="0" w:color="000000"/>
              <w:bottom w:val="single" w:sz="4" w:space="0" w:color="000000"/>
              <w:right w:val="single" w:sz="4" w:space="0" w:color="000000"/>
            </w:tcBorders>
          </w:tcPr>
          <w:p w14:paraId="5D73FF70" w14:textId="77777777" w:rsidR="00C819C3" w:rsidRPr="00956F16" w:rsidRDefault="00C819C3" w:rsidP="00CB4B6D">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20 </w:t>
            </w:r>
            <w:r w:rsidRPr="00956F16">
              <w:rPr>
                <w:rFonts w:ascii="Times New Roman" w:eastAsia="Times New Roman" w:hAnsi="Times New Roman" w:cs="Times New Roman"/>
                <w:spacing w:val="-2"/>
                <w:szCs w:val="20"/>
              </w:rPr>
              <w:t>m</w:t>
            </w:r>
            <w:r w:rsidRPr="00956F16">
              <w:rPr>
                <w:rFonts w:ascii="Times New Roman" w:eastAsia="Times New Roman" w:hAnsi="Times New Roman" w:cs="Times New Roman"/>
                <w:szCs w:val="20"/>
              </w:rPr>
              <w:t>g</w:t>
            </w:r>
          </w:p>
        </w:tc>
      </w:tr>
      <w:tr w:rsidR="00C819C3" w:rsidRPr="00956F16" w14:paraId="7030D8C1" w14:textId="77777777" w:rsidTr="00441247">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4091ABDB" w14:textId="174B17D1" w:rsidR="00C819C3" w:rsidRPr="00956F16" w:rsidRDefault="008A3DE8" w:rsidP="00CB4B6D">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w:t>
            </w:r>
            <w:r w:rsidR="00C819C3" w:rsidRPr="00956F16">
              <w:rPr>
                <w:rFonts w:ascii="Times New Roman" w:eastAsia="Times New Roman" w:hAnsi="Times New Roman" w:cs="Times New Roman"/>
                <w:szCs w:val="20"/>
              </w:rPr>
              <w:t>2. dózisszint</w:t>
            </w:r>
          </w:p>
        </w:tc>
        <w:tc>
          <w:tcPr>
            <w:tcW w:w="2976" w:type="dxa"/>
            <w:tcBorders>
              <w:top w:val="single" w:sz="4" w:space="0" w:color="000000"/>
              <w:left w:val="single" w:sz="4" w:space="0" w:color="000000"/>
              <w:bottom w:val="single" w:sz="4" w:space="0" w:color="000000"/>
              <w:right w:val="single" w:sz="4" w:space="0" w:color="000000"/>
            </w:tcBorders>
          </w:tcPr>
          <w:p w14:paraId="2F7AC66E" w14:textId="77777777" w:rsidR="00C819C3" w:rsidRPr="00956F16" w:rsidRDefault="00C819C3" w:rsidP="00CB4B6D">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15 </w:t>
            </w:r>
            <w:r w:rsidRPr="00956F16">
              <w:rPr>
                <w:rFonts w:ascii="Times New Roman" w:eastAsia="Times New Roman" w:hAnsi="Times New Roman" w:cs="Times New Roman"/>
                <w:spacing w:val="-2"/>
                <w:szCs w:val="20"/>
              </w:rPr>
              <w:t>m</w:t>
            </w:r>
            <w:r w:rsidRPr="00956F16">
              <w:rPr>
                <w:rFonts w:ascii="Times New Roman" w:eastAsia="Times New Roman" w:hAnsi="Times New Roman" w:cs="Times New Roman"/>
                <w:szCs w:val="20"/>
              </w:rPr>
              <w:t>g</w:t>
            </w:r>
          </w:p>
        </w:tc>
      </w:tr>
      <w:tr w:rsidR="00C819C3" w:rsidRPr="00956F16" w14:paraId="753C4DE8" w14:textId="77777777" w:rsidTr="00441247">
        <w:trPr>
          <w:trHeight w:hRule="exact" w:val="262"/>
        </w:trPr>
        <w:tc>
          <w:tcPr>
            <w:tcW w:w="3141" w:type="dxa"/>
            <w:tcBorders>
              <w:top w:val="single" w:sz="4" w:space="0" w:color="000000"/>
              <w:left w:val="single" w:sz="4" w:space="0" w:color="000000"/>
              <w:bottom w:val="single" w:sz="4" w:space="0" w:color="000000"/>
              <w:right w:val="single" w:sz="4" w:space="0" w:color="000000"/>
            </w:tcBorders>
          </w:tcPr>
          <w:p w14:paraId="1CF844D9" w14:textId="0D8370D0" w:rsidR="00C819C3" w:rsidRPr="00956F16" w:rsidRDefault="008A3DE8" w:rsidP="00CB4B6D">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w:t>
            </w:r>
            <w:r w:rsidR="00C819C3" w:rsidRPr="00956F16">
              <w:rPr>
                <w:rFonts w:ascii="Times New Roman" w:eastAsia="Times New Roman" w:hAnsi="Times New Roman" w:cs="Times New Roman"/>
                <w:szCs w:val="20"/>
              </w:rPr>
              <w:t>3. dózisszint</w:t>
            </w:r>
          </w:p>
        </w:tc>
        <w:tc>
          <w:tcPr>
            <w:tcW w:w="2976" w:type="dxa"/>
            <w:tcBorders>
              <w:top w:val="single" w:sz="4" w:space="0" w:color="000000"/>
              <w:left w:val="single" w:sz="4" w:space="0" w:color="000000"/>
              <w:bottom w:val="single" w:sz="4" w:space="0" w:color="000000"/>
              <w:right w:val="single" w:sz="4" w:space="0" w:color="000000"/>
            </w:tcBorders>
          </w:tcPr>
          <w:p w14:paraId="7B75FF7C" w14:textId="77777777" w:rsidR="00C819C3" w:rsidRPr="00956F16" w:rsidRDefault="00C819C3" w:rsidP="00CB4B6D">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10 </w:t>
            </w:r>
            <w:r w:rsidRPr="00956F16">
              <w:rPr>
                <w:rFonts w:ascii="Times New Roman" w:eastAsia="Times New Roman" w:hAnsi="Times New Roman" w:cs="Times New Roman"/>
                <w:spacing w:val="-2"/>
                <w:szCs w:val="20"/>
              </w:rPr>
              <w:t>m</w:t>
            </w:r>
            <w:r w:rsidRPr="00956F16">
              <w:rPr>
                <w:rFonts w:ascii="Times New Roman" w:eastAsia="Times New Roman" w:hAnsi="Times New Roman" w:cs="Times New Roman"/>
                <w:szCs w:val="20"/>
              </w:rPr>
              <w:t>g</w:t>
            </w:r>
          </w:p>
        </w:tc>
      </w:tr>
      <w:tr w:rsidR="00C819C3" w:rsidRPr="00956F16" w14:paraId="49B52D98" w14:textId="77777777" w:rsidTr="00441247">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2585C521" w14:textId="120D2182" w:rsidR="00C819C3" w:rsidRPr="00956F16" w:rsidRDefault="008A3DE8" w:rsidP="00CB4B6D">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w:t>
            </w:r>
            <w:r w:rsidR="00C819C3" w:rsidRPr="00956F16">
              <w:rPr>
                <w:rFonts w:ascii="Times New Roman" w:eastAsia="Times New Roman" w:hAnsi="Times New Roman" w:cs="Times New Roman"/>
                <w:szCs w:val="20"/>
              </w:rPr>
              <w:t>4. dózisszint</w:t>
            </w:r>
          </w:p>
        </w:tc>
        <w:tc>
          <w:tcPr>
            <w:tcW w:w="2976" w:type="dxa"/>
            <w:tcBorders>
              <w:top w:val="single" w:sz="4" w:space="0" w:color="000000"/>
              <w:left w:val="single" w:sz="4" w:space="0" w:color="000000"/>
              <w:bottom w:val="single" w:sz="4" w:space="0" w:color="000000"/>
              <w:right w:val="single" w:sz="4" w:space="0" w:color="000000"/>
            </w:tcBorders>
          </w:tcPr>
          <w:p w14:paraId="17E8429B" w14:textId="77777777" w:rsidR="00C819C3" w:rsidRPr="00956F16" w:rsidRDefault="00C819C3" w:rsidP="00CB4B6D">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5 </w:t>
            </w: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zCs w:val="20"/>
              </w:rPr>
              <w:t>g</w:t>
            </w:r>
          </w:p>
        </w:tc>
      </w:tr>
      <w:tr w:rsidR="00C819C3" w:rsidRPr="00956F16" w14:paraId="30B5A2E4" w14:textId="77777777" w:rsidTr="00441247">
        <w:trPr>
          <w:trHeight w:hRule="exact" w:val="264"/>
        </w:trPr>
        <w:tc>
          <w:tcPr>
            <w:tcW w:w="3141" w:type="dxa"/>
            <w:tcBorders>
              <w:top w:val="single" w:sz="4" w:space="0" w:color="000000"/>
              <w:left w:val="single" w:sz="4" w:space="0" w:color="000000"/>
              <w:bottom w:val="single" w:sz="4" w:space="0" w:color="000000"/>
              <w:right w:val="single" w:sz="4" w:space="0" w:color="000000"/>
            </w:tcBorders>
          </w:tcPr>
          <w:p w14:paraId="46A304C6" w14:textId="1F1DF182" w:rsidR="00C819C3" w:rsidRPr="00956F16" w:rsidRDefault="008A3DE8" w:rsidP="00CB4B6D">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w:t>
            </w:r>
            <w:r w:rsidR="00C819C3" w:rsidRPr="00956F16">
              <w:rPr>
                <w:rFonts w:ascii="Times New Roman" w:eastAsia="Times New Roman" w:hAnsi="Times New Roman" w:cs="Times New Roman"/>
                <w:szCs w:val="20"/>
              </w:rPr>
              <w:t>5. dózisszint</w:t>
            </w:r>
          </w:p>
        </w:tc>
        <w:tc>
          <w:tcPr>
            <w:tcW w:w="2976" w:type="dxa"/>
            <w:tcBorders>
              <w:top w:val="single" w:sz="4" w:space="0" w:color="000000"/>
              <w:left w:val="single" w:sz="4" w:space="0" w:color="000000"/>
              <w:bottom w:val="single" w:sz="4" w:space="0" w:color="000000"/>
              <w:right w:val="single" w:sz="4" w:space="0" w:color="000000"/>
            </w:tcBorders>
          </w:tcPr>
          <w:p w14:paraId="76FAF0A0" w14:textId="77777777" w:rsidR="00C819C3" w:rsidRPr="00956F16" w:rsidRDefault="00C819C3" w:rsidP="00CB4B6D">
            <w:pPr>
              <w:keepNext/>
              <w:autoSpaceDE w:val="0"/>
              <w:autoSpaceDN w:val="0"/>
              <w:adjustRightInd w:val="0"/>
              <w:spacing w:after="0" w:line="240" w:lineRule="auto"/>
              <w:ind w:left="142" w:right="21"/>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2,5 </w:t>
            </w:r>
            <w:r w:rsidRPr="00956F16">
              <w:rPr>
                <w:rFonts w:ascii="Times New Roman" w:eastAsia="Times New Roman" w:hAnsi="Times New Roman" w:cs="Times New Roman"/>
                <w:spacing w:val="-2"/>
                <w:szCs w:val="20"/>
              </w:rPr>
              <w:t>m</w:t>
            </w:r>
            <w:r w:rsidRPr="00956F16">
              <w:rPr>
                <w:rFonts w:ascii="Times New Roman" w:eastAsia="Times New Roman" w:hAnsi="Times New Roman" w:cs="Times New Roman"/>
                <w:szCs w:val="20"/>
              </w:rPr>
              <w:t>g</w:t>
            </w:r>
          </w:p>
        </w:tc>
      </w:tr>
    </w:tbl>
    <w:p w14:paraId="4336CBB6" w14:textId="08F265CD" w:rsidR="00C819C3" w:rsidRPr="00956F16" w:rsidRDefault="00C819C3" w:rsidP="00C819C3">
      <w:pPr>
        <w:spacing w:after="0" w:line="240" w:lineRule="auto"/>
        <w:rPr>
          <w:rFonts w:ascii="Times New Roman" w:eastAsia="Calibri" w:hAnsi="Times New Roman" w:cs="Times New Roman"/>
          <w:sz w:val="18"/>
          <w:szCs w:val="18"/>
        </w:rPr>
      </w:pPr>
      <w:r>
        <w:rPr>
          <w:rFonts w:ascii="Times New Roman" w:eastAsia="Calibri" w:hAnsi="Times New Roman" w:cs="Times New Roman"/>
          <w:sz w:val="18"/>
          <w:szCs w:val="18"/>
        </w:rPr>
        <w:t>ª A dóziscsökkentés minden</w:t>
      </w:r>
      <w:r w:rsidRPr="00956F16">
        <w:rPr>
          <w:rFonts w:ascii="Times New Roman" w:eastAsia="Calibri" w:hAnsi="Times New Roman" w:cs="Times New Roman"/>
          <w:sz w:val="18"/>
          <w:szCs w:val="18"/>
        </w:rPr>
        <w:t xml:space="preserve"> készítmény esetében egymástól függetlenül végezhető.</w:t>
      </w:r>
    </w:p>
    <w:p w14:paraId="2368DFF7" w14:textId="77777777" w:rsidR="00C819C3" w:rsidRDefault="00C819C3" w:rsidP="00956F16">
      <w:pPr>
        <w:spacing w:after="0" w:line="240" w:lineRule="auto"/>
        <w:rPr>
          <w:rFonts w:ascii="Times New Roman" w:eastAsia="Calibri" w:hAnsi="Times New Roman" w:cs="Times New Roman"/>
        </w:rPr>
      </w:pPr>
    </w:p>
    <w:p w14:paraId="57040DDF" w14:textId="77777777" w:rsidR="005D3594" w:rsidRPr="00956F16" w:rsidRDefault="005D3594" w:rsidP="005D3594">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t>Thrombocytopenia</w:t>
      </w:r>
    </w:p>
    <w:tbl>
      <w:tblPr>
        <w:tblStyle w:val="Rcsostblzat"/>
        <w:tblW w:w="0" w:type="auto"/>
        <w:tblLook w:val="04A0" w:firstRow="1" w:lastRow="0" w:firstColumn="1" w:lastColumn="0" w:noHBand="0" w:noVBand="1"/>
      </w:tblPr>
      <w:tblGrid>
        <w:gridCol w:w="3539"/>
        <w:gridCol w:w="5521"/>
      </w:tblGrid>
      <w:tr w:rsidR="005D3594" w:rsidRPr="00956F16" w14:paraId="59BF0F0D" w14:textId="77777777" w:rsidTr="00E83289">
        <w:tc>
          <w:tcPr>
            <w:tcW w:w="3539" w:type="dxa"/>
          </w:tcPr>
          <w:p w14:paraId="5194F9BB" w14:textId="77777777" w:rsidR="005D3594" w:rsidRPr="00956F16" w:rsidRDefault="005D3594" w:rsidP="00CB4B6D">
            <w:pPr>
              <w:keepNext/>
              <w:rPr>
                <w:rFonts w:ascii="Times New Roman" w:eastAsia="Calibri" w:hAnsi="Times New Roman" w:cs="Times New Roman"/>
              </w:rPr>
            </w:pPr>
            <w:r w:rsidRPr="00956F16">
              <w:rPr>
                <w:rFonts w:ascii="Times New Roman" w:eastAsia="Calibri" w:hAnsi="Times New Roman" w:cs="Times New Roman"/>
              </w:rPr>
              <w:t>Ha a thrombocytaszám</w:t>
            </w:r>
          </w:p>
        </w:tc>
        <w:tc>
          <w:tcPr>
            <w:tcW w:w="5521" w:type="dxa"/>
          </w:tcPr>
          <w:p w14:paraId="5B3D4CFB" w14:textId="77777777" w:rsidR="005D3594" w:rsidRPr="00956F16" w:rsidRDefault="005D3594" w:rsidP="00CB4B6D">
            <w:pPr>
              <w:keepNext/>
              <w:rPr>
                <w:rFonts w:ascii="Times New Roman" w:eastAsia="Calibri" w:hAnsi="Times New Roman" w:cs="Times New Roman"/>
              </w:rPr>
            </w:pPr>
            <w:r w:rsidRPr="00956F16">
              <w:rPr>
                <w:rFonts w:ascii="Times New Roman" w:eastAsia="Calibri" w:hAnsi="Times New Roman" w:cs="Times New Roman"/>
              </w:rPr>
              <w:t>Javasolt kezelés</w:t>
            </w:r>
          </w:p>
        </w:tc>
      </w:tr>
      <w:tr w:rsidR="005D3594" w:rsidRPr="00956F16" w14:paraId="24EAAFF9" w14:textId="77777777" w:rsidTr="00E83289">
        <w:tc>
          <w:tcPr>
            <w:tcW w:w="3539" w:type="dxa"/>
          </w:tcPr>
          <w:p w14:paraId="11B145B5" w14:textId="5A196F38" w:rsidR="005D3594" w:rsidRPr="00956F16" w:rsidRDefault="005D3594" w:rsidP="00CB4B6D">
            <w:pPr>
              <w:keepNext/>
              <w:rPr>
                <w:rFonts w:ascii="Times New Roman" w:eastAsia="Calibri" w:hAnsi="Times New Roman" w:cs="Times New Roman"/>
              </w:rPr>
            </w:pPr>
            <w:r>
              <w:rPr>
                <w:rFonts w:ascii="Times New Roman" w:eastAsia="Calibri" w:hAnsi="Times New Roman" w:cs="Times New Roman"/>
              </w:rPr>
              <w:t>30</w:t>
            </w:r>
            <w:r w:rsidRPr="00956F16">
              <w:rPr>
                <w:rFonts w:ascii="Times New Roman" w:eastAsia="Calibri" w:hAnsi="Times New Roman" w:cs="Times New Roman"/>
              </w:rPr>
              <w:t>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 xml:space="preserve">/l alá </w:t>
            </w:r>
            <w:r w:rsidR="00402058">
              <w:rPr>
                <w:rFonts w:ascii="Times New Roman" w:eastAsia="Calibri" w:hAnsi="Times New Roman" w:cs="Times New Roman"/>
              </w:rPr>
              <w:t>esik</w:t>
            </w:r>
          </w:p>
        </w:tc>
        <w:tc>
          <w:tcPr>
            <w:tcW w:w="5521" w:type="dxa"/>
          </w:tcPr>
          <w:p w14:paraId="58CBFE61" w14:textId="5E61EB0F" w:rsidR="005D3594" w:rsidRPr="00956F16" w:rsidRDefault="005D3594" w:rsidP="00CB4B6D">
            <w:pPr>
              <w:keepNext/>
              <w:rPr>
                <w:rFonts w:ascii="Times New Roman" w:eastAsia="Calibri" w:hAnsi="Times New Roman" w:cs="Times New Roman"/>
              </w:rPr>
            </w:pPr>
            <w:r>
              <w:rPr>
                <w:rFonts w:ascii="Times New Roman" w:eastAsia="Calibri" w:hAnsi="Times New Roman" w:cs="Times New Roman"/>
              </w:rPr>
              <w:t>Szakítsa meg</w:t>
            </w:r>
            <w:r w:rsidRPr="00956F16">
              <w:rPr>
                <w:rFonts w:ascii="Times New Roman" w:eastAsia="Calibri" w:hAnsi="Times New Roman" w:cs="Times New Roman"/>
              </w:rPr>
              <w:t xml:space="preserve"> lenalidomid</w:t>
            </w:r>
            <w:r w:rsidR="00104634">
              <w:rPr>
                <w:rFonts w:ascii="Times New Roman" w:eastAsia="Calibri" w:hAnsi="Times New Roman" w:cs="Times New Roman"/>
              </w:rPr>
              <w:t>-</w:t>
            </w:r>
            <w:r w:rsidRPr="00956F16">
              <w:rPr>
                <w:rFonts w:ascii="Times New Roman" w:eastAsia="Calibri" w:hAnsi="Times New Roman" w:cs="Times New Roman"/>
              </w:rPr>
              <w:t>kezel</w:t>
            </w:r>
            <w:r>
              <w:rPr>
                <w:rFonts w:ascii="Times New Roman" w:eastAsia="Calibri" w:hAnsi="Times New Roman" w:cs="Times New Roman"/>
              </w:rPr>
              <w:t>ést</w:t>
            </w:r>
          </w:p>
        </w:tc>
      </w:tr>
      <w:tr w:rsidR="005D3594" w:rsidRPr="00956F16" w14:paraId="5DC2FBA5" w14:textId="77777777" w:rsidTr="00E83289">
        <w:tc>
          <w:tcPr>
            <w:tcW w:w="3539" w:type="dxa"/>
          </w:tcPr>
          <w:p w14:paraId="5A6DAA0A" w14:textId="77777777" w:rsidR="005D3594" w:rsidRPr="00956F16" w:rsidRDefault="005D3594" w:rsidP="00CB4B6D">
            <w:pPr>
              <w:keepNext/>
              <w:rPr>
                <w:rFonts w:ascii="Times New Roman" w:eastAsia="Calibri" w:hAnsi="Times New Roman" w:cs="Times New Roman"/>
              </w:rPr>
            </w:pPr>
            <w:r w:rsidRPr="00956F16">
              <w:rPr>
                <w:rFonts w:ascii="Times New Roman" w:eastAsia="Calibri" w:hAnsi="Times New Roman" w:cs="Times New Roman"/>
              </w:rPr>
              <w:t>visszatér ≥ 50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3C211F85" w14:textId="6BA9D283" w:rsidR="005D3594" w:rsidRPr="00956F16" w:rsidRDefault="005D3594">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w:t>
            </w:r>
            <w:r>
              <w:rPr>
                <w:rFonts w:ascii="Times New Roman" w:eastAsia="Calibri" w:hAnsi="Times New Roman" w:cs="Times New Roman"/>
              </w:rPr>
              <w:t xml:space="preserve"> </w:t>
            </w:r>
            <w:r w:rsidR="000C20E4">
              <w:rPr>
                <w:rFonts w:ascii="Times New Roman" w:eastAsia="Times New Roman" w:hAnsi="Times New Roman" w:cs="Times New Roman"/>
                <w:szCs w:val="20"/>
              </w:rPr>
              <w:t>–</w:t>
            </w:r>
            <w:r>
              <w:rPr>
                <w:rFonts w:ascii="Times New Roman" w:eastAsia="Calibri" w:hAnsi="Times New Roman" w:cs="Times New Roman"/>
              </w:rPr>
              <w:t>1. dózisszinttel</w:t>
            </w:r>
            <w:r w:rsidRPr="00956F16">
              <w:rPr>
                <w:rFonts w:ascii="Times New Roman" w:eastAsia="Calibri" w:hAnsi="Times New Roman" w:cs="Times New Roman"/>
              </w:rPr>
              <w:t>, napi egyszeri adagolással.</w:t>
            </w:r>
          </w:p>
        </w:tc>
      </w:tr>
      <w:tr w:rsidR="005D3594" w:rsidRPr="00956F16" w14:paraId="64676EE2" w14:textId="77777777" w:rsidTr="00E83289">
        <w:tc>
          <w:tcPr>
            <w:tcW w:w="3539" w:type="dxa"/>
          </w:tcPr>
          <w:p w14:paraId="1BCE3EE8" w14:textId="37A973E4" w:rsidR="005D3594" w:rsidRPr="00956F16" w:rsidRDefault="005D3594" w:rsidP="00CB4B6D">
            <w:pPr>
              <w:keepNext/>
              <w:rPr>
                <w:rFonts w:ascii="Times New Roman" w:eastAsia="Calibri" w:hAnsi="Times New Roman" w:cs="Times New Roman"/>
              </w:rPr>
            </w:pPr>
            <w:r>
              <w:rPr>
                <w:rFonts w:ascii="Times New Roman" w:eastAsia="Calibri" w:hAnsi="Times New Roman" w:cs="Times New Roman"/>
              </w:rPr>
              <w:t>minden további alkalommal, ha 30</w:t>
            </w:r>
            <w:r w:rsidRPr="00956F16">
              <w:rPr>
                <w:rFonts w:ascii="Times New Roman" w:eastAsia="Calibri" w:hAnsi="Times New Roman" w:cs="Times New Roman"/>
              </w:rPr>
              <w:t>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w:t>
            </w:r>
            <w:r>
              <w:rPr>
                <w:rFonts w:ascii="Times New Roman" w:eastAsia="Calibri" w:hAnsi="Times New Roman" w:cs="Times New Roman"/>
              </w:rPr>
              <w:t xml:space="preserve"> esik</w:t>
            </w:r>
          </w:p>
        </w:tc>
        <w:tc>
          <w:tcPr>
            <w:tcW w:w="5521" w:type="dxa"/>
          </w:tcPr>
          <w:p w14:paraId="52500F4A" w14:textId="6CFDE233" w:rsidR="005D3594" w:rsidRPr="00956F16" w:rsidRDefault="005D3594" w:rsidP="00CB4B6D">
            <w:pPr>
              <w:keepNext/>
              <w:rPr>
                <w:rFonts w:ascii="Times New Roman" w:eastAsia="Calibri" w:hAnsi="Times New Roman" w:cs="Times New Roman"/>
              </w:rPr>
            </w:pPr>
            <w:r>
              <w:rPr>
                <w:rFonts w:ascii="Times New Roman" w:eastAsia="Calibri" w:hAnsi="Times New Roman" w:cs="Times New Roman"/>
              </w:rPr>
              <w:t>Szakítsa meg</w:t>
            </w:r>
            <w:r w:rsidRPr="00956F16">
              <w:rPr>
                <w:rFonts w:ascii="Times New Roman" w:eastAsia="Calibri" w:hAnsi="Times New Roman" w:cs="Times New Roman"/>
              </w:rPr>
              <w:t xml:space="preserve"> lenalidomid</w:t>
            </w:r>
            <w:r w:rsidR="00104634">
              <w:rPr>
                <w:rFonts w:ascii="Times New Roman" w:eastAsia="Calibri" w:hAnsi="Times New Roman" w:cs="Times New Roman"/>
              </w:rPr>
              <w:t>-</w:t>
            </w:r>
            <w:r w:rsidRPr="00956F16">
              <w:rPr>
                <w:rFonts w:ascii="Times New Roman" w:eastAsia="Calibri" w:hAnsi="Times New Roman" w:cs="Times New Roman"/>
              </w:rPr>
              <w:t>kezel</w:t>
            </w:r>
            <w:r>
              <w:rPr>
                <w:rFonts w:ascii="Times New Roman" w:eastAsia="Calibri" w:hAnsi="Times New Roman" w:cs="Times New Roman"/>
              </w:rPr>
              <w:t>ést</w:t>
            </w:r>
          </w:p>
        </w:tc>
      </w:tr>
      <w:tr w:rsidR="005D3594" w:rsidRPr="00956F16" w14:paraId="5B00646D" w14:textId="77777777" w:rsidTr="00E83289">
        <w:tc>
          <w:tcPr>
            <w:tcW w:w="3539" w:type="dxa"/>
          </w:tcPr>
          <w:p w14:paraId="6F15CE9B" w14:textId="475D50AD" w:rsidR="005D3594" w:rsidRPr="00956F16" w:rsidRDefault="005D3594" w:rsidP="00CB4B6D">
            <w:pPr>
              <w:keepNext/>
              <w:rPr>
                <w:rFonts w:ascii="Times New Roman" w:eastAsia="Calibri" w:hAnsi="Times New Roman" w:cs="Times New Roman"/>
              </w:rPr>
            </w:pPr>
            <w:r w:rsidRPr="00956F16">
              <w:rPr>
                <w:rFonts w:ascii="Times New Roman" w:eastAsia="Calibri" w:hAnsi="Times New Roman" w:cs="Times New Roman"/>
              </w:rPr>
              <w:t>visszatér ≥ 50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32A40FD6" w14:textId="62DBAD0B" w:rsidR="005D3594" w:rsidRPr="00956F16" w:rsidRDefault="005D3594" w:rsidP="00CB4B6D">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következő alacsonyabb dózisszin</w:t>
            </w:r>
            <w:r>
              <w:rPr>
                <w:rFonts w:ascii="Times New Roman" w:eastAsia="Calibri" w:hAnsi="Times New Roman" w:cs="Times New Roman"/>
              </w:rPr>
              <w:t xml:space="preserve">ttel, napi egyszeri adagolással </w:t>
            </w:r>
          </w:p>
        </w:tc>
      </w:tr>
    </w:tbl>
    <w:p w14:paraId="631D37E9" w14:textId="77777777" w:rsidR="005D3594" w:rsidRPr="00956F16" w:rsidRDefault="005D3594" w:rsidP="005D3594">
      <w:pPr>
        <w:spacing w:after="0" w:line="240" w:lineRule="auto"/>
        <w:rPr>
          <w:rFonts w:ascii="Times New Roman" w:eastAsia="Calibri" w:hAnsi="Times New Roman" w:cs="Times New Roman"/>
        </w:rPr>
      </w:pPr>
    </w:p>
    <w:p w14:paraId="72F6D968" w14:textId="1CCCA378" w:rsidR="005D3594" w:rsidRPr="00956F16" w:rsidRDefault="002F39C0" w:rsidP="00441247">
      <w:pPr>
        <w:keepNext/>
        <w:numPr>
          <w:ilvl w:val="0"/>
          <w:numId w:val="15"/>
        </w:numPr>
        <w:tabs>
          <w:tab w:val="left" w:pos="567"/>
        </w:tabs>
        <w:spacing w:after="0" w:line="240" w:lineRule="auto"/>
        <w:ind w:hanging="720"/>
        <w:rPr>
          <w:rFonts w:ascii="Times New Roman" w:eastAsia="Calibri" w:hAnsi="Times New Roman" w:cs="Times New Roman"/>
          <w:i/>
        </w:rPr>
      </w:pPr>
      <w:r>
        <w:rPr>
          <w:rFonts w:ascii="Times New Roman" w:eastAsia="Calibri" w:hAnsi="Times New Roman" w:cs="Times New Roman"/>
          <w:i/>
        </w:rPr>
        <w:t>Abszolút neutrophilszám (ANC) – ne</w:t>
      </w:r>
      <w:r w:rsidR="005D3594" w:rsidRPr="00956F16">
        <w:rPr>
          <w:rFonts w:ascii="Times New Roman" w:eastAsia="Calibri" w:hAnsi="Times New Roman" w:cs="Times New Roman"/>
          <w:i/>
        </w:rPr>
        <w:t>utropenia</w:t>
      </w:r>
    </w:p>
    <w:tbl>
      <w:tblPr>
        <w:tblStyle w:val="Rcsostblzat"/>
        <w:tblW w:w="0" w:type="auto"/>
        <w:tblLook w:val="04A0" w:firstRow="1" w:lastRow="0" w:firstColumn="1" w:lastColumn="0" w:noHBand="0" w:noVBand="1"/>
      </w:tblPr>
      <w:tblGrid>
        <w:gridCol w:w="3539"/>
        <w:gridCol w:w="5521"/>
      </w:tblGrid>
      <w:tr w:rsidR="005D3594" w:rsidRPr="00956F16" w14:paraId="72F03F2E" w14:textId="77777777" w:rsidTr="00E83289">
        <w:tc>
          <w:tcPr>
            <w:tcW w:w="3539" w:type="dxa"/>
          </w:tcPr>
          <w:p w14:paraId="02FF5CFA" w14:textId="71A7EA30" w:rsidR="005D3594" w:rsidRPr="00956F16" w:rsidRDefault="005D3594" w:rsidP="00441247">
            <w:pPr>
              <w:keepNext/>
              <w:rPr>
                <w:rFonts w:ascii="Times New Roman" w:eastAsia="Calibri" w:hAnsi="Times New Roman" w:cs="Times New Roman"/>
              </w:rPr>
            </w:pPr>
            <w:r w:rsidRPr="00956F16">
              <w:rPr>
                <w:rFonts w:ascii="Times New Roman" w:eastAsia="Calibri" w:hAnsi="Times New Roman" w:cs="Times New Roman"/>
              </w:rPr>
              <w:t>Ha a</w:t>
            </w:r>
            <w:r w:rsidR="002F39C0">
              <w:rPr>
                <w:rFonts w:ascii="Times New Roman" w:eastAsia="Calibri" w:hAnsi="Times New Roman" w:cs="Times New Roman"/>
              </w:rPr>
              <w:t>z ANC</w:t>
            </w:r>
          </w:p>
        </w:tc>
        <w:tc>
          <w:tcPr>
            <w:tcW w:w="5521" w:type="dxa"/>
          </w:tcPr>
          <w:p w14:paraId="199E8F68" w14:textId="1F36C728" w:rsidR="005D3594" w:rsidRPr="00956F16" w:rsidRDefault="005D3594" w:rsidP="00441247">
            <w:pPr>
              <w:keepNext/>
              <w:rPr>
                <w:rFonts w:ascii="Times New Roman" w:eastAsia="Calibri" w:hAnsi="Times New Roman" w:cs="Times New Roman"/>
              </w:rPr>
            </w:pPr>
            <w:r w:rsidRPr="00956F16">
              <w:rPr>
                <w:rFonts w:ascii="Times New Roman" w:eastAsia="Calibri" w:hAnsi="Times New Roman" w:cs="Times New Roman"/>
              </w:rPr>
              <w:t>Javasolt kezelés</w:t>
            </w:r>
            <w:r w:rsidR="002C399E" w:rsidRPr="00441247">
              <w:rPr>
                <w:rFonts w:ascii="Times" w:eastAsia="Calibri" w:hAnsi="Times" w:cs="Times New Roman"/>
                <w:vertAlign w:val="superscript"/>
              </w:rPr>
              <w:t>a</w:t>
            </w:r>
          </w:p>
        </w:tc>
      </w:tr>
      <w:tr w:rsidR="005D3594" w:rsidRPr="00956F16" w14:paraId="45692D3B" w14:textId="77777777" w:rsidTr="00E83289">
        <w:tc>
          <w:tcPr>
            <w:tcW w:w="3539" w:type="dxa"/>
          </w:tcPr>
          <w:p w14:paraId="05B4B39D" w14:textId="77777777" w:rsidR="005D3594" w:rsidRPr="00956F16" w:rsidRDefault="005D3594" w:rsidP="00441247">
            <w:pPr>
              <w:keepNext/>
              <w:rPr>
                <w:rFonts w:ascii="Times New Roman" w:eastAsia="Calibri" w:hAnsi="Times New Roman" w:cs="Times New Roman"/>
              </w:rPr>
            </w:pPr>
            <w:r w:rsidRPr="00956F16">
              <w:rPr>
                <w:rFonts w:ascii="Times New Roman" w:eastAsia="Calibri" w:hAnsi="Times New Roman" w:cs="Times New Roman"/>
              </w:rPr>
              <w:t>először esik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w:t>
            </w:r>
          </w:p>
        </w:tc>
        <w:tc>
          <w:tcPr>
            <w:tcW w:w="5521" w:type="dxa"/>
          </w:tcPr>
          <w:p w14:paraId="005B30BB" w14:textId="208A7C34" w:rsidR="005D3594" w:rsidRPr="00956F16" w:rsidRDefault="005D3594" w:rsidP="00441247">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tc>
      </w:tr>
      <w:tr w:rsidR="005D3594" w:rsidRPr="00956F16" w14:paraId="117BF42A" w14:textId="77777777" w:rsidTr="00E83289">
        <w:tc>
          <w:tcPr>
            <w:tcW w:w="3539" w:type="dxa"/>
          </w:tcPr>
          <w:p w14:paraId="6EF90C38" w14:textId="235C2576" w:rsidR="005D3594" w:rsidRPr="00956F16" w:rsidRDefault="005D3594" w:rsidP="00441247">
            <w:pPr>
              <w:keepNext/>
              <w:rPr>
                <w:rFonts w:ascii="Times New Roman" w:eastAsia="Calibri" w:hAnsi="Times New Roman" w:cs="Times New Roman"/>
              </w:rPr>
            </w:pPr>
            <w:r w:rsidRPr="00956F16">
              <w:rPr>
                <w:rFonts w:ascii="Times New Roman" w:eastAsia="Calibri" w:hAnsi="Times New Roman" w:cs="Times New Roman"/>
              </w:rPr>
              <w:t>visszatér ≥ 1 × 10</w:t>
            </w:r>
            <w:r w:rsidRPr="00956F16">
              <w:rPr>
                <w:rFonts w:ascii="Times New Roman" w:eastAsia="Calibri" w:hAnsi="Times New Roman" w:cs="Times New Roman"/>
                <w:vertAlign w:val="superscript"/>
              </w:rPr>
              <w:t>9</w:t>
            </w:r>
            <w:r w:rsidR="002C399E">
              <w:rPr>
                <w:rFonts w:ascii="Times New Roman" w:eastAsia="Calibri" w:hAnsi="Times New Roman" w:cs="Times New Roman"/>
              </w:rPr>
              <w:t>/l értékre</w:t>
            </w:r>
            <w:r w:rsidRPr="00956F16">
              <w:rPr>
                <w:rFonts w:ascii="Times New Roman" w:eastAsia="Calibri" w:hAnsi="Times New Roman" w:cs="Times New Roman"/>
              </w:rPr>
              <w:t xml:space="preserve"> és a neutropenia az egyetlen megfigyelt toxicitás</w:t>
            </w:r>
          </w:p>
        </w:tc>
        <w:tc>
          <w:tcPr>
            <w:tcW w:w="5521" w:type="dxa"/>
          </w:tcPr>
          <w:p w14:paraId="6356BC20" w14:textId="7BCB9E5E" w:rsidR="005D3594" w:rsidRPr="00956F16" w:rsidRDefault="005D3594" w:rsidP="00441247">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kezdő dózissal, napi egyszeri adagolással.</w:t>
            </w:r>
          </w:p>
        </w:tc>
      </w:tr>
      <w:tr w:rsidR="005D3594" w:rsidRPr="00956F16" w14:paraId="120E323A" w14:textId="77777777" w:rsidTr="00E83289">
        <w:tc>
          <w:tcPr>
            <w:tcW w:w="3539" w:type="dxa"/>
          </w:tcPr>
          <w:p w14:paraId="5B52AF3F" w14:textId="5F846FAE" w:rsidR="005D3594" w:rsidRPr="00956F16" w:rsidRDefault="005D3594" w:rsidP="00CB4B6D">
            <w:pPr>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002C399E">
              <w:rPr>
                <w:rFonts w:ascii="Times New Roman" w:eastAsia="Calibri" w:hAnsi="Times New Roman" w:cs="Times New Roman"/>
              </w:rPr>
              <w:t>/l értékre</w:t>
            </w:r>
            <w:r w:rsidRPr="00956F16">
              <w:rPr>
                <w:rFonts w:ascii="Times New Roman" w:eastAsia="Calibri" w:hAnsi="Times New Roman" w:cs="Times New Roman"/>
              </w:rPr>
              <w:t xml:space="preserve"> és a neutropenián kívül egyéb dózisfüggő hematológiai toxicitás figyelhető meg</w:t>
            </w:r>
          </w:p>
        </w:tc>
        <w:tc>
          <w:tcPr>
            <w:tcW w:w="5521" w:type="dxa"/>
          </w:tcPr>
          <w:p w14:paraId="0E19E260" w14:textId="4D87874A" w:rsidR="005D3594" w:rsidRPr="00956F16" w:rsidRDefault="005D3594" w:rsidP="00CB4B6D">
            <w:pPr>
              <w:rPr>
                <w:rFonts w:ascii="Times New Roman" w:eastAsia="Calibri" w:hAnsi="Times New Roman" w:cs="Times New Roman"/>
              </w:rPr>
            </w:pPr>
            <w:r w:rsidRPr="00956F16">
              <w:rPr>
                <w:rFonts w:ascii="Times New Roman" w:eastAsia="Calibri" w:hAnsi="Times New Roman" w:cs="Times New Roman"/>
              </w:rPr>
              <w:t xml:space="preserve">Folytassa a lenalidomid kezelést a </w:t>
            </w:r>
            <w:r w:rsidR="000C20E4">
              <w:rPr>
                <w:rFonts w:ascii="Times New Roman" w:eastAsia="Times New Roman" w:hAnsi="Times New Roman" w:cs="Times New Roman"/>
                <w:szCs w:val="20"/>
              </w:rPr>
              <w:t>–</w:t>
            </w:r>
            <w:r w:rsidRPr="00956F16">
              <w:rPr>
                <w:rFonts w:ascii="Times New Roman" w:eastAsia="Calibri" w:hAnsi="Times New Roman" w:cs="Times New Roman"/>
              </w:rPr>
              <w:t>1. dózisszinttel, napi egyszeri adagolással.</w:t>
            </w:r>
          </w:p>
        </w:tc>
      </w:tr>
      <w:tr w:rsidR="005D3594" w:rsidRPr="00956F16" w14:paraId="5247A4E5" w14:textId="77777777" w:rsidTr="00E83289">
        <w:tc>
          <w:tcPr>
            <w:tcW w:w="3539" w:type="dxa"/>
          </w:tcPr>
          <w:p w14:paraId="16B14CCF" w14:textId="51D02B19" w:rsidR="005D3594" w:rsidRPr="00956F16" w:rsidRDefault="005D3594" w:rsidP="00CB4B6D">
            <w:pPr>
              <w:rPr>
                <w:rFonts w:ascii="Times New Roman" w:eastAsia="Calibri" w:hAnsi="Times New Roman" w:cs="Times New Roman"/>
              </w:rPr>
            </w:pPr>
            <w:r w:rsidRPr="00956F16">
              <w:rPr>
                <w:rFonts w:ascii="Times New Roman" w:eastAsia="Calibri" w:hAnsi="Times New Roman" w:cs="Times New Roman"/>
              </w:rPr>
              <w:t>minden további alkalommal, ha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 esik</w:t>
            </w:r>
          </w:p>
        </w:tc>
        <w:tc>
          <w:tcPr>
            <w:tcW w:w="5521" w:type="dxa"/>
          </w:tcPr>
          <w:p w14:paraId="2ADC526E" w14:textId="635E078F" w:rsidR="005D3594" w:rsidRPr="00956F16" w:rsidRDefault="005D3594" w:rsidP="00CB4B6D">
            <w:pPr>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p w14:paraId="492958FC" w14:textId="5AF928E5" w:rsidR="005D3594" w:rsidRPr="00956F16" w:rsidRDefault="005D3594" w:rsidP="00CB4B6D">
            <w:pPr>
              <w:rPr>
                <w:rFonts w:ascii="Times New Roman" w:eastAsia="Calibri" w:hAnsi="Times New Roman" w:cs="Times New Roman"/>
              </w:rPr>
            </w:pPr>
          </w:p>
        </w:tc>
      </w:tr>
      <w:tr w:rsidR="002C399E" w:rsidRPr="00956F16" w14:paraId="484F738A" w14:textId="77777777" w:rsidTr="00E83289">
        <w:tc>
          <w:tcPr>
            <w:tcW w:w="3539" w:type="dxa"/>
          </w:tcPr>
          <w:p w14:paraId="41709FD5" w14:textId="455067B6" w:rsidR="002C399E" w:rsidRPr="00956F16" w:rsidRDefault="002C399E" w:rsidP="00CB4B6D">
            <w:pPr>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18B08E4A" w14:textId="2954E572" w:rsidR="002C399E" w:rsidRPr="00956F16" w:rsidRDefault="002C399E" w:rsidP="00CB4B6D">
            <w:pPr>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következő alacsonyabb dózisszinttel, napi egyszeri adagolással.</w:t>
            </w:r>
          </w:p>
        </w:tc>
      </w:tr>
    </w:tbl>
    <w:p w14:paraId="218DCDDE" w14:textId="38F320DA" w:rsidR="005D3594" w:rsidRPr="00B6219F" w:rsidRDefault="005D3594" w:rsidP="005D3594">
      <w:pPr>
        <w:spacing w:after="0" w:line="240" w:lineRule="auto"/>
        <w:rPr>
          <w:rFonts w:ascii="Times New Roman" w:eastAsia="Calibri" w:hAnsi="Times New Roman" w:cs="Times New Roman"/>
          <w:sz w:val="18"/>
          <w:szCs w:val="18"/>
        </w:rPr>
      </w:pPr>
      <w:r w:rsidRPr="00B6219F">
        <w:rPr>
          <w:rFonts w:ascii="Times" w:eastAsia="Calibri" w:hAnsi="Times" w:cs="Times New Roman"/>
          <w:sz w:val="18"/>
          <w:szCs w:val="18"/>
          <w:vertAlign w:val="superscript"/>
        </w:rPr>
        <w:t>a</w:t>
      </w:r>
      <w:r w:rsidRPr="00B6219F">
        <w:rPr>
          <w:rFonts w:ascii="Times New Roman" w:eastAsia="Calibri" w:hAnsi="Times New Roman" w:cs="Times New Roman"/>
          <w:sz w:val="18"/>
          <w:szCs w:val="18"/>
        </w:rPr>
        <w:t xml:space="preserve"> A kezelőorvos belátása szerint, amennyiben bármelyik dózisszint mellett a neutropenia az egyetlen toxicitás, akkor a terápiát ki kell egészíteni granulocyta-kolónia</w:t>
      </w:r>
      <w:r w:rsidR="00404E9B">
        <w:rPr>
          <w:rFonts w:ascii="Times New Roman" w:eastAsia="Calibri" w:hAnsi="Times New Roman" w:cs="Times New Roman"/>
          <w:sz w:val="18"/>
          <w:szCs w:val="18"/>
        </w:rPr>
        <w:t>-</w:t>
      </w:r>
      <w:r w:rsidRPr="00B6219F">
        <w:rPr>
          <w:rFonts w:ascii="Times New Roman" w:eastAsia="Calibri" w:hAnsi="Times New Roman" w:cs="Times New Roman"/>
          <w:sz w:val="18"/>
          <w:szCs w:val="18"/>
        </w:rPr>
        <w:t>stimuláló faktorral (G-CSF) és a lenalidomid dózisszintjét fenn kell tartani.</w:t>
      </w:r>
    </w:p>
    <w:p w14:paraId="09608612" w14:textId="77777777" w:rsidR="005D3594" w:rsidRPr="00956F16" w:rsidRDefault="005D3594" w:rsidP="00956F16">
      <w:pPr>
        <w:spacing w:after="0" w:line="240" w:lineRule="auto"/>
        <w:rPr>
          <w:rFonts w:ascii="Times New Roman" w:eastAsia="Calibri" w:hAnsi="Times New Roman" w:cs="Times New Roman"/>
        </w:rPr>
      </w:pPr>
    </w:p>
    <w:p w14:paraId="310AA6BE" w14:textId="77777777" w:rsidR="00956F16" w:rsidRDefault="00956F16" w:rsidP="00956F16">
      <w:pPr>
        <w:keepNext/>
        <w:numPr>
          <w:ilvl w:val="0"/>
          <w:numId w:val="14"/>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A lenalidomid melfalánnal és prednizonnal kombinációban történő alkalmazása, majd az ezt követő lenalidomid fenntartó kezelés transzplantációra nem alkalmas betegeknél</w:t>
      </w:r>
    </w:p>
    <w:p w14:paraId="01DB8047" w14:textId="77777777" w:rsidR="002C399E" w:rsidRPr="00956F16" w:rsidRDefault="002C399E" w:rsidP="00441247">
      <w:pPr>
        <w:keepNext/>
        <w:tabs>
          <w:tab w:val="left" w:pos="567"/>
        </w:tabs>
        <w:spacing w:after="0" w:line="240" w:lineRule="auto"/>
        <w:ind w:left="720"/>
        <w:rPr>
          <w:rFonts w:ascii="Times New Roman" w:eastAsia="Calibri" w:hAnsi="Times New Roman" w:cs="Times New Roman"/>
          <w:u w:val="single"/>
        </w:rPr>
      </w:pPr>
    </w:p>
    <w:p w14:paraId="00AB8C90" w14:textId="62402E40"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Nem szabad a lenalidomid</w:t>
      </w:r>
      <w:r w:rsidR="00104634">
        <w:rPr>
          <w:rFonts w:ascii="Times New Roman" w:eastAsia="Calibri" w:hAnsi="Times New Roman" w:cs="Times New Roman"/>
        </w:rPr>
        <w:t>-</w:t>
      </w:r>
      <w:r w:rsidRPr="00956F16">
        <w:rPr>
          <w:rFonts w:ascii="Times New Roman" w:eastAsia="Calibri" w:hAnsi="Times New Roman" w:cs="Times New Roman"/>
        </w:rPr>
        <w:t>kezelést elkezdeni, amennyiben az ANC 1,5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alatt, és/vagy a thrombocytaszám 75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alatt van.</w:t>
      </w:r>
    </w:p>
    <w:p w14:paraId="503C1301" w14:textId="77777777" w:rsidR="00956F16" w:rsidRPr="00956F16" w:rsidRDefault="00956F16" w:rsidP="00956F16">
      <w:pPr>
        <w:spacing w:after="0" w:line="240" w:lineRule="auto"/>
        <w:rPr>
          <w:rFonts w:ascii="Times New Roman" w:eastAsia="Calibri" w:hAnsi="Times New Roman" w:cs="Times New Roman"/>
        </w:rPr>
      </w:pPr>
    </w:p>
    <w:p w14:paraId="2BB1EB07" w14:textId="77777777" w:rsidR="00956F16" w:rsidRPr="00956F16" w:rsidRDefault="00956F16" w:rsidP="00956F16">
      <w:pPr>
        <w:keepNext/>
        <w:spacing w:after="0" w:line="240" w:lineRule="auto"/>
        <w:rPr>
          <w:rFonts w:ascii="Times New Roman" w:eastAsia="Calibri" w:hAnsi="Times New Roman" w:cs="Times New Roman"/>
          <w:i/>
        </w:rPr>
      </w:pPr>
      <w:r w:rsidRPr="00956F16">
        <w:rPr>
          <w:rFonts w:ascii="Times New Roman" w:eastAsia="Calibri" w:hAnsi="Times New Roman" w:cs="Times New Roman"/>
          <w:i/>
        </w:rPr>
        <w:t>Javasolt dózis</w:t>
      </w:r>
    </w:p>
    <w:p w14:paraId="63922C6E" w14:textId="2015267E"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javasolt kezdő dózis naponta egyszer 10 mg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lenalidomid az ismétlődő 28 napos ciklusok 1</w:t>
      </w:r>
      <w:r w:rsidR="005467DF">
        <w:rPr>
          <w:rFonts w:ascii="Times New Roman" w:eastAsia="Calibri" w:hAnsi="Times New Roman" w:cs="Times New Roman"/>
        </w:rPr>
        <w:noBreakHyphen/>
      </w:r>
      <w:r w:rsidRPr="00956F16">
        <w:rPr>
          <w:rFonts w:ascii="Times New Roman" w:eastAsia="Calibri" w:hAnsi="Times New Roman" w:cs="Times New Roman"/>
        </w:rPr>
        <w:t xml:space="preserve">21. napján, legfeljebb 9 cikluson át; 0,18 mg/ttkg melfalán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az ismétlődő 28 napos ciklusok 1</w:t>
      </w:r>
      <w:r w:rsidR="005467DF">
        <w:rPr>
          <w:rFonts w:ascii="Times New Roman" w:eastAsia="Calibri" w:hAnsi="Times New Roman" w:cs="Times New Roman"/>
        </w:rPr>
        <w:noBreakHyphen/>
      </w:r>
      <w:r w:rsidRPr="00956F16">
        <w:rPr>
          <w:rFonts w:ascii="Times New Roman" w:eastAsia="Calibri" w:hAnsi="Times New Roman" w:cs="Times New Roman"/>
        </w:rPr>
        <w:t xml:space="preserve">4. napján; 2 mg/ttkg prednizon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az ismétlődő 28 napos ciklusok 1</w:t>
      </w:r>
      <w:r w:rsidR="005467DF">
        <w:rPr>
          <w:rFonts w:ascii="Times New Roman" w:eastAsia="Calibri" w:hAnsi="Times New Roman" w:cs="Times New Roman"/>
        </w:rPr>
        <w:t>–</w:t>
      </w:r>
      <w:r w:rsidRPr="00956F16">
        <w:rPr>
          <w:rFonts w:ascii="Times New Roman" w:eastAsia="Calibri" w:hAnsi="Times New Roman" w:cs="Times New Roman"/>
        </w:rPr>
        <w:t xml:space="preserve">4. napján. Azokat a betegeket, akik befejezik a 9 ciklust, illetve akiknél intolerancia miatt nem lehet elvégezni a kombinációs kezelést, lenalidomid monoterápiával kell kezelni a következők szerint: naponta egyszer 10 mg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az ismétlődő 28 napos ciklusok 1</w:t>
      </w:r>
      <w:r w:rsidR="005467DF">
        <w:rPr>
          <w:rFonts w:ascii="Times New Roman" w:eastAsia="Calibri" w:hAnsi="Times New Roman" w:cs="Times New Roman"/>
        </w:rPr>
        <w:t>–</w:t>
      </w:r>
      <w:r w:rsidRPr="00956F16">
        <w:rPr>
          <w:rFonts w:ascii="Times New Roman" w:eastAsia="Calibri" w:hAnsi="Times New Roman" w:cs="Times New Roman"/>
        </w:rPr>
        <w:t>21. napján, a betegség progressziójáig.</w:t>
      </w:r>
    </w:p>
    <w:p w14:paraId="79BF5D56" w14:textId="77777777" w:rsidR="00956F16" w:rsidRPr="00956F16" w:rsidRDefault="00956F16" w:rsidP="00956F16">
      <w:pPr>
        <w:spacing w:after="0" w:line="240" w:lineRule="auto"/>
        <w:rPr>
          <w:rFonts w:ascii="Times New Roman" w:eastAsia="Calibri" w:hAnsi="Times New Roman" w:cs="Times New Roman"/>
        </w:rPr>
      </w:pPr>
    </w:p>
    <w:p w14:paraId="3D6CA33B" w14:textId="77777777" w:rsidR="00956F16" w:rsidRPr="00956F16" w:rsidRDefault="00956F16" w:rsidP="00956F16">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lastRenderedPageBreak/>
        <w:t>A dóziscsökkentés lépései</w:t>
      </w:r>
    </w:p>
    <w:tbl>
      <w:tblPr>
        <w:tblW w:w="9094" w:type="dxa"/>
        <w:tblInd w:w="5" w:type="dxa"/>
        <w:tblLayout w:type="fixed"/>
        <w:tblCellMar>
          <w:left w:w="0" w:type="dxa"/>
          <w:right w:w="0" w:type="dxa"/>
        </w:tblCellMar>
        <w:tblLook w:val="0000" w:firstRow="0" w:lastRow="0" w:firstColumn="0" w:lastColumn="0" w:noHBand="0" w:noVBand="0"/>
      </w:tblPr>
      <w:tblGrid>
        <w:gridCol w:w="2421"/>
        <w:gridCol w:w="2137"/>
        <w:gridCol w:w="2268"/>
        <w:gridCol w:w="2268"/>
      </w:tblGrid>
      <w:tr w:rsidR="00956F16" w:rsidRPr="00956F16" w14:paraId="67F52D0D" w14:textId="77777777" w:rsidTr="00694E9C">
        <w:trPr>
          <w:trHeight w:hRule="exact" w:val="264"/>
        </w:trPr>
        <w:tc>
          <w:tcPr>
            <w:tcW w:w="2421" w:type="dxa"/>
            <w:tcBorders>
              <w:top w:val="single" w:sz="4" w:space="0" w:color="000000"/>
              <w:left w:val="single" w:sz="4" w:space="0" w:color="000000"/>
              <w:bottom w:val="single" w:sz="4" w:space="0" w:color="000000"/>
              <w:right w:val="single" w:sz="4" w:space="0" w:color="000000"/>
            </w:tcBorders>
          </w:tcPr>
          <w:p w14:paraId="0BBED2FF" w14:textId="77777777" w:rsidR="00956F16" w:rsidRPr="00956F16" w:rsidRDefault="00956F16" w:rsidP="00956F16">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lang w:val="en-GB"/>
              </w:rPr>
            </w:pPr>
          </w:p>
        </w:tc>
        <w:tc>
          <w:tcPr>
            <w:tcW w:w="2137" w:type="dxa"/>
            <w:tcBorders>
              <w:top w:val="single" w:sz="4" w:space="0" w:color="000000"/>
              <w:left w:val="single" w:sz="4" w:space="0" w:color="000000"/>
              <w:bottom w:val="single" w:sz="4" w:space="0" w:color="000000"/>
              <w:right w:val="single" w:sz="4" w:space="0" w:color="000000"/>
            </w:tcBorders>
          </w:tcPr>
          <w:p w14:paraId="32B13BD5"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pacing w:val="-1"/>
                <w:szCs w:val="20"/>
                <w:lang w:val="en-GB"/>
              </w:rPr>
              <w:t>L</w:t>
            </w:r>
            <w:r w:rsidRPr="00956F16">
              <w:rPr>
                <w:rFonts w:ascii="Times New Roman" w:eastAsia="Times New Roman" w:hAnsi="Times New Roman" w:cs="Times New Roman"/>
                <w:spacing w:val="1"/>
                <w:szCs w:val="20"/>
                <w:lang w:val="en-GB"/>
              </w:rPr>
              <w:t>e</w:t>
            </w:r>
            <w:r w:rsidRPr="00956F16">
              <w:rPr>
                <w:rFonts w:ascii="Times New Roman" w:eastAsia="Times New Roman" w:hAnsi="Times New Roman" w:cs="Times New Roman"/>
                <w:szCs w:val="20"/>
                <w:lang w:val="en-GB"/>
              </w:rPr>
              <w:t>na</w:t>
            </w:r>
            <w:r w:rsidRPr="00956F16">
              <w:rPr>
                <w:rFonts w:ascii="Times New Roman" w:eastAsia="Times New Roman" w:hAnsi="Times New Roman" w:cs="Times New Roman"/>
                <w:spacing w:val="-1"/>
                <w:szCs w:val="20"/>
                <w:lang w:val="en-GB"/>
              </w:rPr>
              <w:t>l</w:t>
            </w:r>
            <w:r w:rsidRPr="00956F16">
              <w:rPr>
                <w:rFonts w:ascii="Times New Roman" w:eastAsia="Times New Roman" w:hAnsi="Times New Roman" w:cs="Times New Roman"/>
                <w:spacing w:val="1"/>
                <w:szCs w:val="20"/>
                <w:lang w:val="en-GB"/>
              </w:rPr>
              <w:t>i</w:t>
            </w:r>
            <w:r w:rsidRPr="00956F16">
              <w:rPr>
                <w:rFonts w:ascii="Times New Roman" w:eastAsia="Times New Roman" w:hAnsi="Times New Roman" w:cs="Times New Roman"/>
                <w:szCs w:val="20"/>
                <w:lang w:val="en-GB"/>
              </w:rPr>
              <w:t>do</w:t>
            </w:r>
            <w:r w:rsidRPr="00956F16">
              <w:rPr>
                <w:rFonts w:ascii="Times New Roman" w:eastAsia="Times New Roman" w:hAnsi="Times New Roman" w:cs="Times New Roman"/>
                <w:spacing w:val="-3"/>
                <w:szCs w:val="20"/>
                <w:lang w:val="en-GB"/>
              </w:rPr>
              <w:t>m</w:t>
            </w:r>
            <w:r w:rsidRPr="00956F16">
              <w:rPr>
                <w:rFonts w:ascii="Times New Roman" w:eastAsia="Times New Roman" w:hAnsi="Times New Roman" w:cs="Times New Roman"/>
                <w:spacing w:val="1"/>
                <w:szCs w:val="20"/>
                <w:lang w:val="en-GB"/>
              </w:rPr>
              <w:t>i</w:t>
            </w:r>
            <w:r w:rsidRPr="00956F16">
              <w:rPr>
                <w:rFonts w:ascii="Times New Roman" w:eastAsia="Times New Roman" w:hAnsi="Times New Roman" w:cs="Times New Roman"/>
                <w:szCs w:val="20"/>
                <w:lang w:val="en-GB"/>
              </w:rPr>
              <w:t>d</w:t>
            </w:r>
          </w:p>
        </w:tc>
        <w:tc>
          <w:tcPr>
            <w:tcW w:w="2268" w:type="dxa"/>
            <w:tcBorders>
              <w:top w:val="single" w:sz="4" w:space="0" w:color="000000"/>
              <w:left w:val="single" w:sz="4" w:space="0" w:color="000000"/>
              <w:bottom w:val="single" w:sz="4" w:space="0" w:color="000000"/>
              <w:right w:val="single" w:sz="4" w:space="0" w:color="000000"/>
            </w:tcBorders>
          </w:tcPr>
          <w:p w14:paraId="545120E3"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pacing w:val="1"/>
                <w:szCs w:val="20"/>
                <w:lang w:val="en-GB"/>
              </w:rPr>
              <w:t>M</w:t>
            </w:r>
            <w:r w:rsidRPr="00956F16">
              <w:rPr>
                <w:rFonts w:ascii="Times New Roman" w:eastAsia="Times New Roman" w:hAnsi="Times New Roman" w:cs="Times New Roman"/>
                <w:szCs w:val="20"/>
                <w:lang w:val="en-GB"/>
              </w:rPr>
              <w:t>e</w:t>
            </w:r>
            <w:r w:rsidRPr="00956F16">
              <w:rPr>
                <w:rFonts w:ascii="Times New Roman" w:eastAsia="Times New Roman" w:hAnsi="Times New Roman" w:cs="Times New Roman"/>
                <w:spacing w:val="1"/>
                <w:szCs w:val="20"/>
                <w:lang w:val="en-GB"/>
              </w:rPr>
              <w:t>lf</w:t>
            </w:r>
            <w:r w:rsidRPr="00956F16">
              <w:rPr>
                <w:rFonts w:ascii="Times New Roman" w:eastAsia="Times New Roman" w:hAnsi="Times New Roman" w:cs="Times New Roman"/>
                <w:szCs w:val="20"/>
                <w:lang w:val="en-GB"/>
              </w:rPr>
              <w:t>a</w:t>
            </w:r>
            <w:r w:rsidRPr="00956F16">
              <w:rPr>
                <w:rFonts w:ascii="Times New Roman" w:eastAsia="Times New Roman" w:hAnsi="Times New Roman" w:cs="Times New Roman"/>
                <w:spacing w:val="-1"/>
                <w:szCs w:val="20"/>
                <w:lang w:val="en-GB"/>
              </w:rPr>
              <w:t>l</w:t>
            </w:r>
            <w:r w:rsidRPr="00956F16">
              <w:rPr>
                <w:rFonts w:ascii="Times New Roman" w:eastAsia="Times New Roman" w:hAnsi="Times New Roman" w:cs="Times New Roman"/>
                <w:spacing w:val="1"/>
                <w:szCs w:val="20"/>
                <w:lang w:val="en-GB"/>
              </w:rPr>
              <w:t>á</w:t>
            </w:r>
            <w:r w:rsidRPr="00956F16">
              <w:rPr>
                <w:rFonts w:ascii="Times New Roman" w:eastAsia="Times New Roman" w:hAnsi="Times New Roman" w:cs="Times New Roman"/>
                <w:szCs w:val="20"/>
                <w:lang w:val="en-GB"/>
              </w:rPr>
              <w:t>n</w:t>
            </w:r>
          </w:p>
        </w:tc>
        <w:tc>
          <w:tcPr>
            <w:tcW w:w="2268" w:type="dxa"/>
            <w:tcBorders>
              <w:top w:val="single" w:sz="4" w:space="0" w:color="000000"/>
              <w:left w:val="single" w:sz="4" w:space="0" w:color="000000"/>
              <w:bottom w:val="single" w:sz="4" w:space="0" w:color="000000"/>
              <w:right w:val="single" w:sz="4" w:space="0" w:color="000000"/>
            </w:tcBorders>
          </w:tcPr>
          <w:p w14:paraId="47677B62"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P</w:t>
            </w:r>
            <w:r w:rsidRPr="00956F16">
              <w:rPr>
                <w:rFonts w:ascii="Times New Roman" w:eastAsia="Times New Roman" w:hAnsi="Times New Roman" w:cs="Times New Roman"/>
                <w:spacing w:val="1"/>
                <w:szCs w:val="20"/>
                <w:lang w:val="en-GB"/>
              </w:rPr>
              <w:t>re</w:t>
            </w:r>
            <w:r w:rsidRPr="00956F16">
              <w:rPr>
                <w:rFonts w:ascii="Times New Roman" w:eastAsia="Times New Roman" w:hAnsi="Times New Roman" w:cs="Times New Roman"/>
                <w:szCs w:val="20"/>
                <w:lang w:val="en-GB"/>
              </w:rPr>
              <w:t>d</w:t>
            </w:r>
            <w:r w:rsidRPr="00956F16">
              <w:rPr>
                <w:rFonts w:ascii="Times New Roman" w:eastAsia="Times New Roman" w:hAnsi="Times New Roman" w:cs="Times New Roman"/>
                <w:spacing w:val="-2"/>
                <w:szCs w:val="20"/>
                <w:lang w:val="en-GB"/>
              </w:rPr>
              <w:t>n</w:t>
            </w:r>
            <w:r w:rsidRPr="00956F16">
              <w:rPr>
                <w:rFonts w:ascii="Times New Roman" w:eastAsia="Times New Roman" w:hAnsi="Times New Roman" w:cs="Times New Roman"/>
                <w:spacing w:val="1"/>
                <w:szCs w:val="20"/>
                <w:lang w:val="en-GB"/>
              </w:rPr>
              <w:t>izon</w:t>
            </w:r>
          </w:p>
        </w:tc>
      </w:tr>
      <w:tr w:rsidR="00956F16" w:rsidRPr="00956F16" w14:paraId="41EA77D7" w14:textId="77777777" w:rsidTr="00694E9C">
        <w:trPr>
          <w:trHeight w:hRule="exact" w:val="262"/>
        </w:trPr>
        <w:tc>
          <w:tcPr>
            <w:tcW w:w="2421" w:type="dxa"/>
            <w:tcBorders>
              <w:top w:val="single" w:sz="4" w:space="0" w:color="000000"/>
              <w:left w:val="single" w:sz="4" w:space="0" w:color="000000"/>
              <w:bottom w:val="single" w:sz="4" w:space="0" w:color="000000"/>
              <w:right w:val="single" w:sz="4" w:space="0" w:color="000000"/>
            </w:tcBorders>
          </w:tcPr>
          <w:p w14:paraId="43CE2C61"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Kezdő dózis</w:t>
            </w:r>
          </w:p>
        </w:tc>
        <w:tc>
          <w:tcPr>
            <w:tcW w:w="2137" w:type="dxa"/>
            <w:tcBorders>
              <w:top w:val="single" w:sz="4" w:space="0" w:color="000000"/>
              <w:left w:val="single" w:sz="4" w:space="0" w:color="000000"/>
              <w:bottom w:val="single" w:sz="4" w:space="0" w:color="000000"/>
              <w:right w:val="single" w:sz="4" w:space="0" w:color="000000"/>
            </w:tcBorders>
          </w:tcPr>
          <w:p w14:paraId="57896B37" w14:textId="77777777" w:rsidR="00956F16" w:rsidRPr="00956F16" w:rsidRDefault="00956F16" w:rsidP="00956F16">
            <w:pPr>
              <w:keepNext/>
              <w:tabs>
                <w:tab w:val="left" w:pos="567"/>
              </w:tabs>
              <w:autoSpaceDE w:val="0"/>
              <w:autoSpaceDN w:val="0"/>
              <w:adjustRightInd w:val="0"/>
              <w:spacing w:after="0" w:line="240" w:lineRule="auto"/>
              <w:ind w:left="142" w:righ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10 </w:t>
            </w:r>
            <w:r w:rsidRPr="00956F16">
              <w:rPr>
                <w:rFonts w:ascii="Times New Roman" w:eastAsia="Times New Roman" w:hAnsi="Times New Roman" w:cs="Times New Roman"/>
                <w:spacing w:val="-1"/>
                <w:szCs w:val="20"/>
                <w:lang w:val="en-GB"/>
              </w:rPr>
              <w:t>m</w:t>
            </w:r>
            <w:r w:rsidRPr="00956F16">
              <w:rPr>
                <w:rFonts w:ascii="Times New Roman" w:eastAsia="Times New Roman" w:hAnsi="Times New Roman" w:cs="Times New Roman"/>
                <w:szCs w:val="20"/>
                <w:lang w:val="en-GB"/>
              </w:rPr>
              <w:t>gª</w:t>
            </w:r>
          </w:p>
        </w:tc>
        <w:tc>
          <w:tcPr>
            <w:tcW w:w="2268" w:type="dxa"/>
            <w:tcBorders>
              <w:top w:val="single" w:sz="4" w:space="0" w:color="000000"/>
              <w:left w:val="single" w:sz="4" w:space="0" w:color="000000"/>
              <w:bottom w:val="single" w:sz="4" w:space="0" w:color="000000"/>
              <w:right w:val="single" w:sz="4" w:space="0" w:color="000000"/>
            </w:tcBorders>
          </w:tcPr>
          <w:p w14:paraId="4DE2FEFC"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0,18 </w:t>
            </w:r>
            <w:r w:rsidRPr="00956F16">
              <w:rPr>
                <w:rFonts w:ascii="Times New Roman" w:eastAsia="Times New Roman" w:hAnsi="Times New Roman" w:cs="Times New Roman"/>
                <w:spacing w:val="-4"/>
                <w:szCs w:val="20"/>
                <w:lang w:val="en-GB"/>
              </w:rPr>
              <w:t>m</w:t>
            </w:r>
            <w:r w:rsidRPr="00956F16">
              <w:rPr>
                <w:rFonts w:ascii="Times New Roman" w:eastAsia="Times New Roman" w:hAnsi="Times New Roman" w:cs="Times New Roman"/>
                <w:spacing w:val="-2"/>
                <w:szCs w:val="20"/>
                <w:lang w:val="en-GB"/>
              </w:rPr>
              <w:t>g</w:t>
            </w:r>
            <w:r w:rsidRPr="00956F16">
              <w:rPr>
                <w:rFonts w:ascii="Times New Roman" w:eastAsia="Times New Roman" w:hAnsi="Times New Roman" w:cs="Times New Roman"/>
                <w:spacing w:val="3"/>
                <w:szCs w:val="20"/>
                <w:lang w:val="en-GB"/>
              </w:rPr>
              <w:t>/tt</w:t>
            </w:r>
            <w:r w:rsidRPr="00956F16">
              <w:rPr>
                <w:rFonts w:ascii="Times New Roman" w:eastAsia="Times New Roman" w:hAnsi="Times New Roman" w:cs="Times New Roman"/>
                <w:szCs w:val="20"/>
                <w:lang w:val="en-GB"/>
              </w:rPr>
              <w:t>kg</w:t>
            </w:r>
          </w:p>
        </w:tc>
        <w:tc>
          <w:tcPr>
            <w:tcW w:w="2268" w:type="dxa"/>
            <w:tcBorders>
              <w:top w:val="single" w:sz="4" w:space="0" w:color="000000"/>
              <w:left w:val="single" w:sz="4" w:space="0" w:color="000000"/>
              <w:bottom w:val="single" w:sz="4" w:space="0" w:color="000000"/>
              <w:right w:val="single" w:sz="4" w:space="0" w:color="000000"/>
            </w:tcBorders>
          </w:tcPr>
          <w:p w14:paraId="185CF9DE" w14:textId="77777777" w:rsidR="00956F16" w:rsidRPr="00956F16" w:rsidRDefault="00956F16" w:rsidP="00956F16">
            <w:pPr>
              <w:keepNext/>
              <w:autoSpaceDE w:val="0"/>
              <w:autoSpaceDN w:val="0"/>
              <w:adjustRightInd w:val="0"/>
              <w:spacing w:after="0" w:line="240" w:lineRule="auto"/>
              <w:ind w:left="14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2 </w:t>
            </w:r>
            <w:r w:rsidRPr="00956F16">
              <w:rPr>
                <w:rFonts w:ascii="Times New Roman" w:eastAsia="Times New Roman" w:hAnsi="Times New Roman" w:cs="Times New Roman"/>
                <w:spacing w:val="-1"/>
                <w:szCs w:val="20"/>
                <w:lang w:val="en-GB"/>
              </w:rPr>
              <w:t>m</w:t>
            </w:r>
            <w:r w:rsidRPr="00956F16">
              <w:rPr>
                <w:rFonts w:ascii="Times New Roman" w:eastAsia="Times New Roman" w:hAnsi="Times New Roman" w:cs="Times New Roman"/>
                <w:spacing w:val="-2"/>
                <w:szCs w:val="20"/>
                <w:lang w:val="en-GB"/>
              </w:rPr>
              <w:t>g</w:t>
            </w:r>
            <w:r w:rsidRPr="00956F16">
              <w:rPr>
                <w:rFonts w:ascii="Times New Roman" w:eastAsia="Times New Roman" w:hAnsi="Times New Roman" w:cs="Times New Roman"/>
                <w:spacing w:val="1"/>
                <w:szCs w:val="20"/>
                <w:lang w:val="en-GB"/>
              </w:rPr>
              <w:t>/tt</w:t>
            </w:r>
            <w:r w:rsidRPr="00956F16">
              <w:rPr>
                <w:rFonts w:ascii="Times New Roman" w:eastAsia="Times New Roman" w:hAnsi="Times New Roman" w:cs="Times New Roman"/>
                <w:szCs w:val="20"/>
                <w:lang w:val="en-GB"/>
              </w:rPr>
              <w:t>kg</w:t>
            </w:r>
          </w:p>
        </w:tc>
      </w:tr>
      <w:tr w:rsidR="00956F16" w:rsidRPr="00956F16" w14:paraId="4865DB40" w14:textId="77777777" w:rsidTr="00694E9C">
        <w:trPr>
          <w:trHeight w:hRule="exact" w:val="264"/>
        </w:trPr>
        <w:tc>
          <w:tcPr>
            <w:tcW w:w="2421" w:type="dxa"/>
            <w:tcBorders>
              <w:top w:val="single" w:sz="4" w:space="0" w:color="000000"/>
              <w:left w:val="single" w:sz="4" w:space="0" w:color="000000"/>
              <w:bottom w:val="single" w:sz="4" w:space="0" w:color="000000"/>
              <w:right w:val="single" w:sz="4" w:space="0" w:color="000000"/>
            </w:tcBorders>
          </w:tcPr>
          <w:p w14:paraId="5B0443CD" w14:textId="503C69EF" w:rsidR="00956F16" w:rsidRPr="00956F16" w:rsidRDefault="008A3DE8"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Pr>
                <w:rFonts w:ascii="Times New Roman" w:eastAsia="Times New Roman" w:hAnsi="Times New Roman" w:cs="Times New Roman"/>
                <w:szCs w:val="20"/>
              </w:rPr>
              <w:t>–</w:t>
            </w:r>
            <w:r w:rsidR="00956F16" w:rsidRPr="00956F16">
              <w:rPr>
                <w:rFonts w:ascii="Times New Roman" w:eastAsia="Times New Roman" w:hAnsi="Times New Roman" w:cs="Times New Roman"/>
                <w:spacing w:val="-1"/>
                <w:szCs w:val="20"/>
                <w:lang w:val="en-GB"/>
              </w:rPr>
              <w:t>1. dózisszint</w:t>
            </w:r>
          </w:p>
        </w:tc>
        <w:tc>
          <w:tcPr>
            <w:tcW w:w="2137" w:type="dxa"/>
            <w:tcBorders>
              <w:top w:val="single" w:sz="4" w:space="0" w:color="000000"/>
              <w:left w:val="single" w:sz="4" w:space="0" w:color="000000"/>
              <w:bottom w:val="single" w:sz="4" w:space="0" w:color="000000"/>
              <w:right w:val="single" w:sz="4" w:space="0" w:color="000000"/>
            </w:tcBorders>
          </w:tcPr>
          <w:p w14:paraId="4DAA015D" w14:textId="77777777" w:rsidR="00956F16" w:rsidRPr="00956F16" w:rsidRDefault="00956F16" w:rsidP="00956F16">
            <w:pPr>
              <w:keepNext/>
              <w:tabs>
                <w:tab w:val="left" w:pos="567"/>
              </w:tabs>
              <w:autoSpaceDE w:val="0"/>
              <w:autoSpaceDN w:val="0"/>
              <w:adjustRightInd w:val="0"/>
              <w:spacing w:after="0" w:line="240" w:lineRule="auto"/>
              <w:ind w:left="142" w:righ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7,5 </w:t>
            </w:r>
            <w:r w:rsidRPr="00956F16">
              <w:rPr>
                <w:rFonts w:ascii="Times New Roman" w:eastAsia="Times New Roman" w:hAnsi="Times New Roman" w:cs="Times New Roman"/>
                <w:spacing w:val="-1"/>
                <w:szCs w:val="20"/>
                <w:lang w:val="en-GB"/>
              </w:rPr>
              <w:t>m</w:t>
            </w:r>
            <w:r w:rsidRPr="00956F16">
              <w:rPr>
                <w:rFonts w:ascii="Times New Roman" w:eastAsia="Times New Roman" w:hAnsi="Times New Roman" w:cs="Times New Roman"/>
                <w:szCs w:val="20"/>
                <w:lang w:val="en-GB"/>
              </w:rPr>
              <w:t>g</w:t>
            </w:r>
          </w:p>
        </w:tc>
        <w:tc>
          <w:tcPr>
            <w:tcW w:w="2268" w:type="dxa"/>
            <w:tcBorders>
              <w:top w:val="single" w:sz="4" w:space="0" w:color="000000"/>
              <w:left w:val="single" w:sz="4" w:space="0" w:color="000000"/>
              <w:bottom w:val="single" w:sz="4" w:space="0" w:color="000000"/>
              <w:right w:val="single" w:sz="4" w:space="0" w:color="000000"/>
            </w:tcBorders>
          </w:tcPr>
          <w:p w14:paraId="0E032A39"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0,14 </w:t>
            </w:r>
            <w:r w:rsidRPr="00956F16">
              <w:rPr>
                <w:rFonts w:ascii="Times New Roman" w:eastAsia="Times New Roman" w:hAnsi="Times New Roman" w:cs="Times New Roman"/>
                <w:spacing w:val="-4"/>
                <w:szCs w:val="20"/>
                <w:lang w:val="en-GB"/>
              </w:rPr>
              <w:t>m</w:t>
            </w:r>
            <w:r w:rsidRPr="00956F16">
              <w:rPr>
                <w:rFonts w:ascii="Times New Roman" w:eastAsia="Times New Roman" w:hAnsi="Times New Roman" w:cs="Times New Roman"/>
                <w:spacing w:val="-2"/>
                <w:szCs w:val="20"/>
                <w:lang w:val="en-GB"/>
              </w:rPr>
              <w:t>g</w:t>
            </w:r>
            <w:r w:rsidRPr="00956F16">
              <w:rPr>
                <w:rFonts w:ascii="Times New Roman" w:eastAsia="Times New Roman" w:hAnsi="Times New Roman" w:cs="Times New Roman"/>
                <w:spacing w:val="3"/>
                <w:szCs w:val="20"/>
                <w:lang w:val="en-GB"/>
              </w:rPr>
              <w:t>/tt</w:t>
            </w:r>
            <w:r w:rsidRPr="00956F16">
              <w:rPr>
                <w:rFonts w:ascii="Times New Roman" w:eastAsia="Times New Roman" w:hAnsi="Times New Roman" w:cs="Times New Roman"/>
                <w:szCs w:val="20"/>
                <w:lang w:val="en-GB"/>
              </w:rPr>
              <w:t>kg</w:t>
            </w:r>
          </w:p>
        </w:tc>
        <w:tc>
          <w:tcPr>
            <w:tcW w:w="2268" w:type="dxa"/>
            <w:tcBorders>
              <w:top w:val="single" w:sz="4" w:space="0" w:color="000000"/>
              <w:left w:val="single" w:sz="4" w:space="0" w:color="000000"/>
              <w:bottom w:val="single" w:sz="4" w:space="0" w:color="000000"/>
              <w:right w:val="single" w:sz="4" w:space="0" w:color="000000"/>
            </w:tcBorders>
          </w:tcPr>
          <w:p w14:paraId="2A779397" w14:textId="77777777" w:rsidR="00956F16" w:rsidRPr="00956F16" w:rsidRDefault="00956F16" w:rsidP="00956F16">
            <w:pPr>
              <w:keepNext/>
              <w:autoSpaceDE w:val="0"/>
              <w:autoSpaceDN w:val="0"/>
              <w:adjustRightInd w:val="0"/>
              <w:spacing w:after="0" w:line="240" w:lineRule="auto"/>
              <w:ind w:left="14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1 </w:t>
            </w:r>
            <w:r w:rsidRPr="00956F16">
              <w:rPr>
                <w:rFonts w:ascii="Times New Roman" w:eastAsia="Times New Roman" w:hAnsi="Times New Roman" w:cs="Times New Roman"/>
                <w:spacing w:val="-1"/>
                <w:szCs w:val="20"/>
                <w:lang w:val="en-GB"/>
              </w:rPr>
              <w:t>m</w:t>
            </w:r>
            <w:r w:rsidRPr="00956F16">
              <w:rPr>
                <w:rFonts w:ascii="Times New Roman" w:eastAsia="Times New Roman" w:hAnsi="Times New Roman" w:cs="Times New Roman"/>
                <w:spacing w:val="-2"/>
                <w:szCs w:val="20"/>
                <w:lang w:val="en-GB"/>
              </w:rPr>
              <w:t>g</w:t>
            </w:r>
            <w:r w:rsidRPr="00956F16">
              <w:rPr>
                <w:rFonts w:ascii="Times New Roman" w:eastAsia="Times New Roman" w:hAnsi="Times New Roman" w:cs="Times New Roman"/>
                <w:spacing w:val="1"/>
                <w:szCs w:val="20"/>
                <w:lang w:val="en-GB"/>
              </w:rPr>
              <w:t>/tt</w:t>
            </w:r>
            <w:r w:rsidRPr="00956F16">
              <w:rPr>
                <w:rFonts w:ascii="Times New Roman" w:eastAsia="Times New Roman" w:hAnsi="Times New Roman" w:cs="Times New Roman"/>
                <w:szCs w:val="20"/>
                <w:lang w:val="en-GB"/>
              </w:rPr>
              <w:t>kg</w:t>
            </w:r>
          </w:p>
        </w:tc>
      </w:tr>
      <w:tr w:rsidR="00956F16" w:rsidRPr="00956F16" w14:paraId="7C0E24D6" w14:textId="77777777" w:rsidTr="00694E9C">
        <w:trPr>
          <w:trHeight w:hRule="exact" w:val="262"/>
        </w:trPr>
        <w:tc>
          <w:tcPr>
            <w:tcW w:w="2421" w:type="dxa"/>
            <w:tcBorders>
              <w:top w:val="single" w:sz="4" w:space="0" w:color="000000"/>
              <w:left w:val="single" w:sz="4" w:space="0" w:color="000000"/>
              <w:bottom w:val="single" w:sz="4" w:space="0" w:color="000000"/>
              <w:right w:val="single" w:sz="4" w:space="0" w:color="000000"/>
            </w:tcBorders>
          </w:tcPr>
          <w:p w14:paraId="06990676" w14:textId="220F262D" w:rsidR="00956F16" w:rsidRPr="00956F16" w:rsidRDefault="008A3DE8"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Pr>
                <w:rFonts w:ascii="Times New Roman" w:eastAsia="Times New Roman" w:hAnsi="Times New Roman" w:cs="Times New Roman"/>
                <w:szCs w:val="20"/>
              </w:rPr>
              <w:t>–</w:t>
            </w:r>
            <w:r w:rsidR="00956F16" w:rsidRPr="00956F16">
              <w:rPr>
                <w:rFonts w:ascii="Times New Roman" w:eastAsia="Times New Roman" w:hAnsi="Times New Roman" w:cs="Times New Roman"/>
                <w:spacing w:val="-1"/>
                <w:szCs w:val="20"/>
                <w:lang w:val="en-GB"/>
              </w:rPr>
              <w:t>2. dózisszint</w:t>
            </w:r>
          </w:p>
        </w:tc>
        <w:tc>
          <w:tcPr>
            <w:tcW w:w="2137" w:type="dxa"/>
            <w:tcBorders>
              <w:top w:val="single" w:sz="4" w:space="0" w:color="000000"/>
              <w:left w:val="single" w:sz="4" w:space="0" w:color="000000"/>
              <w:bottom w:val="single" w:sz="4" w:space="0" w:color="000000"/>
              <w:right w:val="single" w:sz="4" w:space="0" w:color="000000"/>
            </w:tcBorders>
          </w:tcPr>
          <w:p w14:paraId="37999909" w14:textId="77777777" w:rsidR="00956F16" w:rsidRPr="00956F16" w:rsidRDefault="00956F16" w:rsidP="00956F16">
            <w:pPr>
              <w:keepNext/>
              <w:tabs>
                <w:tab w:val="left" w:pos="567"/>
              </w:tabs>
              <w:autoSpaceDE w:val="0"/>
              <w:autoSpaceDN w:val="0"/>
              <w:adjustRightInd w:val="0"/>
              <w:spacing w:after="0" w:line="240" w:lineRule="auto"/>
              <w:ind w:left="142" w:righ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5 </w:t>
            </w:r>
            <w:r w:rsidRPr="00956F16">
              <w:rPr>
                <w:rFonts w:ascii="Times New Roman" w:eastAsia="Times New Roman" w:hAnsi="Times New Roman" w:cs="Times New Roman"/>
                <w:spacing w:val="-1"/>
                <w:szCs w:val="20"/>
                <w:lang w:val="en-GB"/>
              </w:rPr>
              <w:t>m</w:t>
            </w:r>
            <w:r w:rsidRPr="00956F16">
              <w:rPr>
                <w:rFonts w:ascii="Times New Roman" w:eastAsia="Times New Roman" w:hAnsi="Times New Roman" w:cs="Times New Roman"/>
                <w:szCs w:val="20"/>
                <w:lang w:val="en-GB"/>
              </w:rPr>
              <w:t>g</w:t>
            </w:r>
          </w:p>
        </w:tc>
        <w:tc>
          <w:tcPr>
            <w:tcW w:w="2268" w:type="dxa"/>
            <w:tcBorders>
              <w:top w:val="single" w:sz="4" w:space="0" w:color="000000"/>
              <w:left w:val="single" w:sz="4" w:space="0" w:color="000000"/>
              <w:bottom w:val="single" w:sz="4" w:space="0" w:color="000000"/>
              <w:right w:val="single" w:sz="4" w:space="0" w:color="000000"/>
            </w:tcBorders>
          </w:tcPr>
          <w:p w14:paraId="1A90C2A4"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0,10 </w:t>
            </w:r>
            <w:r w:rsidRPr="00956F16">
              <w:rPr>
                <w:rFonts w:ascii="Times New Roman" w:eastAsia="Times New Roman" w:hAnsi="Times New Roman" w:cs="Times New Roman"/>
                <w:spacing w:val="-4"/>
                <w:szCs w:val="20"/>
                <w:lang w:val="en-GB"/>
              </w:rPr>
              <w:t>m</w:t>
            </w:r>
            <w:r w:rsidRPr="00956F16">
              <w:rPr>
                <w:rFonts w:ascii="Times New Roman" w:eastAsia="Times New Roman" w:hAnsi="Times New Roman" w:cs="Times New Roman"/>
                <w:spacing w:val="-2"/>
                <w:szCs w:val="20"/>
                <w:lang w:val="en-GB"/>
              </w:rPr>
              <w:t>g</w:t>
            </w:r>
            <w:r w:rsidRPr="00956F16">
              <w:rPr>
                <w:rFonts w:ascii="Times New Roman" w:eastAsia="Times New Roman" w:hAnsi="Times New Roman" w:cs="Times New Roman"/>
                <w:spacing w:val="3"/>
                <w:szCs w:val="20"/>
                <w:lang w:val="en-GB"/>
              </w:rPr>
              <w:t>/tt</w:t>
            </w:r>
            <w:r w:rsidRPr="00956F16">
              <w:rPr>
                <w:rFonts w:ascii="Times New Roman" w:eastAsia="Times New Roman" w:hAnsi="Times New Roman" w:cs="Times New Roman"/>
                <w:szCs w:val="20"/>
                <w:lang w:val="en-GB"/>
              </w:rPr>
              <w:t>kg</w:t>
            </w:r>
          </w:p>
        </w:tc>
        <w:tc>
          <w:tcPr>
            <w:tcW w:w="2268" w:type="dxa"/>
            <w:tcBorders>
              <w:top w:val="single" w:sz="4" w:space="0" w:color="000000"/>
              <w:left w:val="single" w:sz="4" w:space="0" w:color="000000"/>
              <w:bottom w:val="single" w:sz="4" w:space="0" w:color="000000"/>
              <w:right w:val="single" w:sz="4" w:space="0" w:color="000000"/>
            </w:tcBorders>
          </w:tcPr>
          <w:p w14:paraId="3E87D549"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0,5 </w:t>
            </w:r>
            <w:r w:rsidRPr="00956F16">
              <w:rPr>
                <w:rFonts w:ascii="Times New Roman" w:eastAsia="Times New Roman" w:hAnsi="Times New Roman" w:cs="Times New Roman"/>
                <w:spacing w:val="-1"/>
                <w:szCs w:val="20"/>
                <w:lang w:val="en-GB"/>
              </w:rPr>
              <w:t>m</w:t>
            </w:r>
            <w:r w:rsidRPr="00956F16">
              <w:rPr>
                <w:rFonts w:ascii="Times New Roman" w:eastAsia="Times New Roman" w:hAnsi="Times New Roman" w:cs="Times New Roman"/>
                <w:spacing w:val="-2"/>
                <w:szCs w:val="20"/>
                <w:lang w:val="en-GB"/>
              </w:rPr>
              <w:t>g</w:t>
            </w:r>
            <w:r w:rsidRPr="00956F16">
              <w:rPr>
                <w:rFonts w:ascii="Times New Roman" w:eastAsia="Times New Roman" w:hAnsi="Times New Roman" w:cs="Times New Roman"/>
                <w:spacing w:val="1"/>
                <w:szCs w:val="20"/>
                <w:lang w:val="en-GB"/>
              </w:rPr>
              <w:t>/tt</w:t>
            </w:r>
            <w:r w:rsidRPr="00956F16">
              <w:rPr>
                <w:rFonts w:ascii="Times New Roman" w:eastAsia="Times New Roman" w:hAnsi="Times New Roman" w:cs="Times New Roman"/>
                <w:szCs w:val="20"/>
                <w:lang w:val="en-GB"/>
              </w:rPr>
              <w:t>kg</w:t>
            </w:r>
          </w:p>
        </w:tc>
      </w:tr>
      <w:tr w:rsidR="00956F16" w:rsidRPr="00956F16" w14:paraId="5B653C85" w14:textId="77777777" w:rsidTr="00694E9C">
        <w:trPr>
          <w:trHeight w:hRule="exact" w:val="279"/>
        </w:trPr>
        <w:tc>
          <w:tcPr>
            <w:tcW w:w="2421" w:type="dxa"/>
            <w:tcBorders>
              <w:top w:val="single" w:sz="4" w:space="0" w:color="000000"/>
              <w:left w:val="single" w:sz="4" w:space="0" w:color="000000"/>
              <w:bottom w:val="single" w:sz="4" w:space="0" w:color="000000"/>
              <w:right w:val="single" w:sz="4" w:space="0" w:color="000000"/>
            </w:tcBorders>
          </w:tcPr>
          <w:p w14:paraId="45A82558" w14:textId="44B09287" w:rsidR="00956F16" w:rsidRPr="00956F16" w:rsidRDefault="008A3DE8"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Pr>
                <w:rFonts w:ascii="Times New Roman" w:eastAsia="Times New Roman" w:hAnsi="Times New Roman" w:cs="Times New Roman"/>
                <w:szCs w:val="20"/>
              </w:rPr>
              <w:t>–</w:t>
            </w:r>
            <w:r w:rsidR="00956F16" w:rsidRPr="00956F16">
              <w:rPr>
                <w:rFonts w:ascii="Times New Roman" w:eastAsia="Times New Roman" w:hAnsi="Times New Roman" w:cs="Times New Roman"/>
                <w:spacing w:val="-1"/>
                <w:szCs w:val="20"/>
                <w:lang w:val="en-GB"/>
              </w:rPr>
              <w:t>3. dózisszint</w:t>
            </w:r>
          </w:p>
        </w:tc>
        <w:tc>
          <w:tcPr>
            <w:tcW w:w="2137" w:type="dxa"/>
            <w:tcBorders>
              <w:top w:val="single" w:sz="4" w:space="0" w:color="000000"/>
              <w:left w:val="single" w:sz="4" w:space="0" w:color="000000"/>
              <w:bottom w:val="single" w:sz="4" w:space="0" w:color="000000"/>
              <w:right w:val="single" w:sz="4" w:space="0" w:color="000000"/>
            </w:tcBorders>
          </w:tcPr>
          <w:p w14:paraId="5EAD87B2" w14:textId="77777777" w:rsidR="00956F16" w:rsidRPr="00956F16" w:rsidRDefault="00956F16" w:rsidP="00956F16">
            <w:pPr>
              <w:keepNext/>
              <w:tabs>
                <w:tab w:val="left" w:pos="567"/>
              </w:tabs>
              <w:autoSpaceDE w:val="0"/>
              <w:autoSpaceDN w:val="0"/>
              <w:adjustRightInd w:val="0"/>
              <w:spacing w:after="0" w:line="240" w:lineRule="auto"/>
              <w:ind w:left="142" w:righ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2,5 </w:t>
            </w:r>
            <w:r w:rsidRPr="00956F16">
              <w:rPr>
                <w:rFonts w:ascii="Times New Roman" w:eastAsia="Times New Roman" w:hAnsi="Times New Roman" w:cs="Times New Roman"/>
                <w:spacing w:val="-1"/>
                <w:szCs w:val="20"/>
                <w:lang w:val="en-GB"/>
              </w:rPr>
              <w:t>m</w:t>
            </w:r>
            <w:r w:rsidRPr="00956F16">
              <w:rPr>
                <w:rFonts w:ascii="Times New Roman" w:eastAsia="Times New Roman" w:hAnsi="Times New Roman" w:cs="Times New Roman"/>
                <w:szCs w:val="20"/>
                <w:lang w:val="en-GB"/>
              </w:rPr>
              <w:t>g</w:t>
            </w:r>
          </w:p>
        </w:tc>
        <w:tc>
          <w:tcPr>
            <w:tcW w:w="2268" w:type="dxa"/>
            <w:tcBorders>
              <w:top w:val="single" w:sz="4" w:space="0" w:color="000000"/>
              <w:left w:val="single" w:sz="4" w:space="0" w:color="000000"/>
              <w:bottom w:val="single" w:sz="4" w:space="0" w:color="000000"/>
              <w:right w:val="single" w:sz="4" w:space="0" w:color="000000"/>
            </w:tcBorders>
          </w:tcPr>
          <w:p w14:paraId="423B92A1"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pacing w:val="-1"/>
                <w:szCs w:val="20"/>
                <w:lang w:val="en-GB"/>
              </w:rPr>
              <w:t>Nem alkalmazható</w:t>
            </w:r>
          </w:p>
        </w:tc>
        <w:tc>
          <w:tcPr>
            <w:tcW w:w="2268" w:type="dxa"/>
            <w:tcBorders>
              <w:top w:val="single" w:sz="4" w:space="0" w:color="000000"/>
              <w:left w:val="single" w:sz="4" w:space="0" w:color="000000"/>
              <w:bottom w:val="single" w:sz="4" w:space="0" w:color="000000"/>
              <w:right w:val="single" w:sz="4" w:space="0" w:color="000000"/>
            </w:tcBorders>
          </w:tcPr>
          <w:p w14:paraId="0274F199" w14:textId="77777777"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0,25 </w:t>
            </w:r>
            <w:r w:rsidRPr="00956F16">
              <w:rPr>
                <w:rFonts w:ascii="Times New Roman" w:eastAsia="Times New Roman" w:hAnsi="Times New Roman" w:cs="Times New Roman"/>
                <w:spacing w:val="-3"/>
                <w:szCs w:val="20"/>
                <w:lang w:val="en-GB"/>
              </w:rPr>
              <w:t>m</w:t>
            </w:r>
            <w:r w:rsidRPr="00956F16">
              <w:rPr>
                <w:rFonts w:ascii="Times New Roman" w:eastAsia="Times New Roman" w:hAnsi="Times New Roman" w:cs="Times New Roman"/>
                <w:spacing w:val="-2"/>
                <w:szCs w:val="20"/>
                <w:lang w:val="en-GB"/>
              </w:rPr>
              <w:t>g</w:t>
            </w:r>
            <w:r w:rsidRPr="00956F16">
              <w:rPr>
                <w:rFonts w:ascii="Times New Roman" w:eastAsia="Times New Roman" w:hAnsi="Times New Roman" w:cs="Times New Roman"/>
                <w:spacing w:val="4"/>
                <w:szCs w:val="20"/>
                <w:lang w:val="en-GB"/>
              </w:rPr>
              <w:t>/tt</w:t>
            </w:r>
            <w:r w:rsidRPr="00956F16">
              <w:rPr>
                <w:rFonts w:ascii="Times New Roman" w:eastAsia="Times New Roman" w:hAnsi="Times New Roman" w:cs="Times New Roman"/>
                <w:szCs w:val="20"/>
                <w:lang w:val="en-GB"/>
              </w:rPr>
              <w:t>kg</w:t>
            </w:r>
          </w:p>
        </w:tc>
      </w:tr>
    </w:tbl>
    <w:p w14:paraId="55CF8E2A" w14:textId="667285B7" w:rsidR="00956F16" w:rsidRPr="00956F16" w:rsidRDefault="00956F16" w:rsidP="00956F16">
      <w:pPr>
        <w:keepNext/>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ª Amennyiben bármelyik dózisszint mellett a neutropenia az egyetlen toxicitás, akkor a terápiát ki kell egészíteni granulocyta-kolónia</w:t>
      </w:r>
      <w:r w:rsidR="00404E9B">
        <w:rPr>
          <w:rFonts w:ascii="Times New Roman" w:eastAsia="Calibri" w:hAnsi="Times New Roman" w:cs="Times New Roman"/>
          <w:sz w:val="18"/>
          <w:szCs w:val="18"/>
        </w:rPr>
        <w:t>-</w:t>
      </w:r>
      <w:r w:rsidRPr="00956F16">
        <w:rPr>
          <w:rFonts w:ascii="Times New Roman" w:eastAsia="Calibri" w:hAnsi="Times New Roman" w:cs="Times New Roman"/>
          <w:sz w:val="18"/>
          <w:szCs w:val="18"/>
        </w:rPr>
        <w:t>stimuláló faktorral (G-CSF), és a lenalidomid dózisszintjét fenn kell tartani.</w:t>
      </w:r>
    </w:p>
    <w:p w14:paraId="168DB58E" w14:textId="77777777" w:rsidR="00956F16" w:rsidRPr="00956F16" w:rsidRDefault="00956F16" w:rsidP="00956F16">
      <w:pPr>
        <w:spacing w:after="0" w:line="240" w:lineRule="auto"/>
        <w:rPr>
          <w:rFonts w:ascii="Times New Roman" w:eastAsia="Calibri" w:hAnsi="Times New Roman" w:cs="Times New Roman"/>
        </w:rPr>
      </w:pPr>
    </w:p>
    <w:p w14:paraId="557AC953" w14:textId="77777777" w:rsidR="00956F16" w:rsidRPr="00956F16" w:rsidRDefault="00956F16" w:rsidP="00956F16">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t>Thrombocytopenia</w:t>
      </w:r>
    </w:p>
    <w:tbl>
      <w:tblPr>
        <w:tblStyle w:val="Rcsostblzat"/>
        <w:tblW w:w="0" w:type="auto"/>
        <w:tblLook w:val="04A0" w:firstRow="1" w:lastRow="0" w:firstColumn="1" w:lastColumn="0" w:noHBand="0" w:noVBand="1"/>
      </w:tblPr>
      <w:tblGrid>
        <w:gridCol w:w="3539"/>
        <w:gridCol w:w="5521"/>
      </w:tblGrid>
      <w:tr w:rsidR="00956F16" w:rsidRPr="00956F16" w14:paraId="6D72DBCD" w14:textId="77777777" w:rsidTr="00E83289">
        <w:tc>
          <w:tcPr>
            <w:tcW w:w="3539" w:type="dxa"/>
          </w:tcPr>
          <w:p w14:paraId="628A4C98"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Ha a thrombocytaszám</w:t>
            </w:r>
          </w:p>
        </w:tc>
        <w:tc>
          <w:tcPr>
            <w:tcW w:w="5521" w:type="dxa"/>
          </w:tcPr>
          <w:p w14:paraId="6EA93C15"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Javasolt kezelés</w:t>
            </w:r>
          </w:p>
        </w:tc>
      </w:tr>
      <w:tr w:rsidR="00956F16" w:rsidRPr="00956F16" w14:paraId="72A09445" w14:textId="77777777" w:rsidTr="00E83289">
        <w:tc>
          <w:tcPr>
            <w:tcW w:w="3539" w:type="dxa"/>
          </w:tcPr>
          <w:p w14:paraId="6A673025"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először esik 25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w:t>
            </w:r>
          </w:p>
          <w:p w14:paraId="13AEF235" w14:textId="4E0D1094" w:rsidR="00956F16" w:rsidRPr="00956F16" w:rsidRDefault="00956F16" w:rsidP="00956F16">
            <w:pPr>
              <w:keepNext/>
              <w:rPr>
                <w:rFonts w:ascii="Times New Roman" w:eastAsia="Calibri" w:hAnsi="Times New Roman" w:cs="Times New Roman"/>
              </w:rPr>
            </w:pPr>
          </w:p>
        </w:tc>
        <w:tc>
          <w:tcPr>
            <w:tcW w:w="5521" w:type="dxa"/>
          </w:tcPr>
          <w:p w14:paraId="398E8AE9" w14:textId="5280A46E"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p w14:paraId="2C73D434" w14:textId="6641DBB9" w:rsidR="00956F16" w:rsidRPr="00956F16" w:rsidRDefault="00956F16" w:rsidP="00956F16">
            <w:pPr>
              <w:keepNext/>
              <w:rPr>
                <w:rFonts w:ascii="Times New Roman" w:eastAsia="Calibri" w:hAnsi="Times New Roman" w:cs="Times New Roman"/>
              </w:rPr>
            </w:pPr>
          </w:p>
        </w:tc>
      </w:tr>
      <w:tr w:rsidR="002F39C0" w:rsidRPr="00956F16" w14:paraId="4DFA8277" w14:textId="77777777" w:rsidTr="002F39C0">
        <w:tc>
          <w:tcPr>
            <w:tcW w:w="3539" w:type="dxa"/>
          </w:tcPr>
          <w:p w14:paraId="343C10BA" w14:textId="26957F75" w:rsidR="002F39C0" w:rsidRPr="00956F16" w:rsidRDefault="002F39C0" w:rsidP="00956F16">
            <w:pPr>
              <w:keepNext/>
              <w:rPr>
                <w:rFonts w:ascii="Times New Roman" w:eastAsia="Calibri" w:hAnsi="Times New Roman" w:cs="Times New Roman"/>
              </w:rPr>
            </w:pPr>
            <w:r w:rsidRPr="00956F16">
              <w:rPr>
                <w:rFonts w:ascii="Times New Roman" w:eastAsia="Calibri" w:hAnsi="Times New Roman" w:cs="Times New Roman"/>
              </w:rPr>
              <w:t>visszatér ≥ 25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7F5A8057" w14:textId="6ED3491F" w:rsidR="002F39C0" w:rsidRPr="00956F16" w:rsidRDefault="002F39C0" w:rsidP="00956F16">
            <w:pPr>
              <w:keepNext/>
              <w:rPr>
                <w:rFonts w:ascii="Times New Roman" w:eastAsia="Calibri" w:hAnsi="Times New Roman" w:cs="Times New Roman"/>
              </w:rPr>
            </w:pPr>
            <w:r w:rsidRPr="00956F16">
              <w:rPr>
                <w:rFonts w:ascii="Times New Roman" w:eastAsia="Calibri" w:hAnsi="Times New Roman" w:cs="Times New Roman"/>
              </w:rPr>
              <w:t xml:space="preserve">Folytassa a lenalidomid és a melfalán alkalmazását a </w:t>
            </w:r>
            <w:r w:rsidR="00145FFC">
              <w:rPr>
                <w:rFonts w:ascii="Times New Roman" w:eastAsia="Times New Roman" w:hAnsi="Times New Roman" w:cs="Times New Roman"/>
                <w:szCs w:val="20"/>
              </w:rPr>
              <w:t>–</w:t>
            </w:r>
            <w:r w:rsidRPr="00956F16">
              <w:rPr>
                <w:rFonts w:ascii="Times New Roman" w:eastAsia="Calibri" w:hAnsi="Times New Roman" w:cs="Times New Roman"/>
              </w:rPr>
              <w:t>1.</w:t>
            </w:r>
            <w:r w:rsidR="00145FFC">
              <w:rPr>
                <w:rFonts w:ascii="Times New Roman" w:eastAsia="Calibri" w:hAnsi="Times New Roman" w:cs="Times New Roman"/>
              </w:rPr>
              <w:t xml:space="preserve"> </w:t>
            </w:r>
            <w:r w:rsidRPr="00956F16">
              <w:rPr>
                <w:rFonts w:ascii="Times New Roman" w:eastAsia="Calibri" w:hAnsi="Times New Roman" w:cs="Times New Roman"/>
              </w:rPr>
              <w:t>dózisszinten.</w:t>
            </w:r>
          </w:p>
        </w:tc>
      </w:tr>
      <w:tr w:rsidR="00956F16" w:rsidRPr="00956F16" w14:paraId="625E94B8" w14:textId="77777777" w:rsidTr="00E83289">
        <w:tc>
          <w:tcPr>
            <w:tcW w:w="3539" w:type="dxa"/>
          </w:tcPr>
          <w:p w14:paraId="63F92A9F" w14:textId="4F42F689"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minden további alkalommal, ha 30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 esik</w:t>
            </w:r>
          </w:p>
        </w:tc>
        <w:tc>
          <w:tcPr>
            <w:tcW w:w="5521" w:type="dxa"/>
          </w:tcPr>
          <w:p w14:paraId="59425FB5" w14:textId="3AA913B0" w:rsidR="00956F16" w:rsidRPr="00956F16" w:rsidRDefault="00956F16">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tc>
      </w:tr>
      <w:tr w:rsidR="00E52BE1" w:rsidRPr="00956F16" w14:paraId="4E65FC25" w14:textId="77777777" w:rsidTr="002F39C0">
        <w:tc>
          <w:tcPr>
            <w:tcW w:w="3539" w:type="dxa"/>
          </w:tcPr>
          <w:p w14:paraId="13FCFA2C" w14:textId="3BF5EE15" w:rsidR="00E52BE1" w:rsidRPr="00956F16" w:rsidRDefault="00E52BE1" w:rsidP="00956F16">
            <w:pPr>
              <w:keepNext/>
              <w:rPr>
                <w:rFonts w:ascii="Times New Roman" w:eastAsia="Calibri" w:hAnsi="Times New Roman" w:cs="Times New Roman"/>
              </w:rPr>
            </w:pPr>
            <w:r w:rsidRPr="00956F16">
              <w:rPr>
                <w:rFonts w:ascii="Times New Roman" w:eastAsia="Calibri" w:hAnsi="Times New Roman" w:cs="Times New Roman"/>
              </w:rPr>
              <w:t>visszatér ≥ 30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6B1637C2" w14:textId="572EE06A" w:rsidR="00E52BE1" w:rsidRPr="00956F16" w:rsidRDefault="00E52BE1" w:rsidP="00956F16">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következő alacsonyabb dózisszinttel (</w:t>
            </w:r>
            <w:r w:rsidR="000C20E4">
              <w:rPr>
                <w:rFonts w:ascii="Times New Roman" w:eastAsia="Times New Roman" w:hAnsi="Times New Roman" w:cs="Times New Roman"/>
                <w:szCs w:val="20"/>
              </w:rPr>
              <w:t>–</w:t>
            </w:r>
            <w:r w:rsidRPr="00956F16">
              <w:rPr>
                <w:rFonts w:ascii="Times New Roman" w:eastAsia="Calibri" w:hAnsi="Times New Roman" w:cs="Times New Roman"/>
              </w:rPr>
              <w:t xml:space="preserve">2. vagy </w:t>
            </w:r>
            <w:r w:rsidR="000C20E4">
              <w:rPr>
                <w:rFonts w:ascii="Times New Roman" w:eastAsia="Times New Roman" w:hAnsi="Times New Roman" w:cs="Times New Roman"/>
                <w:szCs w:val="20"/>
              </w:rPr>
              <w:t>–</w:t>
            </w:r>
            <w:r w:rsidRPr="00956F16">
              <w:rPr>
                <w:rFonts w:ascii="Times New Roman" w:eastAsia="Calibri" w:hAnsi="Times New Roman" w:cs="Times New Roman"/>
              </w:rPr>
              <w:t>3. dóz</w:t>
            </w:r>
            <w:r w:rsidR="00887676">
              <w:rPr>
                <w:rFonts w:ascii="Times New Roman" w:eastAsia="Calibri" w:hAnsi="Times New Roman" w:cs="Times New Roman"/>
              </w:rPr>
              <w:t>isszint</w:t>
            </w:r>
            <w:r w:rsidRPr="00956F16">
              <w:rPr>
                <w:rFonts w:ascii="Times New Roman" w:eastAsia="Calibri" w:hAnsi="Times New Roman" w:cs="Times New Roman"/>
              </w:rPr>
              <w:t>), napi egyszeri adagolással.</w:t>
            </w:r>
          </w:p>
        </w:tc>
      </w:tr>
    </w:tbl>
    <w:p w14:paraId="617C3B3F" w14:textId="77777777" w:rsidR="00956F16" w:rsidRPr="00956F16" w:rsidRDefault="00956F16" w:rsidP="00956F16">
      <w:pPr>
        <w:spacing w:after="0" w:line="240" w:lineRule="auto"/>
        <w:rPr>
          <w:rFonts w:ascii="Times New Roman" w:eastAsia="Calibri" w:hAnsi="Times New Roman" w:cs="Times New Roman"/>
        </w:rPr>
      </w:pPr>
    </w:p>
    <w:p w14:paraId="75F9C902" w14:textId="70AC403E" w:rsidR="00956F16" w:rsidRPr="00956F16" w:rsidRDefault="00225102" w:rsidP="00956F16">
      <w:pPr>
        <w:keepNext/>
        <w:numPr>
          <w:ilvl w:val="0"/>
          <w:numId w:val="15"/>
        </w:numPr>
        <w:tabs>
          <w:tab w:val="left" w:pos="567"/>
        </w:tabs>
        <w:spacing w:after="0" w:line="240" w:lineRule="auto"/>
        <w:ind w:hanging="720"/>
        <w:rPr>
          <w:rFonts w:ascii="Times New Roman" w:eastAsia="Calibri" w:hAnsi="Times New Roman" w:cs="Times New Roman"/>
          <w:i/>
        </w:rPr>
      </w:pPr>
      <w:r>
        <w:rPr>
          <w:rFonts w:ascii="Times New Roman" w:eastAsia="Calibri" w:hAnsi="Times New Roman" w:cs="Times New Roman"/>
          <w:i/>
        </w:rPr>
        <w:t>Abszolút neutrophilszám (ANC) – n</w:t>
      </w:r>
      <w:r w:rsidR="00956F16" w:rsidRPr="00956F16">
        <w:rPr>
          <w:rFonts w:ascii="Times New Roman" w:eastAsia="Calibri" w:hAnsi="Times New Roman" w:cs="Times New Roman"/>
          <w:i/>
        </w:rPr>
        <w:t>eutropenia</w:t>
      </w:r>
    </w:p>
    <w:tbl>
      <w:tblPr>
        <w:tblStyle w:val="Rcsostblzat"/>
        <w:tblW w:w="0" w:type="auto"/>
        <w:tblLook w:val="04A0" w:firstRow="1" w:lastRow="0" w:firstColumn="1" w:lastColumn="0" w:noHBand="0" w:noVBand="1"/>
      </w:tblPr>
      <w:tblGrid>
        <w:gridCol w:w="3539"/>
        <w:gridCol w:w="5521"/>
      </w:tblGrid>
      <w:tr w:rsidR="00956F16" w:rsidRPr="00956F16" w14:paraId="2A4AD557" w14:textId="77777777" w:rsidTr="00E83289">
        <w:tc>
          <w:tcPr>
            <w:tcW w:w="3539" w:type="dxa"/>
          </w:tcPr>
          <w:p w14:paraId="0AA14BDD" w14:textId="1B297F90"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Ha a</w:t>
            </w:r>
            <w:r w:rsidR="00225102">
              <w:rPr>
                <w:rFonts w:ascii="Times New Roman" w:eastAsia="Calibri" w:hAnsi="Times New Roman" w:cs="Times New Roman"/>
              </w:rPr>
              <w:t>z ANC</w:t>
            </w:r>
          </w:p>
        </w:tc>
        <w:tc>
          <w:tcPr>
            <w:tcW w:w="5521" w:type="dxa"/>
          </w:tcPr>
          <w:p w14:paraId="68E813C1"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Javasolt kezelés</w:t>
            </w:r>
          </w:p>
        </w:tc>
      </w:tr>
      <w:tr w:rsidR="00956F16" w:rsidRPr="00956F16" w14:paraId="4CA8219E" w14:textId="77777777" w:rsidTr="00E83289">
        <w:tc>
          <w:tcPr>
            <w:tcW w:w="3539" w:type="dxa"/>
          </w:tcPr>
          <w:p w14:paraId="13E7389C"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először esik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aláª</w:t>
            </w:r>
          </w:p>
          <w:p w14:paraId="28736F85" w14:textId="52CE66CD" w:rsidR="00956F16" w:rsidRPr="00956F16" w:rsidRDefault="00956F16" w:rsidP="00956F16">
            <w:pPr>
              <w:keepNext/>
              <w:rPr>
                <w:rFonts w:ascii="Times New Roman" w:eastAsia="Calibri" w:hAnsi="Times New Roman" w:cs="Times New Roman"/>
              </w:rPr>
            </w:pPr>
          </w:p>
        </w:tc>
        <w:tc>
          <w:tcPr>
            <w:tcW w:w="5521" w:type="dxa"/>
          </w:tcPr>
          <w:p w14:paraId="6F8A19A7" w14:textId="3C64342D"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p w14:paraId="200721CB" w14:textId="534AACF9" w:rsidR="00956F16" w:rsidRPr="00956F16" w:rsidRDefault="00956F16" w:rsidP="00956F16">
            <w:pPr>
              <w:keepNext/>
              <w:rPr>
                <w:rFonts w:ascii="Times New Roman" w:eastAsia="Calibri" w:hAnsi="Times New Roman" w:cs="Times New Roman"/>
              </w:rPr>
            </w:pPr>
          </w:p>
        </w:tc>
      </w:tr>
      <w:tr w:rsidR="00225102" w:rsidRPr="00956F16" w14:paraId="55281A72" w14:textId="77777777" w:rsidTr="00E83289">
        <w:tc>
          <w:tcPr>
            <w:tcW w:w="3539" w:type="dxa"/>
          </w:tcPr>
          <w:p w14:paraId="05531752" w14:textId="65935D6D" w:rsidR="00225102" w:rsidRPr="00956F16" w:rsidRDefault="00225102" w:rsidP="00956F16">
            <w:pPr>
              <w:keepNext/>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 és a neutropenia az egyetlen megfigyelt toxicitás</w:t>
            </w:r>
          </w:p>
        </w:tc>
        <w:tc>
          <w:tcPr>
            <w:tcW w:w="5521" w:type="dxa"/>
          </w:tcPr>
          <w:p w14:paraId="5FB245AE" w14:textId="6B326AE0" w:rsidR="00225102" w:rsidRPr="00956F16" w:rsidRDefault="00225102" w:rsidP="00956F16">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kezdő dózissal, napi egyszeri adagolással.</w:t>
            </w:r>
          </w:p>
        </w:tc>
      </w:tr>
      <w:tr w:rsidR="00956F16" w:rsidRPr="00956F16" w14:paraId="07F3DF51" w14:textId="77777777" w:rsidTr="00E83289">
        <w:tc>
          <w:tcPr>
            <w:tcW w:w="3539" w:type="dxa"/>
          </w:tcPr>
          <w:p w14:paraId="691E7F11"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 és a neutropenián kívül egyéb dózisfüggő hematológiai toxicitás figyelhető meg</w:t>
            </w:r>
          </w:p>
        </w:tc>
        <w:tc>
          <w:tcPr>
            <w:tcW w:w="5521" w:type="dxa"/>
          </w:tcPr>
          <w:p w14:paraId="51FD92C1" w14:textId="5C6DF1E4"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kezelést a </w:t>
            </w:r>
            <w:r w:rsidR="000C20E4">
              <w:rPr>
                <w:rFonts w:ascii="Times New Roman" w:eastAsia="Times New Roman" w:hAnsi="Times New Roman" w:cs="Times New Roman"/>
                <w:szCs w:val="20"/>
              </w:rPr>
              <w:t>–</w:t>
            </w:r>
            <w:r w:rsidRPr="00956F16">
              <w:rPr>
                <w:rFonts w:ascii="Times New Roman" w:eastAsia="Calibri" w:hAnsi="Times New Roman" w:cs="Times New Roman"/>
              </w:rPr>
              <w:t>1. dózisszinttel, napi egyszeri adagolással.</w:t>
            </w:r>
          </w:p>
        </w:tc>
      </w:tr>
      <w:tr w:rsidR="00956F16" w:rsidRPr="00956F16" w14:paraId="14FA76BE" w14:textId="77777777" w:rsidTr="00E83289">
        <w:tc>
          <w:tcPr>
            <w:tcW w:w="3539" w:type="dxa"/>
          </w:tcPr>
          <w:p w14:paraId="4E38C30A" w14:textId="38F54D1D"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minden további alkalommal, ha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 esik</w:t>
            </w:r>
          </w:p>
        </w:tc>
        <w:tc>
          <w:tcPr>
            <w:tcW w:w="5521" w:type="dxa"/>
          </w:tcPr>
          <w:p w14:paraId="5E58B78B" w14:textId="00E5A993"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p w14:paraId="0C863DB8" w14:textId="4922DAB6" w:rsidR="00956F16" w:rsidRPr="00956F16" w:rsidRDefault="00956F16" w:rsidP="00956F16">
            <w:pPr>
              <w:keepNext/>
              <w:rPr>
                <w:rFonts w:ascii="Times New Roman" w:eastAsia="Calibri" w:hAnsi="Times New Roman" w:cs="Times New Roman"/>
              </w:rPr>
            </w:pPr>
          </w:p>
        </w:tc>
      </w:tr>
      <w:tr w:rsidR="00225102" w:rsidRPr="00956F16" w14:paraId="36E6DBE3" w14:textId="77777777" w:rsidTr="00E83289">
        <w:tc>
          <w:tcPr>
            <w:tcW w:w="3539" w:type="dxa"/>
          </w:tcPr>
          <w:p w14:paraId="2A6865E6" w14:textId="4D517B07" w:rsidR="00225102" w:rsidRPr="00956F16" w:rsidRDefault="00225102" w:rsidP="00956F16">
            <w:pPr>
              <w:keepNext/>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0219E806" w14:textId="05A7158B" w:rsidR="00225102" w:rsidRPr="00956F16" w:rsidRDefault="00225102" w:rsidP="00956F16">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következő alacsonyabb dózisszinttel, napi egyszeri adagolással.</w:t>
            </w:r>
          </w:p>
        </w:tc>
      </w:tr>
    </w:tbl>
    <w:p w14:paraId="4A9690E3" w14:textId="75F21E41" w:rsidR="002C399E" w:rsidRPr="00B6219F" w:rsidRDefault="002C399E" w:rsidP="002C399E">
      <w:pPr>
        <w:spacing w:after="0" w:line="240" w:lineRule="auto"/>
        <w:rPr>
          <w:rFonts w:ascii="Times New Roman" w:eastAsia="Calibri" w:hAnsi="Times New Roman" w:cs="Times New Roman"/>
          <w:sz w:val="18"/>
          <w:szCs w:val="18"/>
        </w:rPr>
      </w:pPr>
      <w:r w:rsidRPr="00B6219F">
        <w:rPr>
          <w:rFonts w:ascii="Times" w:eastAsia="Calibri" w:hAnsi="Times" w:cs="Times New Roman"/>
          <w:sz w:val="18"/>
          <w:szCs w:val="18"/>
          <w:vertAlign w:val="superscript"/>
        </w:rPr>
        <w:t>a</w:t>
      </w:r>
      <w:r w:rsidRPr="00B6219F">
        <w:rPr>
          <w:rFonts w:ascii="Times New Roman" w:eastAsia="Calibri" w:hAnsi="Times New Roman" w:cs="Times New Roman"/>
          <w:sz w:val="18"/>
          <w:szCs w:val="18"/>
        </w:rPr>
        <w:t xml:space="preserve"> A kezelőorvos belátása szerint, amennyiben bármelyik dózisszint mellett a neutropenia az egyetlen toxicitás, akkor a terápiát ki kell egészíteni granulocyta-kolónia</w:t>
      </w:r>
      <w:r w:rsidR="00404E9B">
        <w:rPr>
          <w:rFonts w:ascii="Times New Roman" w:eastAsia="Calibri" w:hAnsi="Times New Roman" w:cs="Times New Roman"/>
          <w:sz w:val="18"/>
          <w:szCs w:val="18"/>
        </w:rPr>
        <w:t>-</w:t>
      </w:r>
      <w:r w:rsidRPr="00B6219F">
        <w:rPr>
          <w:rFonts w:ascii="Times New Roman" w:eastAsia="Calibri" w:hAnsi="Times New Roman" w:cs="Times New Roman"/>
          <w:sz w:val="18"/>
          <w:szCs w:val="18"/>
        </w:rPr>
        <w:t>stimuláló faktorral (G-CSF) és a lenalidomid dózisszintjét fenn kell tartani.</w:t>
      </w:r>
    </w:p>
    <w:p w14:paraId="000E7170" w14:textId="77777777" w:rsidR="00956F16" w:rsidRPr="00956F16" w:rsidRDefault="00956F16" w:rsidP="00956F16">
      <w:pPr>
        <w:spacing w:after="0" w:line="240" w:lineRule="auto"/>
        <w:rPr>
          <w:rFonts w:ascii="Times New Roman" w:eastAsia="Calibri" w:hAnsi="Times New Roman" w:cs="Times New Roman"/>
        </w:rPr>
      </w:pPr>
    </w:p>
    <w:p w14:paraId="6C50B165" w14:textId="77777777" w:rsidR="00701BDA" w:rsidRPr="00956F16" w:rsidRDefault="00701BDA" w:rsidP="00701BDA">
      <w:pPr>
        <w:keepNext/>
        <w:numPr>
          <w:ilvl w:val="0"/>
          <w:numId w:val="14"/>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Lenalidomid fenntartó kezelés autológ őssejt-transzplantáción (ASCT/autologous stem cell transplantation) átesett betegeknél</w:t>
      </w:r>
    </w:p>
    <w:p w14:paraId="6EB268D7" w14:textId="647FA81E" w:rsidR="00701BDA" w:rsidRPr="00956F16" w:rsidRDefault="00701BDA" w:rsidP="00701BDA">
      <w:pPr>
        <w:spacing w:after="0" w:line="240" w:lineRule="auto"/>
        <w:rPr>
          <w:rFonts w:ascii="Times New Roman" w:eastAsia="Calibri" w:hAnsi="Times New Roman" w:cs="Times New Roman"/>
        </w:rPr>
      </w:pPr>
      <w:r w:rsidRPr="00956F16">
        <w:rPr>
          <w:rFonts w:ascii="Times New Roman" w:eastAsia="Calibri" w:hAnsi="Times New Roman" w:cs="Times New Roman"/>
        </w:rPr>
        <w:t>ASCT-t követően a lenalidomid fenntartó kezelést a vérkép megfelelő rendeződése után kell megkezdeni azoknál a betegeknél, akiknél nincs igazolható progresszió. Nem szabad a lenalidomid</w:t>
      </w:r>
      <w:r w:rsidR="00104634">
        <w:rPr>
          <w:rFonts w:ascii="Times New Roman" w:eastAsia="Calibri" w:hAnsi="Times New Roman" w:cs="Times New Roman"/>
        </w:rPr>
        <w:t>-</w:t>
      </w:r>
      <w:r w:rsidRPr="00956F16">
        <w:rPr>
          <w:rFonts w:ascii="Times New Roman" w:eastAsia="Calibri" w:hAnsi="Times New Roman" w:cs="Times New Roman"/>
        </w:rPr>
        <w:t>kezelést elkezdeni, amennyiben az ANC 1,0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alatt van, és/vagy a thrombocytaszám 75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alatti értéket mutat.</w:t>
      </w:r>
    </w:p>
    <w:p w14:paraId="4D6CE615" w14:textId="77777777" w:rsidR="00701BDA" w:rsidRPr="00956F16" w:rsidRDefault="00701BDA" w:rsidP="00701BDA">
      <w:pPr>
        <w:spacing w:after="0" w:line="240" w:lineRule="auto"/>
        <w:rPr>
          <w:rFonts w:ascii="Times New Roman" w:eastAsia="Calibri" w:hAnsi="Times New Roman" w:cs="Times New Roman"/>
        </w:rPr>
      </w:pPr>
    </w:p>
    <w:p w14:paraId="65C395B5" w14:textId="77777777" w:rsidR="00701BDA" w:rsidRPr="00956F16" w:rsidRDefault="00701BDA" w:rsidP="00701BDA">
      <w:pPr>
        <w:keepNext/>
        <w:spacing w:after="0" w:line="240" w:lineRule="auto"/>
        <w:rPr>
          <w:rFonts w:ascii="Times New Roman" w:eastAsia="Calibri" w:hAnsi="Times New Roman" w:cs="Times New Roman"/>
          <w:i/>
        </w:rPr>
      </w:pPr>
      <w:r w:rsidRPr="00956F16">
        <w:rPr>
          <w:rFonts w:ascii="Times New Roman" w:eastAsia="Calibri" w:hAnsi="Times New Roman" w:cs="Times New Roman"/>
          <w:i/>
        </w:rPr>
        <w:t>Javasolt dózis</w:t>
      </w:r>
    </w:p>
    <w:p w14:paraId="1B53380B" w14:textId="77777777" w:rsidR="00701BDA" w:rsidRPr="00956F16" w:rsidRDefault="00701BDA" w:rsidP="00701BDA">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javasolt kezdő dózisa naponta egyszer 10 mg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folyamatosan adagolva (az ismétlődő 28 napos ciklusok 1–21. napján) a betegség progressziójáig vagy intolerancia kialakulásáig. A lenalidomid fenntartó kezelés 3. ciklusa után a dózis naponta egyszer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15 mg-ra emelhető, amennyiben a beteg tolerálja.</w:t>
      </w:r>
    </w:p>
    <w:p w14:paraId="6299B810" w14:textId="77777777" w:rsidR="00701BDA" w:rsidRPr="00956F16" w:rsidRDefault="00701BDA" w:rsidP="00701BDA">
      <w:pPr>
        <w:spacing w:after="0" w:line="240" w:lineRule="auto"/>
        <w:rPr>
          <w:rFonts w:ascii="Times New Roman" w:eastAsia="Calibri" w:hAnsi="Times New Roman" w:cs="Times New Roman"/>
        </w:rPr>
      </w:pPr>
    </w:p>
    <w:p w14:paraId="3E373540" w14:textId="77777777" w:rsidR="00701BDA" w:rsidRPr="00956F16" w:rsidRDefault="00701BDA" w:rsidP="00701BDA">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lastRenderedPageBreak/>
        <w:t>A dóziscsökkentés lépései</w:t>
      </w:r>
    </w:p>
    <w:tbl>
      <w:tblPr>
        <w:tblStyle w:val="Rcsostblzat"/>
        <w:tblW w:w="9209" w:type="dxa"/>
        <w:tblLook w:val="04A0" w:firstRow="1" w:lastRow="0" w:firstColumn="1" w:lastColumn="0" w:noHBand="0" w:noVBand="1"/>
      </w:tblPr>
      <w:tblGrid>
        <w:gridCol w:w="1426"/>
        <w:gridCol w:w="3814"/>
        <w:gridCol w:w="3969"/>
      </w:tblGrid>
      <w:tr w:rsidR="00701BDA" w:rsidRPr="00956F16" w14:paraId="405F1DDE" w14:textId="77777777" w:rsidTr="00701BDA">
        <w:tc>
          <w:tcPr>
            <w:tcW w:w="1426" w:type="dxa"/>
          </w:tcPr>
          <w:p w14:paraId="6702A041" w14:textId="77777777" w:rsidR="00701BDA" w:rsidRPr="00956F16" w:rsidRDefault="00701BDA" w:rsidP="00701BDA">
            <w:pPr>
              <w:keepNext/>
              <w:rPr>
                <w:rFonts w:ascii="Times New Roman" w:eastAsia="Calibri" w:hAnsi="Times New Roman" w:cs="Times New Roman"/>
              </w:rPr>
            </w:pPr>
          </w:p>
        </w:tc>
        <w:tc>
          <w:tcPr>
            <w:tcW w:w="3814" w:type="dxa"/>
          </w:tcPr>
          <w:p w14:paraId="6ACACCCE" w14:textId="77777777" w:rsidR="00701BDA" w:rsidRPr="00956F16" w:rsidRDefault="00701BDA" w:rsidP="00701BDA">
            <w:pPr>
              <w:keepNext/>
              <w:jc w:val="center"/>
              <w:rPr>
                <w:rFonts w:ascii="Times New Roman" w:eastAsia="Calibri" w:hAnsi="Times New Roman" w:cs="Times New Roman"/>
              </w:rPr>
            </w:pPr>
            <w:r w:rsidRPr="00956F16">
              <w:rPr>
                <w:rFonts w:ascii="Times New Roman" w:eastAsia="Calibri" w:hAnsi="Times New Roman" w:cs="Times New Roman"/>
              </w:rPr>
              <w:t>Kezdő dózis (10 mg)</w:t>
            </w:r>
          </w:p>
        </w:tc>
        <w:tc>
          <w:tcPr>
            <w:tcW w:w="3969" w:type="dxa"/>
          </w:tcPr>
          <w:p w14:paraId="011FE9F5" w14:textId="77777777" w:rsidR="00701BDA" w:rsidRPr="00956F16" w:rsidRDefault="00701BDA" w:rsidP="00701BDA">
            <w:pPr>
              <w:keepNext/>
              <w:jc w:val="center"/>
              <w:rPr>
                <w:rFonts w:ascii="Times New Roman" w:eastAsia="Calibri" w:hAnsi="Times New Roman" w:cs="Times New Roman"/>
              </w:rPr>
            </w:pPr>
            <w:r w:rsidRPr="00956F16">
              <w:rPr>
                <w:rFonts w:ascii="Times New Roman" w:eastAsia="Calibri" w:hAnsi="Times New Roman" w:cs="Times New Roman"/>
              </w:rPr>
              <w:t>Dózisemelés esetén (15 mg)</w:t>
            </w:r>
            <w:r w:rsidRPr="00956F16">
              <w:rPr>
                <w:rFonts w:ascii="Times New Roman" w:eastAsia="Calibri" w:hAnsi="Times New Roman" w:cs="Times New Roman"/>
                <w:vertAlign w:val="superscript"/>
              </w:rPr>
              <w:t>a</w:t>
            </w:r>
          </w:p>
        </w:tc>
      </w:tr>
      <w:tr w:rsidR="00701BDA" w:rsidRPr="00956F16" w14:paraId="02C13F3D" w14:textId="77777777" w:rsidTr="00701BDA">
        <w:tc>
          <w:tcPr>
            <w:tcW w:w="1426" w:type="dxa"/>
          </w:tcPr>
          <w:p w14:paraId="1C099A87" w14:textId="4F144DD9" w:rsidR="00701BDA" w:rsidRPr="00956F16" w:rsidRDefault="008A3DE8" w:rsidP="00701BDA">
            <w:pPr>
              <w:keepNext/>
              <w:rPr>
                <w:rFonts w:ascii="Times New Roman" w:eastAsia="Calibri" w:hAnsi="Times New Roman" w:cs="Times New Roman"/>
              </w:rPr>
            </w:pPr>
            <w:r>
              <w:rPr>
                <w:rFonts w:ascii="Times New Roman" w:eastAsia="Times New Roman" w:hAnsi="Times New Roman" w:cs="Times New Roman"/>
                <w:szCs w:val="20"/>
              </w:rPr>
              <w:t>–</w:t>
            </w:r>
            <w:r w:rsidR="00701BDA" w:rsidRPr="00956F16">
              <w:rPr>
                <w:rFonts w:ascii="Times New Roman" w:eastAsia="Calibri" w:hAnsi="Times New Roman" w:cs="Times New Roman"/>
              </w:rPr>
              <w:t>1. dózisszint</w:t>
            </w:r>
          </w:p>
        </w:tc>
        <w:tc>
          <w:tcPr>
            <w:tcW w:w="3814" w:type="dxa"/>
          </w:tcPr>
          <w:p w14:paraId="3779F9EC" w14:textId="77777777" w:rsidR="00701BDA" w:rsidRPr="00956F16" w:rsidRDefault="00701BDA" w:rsidP="00701BDA">
            <w:pPr>
              <w:keepNext/>
              <w:jc w:val="center"/>
              <w:rPr>
                <w:rFonts w:ascii="Times New Roman" w:eastAsia="Calibri" w:hAnsi="Times New Roman" w:cs="Times New Roman"/>
              </w:rPr>
            </w:pPr>
            <w:r w:rsidRPr="00956F16">
              <w:rPr>
                <w:rFonts w:ascii="Times New Roman" w:eastAsia="Calibri" w:hAnsi="Times New Roman" w:cs="Times New Roman"/>
              </w:rPr>
              <w:t>5 mg</w:t>
            </w:r>
          </w:p>
        </w:tc>
        <w:tc>
          <w:tcPr>
            <w:tcW w:w="3969" w:type="dxa"/>
          </w:tcPr>
          <w:p w14:paraId="5D759425" w14:textId="77777777" w:rsidR="00701BDA" w:rsidRPr="00956F16" w:rsidRDefault="00701BDA" w:rsidP="00701BDA">
            <w:pPr>
              <w:keepNext/>
              <w:jc w:val="center"/>
              <w:rPr>
                <w:rFonts w:ascii="Times New Roman" w:eastAsia="Calibri" w:hAnsi="Times New Roman" w:cs="Times New Roman"/>
              </w:rPr>
            </w:pPr>
            <w:r w:rsidRPr="00956F16">
              <w:rPr>
                <w:rFonts w:ascii="Times New Roman" w:eastAsia="Calibri" w:hAnsi="Times New Roman" w:cs="Times New Roman"/>
              </w:rPr>
              <w:t>10 mg</w:t>
            </w:r>
          </w:p>
        </w:tc>
      </w:tr>
      <w:tr w:rsidR="00701BDA" w:rsidRPr="00956F16" w14:paraId="3E2BF1E4" w14:textId="77777777" w:rsidTr="00701BDA">
        <w:tc>
          <w:tcPr>
            <w:tcW w:w="1426" w:type="dxa"/>
          </w:tcPr>
          <w:p w14:paraId="4AA3BAEF" w14:textId="3604341E" w:rsidR="00701BDA" w:rsidRPr="00956F16" w:rsidRDefault="008A3DE8" w:rsidP="00701BDA">
            <w:pPr>
              <w:keepNext/>
              <w:rPr>
                <w:rFonts w:ascii="Times New Roman" w:eastAsia="Calibri" w:hAnsi="Times New Roman" w:cs="Times New Roman"/>
              </w:rPr>
            </w:pPr>
            <w:r>
              <w:rPr>
                <w:rFonts w:ascii="Times New Roman" w:eastAsia="Times New Roman" w:hAnsi="Times New Roman" w:cs="Times New Roman"/>
                <w:szCs w:val="20"/>
              </w:rPr>
              <w:t>–</w:t>
            </w:r>
            <w:r w:rsidR="00701BDA" w:rsidRPr="00956F16">
              <w:rPr>
                <w:rFonts w:ascii="Times New Roman" w:eastAsia="Calibri" w:hAnsi="Times New Roman" w:cs="Times New Roman"/>
              </w:rPr>
              <w:t>2. dózisszint</w:t>
            </w:r>
          </w:p>
        </w:tc>
        <w:tc>
          <w:tcPr>
            <w:tcW w:w="3814" w:type="dxa"/>
          </w:tcPr>
          <w:p w14:paraId="06475060" w14:textId="77777777" w:rsidR="00701BDA" w:rsidRPr="00956F16" w:rsidRDefault="00701BDA" w:rsidP="00701BDA">
            <w:pPr>
              <w:keepNext/>
              <w:jc w:val="center"/>
              <w:rPr>
                <w:rFonts w:ascii="Times New Roman" w:eastAsia="Calibri" w:hAnsi="Times New Roman" w:cs="Times New Roman"/>
              </w:rPr>
            </w:pPr>
            <w:r w:rsidRPr="00956F16">
              <w:rPr>
                <w:rFonts w:ascii="Times New Roman" w:eastAsia="Calibri" w:hAnsi="Times New Roman" w:cs="Times New Roman"/>
              </w:rPr>
              <w:t>5 mg (a 28 napos ciklusok 1–21. napján)</w:t>
            </w:r>
          </w:p>
        </w:tc>
        <w:tc>
          <w:tcPr>
            <w:tcW w:w="3969" w:type="dxa"/>
          </w:tcPr>
          <w:p w14:paraId="78E32C6B" w14:textId="77777777" w:rsidR="00701BDA" w:rsidRPr="00956F16" w:rsidRDefault="00701BDA" w:rsidP="00701BDA">
            <w:pPr>
              <w:keepNext/>
              <w:jc w:val="center"/>
              <w:rPr>
                <w:rFonts w:ascii="Times New Roman" w:eastAsia="Calibri" w:hAnsi="Times New Roman" w:cs="Times New Roman"/>
              </w:rPr>
            </w:pPr>
            <w:r w:rsidRPr="00956F16">
              <w:rPr>
                <w:rFonts w:ascii="Times New Roman" w:eastAsia="Calibri" w:hAnsi="Times New Roman" w:cs="Times New Roman"/>
              </w:rPr>
              <w:t>5 mg</w:t>
            </w:r>
          </w:p>
        </w:tc>
      </w:tr>
      <w:tr w:rsidR="00701BDA" w:rsidRPr="00956F16" w14:paraId="6EA409F2" w14:textId="77777777" w:rsidTr="00701BDA">
        <w:tc>
          <w:tcPr>
            <w:tcW w:w="1426" w:type="dxa"/>
          </w:tcPr>
          <w:p w14:paraId="36EB9CC2" w14:textId="7D560D4F" w:rsidR="00701BDA" w:rsidRPr="00956F16" w:rsidRDefault="008A3DE8" w:rsidP="00701BDA">
            <w:pPr>
              <w:keepNext/>
              <w:rPr>
                <w:rFonts w:ascii="Times New Roman" w:eastAsia="Calibri" w:hAnsi="Times New Roman" w:cs="Times New Roman"/>
              </w:rPr>
            </w:pPr>
            <w:r>
              <w:rPr>
                <w:rFonts w:ascii="Times New Roman" w:eastAsia="Times New Roman" w:hAnsi="Times New Roman" w:cs="Times New Roman"/>
                <w:szCs w:val="20"/>
              </w:rPr>
              <w:t>–</w:t>
            </w:r>
            <w:r w:rsidR="00701BDA" w:rsidRPr="00956F16">
              <w:rPr>
                <w:rFonts w:ascii="Times New Roman" w:eastAsia="Calibri" w:hAnsi="Times New Roman" w:cs="Times New Roman"/>
              </w:rPr>
              <w:t>3. dózisszint</w:t>
            </w:r>
          </w:p>
        </w:tc>
        <w:tc>
          <w:tcPr>
            <w:tcW w:w="3814" w:type="dxa"/>
          </w:tcPr>
          <w:p w14:paraId="07E98BA8" w14:textId="77777777" w:rsidR="00701BDA" w:rsidRPr="00956F16" w:rsidRDefault="00701BDA" w:rsidP="00701BDA">
            <w:pPr>
              <w:keepNext/>
              <w:jc w:val="center"/>
              <w:rPr>
                <w:rFonts w:ascii="Times New Roman" w:eastAsia="Calibri" w:hAnsi="Times New Roman" w:cs="Times New Roman"/>
              </w:rPr>
            </w:pPr>
            <w:r w:rsidRPr="00956F16">
              <w:rPr>
                <w:rFonts w:ascii="Times New Roman" w:eastAsia="Calibri" w:hAnsi="Times New Roman" w:cs="Times New Roman"/>
              </w:rPr>
              <w:t>Nem értelmezhető</w:t>
            </w:r>
          </w:p>
        </w:tc>
        <w:tc>
          <w:tcPr>
            <w:tcW w:w="3969" w:type="dxa"/>
          </w:tcPr>
          <w:p w14:paraId="259F62F5" w14:textId="77777777" w:rsidR="00701BDA" w:rsidRPr="00956F16" w:rsidRDefault="00701BDA" w:rsidP="00701BDA">
            <w:pPr>
              <w:keepNext/>
              <w:jc w:val="center"/>
              <w:rPr>
                <w:rFonts w:ascii="Times New Roman" w:eastAsia="Calibri" w:hAnsi="Times New Roman" w:cs="Times New Roman"/>
              </w:rPr>
            </w:pPr>
            <w:r w:rsidRPr="00956F16">
              <w:rPr>
                <w:rFonts w:ascii="Times New Roman" w:eastAsia="Calibri" w:hAnsi="Times New Roman" w:cs="Times New Roman"/>
              </w:rPr>
              <w:t>5 mg (a 28 napos ciklusok 1–21. napján)</w:t>
            </w:r>
          </w:p>
        </w:tc>
      </w:tr>
      <w:tr w:rsidR="00701BDA" w:rsidRPr="00956F16" w14:paraId="090828AE" w14:textId="77777777" w:rsidTr="00701BDA">
        <w:tc>
          <w:tcPr>
            <w:tcW w:w="1426" w:type="dxa"/>
          </w:tcPr>
          <w:p w14:paraId="261E8AEB" w14:textId="77777777" w:rsidR="00701BDA" w:rsidRPr="00956F16" w:rsidRDefault="00701BDA" w:rsidP="00701BDA">
            <w:pPr>
              <w:keepNext/>
              <w:rPr>
                <w:rFonts w:ascii="Times New Roman" w:eastAsia="Calibri" w:hAnsi="Times New Roman" w:cs="Times New Roman"/>
              </w:rPr>
            </w:pPr>
          </w:p>
        </w:tc>
        <w:tc>
          <w:tcPr>
            <w:tcW w:w="7783" w:type="dxa"/>
            <w:gridSpan w:val="2"/>
          </w:tcPr>
          <w:p w14:paraId="7CC4128A" w14:textId="10617545" w:rsidR="00701BDA" w:rsidRPr="00956F16" w:rsidRDefault="00701BDA" w:rsidP="00701BDA">
            <w:pPr>
              <w:keepNext/>
              <w:jc w:val="center"/>
              <w:rPr>
                <w:rFonts w:ascii="Times New Roman" w:eastAsia="Calibri" w:hAnsi="Times New Roman" w:cs="Times New Roman"/>
              </w:rPr>
            </w:pPr>
            <w:r w:rsidRPr="00956F16">
              <w:rPr>
                <w:rFonts w:ascii="Times New Roman" w:eastAsia="Calibri" w:hAnsi="Times New Roman" w:cs="Times New Roman"/>
              </w:rPr>
              <w:t xml:space="preserve">Ne csökkentse a </w:t>
            </w:r>
            <w:r w:rsidR="00426AD5">
              <w:rPr>
                <w:rFonts w:ascii="Times New Roman" w:eastAsia="Calibri" w:hAnsi="Times New Roman" w:cs="Times New Roman"/>
              </w:rPr>
              <w:t>dózist</w:t>
            </w:r>
            <w:r w:rsidR="00426AD5" w:rsidRPr="00956F16">
              <w:rPr>
                <w:rFonts w:ascii="Times New Roman" w:eastAsia="Calibri" w:hAnsi="Times New Roman" w:cs="Times New Roman"/>
              </w:rPr>
              <w:t xml:space="preserve"> </w:t>
            </w:r>
            <w:r w:rsidRPr="00956F16">
              <w:rPr>
                <w:rFonts w:ascii="Times New Roman" w:eastAsia="Calibri" w:hAnsi="Times New Roman" w:cs="Times New Roman"/>
              </w:rPr>
              <w:t xml:space="preserve">5 mg alá (a 28 napos ciklusok 1–21. napján) </w:t>
            </w:r>
          </w:p>
        </w:tc>
      </w:tr>
    </w:tbl>
    <w:p w14:paraId="190D47F2" w14:textId="05DCA0E7" w:rsidR="00701BDA" w:rsidRPr="00956F16" w:rsidRDefault="00701BDA" w:rsidP="00701BDA">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 xml:space="preserve">a </w:t>
      </w:r>
      <w:r w:rsidRPr="00956F16">
        <w:rPr>
          <w:rFonts w:ascii="Times New Roman" w:eastAsia="Calibri" w:hAnsi="Times New Roman" w:cs="Times New Roman"/>
          <w:sz w:val="18"/>
          <w:szCs w:val="18"/>
        </w:rPr>
        <w:t xml:space="preserve">A lenalidomid fenntartó kezelés 3. ciklusa után a </w:t>
      </w:r>
      <w:r w:rsidR="00426AD5" w:rsidRPr="00934095">
        <w:rPr>
          <w:rFonts w:ascii="Times New Roman" w:eastAsia="Calibri" w:hAnsi="Times New Roman" w:cs="Times New Roman"/>
          <w:sz w:val="18"/>
          <w:szCs w:val="18"/>
        </w:rPr>
        <w:t xml:space="preserve">dózis </w:t>
      </w:r>
      <w:r w:rsidRPr="00956F16">
        <w:rPr>
          <w:rFonts w:ascii="Times New Roman" w:eastAsia="Calibri" w:hAnsi="Times New Roman" w:cs="Times New Roman"/>
          <w:sz w:val="18"/>
          <w:szCs w:val="18"/>
        </w:rPr>
        <w:t xml:space="preserve">naponta egyszer </w:t>
      </w:r>
      <w:r w:rsidRPr="00956F16">
        <w:rPr>
          <w:rFonts w:ascii="Times New Roman" w:eastAsia="Calibri" w:hAnsi="Times New Roman" w:cs="Times New Roman"/>
          <w:i/>
          <w:sz w:val="18"/>
          <w:szCs w:val="18"/>
        </w:rPr>
        <w:t>per os</w:t>
      </w:r>
      <w:r w:rsidRPr="00956F16">
        <w:rPr>
          <w:rFonts w:ascii="Times New Roman" w:eastAsia="Calibri" w:hAnsi="Times New Roman" w:cs="Times New Roman"/>
          <w:sz w:val="18"/>
          <w:szCs w:val="18"/>
        </w:rPr>
        <w:t xml:space="preserve"> 15 mg-ra emelhető, amennyiben a beteg tolerálja.</w:t>
      </w:r>
    </w:p>
    <w:p w14:paraId="2D8DD340" w14:textId="77777777" w:rsidR="00701BDA" w:rsidRPr="00956F16" w:rsidRDefault="00701BDA" w:rsidP="00701BDA">
      <w:pPr>
        <w:spacing w:after="0" w:line="240" w:lineRule="auto"/>
        <w:rPr>
          <w:rFonts w:ascii="Times New Roman" w:eastAsia="Calibri" w:hAnsi="Times New Roman" w:cs="Times New Roman"/>
        </w:rPr>
      </w:pPr>
    </w:p>
    <w:p w14:paraId="34EE0AE7" w14:textId="77777777" w:rsidR="00701BDA" w:rsidRPr="00956F16" w:rsidRDefault="00701BDA" w:rsidP="00701BDA">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t>Thrombocytopenia</w:t>
      </w:r>
    </w:p>
    <w:tbl>
      <w:tblPr>
        <w:tblStyle w:val="Rcsostblzat"/>
        <w:tblW w:w="0" w:type="auto"/>
        <w:tblLook w:val="04A0" w:firstRow="1" w:lastRow="0" w:firstColumn="1" w:lastColumn="0" w:noHBand="0" w:noVBand="1"/>
      </w:tblPr>
      <w:tblGrid>
        <w:gridCol w:w="3539"/>
        <w:gridCol w:w="5521"/>
      </w:tblGrid>
      <w:tr w:rsidR="00701BDA" w:rsidRPr="00956F16" w14:paraId="0C23885E" w14:textId="77777777" w:rsidTr="00E83289">
        <w:tc>
          <w:tcPr>
            <w:tcW w:w="3539" w:type="dxa"/>
          </w:tcPr>
          <w:p w14:paraId="2B2512CA" w14:textId="77777777"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Ha a thrombocytaszám</w:t>
            </w:r>
          </w:p>
        </w:tc>
        <w:tc>
          <w:tcPr>
            <w:tcW w:w="5521" w:type="dxa"/>
          </w:tcPr>
          <w:p w14:paraId="484EA52D" w14:textId="77777777"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Javasolt kezelés</w:t>
            </w:r>
          </w:p>
        </w:tc>
      </w:tr>
      <w:tr w:rsidR="00701BDA" w:rsidRPr="00956F16" w14:paraId="053C567A" w14:textId="77777777" w:rsidTr="00E83289">
        <w:tc>
          <w:tcPr>
            <w:tcW w:w="3539" w:type="dxa"/>
          </w:tcPr>
          <w:p w14:paraId="4A332988" w14:textId="592D5062"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30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w:t>
            </w:r>
            <w:r w:rsidR="00402058">
              <w:rPr>
                <w:rFonts w:ascii="Times New Roman" w:eastAsia="Calibri" w:hAnsi="Times New Roman" w:cs="Times New Roman"/>
              </w:rPr>
              <w:t xml:space="preserve"> esik</w:t>
            </w:r>
          </w:p>
          <w:p w14:paraId="27CD26C4" w14:textId="3FC3A921" w:rsidR="00701BDA" w:rsidRPr="00956F16" w:rsidRDefault="00701BDA" w:rsidP="00701BDA">
            <w:pPr>
              <w:keepNext/>
              <w:rPr>
                <w:rFonts w:ascii="Times New Roman" w:eastAsia="Calibri" w:hAnsi="Times New Roman" w:cs="Times New Roman"/>
              </w:rPr>
            </w:pPr>
          </w:p>
        </w:tc>
        <w:tc>
          <w:tcPr>
            <w:tcW w:w="5521" w:type="dxa"/>
          </w:tcPr>
          <w:p w14:paraId="0454F750" w14:textId="7C15604F"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p w14:paraId="4AA05DD3" w14:textId="503C1FF8" w:rsidR="00701BDA" w:rsidRPr="00956F16" w:rsidRDefault="00701BDA" w:rsidP="00701BDA">
            <w:pPr>
              <w:keepNext/>
              <w:rPr>
                <w:rFonts w:ascii="Times New Roman" w:eastAsia="Calibri" w:hAnsi="Times New Roman" w:cs="Times New Roman"/>
              </w:rPr>
            </w:pPr>
          </w:p>
        </w:tc>
      </w:tr>
      <w:tr w:rsidR="00225102" w:rsidRPr="00956F16" w14:paraId="43CD5BF0" w14:textId="77777777" w:rsidTr="00225102">
        <w:tc>
          <w:tcPr>
            <w:tcW w:w="3539" w:type="dxa"/>
          </w:tcPr>
          <w:p w14:paraId="0A9BA15D" w14:textId="21AF24CD" w:rsidR="00225102" w:rsidRPr="00956F16" w:rsidRDefault="00225102" w:rsidP="00701BDA">
            <w:pPr>
              <w:keepNext/>
              <w:rPr>
                <w:rFonts w:ascii="Times New Roman" w:eastAsia="Calibri" w:hAnsi="Times New Roman" w:cs="Times New Roman"/>
              </w:rPr>
            </w:pPr>
            <w:r w:rsidRPr="00956F16">
              <w:rPr>
                <w:rFonts w:ascii="Times New Roman" w:eastAsia="Calibri" w:hAnsi="Times New Roman" w:cs="Times New Roman"/>
              </w:rPr>
              <w:t>visszatér ≥ 30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0F8A32D9" w14:textId="7406D740" w:rsidR="00225102" w:rsidRPr="00956F16" w:rsidRDefault="00225102" w:rsidP="00701BDA">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kezelést a </w:t>
            </w:r>
            <w:r w:rsidR="000C20E4">
              <w:rPr>
                <w:rFonts w:ascii="Times New Roman" w:eastAsia="Times New Roman" w:hAnsi="Times New Roman" w:cs="Times New Roman"/>
                <w:szCs w:val="20"/>
              </w:rPr>
              <w:t>–</w:t>
            </w:r>
            <w:r w:rsidRPr="00956F16">
              <w:rPr>
                <w:rFonts w:ascii="Times New Roman" w:eastAsia="Calibri" w:hAnsi="Times New Roman" w:cs="Times New Roman"/>
              </w:rPr>
              <w:t>1. dózisszinttel, napi egyszeri adagolással.</w:t>
            </w:r>
          </w:p>
        </w:tc>
      </w:tr>
      <w:tr w:rsidR="00701BDA" w:rsidRPr="00956F16" w14:paraId="34606001" w14:textId="77777777" w:rsidTr="00E83289">
        <w:tc>
          <w:tcPr>
            <w:tcW w:w="3539" w:type="dxa"/>
          </w:tcPr>
          <w:p w14:paraId="5E83D030" w14:textId="6A402DD3"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minden további alkalommal, amikor 30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 esik</w:t>
            </w:r>
          </w:p>
        </w:tc>
        <w:tc>
          <w:tcPr>
            <w:tcW w:w="5521" w:type="dxa"/>
          </w:tcPr>
          <w:p w14:paraId="238DE7C2" w14:textId="457CAC15"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p w14:paraId="1600B65A" w14:textId="6A76EF4C" w:rsidR="00701BDA" w:rsidRPr="00956F16" w:rsidRDefault="00701BDA" w:rsidP="00701BDA">
            <w:pPr>
              <w:keepNext/>
              <w:rPr>
                <w:rFonts w:ascii="Times New Roman" w:eastAsia="Calibri" w:hAnsi="Times New Roman" w:cs="Times New Roman"/>
              </w:rPr>
            </w:pPr>
          </w:p>
        </w:tc>
      </w:tr>
      <w:tr w:rsidR="00225102" w:rsidRPr="00956F16" w14:paraId="781FF19D" w14:textId="77777777" w:rsidTr="00225102">
        <w:tc>
          <w:tcPr>
            <w:tcW w:w="3539" w:type="dxa"/>
          </w:tcPr>
          <w:p w14:paraId="3C5BEDF7" w14:textId="18F5E7CA" w:rsidR="00225102" w:rsidRPr="00956F16" w:rsidRDefault="00225102" w:rsidP="00701BDA">
            <w:pPr>
              <w:keepNext/>
              <w:rPr>
                <w:rFonts w:ascii="Times New Roman" w:eastAsia="Calibri" w:hAnsi="Times New Roman" w:cs="Times New Roman"/>
              </w:rPr>
            </w:pPr>
            <w:r w:rsidRPr="00956F16">
              <w:rPr>
                <w:rFonts w:ascii="Times New Roman" w:eastAsia="Calibri" w:hAnsi="Times New Roman" w:cs="Times New Roman"/>
              </w:rPr>
              <w:t>visszatér ≥ 30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2DC4F60C" w14:textId="5AE288F4" w:rsidR="00225102" w:rsidRPr="00956F16" w:rsidRDefault="00225102" w:rsidP="00701BDA">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következő alacsonyabb dózisszinttel, napi egyszeri adagolással.</w:t>
            </w:r>
          </w:p>
        </w:tc>
      </w:tr>
    </w:tbl>
    <w:p w14:paraId="704FE0E0" w14:textId="77777777" w:rsidR="00701BDA" w:rsidRPr="00956F16" w:rsidRDefault="00701BDA" w:rsidP="00701BDA">
      <w:pPr>
        <w:spacing w:after="0" w:line="240" w:lineRule="auto"/>
        <w:rPr>
          <w:rFonts w:ascii="Times New Roman" w:eastAsia="Calibri" w:hAnsi="Times New Roman" w:cs="Times New Roman"/>
          <w:sz w:val="18"/>
          <w:szCs w:val="18"/>
        </w:rPr>
      </w:pPr>
    </w:p>
    <w:p w14:paraId="4372DB66" w14:textId="6FC7389B" w:rsidR="00701BDA" w:rsidRPr="00956F16" w:rsidRDefault="00402058" w:rsidP="00701BDA">
      <w:pPr>
        <w:keepNext/>
        <w:numPr>
          <w:ilvl w:val="0"/>
          <w:numId w:val="15"/>
        </w:numPr>
        <w:tabs>
          <w:tab w:val="left" w:pos="567"/>
        </w:tabs>
        <w:spacing w:after="0" w:line="240" w:lineRule="auto"/>
        <w:ind w:hanging="720"/>
        <w:rPr>
          <w:rFonts w:ascii="Times New Roman" w:eastAsia="Calibri" w:hAnsi="Times New Roman" w:cs="Times New Roman"/>
          <w:i/>
        </w:rPr>
      </w:pPr>
      <w:r>
        <w:rPr>
          <w:rFonts w:ascii="Times New Roman" w:eastAsia="Calibri" w:hAnsi="Times New Roman" w:cs="Times New Roman"/>
          <w:i/>
        </w:rPr>
        <w:t>Abszolút neutrophilszám (ANC) – n</w:t>
      </w:r>
      <w:r w:rsidR="00701BDA" w:rsidRPr="00956F16">
        <w:rPr>
          <w:rFonts w:ascii="Times New Roman" w:eastAsia="Calibri" w:hAnsi="Times New Roman" w:cs="Times New Roman"/>
          <w:i/>
        </w:rPr>
        <w:t>eutropenia</w:t>
      </w:r>
    </w:p>
    <w:tbl>
      <w:tblPr>
        <w:tblStyle w:val="Rcsostblzat"/>
        <w:tblW w:w="0" w:type="auto"/>
        <w:tblLook w:val="04A0" w:firstRow="1" w:lastRow="0" w:firstColumn="1" w:lastColumn="0" w:noHBand="0" w:noVBand="1"/>
      </w:tblPr>
      <w:tblGrid>
        <w:gridCol w:w="3539"/>
        <w:gridCol w:w="5521"/>
      </w:tblGrid>
      <w:tr w:rsidR="00701BDA" w:rsidRPr="00956F16" w14:paraId="1F2D415D" w14:textId="77777777" w:rsidTr="00E83289">
        <w:tc>
          <w:tcPr>
            <w:tcW w:w="3539" w:type="dxa"/>
          </w:tcPr>
          <w:p w14:paraId="2857B2CB" w14:textId="48D39821"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Ha a</w:t>
            </w:r>
            <w:r w:rsidR="00402058">
              <w:rPr>
                <w:rFonts w:ascii="Times New Roman" w:eastAsia="Calibri" w:hAnsi="Times New Roman" w:cs="Times New Roman"/>
              </w:rPr>
              <w:t>z ANC</w:t>
            </w:r>
          </w:p>
        </w:tc>
        <w:tc>
          <w:tcPr>
            <w:tcW w:w="5521" w:type="dxa"/>
          </w:tcPr>
          <w:p w14:paraId="4772EE50" w14:textId="77777777"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Javasolt kezelés</w:t>
            </w:r>
            <w:r w:rsidRPr="00956F16">
              <w:rPr>
                <w:rFonts w:ascii="Times New Roman" w:eastAsia="Calibri" w:hAnsi="Times New Roman" w:cs="Times New Roman"/>
                <w:sz w:val="18"/>
                <w:szCs w:val="18"/>
                <w:vertAlign w:val="superscript"/>
              </w:rPr>
              <w:t>a</w:t>
            </w:r>
          </w:p>
        </w:tc>
      </w:tr>
      <w:tr w:rsidR="00701BDA" w:rsidRPr="00956F16" w14:paraId="5D438B44" w14:textId="77777777" w:rsidTr="00E83289">
        <w:tc>
          <w:tcPr>
            <w:tcW w:w="3539" w:type="dxa"/>
          </w:tcPr>
          <w:p w14:paraId="4F29C615" w14:textId="20A0E8C9"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w:t>
            </w:r>
            <w:r w:rsidR="00402058">
              <w:rPr>
                <w:rFonts w:ascii="Times New Roman" w:eastAsia="Calibri" w:hAnsi="Times New Roman" w:cs="Times New Roman"/>
              </w:rPr>
              <w:t xml:space="preserve"> esik</w:t>
            </w:r>
          </w:p>
        </w:tc>
        <w:tc>
          <w:tcPr>
            <w:tcW w:w="5521" w:type="dxa"/>
          </w:tcPr>
          <w:p w14:paraId="09DF7977" w14:textId="3FACE4FD"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tc>
      </w:tr>
      <w:tr w:rsidR="00402058" w:rsidRPr="00956F16" w14:paraId="058B23F3" w14:textId="77777777" w:rsidTr="00402058">
        <w:tc>
          <w:tcPr>
            <w:tcW w:w="3539" w:type="dxa"/>
          </w:tcPr>
          <w:p w14:paraId="7B2C7630" w14:textId="6F925D70" w:rsidR="00402058" w:rsidRPr="00956F16" w:rsidDel="00402058" w:rsidRDefault="00402058" w:rsidP="00701BDA">
            <w:pPr>
              <w:keepNext/>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73BF1B67" w14:textId="429FC971" w:rsidR="00402058" w:rsidRPr="00956F16" w:rsidRDefault="00402058" w:rsidP="00701BDA">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kezelést a </w:t>
            </w:r>
            <w:r w:rsidR="000C20E4">
              <w:rPr>
                <w:rFonts w:ascii="Times New Roman" w:eastAsia="Times New Roman" w:hAnsi="Times New Roman" w:cs="Times New Roman"/>
                <w:szCs w:val="20"/>
              </w:rPr>
              <w:t>–</w:t>
            </w:r>
            <w:r w:rsidRPr="00956F16">
              <w:rPr>
                <w:rFonts w:ascii="Times New Roman" w:eastAsia="Calibri" w:hAnsi="Times New Roman" w:cs="Times New Roman"/>
              </w:rPr>
              <w:t>1. dózisszinttel, napi egyszeri adagolással.</w:t>
            </w:r>
          </w:p>
        </w:tc>
      </w:tr>
      <w:tr w:rsidR="00701BDA" w:rsidRPr="00956F16" w14:paraId="6CB3374F" w14:textId="77777777" w:rsidTr="00E83289">
        <w:tc>
          <w:tcPr>
            <w:tcW w:w="3539" w:type="dxa"/>
          </w:tcPr>
          <w:p w14:paraId="2E74BF33" w14:textId="45E699B0"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minden további alkalommal, ha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 esik</w:t>
            </w:r>
          </w:p>
        </w:tc>
        <w:tc>
          <w:tcPr>
            <w:tcW w:w="5521" w:type="dxa"/>
          </w:tcPr>
          <w:p w14:paraId="5EEE07EF" w14:textId="06FFD217" w:rsidR="00701BDA" w:rsidRPr="00956F16" w:rsidRDefault="00701BDA" w:rsidP="00701BDA">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tc>
      </w:tr>
      <w:tr w:rsidR="00402058" w:rsidRPr="00956F16" w14:paraId="2FC0B2AB" w14:textId="77777777" w:rsidTr="00402058">
        <w:tc>
          <w:tcPr>
            <w:tcW w:w="3539" w:type="dxa"/>
          </w:tcPr>
          <w:p w14:paraId="05DADB7D" w14:textId="0FE69EC4" w:rsidR="00402058" w:rsidRPr="00956F16" w:rsidRDefault="00402058" w:rsidP="00701BDA">
            <w:pPr>
              <w:keepNext/>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3822F293" w14:textId="1F2B6E43" w:rsidR="00402058" w:rsidRPr="00956F16" w:rsidRDefault="00402058" w:rsidP="00701BDA">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következő alacsonyabb dózisszinttel, napi egyszeri adagolással.</w:t>
            </w:r>
          </w:p>
        </w:tc>
      </w:tr>
    </w:tbl>
    <w:p w14:paraId="325DC996" w14:textId="6031B2C4" w:rsidR="00701BDA" w:rsidRPr="00956F16" w:rsidRDefault="00701BDA" w:rsidP="00701BDA">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 xml:space="preserve">a </w:t>
      </w:r>
      <w:r w:rsidRPr="00956F16">
        <w:rPr>
          <w:rFonts w:ascii="Times New Roman" w:eastAsia="Calibri" w:hAnsi="Times New Roman" w:cs="Times New Roman"/>
          <w:sz w:val="18"/>
          <w:szCs w:val="18"/>
        </w:rPr>
        <w:t>Amennyiben bármelyik dózisszint mellett a neutropenia az egyetlen toxicitás, akkor a kezelőorvos belátása szerint, a terápiát ki kell egészíteni granulocyta-kolónia</w:t>
      </w:r>
      <w:r w:rsidR="00404E9B">
        <w:rPr>
          <w:rFonts w:ascii="Times New Roman" w:eastAsia="Calibri" w:hAnsi="Times New Roman" w:cs="Times New Roman"/>
          <w:sz w:val="18"/>
          <w:szCs w:val="18"/>
        </w:rPr>
        <w:t>-</w:t>
      </w:r>
      <w:r w:rsidRPr="00956F16">
        <w:rPr>
          <w:rFonts w:ascii="Times New Roman" w:eastAsia="Calibri" w:hAnsi="Times New Roman" w:cs="Times New Roman"/>
          <w:sz w:val="18"/>
          <w:szCs w:val="18"/>
        </w:rPr>
        <w:t>stimuláló faktorral (G-CSF), és a lenalidomid dózisszintjét fenn kell tartani.</w:t>
      </w:r>
    </w:p>
    <w:p w14:paraId="45CB50FD" w14:textId="77777777" w:rsidR="002C399E" w:rsidRDefault="002C399E" w:rsidP="00956F16">
      <w:pPr>
        <w:keepNext/>
        <w:spacing w:after="0" w:line="240" w:lineRule="auto"/>
        <w:rPr>
          <w:rFonts w:ascii="Times New Roman" w:eastAsia="Calibri" w:hAnsi="Times New Roman" w:cs="Times New Roman"/>
          <w:i/>
          <w:u w:val="single"/>
        </w:rPr>
      </w:pPr>
    </w:p>
    <w:p w14:paraId="45227C47"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Legalább egy korábbi terápiával már kezelt myeloma multiplex</w:t>
      </w:r>
    </w:p>
    <w:p w14:paraId="5706782D" w14:textId="5EB7A3EB"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w:t>
      </w:r>
      <w:r w:rsidR="00104634">
        <w:rPr>
          <w:rFonts w:ascii="Times New Roman" w:eastAsia="Calibri" w:hAnsi="Times New Roman" w:cs="Times New Roman"/>
        </w:rPr>
        <w:t>-</w:t>
      </w:r>
      <w:r w:rsidRPr="00956F16">
        <w:rPr>
          <w:rFonts w:ascii="Times New Roman" w:eastAsia="Calibri" w:hAnsi="Times New Roman" w:cs="Times New Roman"/>
        </w:rPr>
        <w:t>kezelést nem szabad elkezdeni, ha az ANC alacsonyabb mint 1,0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és/vagy a vérlemezkeszám alacsonyabb mint 75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vagy a csontvelő plazmasejt-infiltrációjától függően a vérlemezkék száma alacsonyabb mint 30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w:t>
      </w:r>
    </w:p>
    <w:p w14:paraId="2E3D294B" w14:textId="77777777" w:rsidR="00956F16" w:rsidRPr="00956F16" w:rsidRDefault="00956F16" w:rsidP="00956F16">
      <w:pPr>
        <w:spacing w:after="0" w:line="240" w:lineRule="auto"/>
        <w:rPr>
          <w:rFonts w:ascii="Times New Roman" w:eastAsia="Calibri" w:hAnsi="Times New Roman" w:cs="Times New Roman"/>
        </w:rPr>
      </w:pPr>
    </w:p>
    <w:p w14:paraId="7B65FF01" w14:textId="77777777" w:rsidR="00956F16" w:rsidRPr="00956F16" w:rsidRDefault="00956F16" w:rsidP="00956F16">
      <w:pPr>
        <w:keepNext/>
        <w:spacing w:after="0" w:line="240" w:lineRule="auto"/>
        <w:rPr>
          <w:rFonts w:ascii="Times New Roman" w:eastAsia="Calibri" w:hAnsi="Times New Roman" w:cs="Times New Roman"/>
          <w:i/>
        </w:rPr>
      </w:pPr>
      <w:r w:rsidRPr="00956F16">
        <w:rPr>
          <w:rFonts w:ascii="Times New Roman" w:eastAsia="Calibri" w:hAnsi="Times New Roman" w:cs="Times New Roman"/>
          <w:i/>
        </w:rPr>
        <w:t>Javasolt dózis</w:t>
      </w:r>
    </w:p>
    <w:p w14:paraId="12F4C4A0" w14:textId="46184C08"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javasolt kezdő dózisa naponta egyszer </w:t>
      </w:r>
      <w:r w:rsidRPr="00956F16">
        <w:rPr>
          <w:rFonts w:ascii="Times New Roman" w:eastAsia="Calibri" w:hAnsi="Times New Roman" w:cs="Times New Roman"/>
          <w:i/>
        </w:rPr>
        <w:t xml:space="preserve">per os </w:t>
      </w:r>
      <w:r w:rsidRPr="00956F16">
        <w:rPr>
          <w:rFonts w:ascii="Times New Roman" w:eastAsia="Calibri" w:hAnsi="Times New Roman" w:cs="Times New Roman"/>
        </w:rPr>
        <w:t>alkalmazott 25 mg, az ismétlődő 28 napos ciklusok 1.</w:t>
      </w:r>
      <w:r w:rsidR="005467DF">
        <w:rPr>
          <w:rFonts w:ascii="Times New Roman" w:eastAsia="Calibri" w:hAnsi="Times New Roman" w:cs="Times New Roman"/>
        </w:rPr>
        <w:t>–</w:t>
      </w:r>
      <w:r w:rsidRPr="00956F16">
        <w:rPr>
          <w:rFonts w:ascii="Times New Roman" w:eastAsia="Calibri" w:hAnsi="Times New Roman" w:cs="Times New Roman"/>
        </w:rPr>
        <w:t xml:space="preserve">21. napján. A dexametazon javasolt dózisa naponta egyszer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alkalmazott 40 mg, a ciklus 1.</w:t>
      </w:r>
      <w:r w:rsidR="00AC6A30">
        <w:rPr>
          <w:rFonts w:ascii="Times New Roman" w:eastAsia="Calibri" w:hAnsi="Times New Roman" w:cs="Times New Roman"/>
        </w:rPr>
        <w:t>–</w:t>
      </w:r>
      <w:r w:rsidRPr="00956F16">
        <w:rPr>
          <w:rFonts w:ascii="Times New Roman" w:eastAsia="Calibri" w:hAnsi="Times New Roman" w:cs="Times New Roman"/>
        </w:rPr>
        <w:t>4., 9.</w:t>
      </w:r>
      <w:r w:rsidR="00AC6A30">
        <w:rPr>
          <w:rFonts w:ascii="Times New Roman" w:eastAsia="Calibri" w:hAnsi="Times New Roman" w:cs="Times New Roman"/>
        </w:rPr>
        <w:t>–</w:t>
      </w:r>
      <w:r w:rsidRPr="00956F16">
        <w:rPr>
          <w:rFonts w:ascii="Times New Roman" w:eastAsia="Calibri" w:hAnsi="Times New Roman" w:cs="Times New Roman"/>
        </w:rPr>
        <w:t>12., és 17.</w:t>
      </w:r>
      <w:r w:rsidR="00AC6A30">
        <w:rPr>
          <w:rFonts w:ascii="Times New Roman" w:eastAsia="Calibri" w:hAnsi="Times New Roman" w:cs="Times New Roman"/>
        </w:rPr>
        <w:t>–</w:t>
      </w:r>
      <w:r w:rsidRPr="00956F16">
        <w:rPr>
          <w:rFonts w:ascii="Times New Roman" w:eastAsia="Calibri" w:hAnsi="Times New Roman" w:cs="Times New Roman"/>
        </w:rPr>
        <w:t>20. napján a kezelés első négy 28 napos ciklusa alatt, majd ezt követően a 28 napos ciklusok során naponta egyszer 40 mg, a ciklus 1.</w:t>
      </w:r>
      <w:r w:rsidR="00AC6A30">
        <w:rPr>
          <w:rFonts w:ascii="Times New Roman" w:eastAsia="Calibri" w:hAnsi="Times New Roman" w:cs="Times New Roman"/>
        </w:rPr>
        <w:t>–</w:t>
      </w:r>
      <w:r w:rsidRPr="00956F16">
        <w:rPr>
          <w:rFonts w:ascii="Times New Roman" w:eastAsia="Calibri" w:hAnsi="Times New Roman" w:cs="Times New Roman"/>
        </w:rPr>
        <w:t>4. napján.</w:t>
      </w:r>
    </w:p>
    <w:p w14:paraId="5327D9F5"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kezelést elrendelő orvosnak a beteg állapotának és a betegség státuszának figyelembevételével gondosan mérlegelnie kell az alkalmazott dexametazon dózist.</w:t>
      </w:r>
    </w:p>
    <w:p w14:paraId="3AE16FCF" w14:textId="77777777" w:rsidR="00956F16" w:rsidRPr="00956F16" w:rsidRDefault="00956F16" w:rsidP="00956F16">
      <w:pPr>
        <w:spacing w:after="0" w:line="240" w:lineRule="auto"/>
        <w:rPr>
          <w:rFonts w:ascii="Times New Roman" w:eastAsia="Calibri" w:hAnsi="Times New Roman" w:cs="Times New Roman"/>
        </w:rPr>
      </w:pPr>
    </w:p>
    <w:p w14:paraId="758B2FF0" w14:textId="77777777" w:rsidR="00956F16" w:rsidRPr="00956F16" w:rsidRDefault="00956F16" w:rsidP="00956F16">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t>A dóziscsökkentés lépései</w:t>
      </w:r>
    </w:p>
    <w:tbl>
      <w:tblPr>
        <w:tblStyle w:val="Rcsostblzat"/>
        <w:tblW w:w="0" w:type="auto"/>
        <w:tblLook w:val="04A0" w:firstRow="1" w:lastRow="0" w:firstColumn="1" w:lastColumn="0" w:noHBand="0" w:noVBand="1"/>
      </w:tblPr>
      <w:tblGrid>
        <w:gridCol w:w="6658"/>
        <w:gridCol w:w="2402"/>
      </w:tblGrid>
      <w:tr w:rsidR="00956F16" w:rsidRPr="00956F16" w14:paraId="3AE7FFEF" w14:textId="77777777" w:rsidTr="00694E9C">
        <w:tc>
          <w:tcPr>
            <w:tcW w:w="6658" w:type="dxa"/>
          </w:tcPr>
          <w:p w14:paraId="77BAFEEC"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Kezdő dózis</w:t>
            </w:r>
          </w:p>
        </w:tc>
        <w:tc>
          <w:tcPr>
            <w:tcW w:w="2402" w:type="dxa"/>
          </w:tcPr>
          <w:p w14:paraId="5BD2A3EF" w14:textId="77777777" w:rsidR="00956F16" w:rsidRPr="00956F16" w:rsidRDefault="00956F16" w:rsidP="00956F16">
            <w:pPr>
              <w:keepNext/>
              <w:jc w:val="center"/>
              <w:rPr>
                <w:rFonts w:ascii="Times New Roman" w:eastAsia="Calibri" w:hAnsi="Times New Roman" w:cs="Times New Roman"/>
              </w:rPr>
            </w:pPr>
            <w:r w:rsidRPr="00956F16">
              <w:rPr>
                <w:rFonts w:ascii="Times New Roman" w:eastAsia="Calibri" w:hAnsi="Times New Roman" w:cs="Times New Roman"/>
              </w:rPr>
              <w:t>25 mg</w:t>
            </w:r>
          </w:p>
        </w:tc>
      </w:tr>
      <w:tr w:rsidR="00956F16" w:rsidRPr="00956F16" w14:paraId="508E05EA" w14:textId="77777777" w:rsidTr="00694E9C">
        <w:tc>
          <w:tcPr>
            <w:tcW w:w="6658" w:type="dxa"/>
          </w:tcPr>
          <w:p w14:paraId="7152542E" w14:textId="08A751A4" w:rsidR="00956F16" w:rsidRPr="00956F16" w:rsidRDefault="008A3DE8" w:rsidP="00956F16">
            <w:pPr>
              <w:keepNext/>
              <w:rPr>
                <w:rFonts w:ascii="Times New Roman" w:eastAsia="Calibri" w:hAnsi="Times New Roman" w:cs="Times New Roman"/>
              </w:rPr>
            </w:pPr>
            <w:r>
              <w:rPr>
                <w:rFonts w:ascii="Times New Roman" w:eastAsia="Times New Roman" w:hAnsi="Times New Roman" w:cs="Times New Roman"/>
                <w:szCs w:val="20"/>
              </w:rPr>
              <w:t>–</w:t>
            </w:r>
            <w:r w:rsidR="00956F16" w:rsidRPr="00956F16">
              <w:rPr>
                <w:rFonts w:ascii="Times New Roman" w:eastAsia="Calibri" w:hAnsi="Times New Roman" w:cs="Times New Roman"/>
              </w:rPr>
              <w:t>1. dózisszint</w:t>
            </w:r>
          </w:p>
        </w:tc>
        <w:tc>
          <w:tcPr>
            <w:tcW w:w="2402" w:type="dxa"/>
          </w:tcPr>
          <w:p w14:paraId="7E74592D" w14:textId="77777777" w:rsidR="00956F16" w:rsidRPr="00956F16" w:rsidRDefault="00956F16" w:rsidP="00956F16">
            <w:pPr>
              <w:keepNext/>
              <w:jc w:val="center"/>
              <w:rPr>
                <w:rFonts w:ascii="Times New Roman" w:eastAsia="Calibri" w:hAnsi="Times New Roman" w:cs="Times New Roman"/>
              </w:rPr>
            </w:pPr>
            <w:r w:rsidRPr="00956F16">
              <w:rPr>
                <w:rFonts w:ascii="Times New Roman" w:eastAsia="Calibri" w:hAnsi="Times New Roman" w:cs="Times New Roman"/>
              </w:rPr>
              <w:t>15 mg</w:t>
            </w:r>
          </w:p>
        </w:tc>
      </w:tr>
      <w:tr w:rsidR="00956F16" w:rsidRPr="00956F16" w14:paraId="37762A58" w14:textId="77777777" w:rsidTr="00694E9C">
        <w:tc>
          <w:tcPr>
            <w:tcW w:w="6658" w:type="dxa"/>
          </w:tcPr>
          <w:p w14:paraId="7385B181" w14:textId="2C457D78" w:rsidR="00956F16" w:rsidRPr="00956F16" w:rsidRDefault="008A3DE8" w:rsidP="00956F16">
            <w:pPr>
              <w:keepNext/>
              <w:rPr>
                <w:rFonts w:ascii="Times New Roman" w:eastAsia="Calibri" w:hAnsi="Times New Roman" w:cs="Times New Roman"/>
              </w:rPr>
            </w:pPr>
            <w:r>
              <w:rPr>
                <w:rFonts w:ascii="Times New Roman" w:eastAsia="Times New Roman" w:hAnsi="Times New Roman" w:cs="Times New Roman"/>
                <w:szCs w:val="20"/>
              </w:rPr>
              <w:t>–</w:t>
            </w:r>
            <w:r w:rsidR="00956F16" w:rsidRPr="00956F16">
              <w:rPr>
                <w:rFonts w:ascii="Times New Roman" w:eastAsia="Calibri" w:hAnsi="Times New Roman" w:cs="Times New Roman"/>
              </w:rPr>
              <w:t>2. dózisszint</w:t>
            </w:r>
          </w:p>
        </w:tc>
        <w:tc>
          <w:tcPr>
            <w:tcW w:w="2402" w:type="dxa"/>
          </w:tcPr>
          <w:p w14:paraId="6AF79759" w14:textId="77777777" w:rsidR="00956F16" w:rsidRPr="00956F16" w:rsidRDefault="00956F16" w:rsidP="00956F16">
            <w:pPr>
              <w:keepNext/>
              <w:jc w:val="center"/>
              <w:rPr>
                <w:rFonts w:ascii="Times New Roman" w:eastAsia="Calibri" w:hAnsi="Times New Roman" w:cs="Times New Roman"/>
              </w:rPr>
            </w:pPr>
            <w:r w:rsidRPr="00956F16">
              <w:rPr>
                <w:rFonts w:ascii="Times New Roman" w:eastAsia="Calibri" w:hAnsi="Times New Roman" w:cs="Times New Roman"/>
              </w:rPr>
              <w:t>10 mg</w:t>
            </w:r>
          </w:p>
        </w:tc>
      </w:tr>
      <w:tr w:rsidR="00956F16" w:rsidRPr="00956F16" w14:paraId="33C291B4" w14:textId="77777777" w:rsidTr="00694E9C">
        <w:tc>
          <w:tcPr>
            <w:tcW w:w="6658" w:type="dxa"/>
          </w:tcPr>
          <w:p w14:paraId="4B4332EE" w14:textId="0DC6EAF8" w:rsidR="00956F16" w:rsidRPr="00956F16" w:rsidRDefault="008A3DE8" w:rsidP="00956F16">
            <w:pPr>
              <w:rPr>
                <w:rFonts w:ascii="Times New Roman" w:eastAsia="Calibri" w:hAnsi="Times New Roman" w:cs="Times New Roman"/>
              </w:rPr>
            </w:pPr>
            <w:r>
              <w:rPr>
                <w:rFonts w:ascii="Times New Roman" w:eastAsia="Times New Roman" w:hAnsi="Times New Roman" w:cs="Times New Roman"/>
                <w:szCs w:val="20"/>
              </w:rPr>
              <w:t>–</w:t>
            </w:r>
            <w:r w:rsidR="00956F16" w:rsidRPr="00956F16">
              <w:rPr>
                <w:rFonts w:ascii="Times New Roman" w:eastAsia="Calibri" w:hAnsi="Times New Roman" w:cs="Times New Roman"/>
              </w:rPr>
              <w:t>3. dózisszint</w:t>
            </w:r>
          </w:p>
        </w:tc>
        <w:tc>
          <w:tcPr>
            <w:tcW w:w="2402" w:type="dxa"/>
          </w:tcPr>
          <w:p w14:paraId="6C05C0CE" w14:textId="77777777" w:rsidR="00956F16" w:rsidRPr="00956F16" w:rsidRDefault="00956F16" w:rsidP="00956F16">
            <w:pPr>
              <w:jc w:val="center"/>
              <w:rPr>
                <w:rFonts w:ascii="Times New Roman" w:eastAsia="Calibri" w:hAnsi="Times New Roman" w:cs="Times New Roman"/>
              </w:rPr>
            </w:pPr>
            <w:r w:rsidRPr="00956F16">
              <w:rPr>
                <w:rFonts w:ascii="Times New Roman" w:eastAsia="Calibri" w:hAnsi="Times New Roman" w:cs="Times New Roman"/>
              </w:rPr>
              <w:t>5 mg</w:t>
            </w:r>
          </w:p>
        </w:tc>
      </w:tr>
    </w:tbl>
    <w:p w14:paraId="4A5C6B66" w14:textId="77777777" w:rsidR="00956F16" w:rsidRPr="00956F16" w:rsidRDefault="00956F16" w:rsidP="00956F16">
      <w:pPr>
        <w:spacing w:after="0" w:line="240" w:lineRule="auto"/>
        <w:rPr>
          <w:rFonts w:ascii="Times New Roman" w:eastAsia="Calibri" w:hAnsi="Times New Roman" w:cs="Times New Roman"/>
        </w:rPr>
      </w:pPr>
    </w:p>
    <w:p w14:paraId="56910D0F" w14:textId="77777777" w:rsidR="00956F16" w:rsidRPr="00956F16" w:rsidRDefault="00956F16" w:rsidP="00956F16">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lastRenderedPageBreak/>
        <w:t>Thrombocytopenia</w:t>
      </w:r>
    </w:p>
    <w:tbl>
      <w:tblPr>
        <w:tblStyle w:val="Rcsostblzat"/>
        <w:tblW w:w="0" w:type="auto"/>
        <w:tblLook w:val="04A0" w:firstRow="1" w:lastRow="0" w:firstColumn="1" w:lastColumn="0" w:noHBand="0" w:noVBand="1"/>
      </w:tblPr>
      <w:tblGrid>
        <w:gridCol w:w="3539"/>
        <w:gridCol w:w="5521"/>
      </w:tblGrid>
      <w:tr w:rsidR="00956F16" w:rsidRPr="00956F16" w14:paraId="07A6DB4A" w14:textId="77777777" w:rsidTr="00E83289">
        <w:tc>
          <w:tcPr>
            <w:tcW w:w="3539" w:type="dxa"/>
          </w:tcPr>
          <w:p w14:paraId="15AECC99"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Ha a thrombocytaszám</w:t>
            </w:r>
          </w:p>
        </w:tc>
        <w:tc>
          <w:tcPr>
            <w:tcW w:w="5521" w:type="dxa"/>
          </w:tcPr>
          <w:p w14:paraId="6DEBBC62"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Javasolt kezelés</w:t>
            </w:r>
          </w:p>
        </w:tc>
      </w:tr>
      <w:tr w:rsidR="00956F16" w:rsidRPr="00956F16" w14:paraId="5125C4D7" w14:textId="77777777" w:rsidTr="00E83289">
        <w:tc>
          <w:tcPr>
            <w:tcW w:w="3539" w:type="dxa"/>
          </w:tcPr>
          <w:p w14:paraId="273757B6"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először esik 30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w:t>
            </w:r>
          </w:p>
          <w:p w14:paraId="112CB2F1" w14:textId="57CE0A33" w:rsidR="00956F16" w:rsidRPr="00956F16" w:rsidRDefault="00956F16" w:rsidP="00956F16">
            <w:pPr>
              <w:keepNext/>
              <w:rPr>
                <w:rFonts w:ascii="Times New Roman" w:eastAsia="Calibri" w:hAnsi="Times New Roman" w:cs="Times New Roman"/>
              </w:rPr>
            </w:pPr>
          </w:p>
        </w:tc>
        <w:tc>
          <w:tcPr>
            <w:tcW w:w="5521" w:type="dxa"/>
          </w:tcPr>
          <w:p w14:paraId="7AD98883" w14:textId="2D29AAB2"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p w14:paraId="0656F5F1" w14:textId="166A2670" w:rsidR="00956F16" w:rsidRPr="00956F16" w:rsidRDefault="00956F16" w:rsidP="00956F16">
            <w:pPr>
              <w:keepNext/>
              <w:rPr>
                <w:rFonts w:ascii="Times New Roman" w:eastAsia="Calibri" w:hAnsi="Times New Roman" w:cs="Times New Roman"/>
              </w:rPr>
            </w:pPr>
          </w:p>
        </w:tc>
      </w:tr>
      <w:tr w:rsidR="00AE5427" w:rsidRPr="00956F16" w14:paraId="311B6E44" w14:textId="77777777" w:rsidTr="00AE5427">
        <w:tc>
          <w:tcPr>
            <w:tcW w:w="3539" w:type="dxa"/>
          </w:tcPr>
          <w:p w14:paraId="59FEB75D" w14:textId="3CBC30B4" w:rsidR="00AE5427" w:rsidRPr="00956F16" w:rsidRDefault="00AE5427" w:rsidP="00956F16">
            <w:pPr>
              <w:keepNext/>
              <w:rPr>
                <w:rFonts w:ascii="Times New Roman" w:eastAsia="Calibri" w:hAnsi="Times New Roman" w:cs="Times New Roman"/>
              </w:rPr>
            </w:pPr>
            <w:r w:rsidRPr="00956F16">
              <w:rPr>
                <w:rFonts w:ascii="Times New Roman" w:eastAsia="Calibri" w:hAnsi="Times New Roman" w:cs="Times New Roman"/>
              </w:rPr>
              <w:t>visszatér ≥ 30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1BCD6153" w14:textId="328635B2" w:rsidR="00AE5427" w:rsidRPr="00956F16" w:rsidRDefault="00AE5427" w:rsidP="00956F16">
            <w:pPr>
              <w:keepNext/>
              <w:rPr>
                <w:rFonts w:ascii="Times New Roman" w:eastAsia="Calibri" w:hAnsi="Times New Roman" w:cs="Times New Roman"/>
              </w:rPr>
            </w:pPr>
            <w:r w:rsidRPr="00956F16">
              <w:rPr>
                <w:rFonts w:ascii="Times New Roman" w:eastAsia="Calibri" w:hAnsi="Times New Roman" w:cs="Times New Roman"/>
              </w:rPr>
              <w:t xml:space="preserve">Folytassa a lenalidomid alkalmazását a </w:t>
            </w:r>
            <w:r w:rsidR="000C20E4">
              <w:rPr>
                <w:rFonts w:ascii="Times New Roman" w:eastAsia="Times New Roman" w:hAnsi="Times New Roman" w:cs="Times New Roman"/>
                <w:szCs w:val="20"/>
              </w:rPr>
              <w:t>–</w:t>
            </w:r>
            <w:r w:rsidRPr="00956F16">
              <w:rPr>
                <w:rFonts w:ascii="Times New Roman" w:eastAsia="Calibri" w:hAnsi="Times New Roman" w:cs="Times New Roman"/>
              </w:rPr>
              <w:t>1. dózisszinten.</w:t>
            </w:r>
          </w:p>
        </w:tc>
      </w:tr>
      <w:tr w:rsidR="00956F16" w:rsidRPr="00956F16" w14:paraId="234DAA0D" w14:textId="77777777" w:rsidTr="00E83289">
        <w:tc>
          <w:tcPr>
            <w:tcW w:w="3539" w:type="dxa"/>
          </w:tcPr>
          <w:p w14:paraId="30FD3EFA"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minden további alkalommal, ha 30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 esik</w:t>
            </w:r>
          </w:p>
        </w:tc>
        <w:tc>
          <w:tcPr>
            <w:tcW w:w="5521" w:type="dxa"/>
          </w:tcPr>
          <w:p w14:paraId="7E65D29C" w14:textId="61C6CEFF"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tc>
      </w:tr>
      <w:tr w:rsidR="00956F16" w:rsidRPr="00956F16" w14:paraId="66891FE4" w14:textId="77777777" w:rsidTr="00E83289">
        <w:tc>
          <w:tcPr>
            <w:tcW w:w="3539" w:type="dxa"/>
          </w:tcPr>
          <w:p w14:paraId="75818677" w14:textId="77777777" w:rsidR="00956F16" w:rsidRPr="00956F16" w:rsidRDefault="00956F16" w:rsidP="00956F16">
            <w:pPr>
              <w:rPr>
                <w:rFonts w:ascii="Times New Roman" w:eastAsia="Calibri" w:hAnsi="Times New Roman" w:cs="Times New Roman"/>
              </w:rPr>
            </w:pPr>
            <w:r w:rsidRPr="00956F16">
              <w:rPr>
                <w:rFonts w:ascii="Times New Roman" w:eastAsia="Calibri" w:hAnsi="Times New Roman" w:cs="Times New Roman"/>
              </w:rPr>
              <w:t>visszatér ≥ 30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051089F5" w14:textId="4DF1CB3A" w:rsidR="00956F16" w:rsidRPr="00956F16" w:rsidRDefault="00956F16" w:rsidP="00956F16">
            <w:pPr>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következő alacsonyabb dózisszinttel (</w:t>
            </w:r>
            <w:r w:rsidR="000C20E4">
              <w:rPr>
                <w:rFonts w:ascii="Times New Roman" w:eastAsia="Times New Roman" w:hAnsi="Times New Roman" w:cs="Times New Roman"/>
                <w:szCs w:val="20"/>
              </w:rPr>
              <w:t>–</w:t>
            </w:r>
            <w:r w:rsidRPr="00956F16">
              <w:rPr>
                <w:rFonts w:ascii="Times New Roman" w:eastAsia="Calibri" w:hAnsi="Times New Roman" w:cs="Times New Roman"/>
              </w:rPr>
              <w:t xml:space="preserve">2. vagy </w:t>
            </w:r>
            <w:r w:rsidR="000C20E4">
              <w:rPr>
                <w:rFonts w:ascii="Times New Roman" w:eastAsia="Times New Roman" w:hAnsi="Times New Roman" w:cs="Times New Roman"/>
                <w:szCs w:val="20"/>
              </w:rPr>
              <w:t>–</w:t>
            </w:r>
            <w:r w:rsidRPr="00956F16">
              <w:rPr>
                <w:rFonts w:ascii="Times New Roman" w:eastAsia="Calibri" w:hAnsi="Times New Roman" w:cs="Times New Roman"/>
              </w:rPr>
              <w:t>3. dóz</w:t>
            </w:r>
            <w:r w:rsidR="00887676">
              <w:rPr>
                <w:rFonts w:ascii="Times New Roman" w:eastAsia="Calibri" w:hAnsi="Times New Roman" w:cs="Times New Roman"/>
              </w:rPr>
              <w:t>isszint</w:t>
            </w:r>
            <w:r w:rsidRPr="00956F16">
              <w:rPr>
                <w:rFonts w:ascii="Times New Roman" w:eastAsia="Calibri" w:hAnsi="Times New Roman" w:cs="Times New Roman"/>
              </w:rPr>
              <w:t>), napi egyszeri adagolással. Ne alkalmazzon 5 mg-nál alacsonyabb napi dózist.</w:t>
            </w:r>
          </w:p>
        </w:tc>
      </w:tr>
    </w:tbl>
    <w:p w14:paraId="35996E42" w14:textId="77777777" w:rsidR="00956F16" w:rsidRPr="00956F16" w:rsidRDefault="00956F16" w:rsidP="00956F16">
      <w:pPr>
        <w:spacing w:after="0" w:line="240" w:lineRule="auto"/>
        <w:rPr>
          <w:rFonts w:ascii="Times New Roman" w:eastAsia="Calibri" w:hAnsi="Times New Roman" w:cs="Times New Roman"/>
        </w:rPr>
      </w:pPr>
    </w:p>
    <w:p w14:paraId="5A279A30" w14:textId="01515D59" w:rsidR="00956F16" w:rsidRPr="00956F16" w:rsidRDefault="00AE5427" w:rsidP="00956F16">
      <w:pPr>
        <w:keepNext/>
        <w:numPr>
          <w:ilvl w:val="0"/>
          <w:numId w:val="15"/>
        </w:numPr>
        <w:tabs>
          <w:tab w:val="left" w:pos="567"/>
        </w:tabs>
        <w:spacing w:after="0" w:line="240" w:lineRule="auto"/>
        <w:ind w:hanging="720"/>
        <w:rPr>
          <w:rFonts w:ascii="Times New Roman" w:eastAsia="Calibri" w:hAnsi="Times New Roman" w:cs="Times New Roman"/>
          <w:i/>
        </w:rPr>
      </w:pPr>
      <w:r>
        <w:rPr>
          <w:rFonts w:ascii="Times New Roman" w:eastAsia="Calibri" w:hAnsi="Times New Roman" w:cs="Times New Roman"/>
          <w:i/>
        </w:rPr>
        <w:t>Abszolút neutrophilszám (ANC) – n</w:t>
      </w:r>
      <w:r w:rsidR="00956F16" w:rsidRPr="00956F16">
        <w:rPr>
          <w:rFonts w:ascii="Times New Roman" w:eastAsia="Calibri" w:hAnsi="Times New Roman" w:cs="Times New Roman"/>
          <w:i/>
        </w:rPr>
        <w:t>eutropenia</w:t>
      </w:r>
    </w:p>
    <w:tbl>
      <w:tblPr>
        <w:tblStyle w:val="Rcsostblzat"/>
        <w:tblW w:w="0" w:type="auto"/>
        <w:tblLook w:val="04A0" w:firstRow="1" w:lastRow="0" w:firstColumn="1" w:lastColumn="0" w:noHBand="0" w:noVBand="1"/>
      </w:tblPr>
      <w:tblGrid>
        <w:gridCol w:w="3539"/>
        <w:gridCol w:w="5521"/>
      </w:tblGrid>
      <w:tr w:rsidR="00956F16" w:rsidRPr="00956F16" w14:paraId="36BEE156" w14:textId="77777777" w:rsidTr="00E83289">
        <w:tc>
          <w:tcPr>
            <w:tcW w:w="3539" w:type="dxa"/>
          </w:tcPr>
          <w:p w14:paraId="3C5316D4" w14:textId="2976DDD3"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Ha a</w:t>
            </w:r>
            <w:r w:rsidR="00AE5427">
              <w:rPr>
                <w:rFonts w:ascii="Times New Roman" w:eastAsia="Calibri" w:hAnsi="Times New Roman" w:cs="Times New Roman"/>
              </w:rPr>
              <w:t>z ANC</w:t>
            </w:r>
          </w:p>
        </w:tc>
        <w:tc>
          <w:tcPr>
            <w:tcW w:w="5521" w:type="dxa"/>
          </w:tcPr>
          <w:p w14:paraId="5A9F925D"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Javasolt kezelés</w:t>
            </w:r>
          </w:p>
        </w:tc>
      </w:tr>
      <w:tr w:rsidR="00956F16" w:rsidRPr="00956F16" w14:paraId="67493402" w14:textId="77777777" w:rsidTr="00E83289">
        <w:tc>
          <w:tcPr>
            <w:tcW w:w="3539" w:type="dxa"/>
          </w:tcPr>
          <w:p w14:paraId="53D77B21"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először esik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w:t>
            </w:r>
          </w:p>
          <w:p w14:paraId="0C9B877E" w14:textId="601A6C37" w:rsidR="00956F16" w:rsidRPr="00956F16" w:rsidRDefault="00956F16" w:rsidP="00956F16">
            <w:pPr>
              <w:keepNext/>
              <w:rPr>
                <w:rFonts w:ascii="Times New Roman" w:eastAsia="Calibri" w:hAnsi="Times New Roman" w:cs="Times New Roman"/>
              </w:rPr>
            </w:pPr>
          </w:p>
        </w:tc>
        <w:tc>
          <w:tcPr>
            <w:tcW w:w="5521" w:type="dxa"/>
          </w:tcPr>
          <w:p w14:paraId="45A9B2D5" w14:textId="500E3D65"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p w14:paraId="1A3E68DA" w14:textId="70B67011" w:rsidR="00956F16" w:rsidRPr="00956F16" w:rsidRDefault="00956F16" w:rsidP="00956F16">
            <w:pPr>
              <w:keepNext/>
              <w:rPr>
                <w:rFonts w:ascii="Times New Roman" w:eastAsia="Calibri" w:hAnsi="Times New Roman" w:cs="Times New Roman"/>
              </w:rPr>
            </w:pPr>
          </w:p>
        </w:tc>
      </w:tr>
      <w:tr w:rsidR="00AE5427" w:rsidRPr="00956F16" w14:paraId="02DB31BF" w14:textId="77777777" w:rsidTr="00AE5427">
        <w:tc>
          <w:tcPr>
            <w:tcW w:w="3539" w:type="dxa"/>
          </w:tcPr>
          <w:p w14:paraId="640FDDF5" w14:textId="109003AA" w:rsidR="00AE5427" w:rsidRPr="00956F16" w:rsidRDefault="00AE5427" w:rsidP="00956F16">
            <w:pPr>
              <w:keepNext/>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 és neutropenia az egyetlen megfigyelt toxicitás</w:t>
            </w:r>
          </w:p>
        </w:tc>
        <w:tc>
          <w:tcPr>
            <w:tcW w:w="5521" w:type="dxa"/>
          </w:tcPr>
          <w:p w14:paraId="4FC2E515" w14:textId="4D5636EA" w:rsidR="00AE5427" w:rsidRPr="00956F16" w:rsidRDefault="00AE5427" w:rsidP="00956F16">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kezdő dózissal, napi egyszeri adagolással.</w:t>
            </w:r>
          </w:p>
        </w:tc>
      </w:tr>
      <w:tr w:rsidR="00956F16" w:rsidRPr="00956F16" w14:paraId="3BA52121" w14:textId="77777777" w:rsidTr="00E83289">
        <w:tc>
          <w:tcPr>
            <w:tcW w:w="3539" w:type="dxa"/>
          </w:tcPr>
          <w:p w14:paraId="7E5D0F22" w14:textId="77777777"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 és a neutropenián kívül egyéb dózisfüggő hematológiai toxicitás figyelhető meg</w:t>
            </w:r>
          </w:p>
        </w:tc>
        <w:tc>
          <w:tcPr>
            <w:tcW w:w="5521" w:type="dxa"/>
          </w:tcPr>
          <w:p w14:paraId="531A8675" w14:textId="4075634A" w:rsidR="00956F16" w:rsidRPr="00956F16" w:rsidRDefault="00956F16" w:rsidP="00956F16">
            <w:pPr>
              <w:keepNext/>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kezelést a </w:t>
            </w:r>
            <w:r w:rsidR="000C20E4">
              <w:rPr>
                <w:rFonts w:ascii="Times New Roman" w:eastAsia="Times New Roman" w:hAnsi="Times New Roman" w:cs="Times New Roman"/>
                <w:szCs w:val="20"/>
              </w:rPr>
              <w:t>–</w:t>
            </w:r>
            <w:r w:rsidRPr="00956F16">
              <w:rPr>
                <w:rFonts w:ascii="Times New Roman" w:eastAsia="Calibri" w:hAnsi="Times New Roman" w:cs="Times New Roman"/>
              </w:rPr>
              <w:t>1. dózisszinttel, napi egyszeri adagolással.</w:t>
            </w:r>
          </w:p>
        </w:tc>
      </w:tr>
      <w:tr w:rsidR="00956F16" w:rsidRPr="00956F16" w14:paraId="6C1C2362" w14:textId="77777777" w:rsidTr="00E83289">
        <w:tc>
          <w:tcPr>
            <w:tcW w:w="3539" w:type="dxa"/>
          </w:tcPr>
          <w:p w14:paraId="6EC40179" w14:textId="454BCF4C" w:rsidR="00956F16" w:rsidRPr="00956F16" w:rsidRDefault="00956F16" w:rsidP="00956F16">
            <w:pPr>
              <w:rPr>
                <w:rFonts w:ascii="Times New Roman" w:eastAsia="Calibri" w:hAnsi="Times New Roman" w:cs="Times New Roman"/>
              </w:rPr>
            </w:pPr>
            <w:r w:rsidRPr="00956F16">
              <w:rPr>
                <w:rFonts w:ascii="Times New Roman" w:eastAsia="Calibri" w:hAnsi="Times New Roman" w:cs="Times New Roman"/>
              </w:rPr>
              <w:t>minden további alkalommal, ha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 esik</w:t>
            </w:r>
          </w:p>
        </w:tc>
        <w:tc>
          <w:tcPr>
            <w:tcW w:w="5521" w:type="dxa"/>
          </w:tcPr>
          <w:p w14:paraId="1A774198" w14:textId="726EE65F" w:rsidR="00956F16" w:rsidRPr="00956F16" w:rsidRDefault="00956F16" w:rsidP="00956F16">
            <w:pPr>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tc>
      </w:tr>
      <w:tr w:rsidR="00AE5427" w:rsidRPr="00956F16" w14:paraId="2CEAC75D" w14:textId="77777777" w:rsidTr="00AE5427">
        <w:tc>
          <w:tcPr>
            <w:tcW w:w="3539" w:type="dxa"/>
          </w:tcPr>
          <w:p w14:paraId="04BBDC7D" w14:textId="740EEEE9" w:rsidR="00AE5427" w:rsidRPr="00956F16" w:rsidRDefault="00AE5427" w:rsidP="00956F16">
            <w:pPr>
              <w:rPr>
                <w:rFonts w:ascii="Times New Roman" w:eastAsia="Calibri" w:hAnsi="Times New Roman" w:cs="Times New Roman"/>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36065B56" w14:textId="2388B835" w:rsidR="00AE5427" w:rsidRPr="00956F16" w:rsidRDefault="00AE5427" w:rsidP="00956F16">
            <w:pPr>
              <w:rPr>
                <w:rFonts w:ascii="Times New Roman" w:eastAsia="Calibri" w:hAnsi="Times New Roman" w:cs="Times New Roman"/>
              </w:rPr>
            </w:pPr>
            <w:r w:rsidRPr="00956F16">
              <w:rPr>
                <w:rFonts w:ascii="Times New Roman" w:eastAsia="Calibri" w:hAnsi="Times New Roman" w:cs="Times New Roman"/>
              </w:rPr>
              <w:t>Folytassa a lenalidomid</w:t>
            </w:r>
            <w:r w:rsidR="00104634">
              <w:rPr>
                <w:rFonts w:ascii="Times New Roman" w:eastAsia="Calibri" w:hAnsi="Times New Roman" w:cs="Times New Roman"/>
              </w:rPr>
              <w:t>-</w:t>
            </w:r>
            <w:r w:rsidRPr="00956F16">
              <w:rPr>
                <w:rFonts w:ascii="Times New Roman" w:eastAsia="Calibri" w:hAnsi="Times New Roman" w:cs="Times New Roman"/>
              </w:rPr>
              <w:t>kezelést a következő alacsonyabb dózisszinttel (</w:t>
            </w:r>
            <w:r w:rsidR="000C20E4">
              <w:rPr>
                <w:rFonts w:ascii="Times New Roman" w:eastAsia="Times New Roman" w:hAnsi="Times New Roman" w:cs="Times New Roman"/>
                <w:szCs w:val="20"/>
              </w:rPr>
              <w:t>–</w:t>
            </w:r>
            <w:r w:rsidRPr="00956F16">
              <w:rPr>
                <w:rFonts w:ascii="Times New Roman" w:eastAsia="Calibri" w:hAnsi="Times New Roman" w:cs="Times New Roman"/>
              </w:rPr>
              <w:t>1.</w:t>
            </w:r>
            <w:r w:rsidR="000C20E4">
              <w:rPr>
                <w:rFonts w:ascii="Times New Roman" w:eastAsia="Calibri" w:hAnsi="Times New Roman" w:cs="Times New Roman"/>
              </w:rPr>
              <w:t>,</w:t>
            </w:r>
            <w:r w:rsidRPr="00956F16">
              <w:rPr>
                <w:rFonts w:ascii="Times New Roman" w:eastAsia="Calibri" w:hAnsi="Times New Roman" w:cs="Times New Roman"/>
              </w:rPr>
              <w:t xml:space="preserve"> </w:t>
            </w:r>
            <w:r w:rsidR="000C20E4">
              <w:rPr>
                <w:rFonts w:ascii="Times New Roman" w:eastAsia="Times New Roman" w:hAnsi="Times New Roman" w:cs="Times New Roman"/>
                <w:szCs w:val="20"/>
              </w:rPr>
              <w:t>–</w:t>
            </w:r>
            <w:r w:rsidRPr="00956F16">
              <w:rPr>
                <w:rFonts w:ascii="Times New Roman" w:eastAsia="Calibri" w:hAnsi="Times New Roman" w:cs="Times New Roman"/>
              </w:rPr>
              <w:t xml:space="preserve">2. vagy </w:t>
            </w:r>
            <w:r w:rsidR="000C20E4">
              <w:rPr>
                <w:rFonts w:ascii="Times New Roman" w:eastAsia="Times New Roman" w:hAnsi="Times New Roman" w:cs="Times New Roman"/>
                <w:szCs w:val="20"/>
              </w:rPr>
              <w:t>–</w:t>
            </w:r>
            <w:r w:rsidRPr="00956F16">
              <w:rPr>
                <w:rFonts w:ascii="Times New Roman" w:eastAsia="Calibri" w:hAnsi="Times New Roman" w:cs="Times New Roman"/>
              </w:rPr>
              <w:t>3. dózisszint), napi egyszeri adagolással. Ne alkalmazzon 5 mg alatti napi dózist.</w:t>
            </w:r>
          </w:p>
        </w:tc>
      </w:tr>
    </w:tbl>
    <w:p w14:paraId="23EEC285" w14:textId="4F0FA018" w:rsidR="002C399E" w:rsidRPr="00B6219F" w:rsidRDefault="002C399E" w:rsidP="002C399E">
      <w:pPr>
        <w:spacing w:after="0" w:line="240" w:lineRule="auto"/>
        <w:rPr>
          <w:rFonts w:ascii="Times New Roman" w:eastAsia="Calibri" w:hAnsi="Times New Roman" w:cs="Times New Roman"/>
          <w:sz w:val="18"/>
          <w:szCs w:val="18"/>
        </w:rPr>
      </w:pPr>
      <w:r w:rsidRPr="00B6219F">
        <w:rPr>
          <w:rFonts w:ascii="Times" w:eastAsia="Calibri" w:hAnsi="Times" w:cs="Times New Roman"/>
          <w:sz w:val="18"/>
          <w:szCs w:val="18"/>
          <w:vertAlign w:val="superscript"/>
        </w:rPr>
        <w:t>a</w:t>
      </w:r>
      <w:r w:rsidRPr="00B6219F">
        <w:rPr>
          <w:rFonts w:ascii="Times New Roman" w:eastAsia="Calibri" w:hAnsi="Times New Roman" w:cs="Times New Roman"/>
          <w:sz w:val="18"/>
          <w:szCs w:val="18"/>
        </w:rPr>
        <w:t xml:space="preserve"> A kezelőorvos belátása szerint, amennyiben bármelyik dózisszint mellett a neutropenia az egyetlen toxicitás, akkor a terápiát ki kell egészíteni granulocyta-kolónia</w:t>
      </w:r>
      <w:r w:rsidR="00404E9B">
        <w:rPr>
          <w:rFonts w:ascii="Times New Roman" w:eastAsia="Calibri" w:hAnsi="Times New Roman" w:cs="Times New Roman"/>
          <w:sz w:val="18"/>
          <w:szCs w:val="18"/>
        </w:rPr>
        <w:t>-</w:t>
      </w:r>
      <w:r w:rsidRPr="00B6219F">
        <w:rPr>
          <w:rFonts w:ascii="Times New Roman" w:eastAsia="Calibri" w:hAnsi="Times New Roman" w:cs="Times New Roman"/>
          <w:sz w:val="18"/>
          <w:szCs w:val="18"/>
        </w:rPr>
        <w:t>stimuláló faktorral (G-CSF) és a lenalidomid dózisszintjét fenn kell tartani.</w:t>
      </w:r>
    </w:p>
    <w:p w14:paraId="0E86452A" w14:textId="7183DF3C" w:rsidR="007B69C5" w:rsidRDefault="007B69C5" w:rsidP="00956F16">
      <w:pPr>
        <w:spacing w:after="0" w:line="240" w:lineRule="auto"/>
        <w:rPr>
          <w:rFonts w:ascii="Times New Roman" w:hAnsi="Times New Roman" w:cs="Times New Roman"/>
        </w:rPr>
      </w:pPr>
    </w:p>
    <w:p w14:paraId="2B0534D5" w14:textId="77777777" w:rsidR="005A0090" w:rsidRPr="00934095" w:rsidRDefault="005A0090" w:rsidP="005A0090">
      <w:pPr>
        <w:spacing w:after="0" w:line="240" w:lineRule="auto"/>
        <w:rPr>
          <w:rFonts w:ascii="Times New Roman" w:hAnsi="Times New Roman" w:cs="Times New Roman"/>
          <w:i/>
          <w:iCs/>
          <w:u w:val="single"/>
        </w:rPr>
      </w:pPr>
      <w:r w:rsidRPr="00934095">
        <w:rPr>
          <w:rFonts w:ascii="Times New Roman" w:hAnsi="Times New Roman" w:cs="Times New Roman"/>
          <w:i/>
          <w:iCs/>
          <w:u w:val="single"/>
        </w:rPr>
        <w:t>Myelodysplasiás szindrómák (Myelodysplastic syndromes; MDS)</w:t>
      </w:r>
    </w:p>
    <w:p w14:paraId="080B324C" w14:textId="4A05D6AE" w:rsidR="005A0090" w:rsidRPr="005A0090" w:rsidRDefault="005A0090" w:rsidP="005A0090">
      <w:pPr>
        <w:spacing w:after="0" w:line="240" w:lineRule="auto"/>
        <w:rPr>
          <w:rFonts w:ascii="Times New Roman" w:hAnsi="Times New Roman" w:cs="Times New Roman"/>
        </w:rPr>
      </w:pPr>
      <w:r w:rsidRPr="005A0090">
        <w:rPr>
          <w:rFonts w:ascii="Times New Roman" w:hAnsi="Times New Roman" w:cs="Times New Roman"/>
        </w:rPr>
        <w:t>Amennyiben az ANC 0,5</w:t>
      </w:r>
      <w:r>
        <w:rPr>
          <w:rFonts w:ascii="Times New Roman" w:hAnsi="Times New Roman" w:cs="Times New Roman"/>
        </w:rPr>
        <w:t> </w:t>
      </w:r>
      <w:r w:rsidRPr="005A0090">
        <w:rPr>
          <w:rFonts w:ascii="Times New Roman" w:hAnsi="Times New Roman" w:cs="Times New Roman"/>
        </w:rPr>
        <w:t>×</w:t>
      </w:r>
      <w:r>
        <w:rPr>
          <w:rFonts w:ascii="Times New Roman" w:hAnsi="Times New Roman" w:cs="Times New Roman"/>
        </w:rPr>
        <w:t> </w:t>
      </w:r>
      <w:r w:rsidRPr="005A0090">
        <w:rPr>
          <w:rFonts w:ascii="Times New Roman" w:hAnsi="Times New Roman" w:cs="Times New Roman"/>
        </w:rPr>
        <w:t>10</w:t>
      </w:r>
      <w:r w:rsidRPr="00934095">
        <w:rPr>
          <w:rFonts w:ascii="Times New Roman" w:hAnsi="Times New Roman" w:cs="Times New Roman"/>
          <w:vertAlign w:val="superscript"/>
        </w:rPr>
        <w:t>9</w:t>
      </w:r>
      <w:r w:rsidRPr="005A0090">
        <w:rPr>
          <w:rFonts w:ascii="Times New Roman" w:hAnsi="Times New Roman" w:cs="Times New Roman"/>
        </w:rPr>
        <w:t>/l alatt van és/vagy a thrombocytaszám 25</w:t>
      </w:r>
      <w:r>
        <w:rPr>
          <w:rFonts w:ascii="Times New Roman" w:hAnsi="Times New Roman" w:cs="Times New Roman"/>
        </w:rPr>
        <w:t> </w:t>
      </w:r>
      <w:r w:rsidRPr="005A0090">
        <w:rPr>
          <w:rFonts w:ascii="Times New Roman" w:hAnsi="Times New Roman" w:cs="Times New Roman"/>
        </w:rPr>
        <w:t>×</w:t>
      </w:r>
      <w:r>
        <w:rPr>
          <w:rFonts w:ascii="Times New Roman" w:hAnsi="Times New Roman" w:cs="Times New Roman"/>
        </w:rPr>
        <w:t> </w:t>
      </w:r>
      <w:r w:rsidRPr="005A0090">
        <w:rPr>
          <w:rFonts w:ascii="Times New Roman" w:hAnsi="Times New Roman" w:cs="Times New Roman"/>
        </w:rPr>
        <w:t>10</w:t>
      </w:r>
      <w:r w:rsidRPr="00934095">
        <w:rPr>
          <w:rFonts w:ascii="Times New Roman" w:hAnsi="Times New Roman" w:cs="Times New Roman"/>
          <w:vertAlign w:val="superscript"/>
        </w:rPr>
        <w:t>9</w:t>
      </w:r>
      <w:r w:rsidRPr="005A0090">
        <w:rPr>
          <w:rFonts w:ascii="Times New Roman" w:hAnsi="Times New Roman" w:cs="Times New Roman"/>
        </w:rPr>
        <w:t>/l alatt van, a</w:t>
      </w:r>
      <w:r>
        <w:rPr>
          <w:rFonts w:ascii="Times New Roman" w:hAnsi="Times New Roman" w:cs="Times New Roman"/>
        </w:rPr>
        <w:t xml:space="preserve"> </w:t>
      </w:r>
      <w:r w:rsidRPr="005A0090">
        <w:rPr>
          <w:rFonts w:ascii="Times New Roman" w:hAnsi="Times New Roman" w:cs="Times New Roman"/>
        </w:rPr>
        <w:t>lenalidomid-kezelést tilos megkezdeni.</w:t>
      </w:r>
    </w:p>
    <w:p w14:paraId="77093EDC" w14:textId="77777777" w:rsidR="005A0090" w:rsidRDefault="005A0090" w:rsidP="005A0090">
      <w:pPr>
        <w:spacing w:after="0" w:line="240" w:lineRule="auto"/>
        <w:rPr>
          <w:rFonts w:ascii="Times New Roman" w:hAnsi="Times New Roman" w:cs="Times New Roman"/>
          <w:i/>
          <w:iCs/>
        </w:rPr>
      </w:pPr>
    </w:p>
    <w:p w14:paraId="30954D87" w14:textId="29CCE283" w:rsidR="005A0090" w:rsidRPr="00934095" w:rsidRDefault="00C64D69" w:rsidP="005A0090">
      <w:pPr>
        <w:spacing w:after="0" w:line="240" w:lineRule="auto"/>
        <w:rPr>
          <w:rFonts w:ascii="Times New Roman" w:hAnsi="Times New Roman" w:cs="Times New Roman"/>
          <w:i/>
          <w:iCs/>
        </w:rPr>
      </w:pPr>
      <w:r>
        <w:rPr>
          <w:rFonts w:ascii="Times New Roman" w:hAnsi="Times New Roman" w:cs="Times New Roman"/>
          <w:i/>
          <w:iCs/>
        </w:rPr>
        <w:t>Javasolt</w:t>
      </w:r>
      <w:r w:rsidR="005A0090" w:rsidRPr="00934095">
        <w:rPr>
          <w:rFonts w:ascii="Times New Roman" w:hAnsi="Times New Roman" w:cs="Times New Roman"/>
          <w:i/>
          <w:iCs/>
        </w:rPr>
        <w:t xml:space="preserve"> </w:t>
      </w:r>
      <w:r w:rsidR="00C72EC7">
        <w:rPr>
          <w:rFonts w:ascii="Times New Roman" w:hAnsi="Times New Roman" w:cs="Times New Roman"/>
          <w:i/>
          <w:iCs/>
        </w:rPr>
        <w:t>dózis</w:t>
      </w:r>
    </w:p>
    <w:p w14:paraId="6B180618" w14:textId="7AFA6D98" w:rsidR="005A0090" w:rsidRDefault="005A0090" w:rsidP="005A0090">
      <w:pPr>
        <w:spacing w:after="0" w:line="240" w:lineRule="auto"/>
        <w:rPr>
          <w:rFonts w:ascii="Times New Roman" w:hAnsi="Times New Roman" w:cs="Times New Roman"/>
        </w:rPr>
      </w:pPr>
      <w:r w:rsidRPr="005A0090">
        <w:rPr>
          <w:rFonts w:ascii="Times New Roman" w:hAnsi="Times New Roman" w:cs="Times New Roman"/>
        </w:rPr>
        <w:t xml:space="preserve">A lenalidomid </w:t>
      </w:r>
      <w:r w:rsidR="00C64D69">
        <w:rPr>
          <w:rFonts w:ascii="Times New Roman" w:hAnsi="Times New Roman" w:cs="Times New Roman"/>
        </w:rPr>
        <w:t>javasolt</w:t>
      </w:r>
      <w:r w:rsidRPr="005A0090">
        <w:rPr>
          <w:rFonts w:ascii="Times New Roman" w:hAnsi="Times New Roman" w:cs="Times New Roman"/>
        </w:rPr>
        <w:t xml:space="preserve"> kezdő </w:t>
      </w:r>
      <w:r w:rsidR="00C72EC7">
        <w:rPr>
          <w:rFonts w:ascii="Times New Roman" w:hAnsi="Times New Roman" w:cs="Times New Roman"/>
        </w:rPr>
        <w:t>dózis</w:t>
      </w:r>
      <w:r w:rsidRPr="005A0090">
        <w:rPr>
          <w:rFonts w:ascii="Times New Roman" w:hAnsi="Times New Roman" w:cs="Times New Roman"/>
        </w:rPr>
        <w:t>a naponta egyszer 10</w:t>
      </w:r>
      <w:r>
        <w:rPr>
          <w:rFonts w:ascii="Times New Roman" w:hAnsi="Times New Roman" w:cs="Times New Roman"/>
        </w:rPr>
        <w:t> </w:t>
      </w:r>
      <w:r w:rsidRPr="005A0090">
        <w:rPr>
          <w:rFonts w:ascii="Times New Roman" w:hAnsi="Times New Roman" w:cs="Times New Roman"/>
        </w:rPr>
        <w:t xml:space="preserve">mg </w:t>
      </w:r>
      <w:r w:rsidRPr="00934095">
        <w:rPr>
          <w:rFonts w:ascii="Times New Roman" w:hAnsi="Times New Roman" w:cs="Times New Roman"/>
          <w:i/>
          <w:iCs/>
        </w:rPr>
        <w:t>per os</w:t>
      </w:r>
      <w:r w:rsidRPr="005A0090">
        <w:rPr>
          <w:rFonts w:ascii="Times New Roman" w:hAnsi="Times New Roman" w:cs="Times New Roman"/>
        </w:rPr>
        <w:t>, az ismétlődő 28</w:t>
      </w:r>
      <w:r>
        <w:rPr>
          <w:rFonts w:ascii="Times New Roman" w:hAnsi="Times New Roman" w:cs="Times New Roman"/>
        </w:rPr>
        <w:t> </w:t>
      </w:r>
      <w:r w:rsidRPr="005A0090">
        <w:rPr>
          <w:rFonts w:ascii="Times New Roman" w:hAnsi="Times New Roman" w:cs="Times New Roman"/>
        </w:rPr>
        <w:t>napos ciklusok</w:t>
      </w:r>
      <w:r>
        <w:rPr>
          <w:rFonts w:ascii="Times New Roman" w:hAnsi="Times New Roman" w:cs="Times New Roman"/>
        </w:rPr>
        <w:t xml:space="preserve"> </w:t>
      </w:r>
      <w:r w:rsidRPr="005A0090">
        <w:rPr>
          <w:rFonts w:ascii="Times New Roman" w:hAnsi="Times New Roman" w:cs="Times New Roman"/>
        </w:rPr>
        <w:t>1</w:t>
      </w:r>
      <w:r w:rsidR="00C908C0">
        <w:rPr>
          <w:rFonts w:ascii="Times New Roman" w:hAnsi="Times New Roman" w:cs="Times New Roman"/>
        </w:rPr>
        <w:t>.–</w:t>
      </w:r>
      <w:r w:rsidRPr="005A0090">
        <w:rPr>
          <w:rFonts w:ascii="Times New Roman" w:hAnsi="Times New Roman" w:cs="Times New Roman"/>
        </w:rPr>
        <w:t>21.</w:t>
      </w:r>
      <w:r>
        <w:rPr>
          <w:rFonts w:ascii="Times New Roman" w:hAnsi="Times New Roman" w:cs="Times New Roman"/>
        </w:rPr>
        <w:t> </w:t>
      </w:r>
      <w:r w:rsidRPr="005A0090">
        <w:rPr>
          <w:rFonts w:ascii="Times New Roman" w:hAnsi="Times New Roman" w:cs="Times New Roman"/>
        </w:rPr>
        <w:t>napján.</w:t>
      </w:r>
    </w:p>
    <w:p w14:paraId="3E72FEA9" w14:textId="4E4EBCED" w:rsidR="005A0090" w:rsidRDefault="005A0090" w:rsidP="005A0090">
      <w:pPr>
        <w:spacing w:after="0" w:line="240" w:lineRule="auto"/>
        <w:rPr>
          <w:rFonts w:ascii="Times New Roman" w:hAnsi="Times New Roman" w:cs="Times New Roman"/>
        </w:rPr>
      </w:pPr>
    </w:p>
    <w:p w14:paraId="763481C2" w14:textId="18FD47DE" w:rsidR="005A0090" w:rsidRPr="009B107D" w:rsidRDefault="005A0090" w:rsidP="005A0090">
      <w:pPr>
        <w:numPr>
          <w:ilvl w:val="0"/>
          <w:numId w:val="22"/>
        </w:numPr>
        <w:tabs>
          <w:tab w:val="left" w:pos="567"/>
        </w:tabs>
        <w:autoSpaceDE w:val="0"/>
        <w:autoSpaceDN w:val="0"/>
        <w:adjustRightInd w:val="0"/>
        <w:spacing w:after="0" w:line="240" w:lineRule="auto"/>
        <w:jc w:val="both"/>
        <w:rPr>
          <w:rFonts w:ascii="Times New Roman" w:eastAsia="Times New Roman" w:hAnsi="Times New Roman" w:cs="Times New Roman"/>
          <w:color w:val="000000"/>
          <w:lang w:val="en-GB" w:eastAsia="de-DE"/>
        </w:rPr>
      </w:pPr>
      <w:r w:rsidRPr="009B107D">
        <w:rPr>
          <w:rFonts w:ascii="Times New Roman" w:eastAsia="Times New Roman" w:hAnsi="Times New Roman" w:cs="Times New Roman"/>
          <w:i/>
          <w:iCs/>
          <w:color w:val="000000"/>
          <w:lang w:val="en-GB" w:eastAsia="de-DE"/>
        </w:rPr>
        <w:t>A dóziscsökkentés lépései</w:t>
      </w:r>
    </w:p>
    <w:tbl>
      <w:tblPr>
        <w:tblStyle w:val="Rcsostblzat2"/>
        <w:tblW w:w="9214" w:type="dxa"/>
        <w:tblInd w:w="-5" w:type="dxa"/>
        <w:tblLook w:val="04A0" w:firstRow="1" w:lastRow="0" w:firstColumn="1" w:lastColumn="0" w:noHBand="0" w:noVBand="1"/>
      </w:tblPr>
      <w:tblGrid>
        <w:gridCol w:w="1813"/>
        <w:gridCol w:w="7401"/>
      </w:tblGrid>
      <w:tr w:rsidR="005A0090" w:rsidRPr="00C64D69" w14:paraId="55B23C3D" w14:textId="77777777" w:rsidTr="00934095">
        <w:tc>
          <w:tcPr>
            <w:tcW w:w="1813" w:type="dxa"/>
          </w:tcPr>
          <w:p w14:paraId="5762F3E0" w14:textId="744B655D" w:rsidR="005A0090" w:rsidRPr="00934095" w:rsidRDefault="005A0090" w:rsidP="005A0090">
            <w:pPr>
              <w:jc w:val="both"/>
              <w:rPr>
                <w:sz w:val="22"/>
                <w:szCs w:val="22"/>
                <w:lang w:val="en-GB"/>
              </w:rPr>
            </w:pPr>
            <w:r w:rsidRPr="00934095">
              <w:rPr>
                <w:sz w:val="22"/>
                <w:szCs w:val="22"/>
                <w:lang w:val="en-GB"/>
              </w:rPr>
              <w:t xml:space="preserve">Kezdő </w:t>
            </w:r>
            <w:r w:rsidR="00C72EC7" w:rsidRPr="00934095">
              <w:rPr>
                <w:sz w:val="22"/>
                <w:szCs w:val="22"/>
                <w:lang w:val="en-GB"/>
              </w:rPr>
              <w:t>dózis</w:t>
            </w:r>
          </w:p>
        </w:tc>
        <w:tc>
          <w:tcPr>
            <w:tcW w:w="7401" w:type="dxa"/>
          </w:tcPr>
          <w:p w14:paraId="0A32B0B8" w14:textId="602FAF1E" w:rsidR="005A0090" w:rsidRPr="00934095" w:rsidRDefault="005A0090" w:rsidP="005A0090">
            <w:pPr>
              <w:autoSpaceDE w:val="0"/>
              <w:autoSpaceDN w:val="0"/>
              <w:adjustRightInd w:val="0"/>
              <w:rPr>
                <w:sz w:val="22"/>
                <w:szCs w:val="22"/>
                <w:lang w:val="en-GB"/>
              </w:rPr>
            </w:pPr>
            <w:r w:rsidRPr="00934095">
              <w:rPr>
                <w:sz w:val="22"/>
                <w:szCs w:val="22"/>
                <w:lang w:val="en-GB"/>
              </w:rPr>
              <w:t>10 mg naponta egyszer a 28 napos ciklusok 1</w:t>
            </w:r>
            <w:r w:rsidR="00C908C0" w:rsidRPr="00934095">
              <w:rPr>
                <w:sz w:val="22"/>
                <w:szCs w:val="22"/>
                <w:lang w:val="en-GB"/>
              </w:rPr>
              <w:t>.</w:t>
            </w:r>
            <w:r w:rsidRPr="00934095">
              <w:rPr>
                <w:sz w:val="22"/>
                <w:szCs w:val="22"/>
                <w:lang w:val="en-GB"/>
              </w:rPr>
              <w:t>–21. napján</w:t>
            </w:r>
          </w:p>
        </w:tc>
      </w:tr>
      <w:tr w:rsidR="005A0090" w:rsidRPr="00C64D69" w14:paraId="5F3B1B38" w14:textId="77777777" w:rsidTr="00934095">
        <w:tc>
          <w:tcPr>
            <w:tcW w:w="1813" w:type="dxa"/>
          </w:tcPr>
          <w:p w14:paraId="31BDCF3F" w14:textId="469DFB24" w:rsidR="005A0090" w:rsidRPr="00934095" w:rsidRDefault="008A3DE8" w:rsidP="005A0090">
            <w:pPr>
              <w:jc w:val="both"/>
              <w:rPr>
                <w:sz w:val="22"/>
                <w:szCs w:val="22"/>
                <w:lang w:val="en-GB"/>
              </w:rPr>
            </w:pPr>
            <w:r>
              <w:t>–</w:t>
            </w:r>
            <w:r w:rsidR="005A0090" w:rsidRPr="00934095">
              <w:rPr>
                <w:sz w:val="22"/>
                <w:szCs w:val="22"/>
                <w:lang w:val="en-GB"/>
              </w:rPr>
              <w:t>1. dózisszint</w:t>
            </w:r>
          </w:p>
        </w:tc>
        <w:tc>
          <w:tcPr>
            <w:tcW w:w="7401" w:type="dxa"/>
          </w:tcPr>
          <w:p w14:paraId="59C46A9E" w14:textId="1799D93D" w:rsidR="005A0090" w:rsidRPr="00934095" w:rsidRDefault="005A0090" w:rsidP="005A0090">
            <w:pPr>
              <w:autoSpaceDE w:val="0"/>
              <w:autoSpaceDN w:val="0"/>
              <w:adjustRightInd w:val="0"/>
              <w:rPr>
                <w:sz w:val="22"/>
                <w:szCs w:val="22"/>
                <w:lang w:val="en-GB"/>
              </w:rPr>
            </w:pPr>
            <w:r w:rsidRPr="00934095">
              <w:rPr>
                <w:sz w:val="22"/>
                <w:szCs w:val="22"/>
                <w:lang w:val="en-GB"/>
              </w:rPr>
              <w:t>5 mg naponta egyszer a 28 napos ciklusok 1</w:t>
            </w:r>
            <w:r w:rsidR="00C908C0" w:rsidRPr="00934095">
              <w:rPr>
                <w:sz w:val="22"/>
                <w:szCs w:val="22"/>
                <w:lang w:val="en-GB"/>
              </w:rPr>
              <w:t>.</w:t>
            </w:r>
            <w:r w:rsidRPr="00934095">
              <w:rPr>
                <w:sz w:val="22"/>
                <w:szCs w:val="22"/>
                <w:lang w:val="en-GB"/>
              </w:rPr>
              <w:t xml:space="preserve">–28. napján </w:t>
            </w:r>
          </w:p>
        </w:tc>
      </w:tr>
      <w:tr w:rsidR="005A0090" w:rsidRPr="00C64D69" w14:paraId="625E4287" w14:textId="77777777" w:rsidTr="00934095">
        <w:tc>
          <w:tcPr>
            <w:tcW w:w="1813" w:type="dxa"/>
          </w:tcPr>
          <w:p w14:paraId="79901BCA" w14:textId="0DA118D5" w:rsidR="005A0090" w:rsidRPr="00934095" w:rsidRDefault="008A3DE8" w:rsidP="005A0090">
            <w:pPr>
              <w:jc w:val="both"/>
              <w:rPr>
                <w:sz w:val="22"/>
                <w:szCs w:val="22"/>
                <w:lang w:val="en-GB"/>
              </w:rPr>
            </w:pPr>
            <w:r>
              <w:t>–</w:t>
            </w:r>
            <w:r w:rsidR="005A0090" w:rsidRPr="00934095">
              <w:rPr>
                <w:sz w:val="22"/>
                <w:szCs w:val="22"/>
                <w:lang w:val="en-GB"/>
              </w:rPr>
              <w:t>2. dózisszint</w:t>
            </w:r>
          </w:p>
        </w:tc>
        <w:tc>
          <w:tcPr>
            <w:tcW w:w="7401" w:type="dxa"/>
          </w:tcPr>
          <w:p w14:paraId="28871C87" w14:textId="7F96F683" w:rsidR="005A0090" w:rsidRPr="00934095" w:rsidRDefault="005A0090" w:rsidP="005A0090">
            <w:pPr>
              <w:autoSpaceDE w:val="0"/>
              <w:autoSpaceDN w:val="0"/>
              <w:adjustRightInd w:val="0"/>
              <w:rPr>
                <w:sz w:val="22"/>
                <w:szCs w:val="22"/>
                <w:lang w:val="en-GB"/>
              </w:rPr>
            </w:pPr>
            <w:r w:rsidRPr="00934095">
              <w:rPr>
                <w:sz w:val="22"/>
                <w:szCs w:val="22"/>
                <w:lang w:val="en-GB"/>
              </w:rPr>
              <w:t>2,5 mg naponta egyszer a 28 napos ciklusok 1</w:t>
            </w:r>
            <w:r w:rsidR="00C908C0" w:rsidRPr="00934095">
              <w:rPr>
                <w:sz w:val="22"/>
                <w:szCs w:val="22"/>
                <w:lang w:val="en-GB"/>
              </w:rPr>
              <w:t>.</w:t>
            </w:r>
            <w:r w:rsidRPr="00934095">
              <w:rPr>
                <w:sz w:val="22"/>
                <w:szCs w:val="22"/>
                <w:lang w:val="en-GB"/>
              </w:rPr>
              <w:t>–28. napján</w:t>
            </w:r>
          </w:p>
        </w:tc>
      </w:tr>
      <w:tr w:rsidR="005A0090" w:rsidRPr="00C64D69" w14:paraId="3F89F47A" w14:textId="77777777" w:rsidTr="00934095">
        <w:tc>
          <w:tcPr>
            <w:tcW w:w="1813" w:type="dxa"/>
          </w:tcPr>
          <w:p w14:paraId="552B2CED" w14:textId="03E37E04" w:rsidR="005A0090" w:rsidRPr="00934095" w:rsidRDefault="008A3DE8" w:rsidP="005A0090">
            <w:pPr>
              <w:jc w:val="both"/>
              <w:rPr>
                <w:sz w:val="22"/>
                <w:szCs w:val="22"/>
                <w:lang w:val="en-GB"/>
              </w:rPr>
            </w:pPr>
            <w:r>
              <w:t>–</w:t>
            </w:r>
            <w:r w:rsidR="005A0090" w:rsidRPr="00934095">
              <w:rPr>
                <w:sz w:val="22"/>
                <w:szCs w:val="22"/>
                <w:lang w:val="en-GB"/>
              </w:rPr>
              <w:t>3. dózisszint</w:t>
            </w:r>
          </w:p>
        </w:tc>
        <w:tc>
          <w:tcPr>
            <w:tcW w:w="7401" w:type="dxa"/>
          </w:tcPr>
          <w:p w14:paraId="746771E9" w14:textId="0BF999D7" w:rsidR="005A0090" w:rsidRPr="00934095" w:rsidRDefault="00C908C0" w:rsidP="005A0090">
            <w:pPr>
              <w:autoSpaceDE w:val="0"/>
              <w:autoSpaceDN w:val="0"/>
              <w:adjustRightInd w:val="0"/>
              <w:rPr>
                <w:sz w:val="22"/>
                <w:szCs w:val="22"/>
                <w:lang w:val="en-GB"/>
              </w:rPr>
            </w:pPr>
            <w:r w:rsidRPr="00934095">
              <w:rPr>
                <w:sz w:val="22"/>
                <w:szCs w:val="22"/>
                <w:lang w:val="en-GB"/>
              </w:rPr>
              <w:t>2,5 mg másnaponta egyszer a 28 napos ciklusok 1.–28. napján</w:t>
            </w:r>
          </w:p>
        </w:tc>
      </w:tr>
    </w:tbl>
    <w:p w14:paraId="3B11E5FA" w14:textId="77777777" w:rsidR="002335F5" w:rsidRDefault="002335F5" w:rsidP="00934095">
      <w:pPr>
        <w:spacing w:after="0" w:line="240" w:lineRule="auto"/>
        <w:contextualSpacing/>
        <w:jc w:val="both"/>
        <w:rPr>
          <w:rFonts w:ascii="Times New Roman" w:eastAsia="Times New Roman" w:hAnsi="Times New Roman" w:cs="Times New Roman"/>
        </w:rPr>
      </w:pPr>
    </w:p>
    <w:p w14:paraId="43B31DDE" w14:textId="77777777" w:rsidR="002335F5" w:rsidRPr="00956F16" w:rsidRDefault="002335F5" w:rsidP="002335F5">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t>Thrombocytopenia</w:t>
      </w:r>
    </w:p>
    <w:tbl>
      <w:tblPr>
        <w:tblW w:w="9244" w:type="dxa"/>
        <w:tblBorders>
          <w:top w:val="outset" w:sz="6" w:space="0" w:color="7B7B7B"/>
          <w:left w:val="outset" w:sz="6" w:space="0" w:color="7B7B7B"/>
          <w:bottom w:val="outset" w:sz="6" w:space="0" w:color="7B7B7B"/>
          <w:right w:val="outset" w:sz="6" w:space="0" w:color="7B7B7B"/>
        </w:tblBorders>
        <w:tblCellMar>
          <w:top w:w="30" w:type="dxa"/>
          <w:left w:w="30" w:type="dxa"/>
          <w:bottom w:w="30" w:type="dxa"/>
          <w:right w:w="30" w:type="dxa"/>
        </w:tblCellMar>
        <w:tblLook w:val="04A0" w:firstRow="1" w:lastRow="0" w:firstColumn="1" w:lastColumn="0" w:noHBand="0" w:noVBand="1"/>
      </w:tblPr>
      <w:tblGrid>
        <w:gridCol w:w="4284"/>
        <w:gridCol w:w="4960"/>
      </w:tblGrid>
      <w:tr w:rsidR="002335F5" w:rsidRPr="005A0090" w14:paraId="4EDC2A3B" w14:textId="77777777" w:rsidTr="007E5A32">
        <w:trPr>
          <w:tblHeader/>
        </w:trPr>
        <w:tc>
          <w:tcPr>
            <w:tcW w:w="2317" w:type="pct"/>
            <w:tcBorders>
              <w:top w:val="outset" w:sz="6" w:space="0" w:color="7B7B7B"/>
              <w:left w:val="outset" w:sz="6" w:space="0" w:color="7B7B7B"/>
              <w:bottom w:val="outset" w:sz="6" w:space="0" w:color="7B7B7B"/>
              <w:right w:val="outset" w:sz="6" w:space="0" w:color="7B7B7B"/>
            </w:tcBorders>
            <w:hideMark/>
          </w:tcPr>
          <w:p w14:paraId="5F91F33D" w14:textId="77777777" w:rsidR="002335F5" w:rsidRPr="007E5A32" w:rsidRDefault="002335F5" w:rsidP="007E5A32">
            <w:pPr>
              <w:spacing w:after="0" w:line="240" w:lineRule="auto"/>
              <w:ind w:left="102"/>
              <w:rPr>
                <w:rFonts w:ascii="Times New Roman" w:hAnsi="Times New Roman"/>
                <w:lang w:val="en-GB"/>
              </w:rPr>
            </w:pPr>
            <w:r w:rsidRPr="00956F16">
              <w:rPr>
                <w:rFonts w:ascii="Times New Roman" w:eastAsia="Calibri" w:hAnsi="Times New Roman" w:cs="Times New Roman"/>
              </w:rPr>
              <w:t>Ha a thrombocytaszám</w:t>
            </w:r>
          </w:p>
        </w:tc>
        <w:tc>
          <w:tcPr>
            <w:tcW w:w="2683" w:type="pct"/>
            <w:tcBorders>
              <w:top w:val="outset" w:sz="6" w:space="0" w:color="7B7B7B"/>
              <w:left w:val="outset" w:sz="6" w:space="0" w:color="7B7B7B"/>
              <w:bottom w:val="outset" w:sz="6" w:space="0" w:color="7B7B7B"/>
              <w:right w:val="outset" w:sz="6" w:space="0" w:color="7B7B7B"/>
            </w:tcBorders>
            <w:hideMark/>
          </w:tcPr>
          <w:p w14:paraId="7D2D5328" w14:textId="77777777" w:rsidR="002335F5" w:rsidRPr="007E5A32" w:rsidRDefault="002335F5" w:rsidP="007E5A32">
            <w:pPr>
              <w:spacing w:after="0" w:line="240" w:lineRule="auto"/>
              <w:rPr>
                <w:rFonts w:ascii="Times New Roman" w:hAnsi="Times New Roman"/>
                <w:lang w:val="en-GB"/>
              </w:rPr>
            </w:pPr>
            <w:r w:rsidRPr="007E5A32">
              <w:rPr>
                <w:rFonts w:ascii="Times New Roman" w:hAnsi="Times New Roman"/>
                <w:lang w:val="en-GB"/>
              </w:rPr>
              <w:t>Javasolt kezelés</w:t>
            </w:r>
          </w:p>
        </w:tc>
      </w:tr>
      <w:tr w:rsidR="002335F5" w:rsidRPr="005A0090" w14:paraId="7C120E7A" w14:textId="77777777" w:rsidTr="0040537B">
        <w:tc>
          <w:tcPr>
            <w:tcW w:w="2317" w:type="pct"/>
            <w:tcBorders>
              <w:top w:val="outset" w:sz="6" w:space="0" w:color="7B7B7B"/>
              <w:left w:val="outset" w:sz="6" w:space="0" w:color="7B7B7B"/>
              <w:bottom w:val="outset" w:sz="6" w:space="0" w:color="7B7B7B"/>
              <w:right w:val="outset" w:sz="6" w:space="0" w:color="7B7B7B"/>
            </w:tcBorders>
            <w:hideMark/>
          </w:tcPr>
          <w:p w14:paraId="6F4CE748" w14:textId="77777777" w:rsidR="002335F5" w:rsidRPr="005A0090" w:rsidRDefault="002335F5" w:rsidP="0040537B">
            <w:pPr>
              <w:spacing w:after="0" w:line="240" w:lineRule="auto"/>
              <w:ind w:left="102"/>
              <w:rPr>
                <w:rFonts w:ascii="Times New Roman" w:eastAsia="Times New Roman" w:hAnsi="Times New Roman" w:cs="Times New Roman"/>
                <w:lang w:val="en-GB"/>
              </w:rPr>
            </w:pPr>
            <w:r>
              <w:rPr>
                <w:rFonts w:ascii="Times New Roman" w:eastAsia="Times New Roman" w:hAnsi="Times New Roman" w:cs="Times New Roman"/>
                <w:lang w:val="en-GB"/>
              </w:rPr>
              <w:t>25</w:t>
            </w:r>
            <w:r w:rsidRPr="00956F16">
              <w:rPr>
                <w:rFonts w:ascii="Times New Roman" w:eastAsia="Calibri" w:hAnsi="Times New Roman" w:cs="Times New Roman"/>
              </w:rPr>
              <w:t>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w:t>
            </w:r>
            <w:r>
              <w:rPr>
                <w:rFonts w:ascii="Times New Roman" w:eastAsia="Calibri" w:hAnsi="Times New Roman" w:cs="Times New Roman"/>
              </w:rPr>
              <w:t xml:space="preserve"> esik</w:t>
            </w:r>
          </w:p>
        </w:tc>
        <w:tc>
          <w:tcPr>
            <w:tcW w:w="2683" w:type="pct"/>
            <w:tcBorders>
              <w:top w:val="outset" w:sz="6" w:space="0" w:color="7B7B7B"/>
              <w:left w:val="outset" w:sz="6" w:space="0" w:color="7B7B7B"/>
              <w:bottom w:val="outset" w:sz="6" w:space="0" w:color="7B7B7B"/>
              <w:right w:val="outset" w:sz="6" w:space="0" w:color="7B7B7B"/>
            </w:tcBorders>
            <w:hideMark/>
          </w:tcPr>
          <w:p w14:paraId="7451AACA" w14:textId="257DA691" w:rsidR="002335F5" w:rsidRPr="0040537B" w:rsidRDefault="002335F5" w:rsidP="0040537B">
            <w:pPr>
              <w:spacing w:after="0" w:line="240" w:lineRule="auto"/>
              <w:rPr>
                <w:rFonts w:ascii="Times New Roman" w:eastAsia="Times New Roman" w:hAnsi="Times New Roman" w:cs="Times New Roman"/>
                <w:lang w:val="pt-PT"/>
              </w:rPr>
            </w:pPr>
            <w:r w:rsidRPr="0040537B">
              <w:rPr>
                <w:rFonts w:ascii="Times New Roman" w:eastAsia="Times New Roman" w:hAnsi="Times New Roman" w:cs="Times New Roman"/>
                <w:lang w:val="pt-PT"/>
              </w:rPr>
              <w:t>Szakítsa meg a lenalidomid-kezelést.</w:t>
            </w:r>
          </w:p>
        </w:tc>
      </w:tr>
      <w:tr w:rsidR="002335F5" w:rsidRPr="005A0090" w14:paraId="444055D6" w14:textId="77777777" w:rsidTr="0040537B">
        <w:tc>
          <w:tcPr>
            <w:tcW w:w="2317" w:type="pct"/>
            <w:tcBorders>
              <w:top w:val="outset" w:sz="6" w:space="0" w:color="7B7B7B"/>
              <w:left w:val="outset" w:sz="6" w:space="0" w:color="7B7B7B"/>
              <w:bottom w:val="outset" w:sz="6" w:space="0" w:color="7B7B7B"/>
              <w:right w:val="outset" w:sz="6" w:space="0" w:color="7B7B7B"/>
            </w:tcBorders>
            <w:hideMark/>
          </w:tcPr>
          <w:tbl>
            <w:tblPr>
              <w:tblW w:w="0" w:type="auto"/>
              <w:tblBorders>
                <w:top w:val="nil"/>
                <w:left w:val="nil"/>
                <w:bottom w:val="nil"/>
                <w:right w:val="nil"/>
              </w:tblBorders>
              <w:tblLook w:val="0000" w:firstRow="0" w:lastRow="0" w:firstColumn="0" w:lastColumn="0" w:noHBand="0" w:noVBand="0"/>
            </w:tblPr>
            <w:tblGrid>
              <w:gridCol w:w="4224"/>
            </w:tblGrid>
            <w:tr w:rsidR="002335F5" w:rsidRPr="005A0090" w14:paraId="47D12D89" w14:textId="77777777" w:rsidTr="0040537B">
              <w:trPr>
                <w:trHeight w:val="277"/>
              </w:trPr>
              <w:tc>
                <w:tcPr>
                  <w:tcW w:w="0" w:type="auto"/>
                </w:tcPr>
                <w:p w14:paraId="5BC24B57" w14:textId="77777777" w:rsidR="002335F5" w:rsidRPr="0040537B" w:rsidRDefault="002335F5" w:rsidP="0040537B">
                  <w:pPr>
                    <w:spacing w:after="0" w:line="240" w:lineRule="auto"/>
                    <w:rPr>
                      <w:rFonts w:ascii="Times New Roman" w:eastAsia="Times New Roman" w:hAnsi="Times New Roman" w:cs="Times New Roman"/>
                    </w:rPr>
                  </w:pPr>
                  <w:r w:rsidRPr="0040537B">
                    <w:rPr>
                      <w:rFonts w:ascii="Times New Roman" w:eastAsia="Times New Roman" w:hAnsi="Times New Roman" w:cs="Times New Roman"/>
                    </w:rPr>
                    <w:t>Legalább 7 nap során legalább 2 alkalommal ≥ 25 × 10</w:t>
                  </w:r>
                  <w:r w:rsidRPr="0040537B">
                    <w:rPr>
                      <w:rFonts w:ascii="Times New Roman" w:eastAsia="Times New Roman" w:hAnsi="Times New Roman" w:cs="Times New Roman"/>
                      <w:vertAlign w:val="superscript"/>
                    </w:rPr>
                    <w:t>9</w:t>
                  </w:r>
                  <w:r w:rsidRPr="0040537B">
                    <w:rPr>
                      <w:rFonts w:ascii="Times New Roman" w:eastAsia="Times New Roman" w:hAnsi="Times New Roman" w:cs="Times New Roman"/>
                    </w:rPr>
                    <w:t>/l – &lt;</w:t>
                  </w:r>
                  <w:r>
                    <w:t> </w:t>
                  </w:r>
                  <w:r w:rsidRPr="0040537B">
                    <w:rPr>
                      <w:rFonts w:ascii="Times New Roman" w:eastAsia="Times New Roman" w:hAnsi="Times New Roman" w:cs="Times New Roman"/>
                    </w:rPr>
                    <w:t>50 × 10</w:t>
                  </w:r>
                  <w:r w:rsidRPr="0040537B">
                    <w:rPr>
                      <w:rFonts w:ascii="Times New Roman" w:eastAsia="Times New Roman" w:hAnsi="Times New Roman" w:cs="Times New Roman"/>
                      <w:vertAlign w:val="superscript"/>
                    </w:rPr>
                    <w:t>9</w:t>
                  </w:r>
                  <w:r w:rsidRPr="0040537B">
                    <w:rPr>
                      <w:rFonts w:ascii="Times New Roman" w:eastAsia="Times New Roman" w:hAnsi="Times New Roman" w:cs="Times New Roman"/>
                    </w:rPr>
                    <w:t>/l-re rendeződik vagy a thrombocytaszám bármikor ≥ 50 × 10</w:t>
                  </w:r>
                  <w:r w:rsidRPr="0040537B">
                    <w:rPr>
                      <w:rFonts w:ascii="Times New Roman" w:eastAsia="Times New Roman" w:hAnsi="Times New Roman" w:cs="Times New Roman"/>
                      <w:vertAlign w:val="superscript"/>
                    </w:rPr>
                    <w:t>9</w:t>
                  </w:r>
                  <w:r w:rsidRPr="0040537B">
                    <w:rPr>
                      <w:rFonts w:ascii="Times New Roman" w:eastAsia="Times New Roman" w:hAnsi="Times New Roman" w:cs="Times New Roman"/>
                    </w:rPr>
                    <w:t>/l-re rendeződik</w:t>
                  </w:r>
                </w:p>
              </w:tc>
            </w:tr>
          </w:tbl>
          <w:p w14:paraId="3ECCADF2" w14:textId="77777777" w:rsidR="002335F5" w:rsidRPr="0040537B" w:rsidRDefault="002335F5" w:rsidP="0040537B">
            <w:pPr>
              <w:spacing w:after="0" w:line="240" w:lineRule="auto"/>
              <w:rPr>
                <w:rFonts w:ascii="Times New Roman" w:eastAsia="Times New Roman" w:hAnsi="Times New Roman" w:cs="Times New Roman"/>
              </w:rPr>
            </w:pPr>
          </w:p>
        </w:tc>
        <w:tc>
          <w:tcPr>
            <w:tcW w:w="2683" w:type="pct"/>
            <w:tcBorders>
              <w:top w:val="outset" w:sz="6" w:space="0" w:color="7B7B7B"/>
              <w:left w:val="outset" w:sz="6" w:space="0" w:color="7B7B7B"/>
              <w:bottom w:val="outset" w:sz="6" w:space="0" w:color="7B7B7B"/>
              <w:right w:val="outset" w:sz="6" w:space="0" w:color="7B7B7B"/>
            </w:tcBorders>
            <w:hideMark/>
          </w:tcPr>
          <w:p w14:paraId="4D39FA33" w14:textId="606BC717" w:rsidR="002335F5" w:rsidRPr="0040537B" w:rsidRDefault="002335F5" w:rsidP="000C20E4">
            <w:pPr>
              <w:spacing w:after="0" w:line="240" w:lineRule="auto"/>
              <w:rPr>
                <w:rFonts w:ascii="Times New Roman" w:eastAsia="Times New Roman" w:hAnsi="Times New Roman" w:cs="Times New Roman"/>
              </w:rPr>
            </w:pPr>
            <w:r w:rsidRPr="00956F16">
              <w:rPr>
                <w:rFonts w:ascii="Times New Roman" w:eastAsia="Calibri" w:hAnsi="Times New Roman" w:cs="Times New Roman"/>
              </w:rPr>
              <w:t>Folytassa a lenalidomid</w:t>
            </w:r>
            <w:r>
              <w:rPr>
                <w:rFonts w:ascii="Times New Roman" w:eastAsia="Calibri" w:hAnsi="Times New Roman" w:cs="Times New Roman"/>
              </w:rPr>
              <w:t>-</w:t>
            </w:r>
            <w:r w:rsidRPr="00956F16">
              <w:rPr>
                <w:rFonts w:ascii="Times New Roman" w:eastAsia="Calibri" w:hAnsi="Times New Roman" w:cs="Times New Roman"/>
              </w:rPr>
              <w:t>kezelést a következő alacsonyabb dózisszinttel (</w:t>
            </w:r>
            <w:r w:rsidR="000C20E4">
              <w:rPr>
                <w:rFonts w:ascii="Times New Roman" w:eastAsia="Times New Roman" w:hAnsi="Times New Roman" w:cs="Times New Roman"/>
                <w:szCs w:val="20"/>
              </w:rPr>
              <w:t>–</w:t>
            </w:r>
            <w:r w:rsidRPr="00956F16">
              <w:rPr>
                <w:rFonts w:ascii="Times New Roman" w:eastAsia="Calibri" w:hAnsi="Times New Roman" w:cs="Times New Roman"/>
              </w:rPr>
              <w:t>1.</w:t>
            </w:r>
            <w:r>
              <w:rPr>
                <w:rFonts w:ascii="Times New Roman" w:eastAsia="Calibri" w:hAnsi="Times New Roman" w:cs="Times New Roman"/>
              </w:rPr>
              <w:t xml:space="preserve">, </w:t>
            </w:r>
            <w:r w:rsidR="000C20E4">
              <w:rPr>
                <w:rFonts w:ascii="Times New Roman" w:eastAsia="Times New Roman" w:hAnsi="Times New Roman" w:cs="Times New Roman"/>
                <w:szCs w:val="20"/>
              </w:rPr>
              <w:t>–</w:t>
            </w:r>
            <w:r w:rsidRPr="00956F16">
              <w:rPr>
                <w:rFonts w:ascii="Times New Roman" w:eastAsia="Calibri" w:hAnsi="Times New Roman" w:cs="Times New Roman"/>
              </w:rPr>
              <w:t xml:space="preserve">2. vagy </w:t>
            </w:r>
            <w:r w:rsidR="000C20E4">
              <w:rPr>
                <w:rFonts w:ascii="Times New Roman" w:eastAsia="Times New Roman" w:hAnsi="Times New Roman" w:cs="Times New Roman"/>
                <w:szCs w:val="20"/>
              </w:rPr>
              <w:t>–</w:t>
            </w:r>
            <w:r w:rsidRPr="00956F16">
              <w:rPr>
                <w:rFonts w:ascii="Times New Roman" w:eastAsia="Calibri" w:hAnsi="Times New Roman" w:cs="Times New Roman"/>
              </w:rPr>
              <w:t>3.</w:t>
            </w:r>
            <w:r w:rsidR="000C20E4">
              <w:rPr>
                <w:rFonts w:ascii="Times New Roman" w:eastAsia="Calibri" w:hAnsi="Times New Roman" w:cs="Times New Roman"/>
              </w:rPr>
              <w:t xml:space="preserve"> </w:t>
            </w:r>
            <w:r w:rsidRPr="00956F16">
              <w:rPr>
                <w:rFonts w:ascii="Times New Roman" w:eastAsia="Calibri" w:hAnsi="Times New Roman" w:cs="Times New Roman"/>
              </w:rPr>
              <w:t>dózisszint)</w:t>
            </w:r>
            <w:r>
              <w:rPr>
                <w:rFonts w:ascii="Times New Roman" w:eastAsia="Calibri" w:hAnsi="Times New Roman" w:cs="Times New Roman"/>
              </w:rPr>
              <w:t>.</w:t>
            </w:r>
          </w:p>
        </w:tc>
      </w:tr>
    </w:tbl>
    <w:p w14:paraId="2D3CA734" w14:textId="77777777" w:rsidR="002335F5" w:rsidRPr="00934095" w:rsidRDefault="002335F5" w:rsidP="007E5A32">
      <w:pPr>
        <w:spacing w:after="0" w:line="240" w:lineRule="auto"/>
        <w:ind w:left="720"/>
        <w:contextualSpacing/>
        <w:jc w:val="both"/>
        <w:rPr>
          <w:rFonts w:ascii="Times New Roman" w:eastAsia="Times New Roman" w:hAnsi="Times New Roman" w:cs="Times New Roman"/>
        </w:rPr>
      </w:pPr>
    </w:p>
    <w:p w14:paraId="60DBF3D1" w14:textId="77777777" w:rsidR="002676A0" w:rsidRPr="00956F16" w:rsidRDefault="002676A0" w:rsidP="002676A0">
      <w:pPr>
        <w:keepNext/>
        <w:numPr>
          <w:ilvl w:val="0"/>
          <w:numId w:val="15"/>
        </w:numPr>
        <w:tabs>
          <w:tab w:val="left" w:pos="567"/>
        </w:tabs>
        <w:spacing w:after="0" w:line="240" w:lineRule="auto"/>
        <w:ind w:hanging="720"/>
        <w:rPr>
          <w:rFonts w:ascii="Times New Roman" w:eastAsia="Calibri" w:hAnsi="Times New Roman" w:cs="Times New Roman"/>
          <w:i/>
        </w:rPr>
      </w:pPr>
      <w:r>
        <w:rPr>
          <w:rFonts w:ascii="Times New Roman" w:eastAsia="Calibri" w:hAnsi="Times New Roman" w:cs="Times New Roman"/>
          <w:i/>
        </w:rPr>
        <w:lastRenderedPageBreak/>
        <w:t>Abszolút neutrophilszám (ANC) – n</w:t>
      </w:r>
      <w:r w:rsidRPr="00956F16">
        <w:rPr>
          <w:rFonts w:ascii="Times New Roman" w:eastAsia="Calibri" w:hAnsi="Times New Roman" w:cs="Times New Roman"/>
          <w:i/>
        </w:rPr>
        <w:t>eutropenia</w:t>
      </w:r>
    </w:p>
    <w:tbl>
      <w:tblPr>
        <w:tblW w:w="9244" w:type="dxa"/>
        <w:tblBorders>
          <w:top w:val="outset" w:sz="6" w:space="0" w:color="7B7B7B"/>
          <w:left w:val="outset" w:sz="6" w:space="0" w:color="7B7B7B"/>
          <w:bottom w:val="outset" w:sz="6" w:space="0" w:color="7B7B7B"/>
          <w:right w:val="outset" w:sz="6" w:space="0" w:color="7B7B7B"/>
        </w:tblBorders>
        <w:tblCellMar>
          <w:top w:w="30" w:type="dxa"/>
          <w:left w:w="30" w:type="dxa"/>
          <w:bottom w:w="30" w:type="dxa"/>
          <w:right w:w="30" w:type="dxa"/>
        </w:tblCellMar>
        <w:tblLook w:val="04A0" w:firstRow="1" w:lastRow="0" w:firstColumn="1" w:lastColumn="0" w:noHBand="0" w:noVBand="1"/>
      </w:tblPr>
      <w:tblGrid>
        <w:gridCol w:w="4284"/>
        <w:gridCol w:w="4960"/>
      </w:tblGrid>
      <w:tr w:rsidR="005A0090" w:rsidRPr="005A0090" w14:paraId="3AAAAFDE" w14:textId="77777777" w:rsidTr="007E5A32">
        <w:tc>
          <w:tcPr>
            <w:tcW w:w="2317" w:type="pct"/>
            <w:tcBorders>
              <w:top w:val="outset" w:sz="6" w:space="0" w:color="7B7B7B"/>
              <w:left w:val="outset" w:sz="6" w:space="0" w:color="7B7B7B"/>
              <w:bottom w:val="outset" w:sz="6" w:space="0" w:color="7B7B7B"/>
              <w:right w:val="outset" w:sz="6" w:space="0" w:color="7B7B7B"/>
            </w:tcBorders>
            <w:hideMark/>
          </w:tcPr>
          <w:p w14:paraId="479A3992" w14:textId="70D083FD" w:rsidR="005A0090" w:rsidRPr="007E5A32" w:rsidRDefault="002676A0" w:rsidP="007E5A32">
            <w:pPr>
              <w:keepNext/>
              <w:spacing w:after="0" w:line="240" w:lineRule="auto"/>
              <w:rPr>
                <w:rFonts w:ascii="Times New Roman" w:hAnsi="Times New Roman"/>
                <w:lang w:val="en-GB"/>
              </w:rPr>
            </w:pPr>
            <w:r w:rsidRPr="00956F16">
              <w:rPr>
                <w:rFonts w:ascii="Times New Roman" w:eastAsia="Calibri" w:hAnsi="Times New Roman" w:cs="Times New Roman"/>
              </w:rPr>
              <w:t>Ha a</w:t>
            </w:r>
            <w:r>
              <w:rPr>
                <w:rFonts w:ascii="Times New Roman" w:eastAsia="Calibri" w:hAnsi="Times New Roman" w:cs="Times New Roman"/>
              </w:rPr>
              <w:t>z ANC</w:t>
            </w:r>
          </w:p>
        </w:tc>
        <w:tc>
          <w:tcPr>
            <w:tcW w:w="2683" w:type="pct"/>
            <w:tcBorders>
              <w:top w:val="outset" w:sz="6" w:space="0" w:color="7B7B7B"/>
              <w:left w:val="outset" w:sz="6" w:space="0" w:color="7B7B7B"/>
              <w:bottom w:val="outset" w:sz="6" w:space="0" w:color="7B7B7B"/>
              <w:right w:val="outset" w:sz="6" w:space="0" w:color="7B7B7B"/>
            </w:tcBorders>
            <w:hideMark/>
          </w:tcPr>
          <w:p w14:paraId="029F7726" w14:textId="6108E608" w:rsidR="005A0090" w:rsidRPr="007E5A32" w:rsidRDefault="002676A0" w:rsidP="007E5A32">
            <w:pPr>
              <w:keepNext/>
              <w:spacing w:after="0" w:line="240" w:lineRule="auto"/>
              <w:rPr>
                <w:rFonts w:ascii="Times New Roman" w:hAnsi="Times New Roman"/>
                <w:lang w:val="en-GB"/>
              </w:rPr>
            </w:pPr>
            <w:r w:rsidRPr="007E5A32">
              <w:rPr>
                <w:rFonts w:ascii="Times New Roman" w:hAnsi="Times New Roman"/>
                <w:lang w:val="en-GB"/>
              </w:rPr>
              <w:t>Javasolt kezelés</w:t>
            </w:r>
          </w:p>
        </w:tc>
      </w:tr>
      <w:tr w:rsidR="005A0090" w:rsidRPr="005A0090" w14:paraId="75863F7A" w14:textId="77777777" w:rsidTr="00934095">
        <w:trPr>
          <w:trHeight w:val="242"/>
        </w:trPr>
        <w:tc>
          <w:tcPr>
            <w:tcW w:w="2317" w:type="pct"/>
            <w:tcBorders>
              <w:top w:val="outset" w:sz="6" w:space="0" w:color="7B7B7B"/>
              <w:left w:val="outset" w:sz="6" w:space="0" w:color="7B7B7B"/>
              <w:bottom w:val="outset" w:sz="6" w:space="0" w:color="7B7B7B"/>
              <w:right w:val="outset" w:sz="6" w:space="0" w:color="7B7B7B"/>
            </w:tcBorders>
          </w:tcPr>
          <w:p w14:paraId="4129A0EE" w14:textId="0CD06F7A" w:rsidR="005A0090" w:rsidRPr="005A0090" w:rsidRDefault="002676A0" w:rsidP="00934095">
            <w:pPr>
              <w:tabs>
                <w:tab w:val="left" w:pos="567"/>
              </w:tabs>
              <w:autoSpaceDE w:val="0"/>
              <w:autoSpaceDN w:val="0"/>
              <w:adjustRightInd w:val="0"/>
              <w:spacing w:after="0" w:line="240" w:lineRule="auto"/>
              <w:rPr>
                <w:rFonts w:ascii="Times New Roman" w:eastAsia="Times New Roman" w:hAnsi="Times New Roman" w:cs="Times New Roman"/>
                <w:szCs w:val="20"/>
                <w:lang w:val="en-GB"/>
              </w:rPr>
            </w:pPr>
            <w:r>
              <w:rPr>
                <w:rFonts w:ascii="Times New Roman" w:eastAsia="Times New Roman" w:hAnsi="Times New Roman" w:cs="Times New Roman"/>
                <w:lang w:val="en-GB"/>
              </w:rPr>
              <w:t>0,5</w:t>
            </w:r>
            <w:r w:rsidRPr="00956F16">
              <w:rPr>
                <w:rFonts w:ascii="Times New Roman" w:eastAsia="Calibri" w:hAnsi="Times New Roman" w:cs="Times New Roman"/>
              </w:rPr>
              <w:t>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w:t>
            </w:r>
            <w:r>
              <w:rPr>
                <w:rFonts w:ascii="Times New Roman" w:eastAsia="Calibri" w:hAnsi="Times New Roman" w:cs="Times New Roman"/>
              </w:rPr>
              <w:t xml:space="preserve"> esik</w:t>
            </w:r>
          </w:p>
        </w:tc>
        <w:tc>
          <w:tcPr>
            <w:tcW w:w="2683" w:type="pct"/>
            <w:tcBorders>
              <w:top w:val="outset" w:sz="6" w:space="0" w:color="7B7B7B"/>
              <w:left w:val="outset" w:sz="6" w:space="0" w:color="7B7B7B"/>
              <w:bottom w:val="outset" w:sz="6" w:space="0" w:color="7B7B7B"/>
              <w:right w:val="outset" w:sz="6" w:space="0" w:color="7B7B7B"/>
            </w:tcBorders>
          </w:tcPr>
          <w:p w14:paraId="750FADAA" w14:textId="21C1A2F6" w:rsidR="005A0090" w:rsidRPr="00934095" w:rsidRDefault="002676A0" w:rsidP="00934095">
            <w:pPr>
              <w:tabs>
                <w:tab w:val="left" w:pos="567"/>
              </w:tabs>
              <w:autoSpaceDE w:val="0"/>
              <w:autoSpaceDN w:val="0"/>
              <w:adjustRightInd w:val="0"/>
              <w:spacing w:after="0" w:line="240" w:lineRule="auto"/>
              <w:rPr>
                <w:rFonts w:ascii="Times New Roman" w:eastAsia="Times New Roman" w:hAnsi="Times New Roman" w:cs="Times New Roman"/>
                <w:szCs w:val="20"/>
                <w:lang w:val="pt-PT"/>
              </w:rPr>
            </w:pPr>
            <w:r w:rsidRPr="00934095">
              <w:rPr>
                <w:rFonts w:ascii="Times New Roman" w:eastAsia="Times New Roman" w:hAnsi="Times New Roman" w:cs="Times New Roman"/>
                <w:lang w:val="pt-PT"/>
              </w:rPr>
              <w:t>Szakítsa meg a lenalidomid-kezelést.</w:t>
            </w:r>
          </w:p>
        </w:tc>
      </w:tr>
      <w:tr w:rsidR="005A0090" w:rsidRPr="005A0090" w14:paraId="1026DF73" w14:textId="77777777" w:rsidTr="00800004">
        <w:tc>
          <w:tcPr>
            <w:tcW w:w="2317" w:type="pct"/>
            <w:tcBorders>
              <w:top w:val="outset" w:sz="6" w:space="0" w:color="7B7B7B"/>
              <w:left w:val="outset" w:sz="6" w:space="0" w:color="7B7B7B"/>
              <w:bottom w:val="outset" w:sz="6" w:space="0" w:color="7B7B7B"/>
              <w:right w:val="outset" w:sz="6" w:space="0" w:color="7B7B7B"/>
            </w:tcBorders>
          </w:tcPr>
          <w:p w14:paraId="3A3E1ABD" w14:textId="6A23A934" w:rsidR="005A0090" w:rsidRPr="005A0090" w:rsidRDefault="002676A0" w:rsidP="00934095">
            <w:pPr>
              <w:tabs>
                <w:tab w:val="left" w:pos="567"/>
              </w:tabs>
              <w:autoSpaceDE w:val="0"/>
              <w:autoSpaceDN w:val="0"/>
              <w:adjustRightInd w:val="0"/>
              <w:spacing w:after="0" w:line="240" w:lineRule="auto"/>
              <w:rPr>
                <w:rFonts w:ascii="Times New Roman" w:eastAsia="Times New Roman" w:hAnsi="Times New Roman" w:cs="Times New Roman"/>
                <w:szCs w:val="20"/>
                <w:lang w:val="en-GB"/>
              </w:rPr>
            </w:pPr>
            <w:r w:rsidRPr="00956F16">
              <w:rPr>
                <w:rFonts w:ascii="Times New Roman" w:eastAsia="Calibri" w:hAnsi="Times New Roman" w:cs="Times New Roman"/>
              </w:rPr>
              <w:t>visszatér ≥ 0,5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2683" w:type="pct"/>
            <w:tcBorders>
              <w:top w:val="outset" w:sz="6" w:space="0" w:color="7B7B7B"/>
              <w:left w:val="outset" w:sz="6" w:space="0" w:color="7B7B7B"/>
              <w:bottom w:val="outset" w:sz="6" w:space="0" w:color="7B7B7B"/>
              <w:right w:val="outset" w:sz="6" w:space="0" w:color="7B7B7B"/>
            </w:tcBorders>
          </w:tcPr>
          <w:p w14:paraId="7B94A264" w14:textId="1C957689" w:rsidR="005A0090" w:rsidRPr="005A0090" w:rsidRDefault="00B63C5E" w:rsidP="00934095">
            <w:pPr>
              <w:tabs>
                <w:tab w:val="left" w:pos="567"/>
              </w:tabs>
              <w:autoSpaceDE w:val="0"/>
              <w:autoSpaceDN w:val="0"/>
              <w:adjustRightInd w:val="0"/>
              <w:spacing w:after="0" w:line="240" w:lineRule="auto"/>
              <w:rPr>
                <w:rFonts w:ascii="Times New Roman" w:eastAsia="Times New Roman" w:hAnsi="Times New Roman" w:cs="Times New Roman"/>
                <w:szCs w:val="20"/>
                <w:lang w:val="en-GB"/>
              </w:rPr>
            </w:pPr>
            <w:r w:rsidRPr="00956F16">
              <w:rPr>
                <w:rFonts w:ascii="Times New Roman" w:eastAsia="Calibri" w:hAnsi="Times New Roman" w:cs="Times New Roman"/>
              </w:rPr>
              <w:t>Folytassa a lenalidomid</w:t>
            </w:r>
            <w:r>
              <w:rPr>
                <w:rFonts w:ascii="Times New Roman" w:eastAsia="Calibri" w:hAnsi="Times New Roman" w:cs="Times New Roman"/>
              </w:rPr>
              <w:t>-</w:t>
            </w:r>
            <w:r w:rsidRPr="00956F16">
              <w:rPr>
                <w:rFonts w:ascii="Times New Roman" w:eastAsia="Calibri" w:hAnsi="Times New Roman" w:cs="Times New Roman"/>
              </w:rPr>
              <w:t>kezelést a következő alacsonyabb dózisszinttel (</w:t>
            </w:r>
            <w:r w:rsidR="00145FFC">
              <w:rPr>
                <w:rFonts w:ascii="Times New Roman" w:eastAsia="Times New Roman" w:hAnsi="Times New Roman" w:cs="Times New Roman"/>
                <w:szCs w:val="20"/>
              </w:rPr>
              <w:t>–</w:t>
            </w:r>
            <w:r w:rsidRPr="00956F16">
              <w:rPr>
                <w:rFonts w:ascii="Times New Roman" w:eastAsia="Calibri" w:hAnsi="Times New Roman" w:cs="Times New Roman"/>
              </w:rPr>
              <w:t>1.</w:t>
            </w:r>
            <w:r>
              <w:rPr>
                <w:rFonts w:ascii="Times New Roman" w:eastAsia="Calibri" w:hAnsi="Times New Roman" w:cs="Times New Roman"/>
              </w:rPr>
              <w:t xml:space="preserve">, </w:t>
            </w:r>
            <w:r w:rsidR="00145FFC">
              <w:rPr>
                <w:rFonts w:ascii="Times New Roman" w:eastAsia="Times New Roman" w:hAnsi="Times New Roman" w:cs="Times New Roman"/>
                <w:szCs w:val="20"/>
              </w:rPr>
              <w:t>–</w:t>
            </w:r>
            <w:r w:rsidRPr="00956F16">
              <w:rPr>
                <w:rFonts w:ascii="Times New Roman" w:eastAsia="Calibri" w:hAnsi="Times New Roman" w:cs="Times New Roman"/>
              </w:rPr>
              <w:t xml:space="preserve">2. vagy </w:t>
            </w:r>
            <w:r w:rsidR="00145FFC">
              <w:rPr>
                <w:rFonts w:ascii="Times New Roman" w:eastAsia="Times New Roman" w:hAnsi="Times New Roman" w:cs="Times New Roman"/>
                <w:szCs w:val="20"/>
              </w:rPr>
              <w:t>–</w:t>
            </w:r>
            <w:r w:rsidRPr="00956F16">
              <w:rPr>
                <w:rFonts w:ascii="Times New Roman" w:eastAsia="Calibri" w:hAnsi="Times New Roman" w:cs="Times New Roman"/>
              </w:rPr>
              <w:t>3.</w:t>
            </w:r>
            <w:r w:rsidR="00145FFC">
              <w:rPr>
                <w:rFonts w:ascii="Times New Roman" w:eastAsia="Calibri" w:hAnsi="Times New Roman" w:cs="Times New Roman"/>
              </w:rPr>
              <w:t xml:space="preserve"> </w:t>
            </w:r>
            <w:r w:rsidRPr="00956F16">
              <w:rPr>
                <w:rFonts w:ascii="Times New Roman" w:eastAsia="Calibri" w:hAnsi="Times New Roman" w:cs="Times New Roman"/>
              </w:rPr>
              <w:t>dózisszint)</w:t>
            </w:r>
            <w:r>
              <w:rPr>
                <w:rFonts w:ascii="Times New Roman" w:eastAsia="Calibri" w:hAnsi="Times New Roman" w:cs="Times New Roman"/>
              </w:rPr>
              <w:t>.</w:t>
            </w:r>
          </w:p>
        </w:tc>
      </w:tr>
    </w:tbl>
    <w:p w14:paraId="3E5701D7" w14:textId="77777777" w:rsidR="005A0090" w:rsidRPr="005A0090" w:rsidRDefault="005A0090" w:rsidP="005A0090">
      <w:pPr>
        <w:autoSpaceDE w:val="0"/>
        <w:autoSpaceDN w:val="0"/>
        <w:adjustRightInd w:val="0"/>
        <w:spacing w:after="0" w:line="240" w:lineRule="auto"/>
        <w:jc w:val="both"/>
        <w:rPr>
          <w:rFonts w:ascii="Times New Roman" w:eastAsia="Times New Roman" w:hAnsi="Times New Roman" w:cs="Times New Roman"/>
          <w:i/>
          <w:iCs/>
          <w:u w:val="single"/>
          <w:lang w:val="en-GB" w:eastAsia="de-DE"/>
        </w:rPr>
      </w:pPr>
    </w:p>
    <w:p w14:paraId="79AB1336" w14:textId="724008E3" w:rsidR="004C5574" w:rsidRPr="00934095" w:rsidRDefault="004C5574" w:rsidP="004C5574">
      <w:pPr>
        <w:spacing w:after="0" w:line="240" w:lineRule="auto"/>
        <w:rPr>
          <w:rFonts w:ascii="Times New Roman" w:hAnsi="Times New Roman" w:cs="Times New Roman"/>
          <w:i/>
          <w:iCs/>
        </w:rPr>
      </w:pPr>
      <w:r w:rsidRPr="00934095">
        <w:rPr>
          <w:rFonts w:ascii="Times New Roman" w:hAnsi="Times New Roman" w:cs="Times New Roman"/>
          <w:i/>
          <w:iCs/>
        </w:rPr>
        <w:t>A lenalidomid</w:t>
      </w:r>
      <w:r w:rsidR="006B5AC4">
        <w:rPr>
          <w:rFonts w:ascii="Times New Roman" w:hAnsi="Times New Roman" w:cs="Times New Roman"/>
          <w:i/>
          <w:iCs/>
        </w:rPr>
        <w:t>-kezelés</w:t>
      </w:r>
      <w:r w:rsidRPr="00934095">
        <w:rPr>
          <w:rFonts w:ascii="Times New Roman" w:hAnsi="Times New Roman" w:cs="Times New Roman"/>
          <w:i/>
          <w:iCs/>
        </w:rPr>
        <w:t xml:space="preserve"> abbahagyása</w:t>
      </w:r>
    </w:p>
    <w:p w14:paraId="3DB2B9E6" w14:textId="2099D03C" w:rsidR="005A0090" w:rsidRDefault="004C5574" w:rsidP="004C5574">
      <w:pPr>
        <w:spacing w:after="0" w:line="240" w:lineRule="auto"/>
        <w:rPr>
          <w:rFonts w:ascii="Times New Roman" w:hAnsi="Times New Roman" w:cs="Times New Roman"/>
        </w:rPr>
      </w:pPr>
      <w:r w:rsidRPr="004C5574">
        <w:rPr>
          <w:rFonts w:ascii="Times New Roman" w:hAnsi="Times New Roman" w:cs="Times New Roman"/>
        </w:rPr>
        <w:t>Abba kell hagyni a lenalidomid-kezelést azoknál a betegeknél, akiknél a kezelés megkezdésétől</w:t>
      </w:r>
      <w:r>
        <w:rPr>
          <w:rFonts w:ascii="Times New Roman" w:hAnsi="Times New Roman" w:cs="Times New Roman"/>
        </w:rPr>
        <w:t xml:space="preserve"> </w:t>
      </w:r>
      <w:r w:rsidRPr="004C5574">
        <w:rPr>
          <w:rFonts w:ascii="Times New Roman" w:hAnsi="Times New Roman" w:cs="Times New Roman"/>
        </w:rPr>
        <w:t>számított 4</w:t>
      </w:r>
      <w:r>
        <w:rPr>
          <w:rFonts w:ascii="Times New Roman" w:hAnsi="Times New Roman" w:cs="Times New Roman"/>
        </w:rPr>
        <w:t> </w:t>
      </w:r>
      <w:r w:rsidRPr="004C5574">
        <w:rPr>
          <w:rFonts w:ascii="Times New Roman" w:hAnsi="Times New Roman" w:cs="Times New Roman"/>
        </w:rPr>
        <w:t>hónapon belül nem jelentkezik legalább minor erythroid</w:t>
      </w:r>
      <w:r>
        <w:rPr>
          <w:rFonts w:ascii="Times New Roman" w:hAnsi="Times New Roman" w:cs="Times New Roman"/>
        </w:rPr>
        <w:t xml:space="preserve"> </w:t>
      </w:r>
      <w:r w:rsidRPr="004C5574">
        <w:rPr>
          <w:rFonts w:ascii="Times New Roman" w:hAnsi="Times New Roman" w:cs="Times New Roman"/>
        </w:rPr>
        <w:t>reakció, amelyet a transzfúziós</w:t>
      </w:r>
      <w:r>
        <w:rPr>
          <w:rFonts w:ascii="Times New Roman" w:hAnsi="Times New Roman" w:cs="Times New Roman"/>
        </w:rPr>
        <w:t xml:space="preserve"> </w:t>
      </w:r>
      <w:r w:rsidRPr="004C5574">
        <w:rPr>
          <w:rFonts w:ascii="Times New Roman" w:hAnsi="Times New Roman" w:cs="Times New Roman"/>
        </w:rPr>
        <w:t>igény legalább 50%-os csökkenése, vagy – amennyiben a beteg nem részesül transzfúzióban – a</w:t>
      </w:r>
      <w:r>
        <w:rPr>
          <w:rFonts w:ascii="Times New Roman" w:hAnsi="Times New Roman" w:cs="Times New Roman"/>
        </w:rPr>
        <w:t xml:space="preserve"> </w:t>
      </w:r>
      <w:r w:rsidRPr="004C5574">
        <w:rPr>
          <w:rFonts w:ascii="Times New Roman" w:hAnsi="Times New Roman" w:cs="Times New Roman"/>
        </w:rPr>
        <w:t>hemoglobinszint 1</w:t>
      </w:r>
      <w:r>
        <w:rPr>
          <w:rFonts w:ascii="Times New Roman" w:hAnsi="Times New Roman" w:cs="Times New Roman"/>
        </w:rPr>
        <w:t> </w:t>
      </w:r>
      <w:r w:rsidRPr="004C5574">
        <w:rPr>
          <w:rFonts w:ascii="Times New Roman" w:hAnsi="Times New Roman" w:cs="Times New Roman"/>
        </w:rPr>
        <w:t>g/dl-es emelkedése jelez.</w:t>
      </w:r>
    </w:p>
    <w:p w14:paraId="45A2BE94" w14:textId="77777777" w:rsidR="004C5574" w:rsidRDefault="004C5574" w:rsidP="004C5574">
      <w:pPr>
        <w:spacing w:after="0" w:line="240" w:lineRule="auto"/>
        <w:rPr>
          <w:rFonts w:ascii="Times New Roman" w:hAnsi="Times New Roman" w:cs="Times New Roman"/>
        </w:rPr>
      </w:pPr>
    </w:p>
    <w:p w14:paraId="0A1F694B" w14:textId="77777777" w:rsidR="00EB542D" w:rsidRPr="00E83289" w:rsidRDefault="00EB542D" w:rsidP="007E5A32">
      <w:pPr>
        <w:keepNext/>
        <w:spacing w:after="0" w:line="240" w:lineRule="auto"/>
        <w:rPr>
          <w:rFonts w:ascii="Times New Roman" w:hAnsi="Times New Roman" w:cs="Times New Roman"/>
          <w:i/>
          <w:iCs/>
          <w:u w:val="single"/>
        </w:rPr>
      </w:pPr>
      <w:r w:rsidRPr="00E83289">
        <w:rPr>
          <w:rFonts w:ascii="Times New Roman" w:hAnsi="Times New Roman" w:cs="Times New Roman"/>
          <w:i/>
          <w:iCs/>
          <w:u w:val="single"/>
        </w:rPr>
        <w:t>Follicularis lymphoma (FL)</w:t>
      </w:r>
    </w:p>
    <w:p w14:paraId="79A67784" w14:textId="18E7B224" w:rsidR="00EB542D" w:rsidRDefault="00EB542D" w:rsidP="00EB542D">
      <w:pPr>
        <w:spacing w:after="0" w:line="240" w:lineRule="auto"/>
        <w:rPr>
          <w:rFonts w:ascii="Times New Roman" w:hAnsi="Times New Roman" w:cs="Times New Roman"/>
        </w:rPr>
      </w:pPr>
      <w:r w:rsidRPr="00EB542D">
        <w:rPr>
          <w:rFonts w:ascii="Times New Roman" w:hAnsi="Times New Roman" w:cs="Times New Roman"/>
        </w:rPr>
        <w:t>Amennyiben az ANC 1</w:t>
      </w:r>
      <w:r>
        <w:rPr>
          <w:rFonts w:ascii="Times New Roman" w:hAnsi="Times New Roman" w:cs="Times New Roman"/>
        </w:rPr>
        <w:t> </w:t>
      </w:r>
      <w:r w:rsidRPr="00EB542D">
        <w:rPr>
          <w:rFonts w:ascii="Times New Roman" w:hAnsi="Times New Roman" w:cs="Times New Roman"/>
        </w:rPr>
        <w:t>×</w:t>
      </w:r>
      <w:r>
        <w:rPr>
          <w:rFonts w:ascii="Times New Roman" w:hAnsi="Times New Roman" w:cs="Times New Roman"/>
        </w:rPr>
        <w:t> </w:t>
      </w:r>
      <w:r w:rsidRPr="00EB542D">
        <w:rPr>
          <w:rFonts w:ascii="Times New Roman" w:hAnsi="Times New Roman" w:cs="Times New Roman"/>
        </w:rPr>
        <w:t>10</w:t>
      </w:r>
      <w:r w:rsidRPr="00E83289">
        <w:rPr>
          <w:rFonts w:ascii="Times New Roman" w:hAnsi="Times New Roman" w:cs="Times New Roman"/>
          <w:vertAlign w:val="superscript"/>
        </w:rPr>
        <w:t>9</w:t>
      </w:r>
      <w:r w:rsidRPr="00EB542D">
        <w:rPr>
          <w:rFonts w:ascii="Times New Roman" w:hAnsi="Times New Roman" w:cs="Times New Roman"/>
        </w:rPr>
        <w:t>/l alatt van és/vagy a thrombocytaszám 50</w:t>
      </w:r>
      <w:r>
        <w:rPr>
          <w:rFonts w:ascii="Times New Roman" w:hAnsi="Times New Roman" w:cs="Times New Roman"/>
        </w:rPr>
        <w:t> </w:t>
      </w:r>
      <w:r w:rsidRPr="00EB542D">
        <w:rPr>
          <w:rFonts w:ascii="Times New Roman" w:hAnsi="Times New Roman" w:cs="Times New Roman"/>
        </w:rPr>
        <w:t>×</w:t>
      </w:r>
      <w:r>
        <w:rPr>
          <w:rFonts w:ascii="Times New Roman" w:hAnsi="Times New Roman" w:cs="Times New Roman"/>
        </w:rPr>
        <w:t> </w:t>
      </w:r>
      <w:r w:rsidRPr="00EB542D">
        <w:rPr>
          <w:rFonts w:ascii="Times New Roman" w:hAnsi="Times New Roman" w:cs="Times New Roman"/>
        </w:rPr>
        <w:t>10</w:t>
      </w:r>
      <w:r w:rsidRPr="00E83289">
        <w:rPr>
          <w:rFonts w:ascii="Times New Roman" w:hAnsi="Times New Roman" w:cs="Times New Roman"/>
          <w:vertAlign w:val="superscript"/>
        </w:rPr>
        <w:t>9</w:t>
      </w:r>
      <w:r w:rsidRPr="00EB542D">
        <w:rPr>
          <w:rFonts w:ascii="Times New Roman" w:hAnsi="Times New Roman" w:cs="Times New Roman"/>
        </w:rPr>
        <w:t>/l alatt van, a</w:t>
      </w:r>
      <w:r>
        <w:rPr>
          <w:rFonts w:ascii="Times New Roman" w:hAnsi="Times New Roman" w:cs="Times New Roman"/>
        </w:rPr>
        <w:t xml:space="preserve"> </w:t>
      </w:r>
      <w:r w:rsidRPr="00EB542D">
        <w:rPr>
          <w:rFonts w:ascii="Times New Roman" w:hAnsi="Times New Roman" w:cs="Times New Roman"/>
        </w:rPr>
        <w:t>lenalidomid-kezelést tilos megkezdeni, kivéve, ha azt a csontvelő lymphomás infiltrációja okozza.</w:t>
      </w:r>
    </w:p>
    <w:p w14:paraId="0BA9C2B5" w14:textId="77777777" w:rsidR="00EB542D" w:rsidRPr="00EB542D" w:rsidRDefault="00EB542D" w:rsidP="00EB542D">
      <w:pPr>
        <w:spacing w:after="0" w:line="240" w:lineRule="auto"/>
        <w:rPr>
          <w:rFonts w:ascii="Times New Roman" w:hAnsi="Times New Roman" w:cs="Times New Roman"/>
        </w:rPr>
      </w:pPr>
    </w:p>
    <w:p w14:paraId="0243F5F9" w14:textId="28E396D7" w:rsidR="00EB542D" w:rsidRPr="00E83289" w:rsidRDefault="00EB542D" w:rsidP="00EB542D">
      <w:pPr>
        <w:spacing w:after="0" w:line="240" w:lineRule="auto"/>
        <w:rPr>
          <w:rFonts w:ascii="Times New Roman" w:hAnsi="Times New Roman" w:cs="Times New Roman"/>
          <w:i/>
          <w:iCs/>
        </w:rPr>
      </w:pPr>
      <w:r w:rsidRPr="00E83289">
        <w:rPr>
          <w:rFonts w:ascii="Times New Roman" w:hAnsi="Times New Roman" w:cs="Times New Roman"/>
          <w:i/>
          <w:iCs/>
        </w:rPr>
        <w:t xml:space="preserve">Javasolt </w:t>
      </w:r>
      <w:r w:rsidR="00426AD5" w:rsidRPr="00934095">
        <w:rPr>
          <w:rFonts w:ascii="Times New Roman" w:eastAsia="Calibri" w:hAnsi="Times New Roman" w:cs="Times New Roman"/>
          <w:i/>
          <w:iCs/>
        </w:rPr>
        <w:t>dózis</w:t>
      </w:r>
    </w:p>
    <w:p w14:paraId="7D87CC7C" w14:textId="33CD3C60" w:rsidR="00EB542D" w:rsidRDefault="00EB542D" w:rsidP="00EB542D">
      <w:pPr>
        <w:spacing w:after="0" w:line="240" w:lineRule="auto"/>
        <w:rPr>
          <w:rFonts w:ascii="Times New Roman" w:hAnsi="Times New Roman" w:cs="Times New Roman"/>
        </w:rPr>
      </w:pPr>
      <w:r w:rsidRPr="00EB542D">
        <w:rPr>
          <w:rFonts w:ascii="Times New Roman" w:hAnsi="Times New Roman" w:cs="Times New Roman"/>
        </w:rPr>
        <w:t xml:space="preserve">A lenalidomid javasolt kezdő </w:t>
      </w:r>
      <w:r w:rsidR="00426AD5">
        <w:rPr>
          <w:rFonts w:ascii="Times New Roman" w:eastAsia="Calibri" w:hAnsi="Times New Roman" w:cs="Times New Roman"/>
        </w:rPr>
        <w:t>dózisa</w:t>
      </w:r>
      <w:r w:rsidR="00426AD5" w:rsidRPr="00956F16">
        <w:rPr>
          <w:rFonts w:ascii="Times New Roman" w:eastAsia="Calibri" w:hAnsi="Times New Roman" w:cs="Times New Roman"/>
        </w:rPr>
        <w:t xml:space="preserve"> </w:t>
      </w:r>
      <w:r w:rsidRPr="00EB542D">
        <w:rPr>
          <w:rFonts w:ascii="Times New Roman" w:hAnsi="Times New Roman" w:cs="Times New Roman"/>
        </w:rPr>
        <w:t>az ismétlődő, 28</w:t>
      </w:r>
      <w:r>
        <w:rPr>
          <w:rFonts w:ascii="Times New Roman" w:hAnsi="Times New Roman" w:cs="Times New Roman"/>
        </w:rPr>
        <w:t> </w:t>
      </w:r>
      <w:r w:rsidRPr="00EB542D">
        <w:rPr>
          <w:rFonts w:ascii="Times New Roman" w:hAnsi="Times New Roman" w:cs="Times New Roman"/>
        </w:rPr>
        <w:t>napos ciklusok 1</w:t>
      </w:r>
      <w:r>
        <w:rPr>
          <w:rFonts w:ascii="Times New Roman" w:hAnsi="Times New Roman" w:cs="Times New Roman"/>
        </w:rPr>
        <w:t>–</w:t>
      </w:r>
      <w:r w:rsidRPr="00EB542D">
        <w:rPr>
          <w:rFonts w:ascii="Times New Roman" w:hAnsi="Times New Roman" w:cs="Times New Roman"/>
        </w:rPr>
        <w:t>21.</w:t>
      </w:r>
      <w:r>
        <w:rPr>
          <w:rFonts w:ascii="Times New Roman" w:hAnsi="Times New Roman" w:cs="Times New Roman"/>
        </w:rPr>
        <w:t> </w:t>
      </w:r>
      <w:r w:rsidRPr="00EB542D">
        <w:rPr>
          <w:rFonts w:ascii="Times New Roman" w:hAnsi="Times New Roman" w:cs="Times New Roman"/>
        </w:rPr>
        <w:t>napján naponta egyszer,</w:t>
      </w:r>
      <w:r>
        <w:rPr>
          <w:rFonts w:ascii="Times New Roman" w:hAnsi="Times New Roman" w:cs="Times New Roman"/>
        </w:rPr>
        <w:t xml:space="preserve"> </w:t>
      </w:r>
      <w:r w:rsidRPr="00E83289">
        <w:rPr>
          <w:rFonts w:ascii="Times New Roman" w:hAnsi="Times New Roman" w:cs="Times New Roman"/>
          <w:i/>
          <w:iCs/>
        </w:rPr>
        <w:t>per os</w:t>
      </w:r>
      <w:r w:rsidRPr="00EB542D">
        <w:rPr>
          <w:rFonts w:ascii="Times New Roman" w:hAnsi="Times New Roman" w:cs="Times New Roman"/>
        </w:rPr>
        <w:t xml:space="preserve"> alkalmazott 20</w:t>
      </w:r>
      <w:r>
        <w:rPr>
          <w:rFonts w:ascii="Times New Roman" w:hAnsi="Times New Roman" w:cs="Times New Roman"/>
        </w:rPr>
        <w:t> </w:t>
      </w:r>
      <w:r w:rsidRPr="00EB542D">
        <w:rPr>
          <w:rFonts w:ascii="Times New Roman" w:hAnsi="Times New Roman" w:cs="Times New Roman"/>
        </w:rPr>
        <w:t>mg, legfeljebb 12</w:t>
      </w:r>
      <w:r>
        <w:rPr>
          <w:rFonts w:ascii="Times New Roman" w:hAnsi="Times New Roman" w:cs="Times New Roman"/>
        </w:rPr>
        <w:t> </w:t>
      </w:r>
      <w:r w:rsidRPr="00EB542D">
        <w:rPr>
          <w:rFonts w:ascii="Times New Roman" w:hAnsi="Times New Roman" w:cs="Times New Roman"/>
        </w:rPr>
        <w:t xml:space="preserve">kezelési cikluson keresztül. A rituximab javasolt kezdő </w:t>
      </w:r>
      <w:r w:rsidR="00426AD5">
        <w:rPr>
          <w:rFonts w:ascii="Times New Roman" w:eastAsia="Calibri" w:hAnsi="Times New Roman" w:cs="Times New Roman"/>
        </w:rPr>
        <w:t>dózisa</w:t>
      </w:r>
      <w:r w:rsidR="00426AD5" w:rsidRPr="00956F16">
        <w:rPr>
          <w:rFonts w:ascii="Times New Roman" w:eastAsia="Calibri" w:hAnsi="Times New Roman" w:cs="Times New Roman"/>
        </w:rPr>
        <w:t xml:space="preserve"> </w:t>
      </w:r>
      <w:r w:rsidRPr="00EB542D">
        <w:rPr>
          <w:rFonts w:ascii="Times New Roman" w:hAnsi="Times New Roman" w:cs="Times New Roman"/>
        </w:rPr>
        <w:t>az 1.</w:t>
      </w:r>
      <w:r>
        <w:rPr>
          <w:rFonts w:ascii="Times New Roman" w:hAnsi="Times New Roman" w:cs="Times New Roman"/>
        </w:rPr>
        <w:t> </w:t>
      </w:r>
      <w:r w:rsidRPr="00EB542D">
        <w:rPr>
          <w:rFonts w:ascii="Times New Roman" w:hAnsi="Times New Roman" w:cs="Times New Roman"/>
        </w:rPr>
        <w:t>ciklusban minden héten (1., 8., 15. és 22.</w:t>
      </w:r>
      <w:r>
        <w:rPr>
          <w:rFonts w:ascii="Times New Roman" w:hAnsi="Times New Roman" w:cs="Times New Roman"/>
        </w:rPr>
        <w:t> </w:t>
      </w:r>
      <w:r w:rsidRPr="00EB542D">
        <w:rPr>
          <w:rFonts w:ascii="Times New Roman" w:hAnsi="Times New Roman" w:cs="Times New Roman"/>
        </w:rPr>
        <w:t>nap) és minden 28</w:t>
      </w:r>
      <w:r>
        <w:rPr>
          <w:rFonts w:ascii="Times New Roman" w:hAnsi="Times New Roman" w:cs="Times New Roman"/>
        </w:rPr>
        <w:t> </w:t>
      </w:r>
      <w:r w:rsidRPr="00EB542D">
        <w:rPr>
          <w:rFonts w:ascii="Times New Roman" w:hAnsi="Times New Roman" w:cs="Times New Roman"/>
        </w:rPr>
        <w:t>napos ciklus 1.</w:t>
      </w:r>
      <w:r>
        <w:rPr>
          <w:rFonts w:ascii="Times New Roman" w:hAnsi="Times New Roman" w:cs="Times New Roman"/>
        </w:rPr>
        <w:t> </w:t>
      </w:r>
      <w:r w:rsidRPr="00EB542D">
        <w:rPr>
          <w:rFonts w:ascii="Times New Roman" w:hAnsi="Times New Roman" w:cs="Times New Roman"/>
        </w:rPr>
        <w:t>napján a 2.</w:t>
      </w:r>
      <w:r>
        <w:rPr>
          <w:rFonts w:ascii="Times New Roman" w:hAnsi="Times New Roman" w:cs="Times New Roman"/>
        </w:rPr>
        <w:t> </w:t>
      </w:r>
      <w:r w:rsidRPr="00EB542D">
        <w:rPr>
          <w:rFonts w:ascii="Times New Roman" w:hAnsi="Times New Roman" w:cs="Times New Roman"/>
        </w:rPr>
        <w:t>ciklustól</w:t>
      </w:r>
      <w:r>
        <w:rPr>
          <w:rFonts w:ascii="Times New Roman" w:hAnsi="Times New Roman" w:cs="Times New Roman"/>
        </w:rPr>
        <w:t xml:space="preserve"> </w:t>
      </w:r>
      <w:r w:rsidRPr="00EB542D">
        <w:rPr>
          <w:rFonts w:ascii="Times New Roman" w:hAnsi="Times New Roman" w:cs="Times New Roman"/>
        </w:rPr>
        <w:t>az 5.</w:t>
      </w:r>
      <w:r>
        <w:rPr>
          <w:rFonts w:ascii="Times New Roman" w:hAnsi="Times New Roman" w:cs="Times New Roman"/>
        </w:rPr>
        <w:t> </w:t>
      </w:r>
      <w:r w:rsidRPr="00EB542D">
        <w:rPr>
          <w:rFonts w:ascii="Times New Roman" w:hAnsi="Times New Roman" w:cs="Times New Roman"/>
        </w:rPr>
        <w:t>ciklusig intravénásan alkalmazott (iv.) 375</w:t>
      </w:r>
      <w:r>
        <w:rPr>
          <w:rFonts w:ascii="Times New Roman" w:hAnsi="Times New Roman" w:cs="Times New Roman"/>
        </w:rPr>
        <w:t> </w:t>
      </w:r>
      <w:r w:rsidRPr="00EB542D">
        <w:rPr>
          <w:rFonts w:ascii="Times New Roman" w:hAnsi="Times New Roman" w:cs="Times New Roman"/>
        </w:rPr>
        <w:t>mg/m</w:t>
      </w:r>
      <w:r w:rsidRPr="00E83289">
        <w:rPr>
          <w:rFonts w:ascii="Times New Roman" w:hAnsi="Times New Roman" w:cs="Times New Roman"/>
          <w:vertAlign w:val="superscript"/>
        </w:rPr>
        <w:t>2</w:t>
      </w:r>
      <w:r w:rsidRPr="00EB542D">
        <w:rPr>
          <w:rFonts w:ascii="Times New Roman" w:hAnsi="Times New Roman" w:cs="Times New Roman"/>
        </w:rPr>
        <w:t>.</w:t>
      </w:r>
    </w:p>
    <w:p w14:paraId="384D4735" w14:textId="07B18550" w:rsidR="006A43A2" w:rsidRDefault="006A43A2" w:rsidP="00EB542D">
      <w:pPr>
        <w:spacing w:after="0" w:line="240" w:lineRule="auto"/>
        <w:rPr>
          <w:rFonts w:ascii="Times New Roman" w:hAnsi="Times New Roman" w:cs="Times New Roman"/>
        </w:rPr>
      </w:pPr>
    </w:p>
    <w:p w14:paraId="60105A7D" w14:textId="77777777" w:rsidR="006A43A2" w:rsidRPr="00956F16" w:rsidRDefault="006A43A2" w:rsidP="006A43A2">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t>A dóziscsökkentés lépései</w:t>
      </w:r>
    </w:p>
    <w:tbl>
      <w:tblPr>
        <w:tblStyle w:val="Rcsostblzat"/>
        <w:tblW w:w="0" w:type="auto"/>
        <w:tblLook w:val="04A0" w:firstRow="1" w:lastRow="0" w:firstColumn="1" w:lastColumn="0" w:noHBand="0" w:noVBand="1"/>
      </w:tblPr>
      <w:tblGrid>
        <w:gridCol w:w="2830"/>
        <w:gridCol w:w="6230"/>
      </w:tblGrid>
      <w:tr w:rsidR="006A43A2" w:rsidRPr="00956F16" w14:paraId="489F5D9F" w14:textId="77777777" w:rsidTr="00E83289">
        <w:tc>
          <w:tcPr>
            <w:tcW w:w="2830" w:type="dxa"/>
          </w:tcPr>
          <w:p w14:paraId="6E6C4646" w14:textId="77777777" w:rsidR="006A43A2" w:rsidRPr="00956F16" w:rsidRDefault="006A43A2" w:rsidP="00F36C14">
            <w:pPr>
              <w:keepNext/>
              <w:rPr>
                <w:rFonts w:ascii="Times New Roman" w:eastAsia="Calibri" w:hAnsi="Times New Roman" w:cs="Times New Roman"/>
              </w:rPr>
            </w:pPr>
            <w:r w:rsidRPr="00956F16">
              <w:rPr>
                <w:rFonts w:ascii="Times New Roman" w:eastAsia="Calibri" w:hAnsi="Times New Roman" w:cs="Times New Roman"/>
              </w:rPr>
              <w:t>Kezdő dózis</w:t>
            </w:r>
          </w:p>
        </w:tc>
        <w:tc>
          <w:tcPr>
            <w:tcW w:w="6230" w:type="dxa"/>
          </w:tcPr>
          <w:p w14:paraId="4AD0D59A" w14:textId="6391F29C" w:rsidR="006A43A2" w:rsidRPr="00956F16" w:rsidRDefault="006A43A2">
            <w:pPr>
              <w:keepNext/>
              <w:jc w:val="center"/>
              <w:rPr>
                <w:rFonts w:ascii="Times New Roman" w:eastAsia="Calibri" w:hAnsi="Times New Roman" w:cs="Times New Roman"/>
              </w:rPr>
            </w:pPr>
            <w:r w:rsidRPr="006A43A2">
              <w:rPr>
                <w:rFonts w:ascii="Times New Roman" w:eastAsia="Calibri" w:hAnsi="Times New Roman" w:cs="Times New Roman"/>
              </w:rPr>
              <w:t>20</w:t>
            </w:r>
            <w:r>
              <w:rPr>
                <w:rFonts w:ascii="Times New Roman" w:eastAsia="Calibri" w:hAnsi="Times New Roman" w:cs="Times New Roman"/>
              </w:rPr>
              <w:t> </w:t>
            </w:r>
            <w:r w:rsidRPr="006A43A2">
              <w:rPr>
                <w:rFonts w:ascii="Times New Roman" w:eastAsia="Calibri" w:hAnsi="Times New Roman" w:cs="Times New Roman"/>
              </w:rPr>
              <w:t>mg naponta egyszer az 1</w:t>
            </w:r>
            <w:r w:rsidR="005467DF">
              <w:rPr>
                <w:rFonts w:ascii="Times New Roman" w:eastAsia="Calibri" w:hAnsi="Times New Roman" w:cs="Times New Roman"/>
              </w:rPr>
              <w:t>.</w:t>
            </w:r>
            <w:r>
              <w:rPr>
                <w:rFonts w:ascii="Times New Roman" w:eastAsia="Calibri" w:hAnsi="Times New Roman" w:cs="Times New Roman"/>
              </w:rPr>
              <w:t>–</w:t>
            </w:r>
            <w:r w:rsidRPr="006A43A2">
              <w:rPr>
                <w:rFonts w:ascii="Times New Roman" w:eastAsia="Calibri" w:hAnsi="Times New Roman" w:cs="Times New Roman"/>
              </w:rPr>
              <w:t>21.</w:t>
            </w:r>
            <w:r>
              <w:rPr>
                <w:rFonts w:ascii="Times New Roman" w:eastAsia="Calibri" w:hAnsi="Times New Roman" w:cs="Times New Roman"/>
              </w:rPr>
              <w:t> </w:t>
            </w:r>
            <w:r w:rsidRPr="006A43A2">
              <w:rPr>
                <w:rFonts w:ascii="Times New Roman" w:eastAsia="Calibri" w:hAnsi="Times New Roman" w:cs="Times New Roman"/>
              </w:rPr>
              <w:t>napon,</w:t>
            </w:r>
            <w:r>
              <w:rPr>
                <w:rFonts w:ascii="Times New Roman" w:eastAsia="Calibri" w:hAnsi="Times New Roman" w:cs="Times New Roman"/>
              </w:rPr>
              <w:t xml:space="preserve"> </w:t>
            </w:r>
            <w:r w:rsidRPr="006A43A2">
              <w:rPr>
                <w:rFonts w:ascii="Times New Roman" w:eastAsia="Calibri" w:hAnsi="Times New Roman" w:cs="Times New Roman"/>
              </w:rPr>
              <w:t>28</w:t>
            </w:r>
            <w:r>
              <w:rPr>
                <w:rFonts w:ascii="Times New Roman" w:eastAsia="Calibri" w:hAnsi="Times New Roman" w:cs="Times New Roman"/>
              </w:rPr>
              <w:t> </w:t>
            </w:r>
            <w:r w:rsidRPr="006A43A2">
              <w:rPr>
                <w:rFonts w:ascii="Times New Roman" w:eastAsia="Calibri" w:hAnsi="Times New Roman" w:cs="Times New Roman"/>
              </w:rPr>
              <w:t>naponként</w:t>
            </w:r>
          </w:p>
        </w:tc>
      </w:tr>
      <w:tr w:rsidR="006A43A2" w:rsidRPr="00956F16" w14:paraId="1F87D5AD" w14:textId="77777777" w:rsidTr="00E83289">
        <w:tc>
          <w:tcPr>
            <w:tcW w:w="2830" w:type="dxa"/>
          </w:tcPr>
          <w:p w14:paraId="24D76D16" w14:textId="006A3F91" w:rsidR="006A43A2" w:rsidRPr="00956F16" w:rsidRDefault="008A3DE8" w:rsidP="006A43A2">
            <w:pPr>
              <w:keepNext/>
              <w:rPr>
                <w:rFonts w:ascii="Times New Roman" w:eastAsia="Calibri" w:hAnsi="Times New Roman" w:cs="Times New Roman"/>
              </w:rPr>
            </w:pPr>
            <w:r>
              <w:rPr>
                <w:rFonts w:ascii="Times New Roman" w:eastAsia="Times New Roman" w:hAnsi="Times New Roman" w:cs="Times New Roman"/>
                <w:szCs w:val="20"/>
              </w:rPr>
              <w:t>–</w:t>
            </w:r>
            <w:r w:rsidR="006A43A2" w:rsidRPr="00956F16">
              <w:rPr>
                <w:rFonts w:ascii="Times New Roman" w:eastAsia="Calibri" w:hAnsi="Times New Roman" w:cs="Times New Roman"/>
              </w:rPr>
              <w:t>1. dózisszint</w:t>
            </w:r>
          </w:p>
        </w:tc>
        <w:tc>
          <w:tcPr>
            <w:tcW w:w="6230" w:type="dxa"/>
          </w:tcPr>
          <w:p w14:paraId="7780B40A" w14:textId="71152C4D" w:rsidR="006A43A2" w:rsidRPr="00956F16" w:rsidRDefault="006A43A2" w:rsidP="006A43A2">
            <w:pPr>
              <w:keepNext/>
              <w:jc w:val="center"/>
              <w:rPr>
                <w:rFonts w:ascii="Times New Roman" w:eastAsia="Calibri" w:hAnsi="Times New Roman" w:cs="Times New Roman"/>
              </w:rPr>
            </w:pPr>
            <w:r>
              <w:rPr>
                <w:rFonts w:ascii="Times New Roman" w:eastAsia="Calibri" w:hAnsi="Times New Roman" w:cs="Times New Roman"/>
              </w:rPr>
              <w:t>15 </w:t>
            </w:r>
            <w:r w:rsidRPr="006A43A2">
              <w:rPr>
                <w:rFonts w:ascii="Times New Roman" w:eastAsia="Calibri" w:hAnsi="Times New Roman" w:cs="Times New Roman"/>
              </w:rPr>
              <w:t>mg naponta egyszer az 1</w:t>
            </w:r>
            <w:r w:rsidR="005467DF">
              <w:rPr>
                <w:rFonts w:ascii="Times New Roman" w:eastAsia="Calibri" w:hAnsi="Times New Roman" w:cs="Times New Roman"/>
              </w:rPr>
              <w:t>.</w:t>
            </w:r>
            <w:r>
              <w:rPr>
                <w:rFonts w:ascii="Times New Roman" w:eastAsia="Calibri" w:hAnsi="Times New Roman" w:cs="Times New Roman"/>
              </w:rPr>
              <w:t>–</w:t>
            </w:r>
            <w:r w:rsidRPr="006A43A2">
              <w:rPr>
                <w:rFonts w:ascii="Times New Roman" w:eastAsia="Calibri" w:hAnsi="Times New Roman" w:cs="Times New Roman"/>
              </w:rPr>
              <w:t>21.</w:t>
            </w:r>
            <w:r>
              <w:rPr>
                <w:rFonts w:ascii="Times New Roman" w:eastAsia="Calibri" w:hAnsi="Times New Roman" w:cs="Times New Roman"/>
              </w:rPr>
              <w:t> </w:t>
            </w:r>
            <w:r w:rsidRPr="006A43A2">
              <w:rPr>
                <w:rFonts w:ascii="Times New Roman" w:eastAsia="Calibri" w:hAnsi="Times New Roman" w:cs="Times New Roman"/>
              </w:rPr>
              <w:t>napon,</w:t>
            </w:r>
            <w:r>
              <w:rPr>
                <w:rFonts w:ascii="Times New Roman" w:eastAsia="Calibri" w:hAnsi="Times New Roman" w:cs="Times New Roman"/>
              </w:rPr>
              <w:t xml:space="preserve"> </w:t>
            </w:r>
            <w:r w:rsidRPr="006A43A2">
              <w:rPr>
                <w:rFonts w:ascii="Times New Roman" w:eastAsia="Calibri" w:hAnsi="Times New Roman" w:cs="Times New Roman"/>
              </w:rPr>
              <w:t>28</w:t>
            </w:r>
            <w:r>
              <w:rPr>
                <w:rFonts w:ascii="Times New Roman" w:eastAsia="Calibri" w:hAnsi="Times New Roman" w:cs="Times New Roman"/>
              </w:rPr>
              <w:t> </w:t>
            </w:r>
            <w:r w:rsidRPr="006A43A2">
              <w:rPr>
                <w:rFonts w:ascii="Times New Roman" w:eastAsia="Calibri" w:hAnsi="Times New Roman" w:cs="Times New Roman"/>
              </w:rPr>
              <w:t>naponként</w:t>
            </w:r>
          </w:p>
        </w:tc>
      </w:tr>
      <w:tr w:rsidR="006A43A2" w:rsidRPr="00956F16" w14:paraId="5C6B7C3D" w14:textId="77777777" w:rsidTr="00E83289">
        <w:tc>
          <w:tcPr>
            <w:tcW w:w="2830" w:type="dxa"/>
          </w:tcPr>
          <w:p w14:paraId="391D1302" w14:textId="0F8C0299" w:rsidR="006A43A2" w:rsidRPr="00956F16" w:rsidRDefault="008A3DE8" w:rsidP="006A43A2">
            <w:pPr>
              <w:keepNext/>
              <w:rPr>
                <w:rFonts w:ascii="Times New Roman" w:eastAsia="Calibri" w:hAnsi="Times New Roman" w:cs="Times New Roman"/>
              </w:rPr>
            </w:pPr>
            <w:r>
              <w:rPr>
                <w:rFonts w:ascii="Times New Roman" w:eastAsia="Times New Roman" w:hAnsi="Times New Roman" w:cs="Times New Roman"/>
                <w:szCs w:val="20"/>
              </w:rPr>
              <w:t>–</w:t>
            </w:r>
            <w:r w:rsidR="006A43A2" w:rsidRPr="00956F16">
              <w:rPr>
                <w:rFonts w:ascii="Times New Roman" w:eastAsia="Calibri" w:hAnsi="Times New Roman" w:cs="Times New Roman"/>
              </w:rPr>
              <w:t>2. dózisszint</w:t>
            </w:r>
          </w:p>
        </w:tc>
        <w:tc>
          <w:tcPr>
            <w:tcW w:w="6230" w:type="dxa"/>
          </w:tcPr>
          <w:p w14:paraId="2B6F004E" w14:textId="545179D0" w:rsidR="006A43A2" w:rsidRPr="00956F16" w:rsidRDefault="006A43A2" w:rsidP="006A43A2">
            <w:pPr>
              <w:keepNext/>
              <w:jc w:val="center"/>
              <w:rPr>
                <w:rFonts w:ascii="Times New Roman" w:eastAsia="Calibri" w:hAnsi="Times New Roman" w:cs="Times New Roman"/>
              </w:rPr>
            </w:pPr>
            <w:r>
              <w:rPr>
                <w:rFonts w:ascii="Times New Roman" w:eastAsia="Calibri" w:hAnsi="Times New Roman" w:cs="Times New Roman"/>
              </w:rPr>
              <w:t>1</w:t>
            </w:r>
            <w:r w:rsidRPr="006A43A2">
              <w:rPr>
                <w:rFonts w:ascii="Times New Roman" w:eastAsia="Calibri" w:hAnsi="Times New Roman" w:cs="Times New Roman"/>
              </w:rPr>
              <w:t>0</w:t>
            </w:r>
            <w:r>
              <w:rPr>
                <w:rFonts w:ascii="Times New Roman" w:eastAsia="Calibri" w:hAnsi="Times New Roman" w:cs="Times New Roman"/>
              </w:rPr>
              <w:t> </w:t>
            </w:r>
            <w:r w:rsidRPr="006A43A2">
              <w:rPr>
                <w:rFonts w:ascii="Times New Roman" w:eastAsia="Calibri" w:hAnsi="Times New Roman" w:cs="Times New Roman"/>
              </w:rPr>
              <w:t>mg naponta egyszer az 1</w:t>
            </w:r>
            <w:r w:rsidR="005467DF">
              <w:rPr>
                <w:rFonts w:ascii="Times New Roman" w:eastAsia="Calibri" w:hAnsi="Times New Roman" w:cs="Times New Roman"/>
              </w:rPr>
              <w:t>.</w:t>
            </w:r>
            <w:r>
              <w:rPr>
                <w:rFonts w:ascii="Times New Roman" w:eastAsia="Calibri" w:hAnsi="Times New Roman" w:cs="Times New Roman"/>
              </w:rPr>
              <w:t>–</w:t>
            </w:r>
            <w:r w:rsidRPr="006A43A2">
              <w:rPr>
                <w:rFonts w:ascii="Times New Roman" w:eastAsia="Calibri" w:hAnsi="Times New Roman" w:cs="Times New Roman"/>
              </w:rPr>
              <w:t>21.</w:t>
            </w:r>
            <w:r>
              <w:rPr>
                <w:rFonts w:ascii="Times New Roman" w:eastAsia="Calibri" w:hAnsi="Times New Roman" w:cs="Times New Roman"/>
              </w:rPr>
              <w:t> </w:t>
            </w:r>
            <w:r w:rsidRPr="006A43A2">
              <w:rPr>
                <w:rFonts w:ascii="Times New Roman" w:eastAsia="Calibri" w:hAnsi="Times New Roman" w:cs="Times New Roman"/>
              </w:rPr>
              <w:t>napon,</w:t>
            </w:r>
            <w:r>
              <w:rPr>
                <w:rFonts w:ascii="Times New Roman" w:eastAsia="Calibri" w:hAnsi="Times New Roman" w:cs="Times New Roman"/>
              </w:rPr>
              <w:t xml:space="preserve"> </w:t>
            </w:r>
            <w:r w:rsidRPr="006A43A2">
              <w:rPr>
                <w:rFonts w:ascii="Times New Roman" w:eastAsia="Calibri" w:hAnsi="Times New Roman" w:cs="Times New Roman"/>
              </w:rPr>
              <w:t>28</w:t>
            </w:r>
            <w:r>
              <w:rPr>
                <w:rFonts w:ascii="Times New Roman" w:eastAsia="Calibri" w:hAnsi="Times New Roman" w:cs="Times New Roman"/>
              </w:rPr>
              <w:t> </w:t>
            </w:r>
            <w:r w:rsidRPr="006A43A2">
              <w:rPr>
                <w:rFonts w:ascii="Times New Roman" w:eastAsia="Calibri" w:hAnsi="Times New Roman" w:cs="Times New Roman"/>
              </w:rPr>
              <w:t>naponként</w:t>
            </w:r>
          </w:p>
        </w:tc>
      </w:tr>
      <w:tr w:rsidR="006A43A2" w:rsidRPr="00956F16" w14:paraId="41DED0C4" w14:textId="77777777" w:rsidTr="00E83289">
        <w:tc>
          <w:tcPr>
            <w:tcW w:w="2830" w:type="dxa"/>
          </w:tcPr>
          <w:p w14:paraId="228A0A14" w14:textId="7869FA65" w:rsidR="006A43A2" w:rsidRPr="00956F16" w:rsidRDefault="008A3DE8" w:rsidP="006A43A2">
            <w:pPr>
              <w:rPr>
                <w:rFonts w:ascii="Times New Roman" w:eastAsia="Calibri" w:hAnsi="Times New Roman" w:cs="Times New Roman"/>
              </w:rPr>
            </w:pPr>
            <w:r>
              <w:rPr>
                <w:rFonts w:ascii="Times New Roman" w:eastAsia="Times New Roman" w:hAnsi="Times New Roman" w:cs="Times New Roman"/>
                <w:szCs w:val="20"/>
              </w:rPr>
              <w:t>–</w:t>
            </w:r>
            <w:r w:rsidR="006A43A2" w:rsidRPr="00956F16">
              <w:rPr>
                <w:rFonts w:ascii="Times New Roman" w:eastAsia="Calibri" w:hAnsi="Times New Roman" w:cs="Times New Roman"/>
              </w:rPr>
              <w:t>3. dózisszint</w:t>
            </w:r>
          </w:p>
        </w:tc>
        <w:tc>
          <w:tcPr>
            <w:tcW w:w="6230" w:type="dxa"/>
          </w:tcPr>
          <w:p w14:paraId="24B1538B" w14:textId="54BAF382" w:rsidR="006A43A2" w:rsidRPr="00956F16" w:rsidRDefault="006A43A2" w:rsidP="006A43A2">
            <w:pPr>
              <w:jc w:val="center"/>
              <w:rPr>
                <w:rFonts w:ascii="Times New Roman" w:eastAsia="Calibri" w:hAnsi="Times New Roman" w:cs="Times New Roman"/>
              </w:rPr>
            </w:pPr>
            <w:r>
              <w:rPr>
                <w:rFonts w:ascii="Times New Roman" w:eastAsia="Calibri" w:hAnsi="Times New Roman" w:cs="Times New Roman"/>
              </w:rPr>
              <w:t>5 </w:t>
            </w:r>
            <w:r w:rsidRPr="006A43A2">
              <w:rPr>
                <w:rFonts w:ascii="Times New Roman" w:eastAsia="Calibri" w:hAnsi="Times New Roman" w:cs="Times New Roman"/>
              </w:rPr>
              <w:t>mg naponta egyszer az 1</w:t>
            </w:r>
            <w:r w:rsidR="005467DF">
              <w:rPr>
                <w:rFonts w:ascii="Times New Roman" w:eastAsia="Calibri" w:hAnsi="Times New Roman" w:cs="Times New Roman"/>
              </w:rPr>
              <w:t>.</w:t>
            </w:r>
            <w:r>
              <w:rPr>
                <w:rFonts w:ascii="Times New Roman" w:eastAsia="Calibri" w:hAnsi="Times New Roman" w:cs="Times New Roman"/>
              </w:rPr>
              <w:t>–</w:t>
            </w:r>
            <w:r w:rsidRPr="006A43A2">
              <w:rPr>
                <w:rFonts w:ascii="Times New Roman" w:eastAsia="Calibri" w:hAnsi="Times New Roman" w:cs="Times New Roman"/>
              </w:rPr>
              <w:t>21.</w:t>
            </w:r>
            <w:r>
              <w:rPr>
                <w:rFonts w:ascii="Times New Roman" w:eastAsia="Calibri" w:hAnsi="Times New Roman" w:cs="Times New Roman"/>
              </w:rPr>
              <w:t> </w:t>
            </w:r>
            <w:r w:rsidRPr="006A43A2">
              <w:rPr>
                <w:rFonts w:ascii="Times New Roman" w:eastAsia="Calibri" w:hAnsi="Times New Roman" w:cs="Times New Roman"/>
              </w:rPr>
              <w:t>napon,</w:t>
            </w:r>
            <w:r>
              <w:rPr>
                <w:rFonts w:ascii="Times New Roman" w:eastAsia="Calibri" w:hAnsi="Times New Roman" w:cs="Times New Roman"/>
              </w:rPr>
              <w:t xml:space="preserve"> </w:t>
            </w:r>
            <w:r w:rsidRPr="006A43A2">
              <w:rPr>
                <w:rFonts w:ascii="Times New Roman" w:eastAsia="Calibri" w:hAnsi="Times New Roman" w:cs="Times New Roman"/>
              </w:rPr>
              <w:t>28</w:t>
            </w:r>
            <w:r>
              <w:rPr>
                <w:rFonts w:ascii="Times New Roman" w:eastAsia="Calibri" w:hAnsi="Times New Roman" w:cs="Times New Roman"/>
              </w:rPr>
              <w:t> </w:t>
            </w:r>
            <w:r w:rsidRPr="006A43A2">
              <w:rPr>
                <w:rFonts w:ascii="Times New Roman" w:eastAsia="Calibri" w:hAnsi="Times New Roman" w:cs="Times New Roman"/>
              </w:rPr>
              <w:t>naponként</w:t>
            </w:r>
          </w:p>
        </w:tc>
      </w:tr>
    </w:tbl>
    <w:p w14:paraId="1BFBBDCE" w14:textId="751E9FFB" w:rsidR="006A43A2" w:rsidRDefault="006A43A2" w:rsidP="006A43A2">
      <w:pPr>
        <w:spacing w:after="0" w:line="240" w:lineRule="auto"/>
        <w:rPr>
          <w:rFonts w:ascii="Times New Roman" w:eastAsia="Calibri" w:hAnsi="Times New Roman" w:cs="Times New Roman"/>
        </w:rPr>
      </w:pPr>
    </w:p>
    <w:p w14:paraId="32EC5FCA" w14:textId="35664BF4" w:rsidR="006A43A2" w:rsidRDefault="006A43A2" w:rsidP="006A43A2">
      <w:pPr>
        <w:spacing w:after="0" w:line="240" w:lineRule="auto"/>
        <w:rPr>
          <w:rFonts w:ascii="Times New Roman" w:eastAsia="Calibri" w:hAnsi="Times New Roman" w:cs="Times New Roman"/>
        </w:rPr>
      </w:pPr>
      <w:r w:rsidRPr="006A43A2">
        <w:rPr>
          <w:rFonts w:ascii="Times New Roman" w:eastAsia="Calibri" w:hAnsi="Times New Roman" w:cs="Times New Roman"/>
        </w:rPr>
        <w:t xml:space="preserve">A rituximab-toxicitás miatti dózismódosítással kapcsolatban lásd a megfelelő </w:t>
      </w:r>
      <w:r>
        <w:rPr>
          <w:rFonts w:ascii="Times New Roman" w:eastAsia="Calibri" w:hAnsi="Times New Roman" w:cs="Times New Roman"/>
        </w:rPr>
        <w:t>a</w:t>
      </w:r>
      <w:r w:rsidRPr="006A43A2">
        <w:rPr>
          <w:rFonts w:ascii="Times New Roman" w:eastAsia="Calibri" w:hAnsi="Times New Roman" w:cs="Times New Roman"/>
        </w:rPr>
        <w:t>lkalmazási előírást.</w:t>
      </w:r>
    </w:p>
    <w:p w14:paraId="776C6BEB" w14:textId="77777777" w:rsidR="00527677" w:rsidRPr="00956F16" w:rsidRDefault="00527677" w:rsidP="006A43A2">
      <w:pPr>
        <w:spacing w:after="0" w:line="240" w:lineRule="auto"/>
        <w:rPr>
          <w:rFonts w:ascii="Times New Roman" w:eastAsia="Calibri" w:hAnsi="Times New Roman" w:cs="Times New Roman"/>
        </w:rPr>
      </w:pPr>
    </w:p>
    <w:p w14:paraId="23AD5012" w14:textId="77777777" w:rsidR="006A43A2" w:rsidRPr="00956F16" w:rsidRDefault="006A43A2" w:rsidP="006A43A2">
      <w:pPr>
        <w:keepNext/>
        <w:numPr>
          <w:ilvl w:val="0"/>
          <w:numId w:val="15"/>
        </w:numPr>
        <w:tabs>
          <w:tab w:val="left" w:pos="567"/>
        </w:tabs>
        <w:spacing w:after="0" w:line="240" w:lineRule="auto"/>
        <w:ind w:hanging="720"/>
        <w:rPr>
          <w:rFonts w:ascii="Times New Roman" w:eastAsia="Calibri" w:hAnsi="Times New Roman" w:cs="Times New Roman"/>
          <w:i/>
        </w:rPr>
      </w:pPr>
      <w:r w:rsidRPr="00956F16">
        <w:rPr>
          <w:rFonts w:ascii="Times New Roman" w:eastAsia="Calibri" w:hAnsi="Times New Roman" w:cs="Times New Roman"/>
          <w:i/>
        </w:rPr>
        <w:t>Thrombocytopenia</w:t>
      </w:r>
    </w:p>
    <w:tbl>
      <w:tblPr>
        <w:tblStyle w:val="Rcsostblzat"/>
        <w:tblW w:w="0" w:type="auto"/>
        <w:tblLook w:val="04A0" w:firstRow="1" w:lastRow="0" w:firstColumn="1" w:lastColumn="0" w:noHBand="0" w:noVBand="1"/>
      </w:tblPr>
      <w:tblGrid>
        <w:gridCol w:w="3539"/>
        <w:gridCol w:w="5521"/>
      </w:tblGrid>
      <w:tr w:rsidR="006A43A2" w:rsidRPr="00956F16" w14:paraId="1368AC55" w14:textId="77777777" w:rsidTr="00F36C14">
        <w:tc>
          <w:tcPr>
            <w:tcW w:w="3539" w:type="dxa"/>
          </w:tcPr>
          <w:p w14:paraId="4AE579E9" w14:textId="77777777" w:rsidR="006A43A2" w:rsidRPr="00956F16" w:rsidRDefault="006A43A2" w:rsidP="00F36C14">
            <w:pPr>
              <w:keepNext/>
              <w:rPr>
                <w:rFonts w:ascii="Times New Roman" w:eastAsia="Calibri" w:hAnsi="Times New Roman" w:cs="Times New Roman"/>
              </w:rPr>
            </w:pPr>
            <w:r w:rsidRPr="00956F16">
              <w:rPr>
                <w:rFonts w:ascii="Times New Roman" w:eastAsia="Calibri" w:hAnsi="Times New Roman" w:cs="Times New Roman"/>
              </w:rPr>
              <w:t>Ha a thrombocytaszám</w:t>
            </w:r>
          </w:p>
        </w:tc>
        <w:tc>
          <w:tcPr>
            <w:tcW w:w="5521" w:type="dxa"/>
          </w:tcPr>
          <w:p w14:paraId="6082C266" w14:textId="77777777" w:rsidR="006A43A2" w:rsidRPr="00956F16" w:rsidRDefault="006A43A2" w:rsidP="00F36C14">
            <w:pPr>
              <w:keepNext/>
              <w:rPr>
                <w:rFonts w:ascii="Times New Roman" w:eastAsia="Calibri" w:hAnsi="Times New Roman" w:cs="Times New Roman"/>
              </w:rPr>
            </w:pPr>
            <w:r w:rsidRPr="00956F16">
              <w:rPr>
                <w:rFonts w:ascii="Times New Roman" w:eastAsia="Calibri" w:hAnsi="Times New Roman" w:cs="Times New Roman"/>
              </w:rPr>
              <w:t>Javasolt kezelés</w:t>
            </w:r>
          </w:p>
        </w:tc>
      </w:tr>
      <w:tr w:rsidR="006A43A2" w:rsidRPr="00956F16" w14:paraId="335D37BD" w14:textId="77777777" w:rsidTr="00F36C14">
        <w:tc>
          <w:tcPr>
            <w:tcW w:w="3539" w:type="dxa"/>
          </w:tcPr>
          <w:p w14:paraId="13510327" w14:textId="4B6D3A61" w:rsidR="006A43A2" w:rsidRPr="00956F16" w:rsidRDefault="006A43A2" w:rsidP="00F36C14">
            <w:pPr>
              <w:keepNext/>
              <w:rPr>
                <w:rFonts w:ascii="Times New Roman" w:eastAsia="Calibri" w:hAnsi="Times New Roman" w:cs="Times New Roman"/>
              </w:rPr>
            </w:pPr>
            <w:r>
              <w:rPr>
                <w:rFonts w:ascii="Times New Roman" w:eastAsia="Calibri" w:hAnsi="Times New Roman" w:cs="Times New Roman"/>
              </w:rPr>
              <w:t>5</w:t>
            </w:r>
            <w:r w:rsidRPr="00956F16">
              <w:rPr>
                <w:rFonts w:ascii="Times New Roman" w:eastAsia="Calibri" w:hAnsi="Times New Roman" w:cs="Times New Roman"/>
              </w:rPr>
              <w:t>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w:t>
            </w:r>
            <w:r>
              <w:rPr>
                <w:rFonts w:ascii="Times New Roman" w:eastAsia="Calibri" w:hAnsi="Times New Roman" w:cs="Times New Roman"/>
              </w:rPr>
              <w:t xml:space="preserve"> esik</w:t>
            </w:r>
          </w:p>
        </w:tc>
        <w:tc>
          <w:tcPr>
            <w:tcW w:w="5521" w:type="dxa"/>
          </w:tcPr>
          <w:p w14:paraId="6C69D6AA" w14:textId="7803D769" w:rsidR="006A43A2" w:rsidRPr="00956F16" w:rsidRDefault="006A43A2" w:rsidP="00F36C14">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r>
              <w:t xml:space="preserve"> </w:t>
            </w:r>
            <w:r w:rsidRPr="006A43A2">
              <w:rPr>
                <w:rFonts w:ascii="Times New Roman" w:eastAsia="Calibri" w:hAnsi="Times New Roman" w:cs="Times New Roman"/>
              </w:rPr>
              <w:t>és</w:t>
            </w:r>
            <w:r>
              <w:rPr>
                <w:rFonts w:ascii="Times New Roman" w:eastAsia="Calibri" w:hAnsi="Times New Roman" w:cs="Times New Roman"/>
              </w:rPr>
              <w:t xml:space="preserve"> </w:t>
            </w:r>
            <w:r w:rsidRPr="006A43A2">
              <w:rPr>
                <w:rFonts w:ascii="Times New Roman" w:eastAsia="Calibri" w:hAnsi="Times New Roman" w:cs="Times New Roman"/>
              </w:rPr>
              <w:t>legalább 7</w:t>
            </w:r>
            <w:r>
              <w:rPr>
                <w:rFonts w:ascii="Times New Roman" w:eastAsia="Calibri" w:hAnsi="Times New Roman" w:cs="Times New Roman"/>
              </w:rPr>
              <w:t> </w:t>
            </w:r>
            <w:r w:rsidRPr="006A43A2">
              <w:rPr>
                <w:rFonts w:ascii="Times New Roman" w:eastAsia="Calibri" w:hAnsi="Times New Roman" w:cs="Times New Roman"/>
              </w:rPr>
              <w:t>naponta ellenőrizze a vérképet.</w:t>
            </w:r>
          </w:p>
        </w:tc>
      </w:tr>
      <w:tr w:rsidR="006A43A2" w:rsidRPr="00956F16" w14:paraId="489492CC" w14:textId="77777777" w:rsidTr="00F36C14">
        <w:tc>
          <w:tcPr>
            <w:tcW w:w="3539" w:type="dxa"/>
          </w:tcPr>
          <w:p w14:paraId="1A300A6E" w14:textId="29F2934A" w:rsidR="006A43A2" w:rsidRPr="00956F16" w:rsidRDefault="006A43A2" w:rsidP="00F36C14">
            <w:pPr>
              <w:keepNext/>
              <w:rPr>
                <w:rFonts w:ascii="Times New Roman" w:eastAsia="Calibri" w:hAnsi="Times New Roman" w:cs="Times New Roman"/>
              </w:rPr>
            </w:pPr>
            <w:r w:rsidRPr="00956F16">
              <w:rPr>
                <w:rFonts w:ascii="Times New Roman" w:eastAsia="Calibri" w:hAnsi="Times New Roman" w:cs="Times New Roman"/>
              </w:rPr>
              <w:t>visszatér ≥ </w:t>
            </w:r>
            <w:r>
              <w:rPr>
                <w:rFonts w:ascii="Times New Roman" w:eastAsia="Calibri" w:hAnsi="Times New Roman" w:cs="Times New Roman"/>
              </w:rPr>
              <w:t>5</w:t>
            </w:r>
            <w:r w:rsidRPr="00956F16">
              <w:rPr>
                <w:rFonts w:ascii="Times New Roman" w:eastAsia="Calibri" w:hAnsi="Times New Roman" w:cs="Times New Roman"/>
              </w:rPr>
              <w:t>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400CDD5A" w14:textId="231C9EFD" w:rsidR="006A43A2" w:rsidRPr="00956F16" w:rsidRDefault="006A43A2">
            <w:pPr>
              <w:keepNext/>
              <w:rPr>
                <w:rFonts w:ascii="Times New Roman" w:eastAsia="Calibri" w:hAnsi="Times New Roman" w:cs="Times New Roman"/>
              </w:rPr>
            </w:pPr>
            <w:r w:rsidRPr="006A43A2">
              <w:rPr>
                <w:rFonts w:ascii="Times New Roman" w:eastAsia="Calibri" w:hAnsi="Times New Roman" w:cs="Times New Roman"/>
              </w:rPr>
              <w:t>Folytassa a lenalidomid-kezelést a következő</w:t>
            </w:r>
            <w:r>
              <w:rPr>
                <w:rFonts w:ascii="Times New Roman" w:eastAsia="Calibri" w:hAnsi="Times New Roman" w:cs="Times New Roman"/>
              </w:rPr>
              <w:t xml:space="preserve"> </w:t>
            </w:r>
            <w:r w:rsidRPr="006A43A2">
              <w:rPr>
                <w:rFonts w:ascii="Times New Roman" w:eastAsia="Calibri" w:hAnsi="Times New Roman" w:cs="Times New Roman"/>
              </w:rPr>
              <w:t>alacsonyabb dózisszinttel (</w:t>
            </w:r>
            <w:r w:rsidR="00145FFC">
              <w:rPr>
                <w:rFonts w:ascii="Times New Roman" w:eastAsia="Times New Roman" w:hAnsi="Times New Roman" w:cs="Times New Roman"/>
                <w:szCs w:val="20"/>
              </w:rPr>
              <w:t>–</w:t>
            </w:r>
            <w:r w:rsidRPr="006A43A2">
              <w:rPr>
                <w:rFonts w:ascii="Times New Roman" w:eastAsia="Calibri" w:hAnsi="Times New Roman" w:cs="Times New Roman"/>
              </w:rPr>
              <w:t>1.</w:t>
            </w:r>
            <w:r>
              <w:rPr>
                <w:rFonts w:ascii="Times New Roman" w:eastAsia="Calibri" w:hAnsi="Times New Roman" w:cs="Times New Roman"/>
              </w:rPr>
              <w:t> </w:t>
            </w:r>
            <w:r w:rsidRPr="006A43A2">
              <w:rPr>
                <w:rFonts w:ascii="Times New Roman" w:eastAsia="Calibri" w:hAnsi="Times New Roman" w:cs="Times New Roman"/>
              </w:rPr>
              <w:t>dóz</w:t>
            </w:r>
            <w:r w:rsidR="00887676">
              <w:rPr>
                <w:rFonts w:ascii="Times New Roman" w:eastAsia="Calibri" w:hAnsi="Times New Roman" w:cs="Times New Roman"/>
              </w:rPr>
              <w:t>isszint</w:t>
            </w:r>
            <w:r w:rsidRPr="006A43A2">
              <w:rPr>
                <w:rFonts w:ascii="Times New Roman" w:eastAsia="Calibri" w:hAnsi="Times New Roman" w:cs="Times New Roman"/>
              </w:rPr>
              <w:t>).</w:t>
            </w:r>
          </w:p>
        </w:tc>
      </w:tr>
      <w:tr w:rsidR="006A43A2" w:rsidRPr="00956F16" w14:paraId="16F51ECF" w14:textId="77777777" w:rsidTr="00F36C14">
        <w:tc>
          <w:tcPr>
            <w:tcW w:w="3539" w:type="dxa"/>
          </w:tcPr>
          <w:p w14:paraId="06D0726E" w14:textId="02B0527D" w:rsidR="006A43A2" w:rsidRPr="00956F16" w:rsidRDefault="006A43A2" w:rsidP="00F36C14">
            <w:pPr>
              <w:keepNext/>
              <w:rPr>
                <w:rFonts w:ascii="Times New Roman" w:eastAsia="Calibri" w:hAnsi="Times New Roman" w:cs="Times New Roman"/>
              </w:rPr>
            </w:pPr>
            <w:r w:rsidRPr="00956F16">
              <w:rPr>
                <w:rFonts w:ascii="Times New Roman" w:eastAsia="Calibri" w:hAnsi="Times New Roman" w:cs="Times New Roman"/>
              </w:rPr>
              <w:t xml:space="preserve">minden további alkalommal, ha </w:t>
            </w:r>
            <w:r>
              <w:rPr>
                <w:rFonts w:ascii="Times New Roman" w:eastAsia="Calibri" w:hAnsi="Times New Roman" w:cs="Times New Roman"/>
              </w:rPr>
              <w:t>5</w:t>
            </w:r>
            <w:r w:rsidRPr="00956F16">
              <w:rPr>
                <w:rFonts w:ascii="Times New Roman" w:eastAsia="Calibri" w:hAnsi="Times New Roman" w:cs="Times New Roman"/>
              </w:rPr>
              <w:t>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alá esik</w:t>
            </w:r>
          </w:p>
        </w:tc>
        <w:tc>
          <w:tcPr>
            <w:tcW w:w="5521" w:type="dxa"/>
          </w:tcPr>
          <w:p w14:paraId="05C2A308" w14:textId="1C0C24CE" w:rsidR="006A43A2" w:rsidRPr="00956F16" w:rsidRDefault="006A43A2" w:rsidP="00F36C14">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r>
              <w:t xml:space="preserve"> </w:t>
            </w:r>
            <w:r w:rsidRPr="006A43A2">
              <w:rPr>
                <w:rFonts w:ascii="Times New Roman" w:eastAsia="Calibri" w:hAnsi="Times New Roman" w:cs="Times New Roman"/>
              </w:rPr>
              <w:t>és</w:t>
            </w:r>
            <w:r>
              <w:rPr>
                <w:rFonts w:ascii="Times New Roman" w:eastAsia="Calibri" w:hAnsi="Times New Roman" w:cs="Times New Roman"/>
              </w:rPr>
              <w:t xml:space="preserve"> </w:t>
            </w:r>
            <w:r w:rsidRPr="006A43A2">
              <w:rPr>
                <w:rFonts w:ascii="Times New Roman" w:eastAsia="Calibri" w:hAnsi="Times New Roman" w:cs="Times New Roman"/>
              </w:rPr>
              <w:t>legalább 7</w:t>
            </w:r>
            <w:r>
              <w:rPr>
                <w:rFonts w:ascii="Times New Roman" w:eastAsia="Calibri" w:hAnsi="Times New Roman" w:cs="Times New Roman"/>
              </w:rPr>
              <w:t> </w:t>
            </w:r>
            <w:r w:rsidRPr="006A43A2">
              <w:rPr>
                <w:rFonts w:ascii="Times New Roman" w:eastAsia="Calibri" w:hAnsi="Times New Roman" w:cs="Times New Roman"/>
              </w:rPr>
              <w:t>naponta ellenőrizze a vérképet.</w:t>
            </w:r>
          </w:p>
        </w:tc>
      </w:tr>
      <w:tr w:rsidR="006A43A2" w:rsidRPr="00956F16" w14:paraId="565B525E" w14:textId="77777777" w:rsidTr="00F36C14">
        <w:tc>
          <w:tcPr>
            <w:tcW w:w="3539" w:type="dxa"/>
          </w:tcPr>
          <w:p w14:paraId="54ABA7D1" w14:textId="7DF6B698" w:rsidR="006A43A2" w:rsidRPr="00956F16" w:rsidRDefault="006A43A2" w:rsidP="00F36C14">
            <w:pPr>
              <w:rPr>
                <w:rFonts w:ascii="Times New Roman" w:eastAsia="Calibri" w:hAnsi="Times New Roman" w:cs="Times New Roman"/>
              </w:rPr>
            </w:pPr>
            <w:r w:rsidRPr="00956F16">
              <w:rPr>
                <w:rFonts w:ascii="Times New Roman" w:eastAsia="Calibri" w:hAnsi="Times New Roman" w:cs="Times New Roman"/>
              </w:rPr>
              <w:t>visszatér ≥ </w:t>
            </w:r>
            <w:r w:rsidR="000F77BC">
              <w:rPr>
                <w:rFonts w:ascii="Times New Roman" w:eastAsia="Calibri" w:hAnsi="Times New Roman" w:cs="Times New Roman"/>
              </w:rPr>
              <w:t>5</w:t>
            </w:r>
            <w:r w:rsidRPr="00956F16">
              <w:rPr>
                <w:rFonts w:ascii="Times New Roman" w:eastAsia="Calibri" w:hAnsi="Times New Roman" w:cs="Times New Roman"/>
              </w:rPr>
              <w:t>0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5851D4BE" w14:textId="18ECC4F6" w:rsidR="006A43A2" w:rsidRPr="00956F16" w:rsidRDefault="000F77BC">
            <w:pPr>
              <w:rPr>
                <w:rFonts w:ascii="Times New Roman" w:eastAsia="Calibri" w:hAnsi="Times New Roman" w:cs="Times New Roman"/>
              </w:rPr>
            </w:pPr>
            <w:r w:rsidRPr="000F77BC">
              <w:rPr>
                <w:rFonts w:ascii="Times New Roman" w:eastAsia="Calibri" w:hAnsi="Times New Roman" w:cs="Times New Roman"/>
              </w:rPr>
              <w:t>Folytassa a lenalidomid-kezelést a következő</w:t>
            </w:r>
            <w:r>
              <w:rPr>
                <w:rFonts w:ascii="Times New Roman" w:eastAsia="Calibri" w:hAnsi="Times New Roman" w:cs="Times New Roman"/>
              </w:rPr>
              <w:t xml:space="preserve"> </w:t>
            </w:r>
            <w:r w:rsidRPr="000F77BC">
              <w:rPr>
                <w:rFonts w:ascii="Times New Roman" w:eastAsia="Calibri" w:hAnsi="Times New Roman" w:cs="Times New Roman"/>
              </w:rPr>
              <w:t>alacsonyabb dózisszinttel (</w:t>
            </w:r>
            <w:r w:rsidR="00145FFC">
              <w:rPr>
                <w:rFonts w:ascii="Times New Roman" w:eastAsia="Times New Roman" w:hAnsi="Times New Roman" w:cs="Times New Roman"/>
                <w:szCs w:val="20"/>
              </w:rPr>
              <w:t>–</w:t>
            </w:r>
            <w:r w:rsidRPr="000F77BC">
              <w:rPr>
                <w:rFonts w:ascii="Times New Roman" w:eastAsia="Calibri" w:hAnsi="Times New Roman" w:cs="Times New Roman"/>
              </w:rPr>
              <w:t xml:space="preserve">2., </w:t>
            </w:r>
            <w:r w:rsidR="00145FFC">
              <w:rPr>
                <w:rFonts w:ascii="Times New Roman" w:eastAsia="Times New Roman" w:hAnsi="Times New Roman" w:cs="Times New Roman"/>
                <w:szCs w:val="20"/>
              </w:rPr>
              <w:t>–</w:t>
            </w:r>
            <w:r w:rsidRPr="000F77BC">
              <w:rPr>
                <w:rFonts w:ascii="Times New Roman" w:eastAsia="Calibri" w:hAnsi="Times New Roman" w:cs="Times New Roman"/>
              </w:rPr>
              <w:t>3.</w:t>
            </w:r>
            <w:r>
              <w:rPr>
                <w:rFonts w:ascii="Times New Roman" w:eastAsia="Calibri" w:hAnsi="Times New Roman" w:cs="Times New Roman"/>
              </w:rPr>
              <w:t> </w:t>
            </w:r>
            <w:r w:rsidRPr="000F77BC">
              <w:rPr>
                <w:rFonts w:ascii="Times New Roman" w:eastAsia="Calibri" w:hAnsi="Times New Roman" w:cs="Times New Roman"/>
              </w:rPr>
              <w:t>dózisszint).</w:t>
            </w:r>
            <w:r>
              <w:rPr>
                <w:rFonts w:ascii="Times New Roman" w:eastAsia="Calibri" w:hAnsi="Times New Roman" w:cs="Times New Roman"/>
              </w:rPr>
              <w:t xml:space="preserve"> </w:t>
            </w:r>
            <w:r w:rsidRPr="000F77BC">
              <w:rPr>
                <w:rFonts w:ascii="Times New Roman" w:eastAsia="Calibri" w:hAnsi="Times New Roman" w:cs="Times New Roman"/>
              </w:rPr>
              <w:t xml:space="preserve">Ne csökkentse a </w:t>
            </w:r>
            <w:r w:rsidR="00426AD5">
              <w:rPr>
                <w:rFonts w:ascii="Times New Roman" w:eastAsia="Calibri" w:hAnsi="Times New Roman" w:cs="Times New Roman"/>
              </w:rPr>
              <w:t>dózist</w:t>
            </w:r>
            <w:r w:rsidR="00426AD5" w:rsidRPr="00956F16">
              <w:rPr>
                <w:rFonts w:ascii="Times New Roman" w:eastAsia="Calibri" w:hAnsi="Times New Roman" w:cs="Times New Roman"/>
              </w:rPr>
              <w:t xml:space="preserve"> </w:t>
            </w:r>
            <w:r w:rsidRPr="000F77BC">
              <w:rPr>
                <w:rFonts w:ascii="Times New Roman" w:eastAsia="Calibri" w:hAnsi="Times New Roman" w:cs="Times New Roman"/>
              </w:rPr>
              <w:t xml:space="preserve">a </w:t>
            </w:r>
            <w:r w:rsidR="00145FFC">
              <w:rPr>
                <w:rFonts w:ascii="Times New Roman" w:eastAsia="Times New Roman" w:hAnsi="Times New Roman" w:cs="Times New Roman"/>
                <w:szCs w:val="20"/>
              </w:rPr>
              <w:t>–</w:t>
            </w:r>
            <w:r w:rsidRPr="000F77BC">
              <w:rPr>
                <w:rFonts w:ascii="Times New Roman" w:eastAsia="Calibri" w:hAnsi="Times New Roman" w:cs="Times New Roman"/>
              </w:rPr>
              <w:t>3.</w:t>
            </w:r>
            <w:r>
              <w:rPr>
                <w:rFonts w:ascii="Times New Roman" w:eastAsia="Calibri" w:hAnsi="Times New Roman" w:cs="Times New Roman"/>
              </w:rPr>
              <w:t> </w:t>
            </w:r>
            <w:r w:rsidRPr="000F77BC">
              <w:rPr>
                <w:rFonts w:ascii="Times New Roman" w:eastAsia="Calibri" w:hAnsi="Times New Roman" w:cs="Times New Roman"/>
              </w:rPr>
              <w:t>dózisszint alá.</w:t>
            </w:r>
          </w:p>
        </w:tc>
      </w:tr>
    </w:tbl>
    <w:p w14:paraId="0873B5B8" w14:textId="77777777" w:rsidR="006A43A2" w:rsidRPr="00956F16" w:rsidRDefault="006A43A2" w:rsidP="006A43A2">
      <w:pPr>
        <w:spacing w:after="0" w:line="240" w:lineRule="auto"/>
        <w:rPr>
          <w:rFonts w:ascii="Times New Roman" w:eastAsia="Calibri" w:hAnsi="Times New Roman" w:cs="Times New Roman"/>
        </w:rPr>
      </w:pPr>
    </w:p>
    <w:p w14:paraId="5A0F17F4" w14:textId="77777777" w:rsidR="006A43A2" w:rsidRPr="00956F16" w:rsidRDefault="006A43A2" w:rsidP="006A43A2">
      <w:pPr>
        <w:keepNext/>
        <w:numPr>
          <w:ilvl w:val="0"/>
          <w:numId w:val="15"/>
        </w:numPr>
        <w:tabs>
          <w:tab w:val="left" w:pos="567"/>
        </w:tabs>
        <w:spacing w:after="0" w:line="240" w:lineRule="auto"/>
        <w:ind w:hanging="720"/>
        <w:rPr>
          <w:rFonts w:ascii="Times New Roman" w:eastAsia="Calibri" w:hAnsi="Times New Roman" w:cs="Times New Roman"/>
          <w:i/>
        </w:rPr>
      </w:pPr>
      <w:r>
        <w:rPr>
          <w:rFonts w:ascii="Times New Roman" w:eastAsia="Calibri" w:hAnsi="Times New Roman" w:cs="Times New Roman"/>
          <w:i/>
        </w:rPr>
        <w:t>Abszolút neutrophilszám (ANC) – n</w:t>
      </w:r>
      <w:r w:rsidRPr="00956F16">
        <w:rPr>
          <w:rFonts w:ascii="Times New Roman" w:eastAsia="Calibri" w:hAnsi="Times New Roman" w:cs="Times New Roman"/>
          <w:i/>
        </w:rPr>
        <w:t>eutropenia</w:t>
      </w:r>
    </w:p>
    <w:tbl>
      <w:tblPr>
        <w:tblStyle w:val="Rcsostblzat"/>
        <w:tblW w:w="0" w:type="auto"/>
        <w:tblLook w:val="04A0" w:firstRow="1" w:lastRow="0" w:firstColumn="1" w:lastColumn="0" w:noHBand="0" w:noVBand="1"/>
      </w:tblPr>
      <w:tblGrid>
        <w:gridCol w:w="3539"/>
        <w:gridCol w:w="5521"/>
      </w:tblGrid>
      <w:tr w:rsidR="006A43A2" w:rsidRPr="00956F16" w14:paraId="12F3FD38" w14:textId="77777777" w:rsidTr="00F36C14">
        <w:tc>
          <w:tcPr>
            <w:tcW w:w="3539" w:type="dxa"/>
          </w:tcPr>
          <w:p w14:paraId="1016C9C1" w14:textId="77777777" w:rsidR="006A43A2" w:rsidRPr="00956F16" w:rsidRDefault="006A43A2" w:rsidP="00F36C14">
            <w:pPr>
              <w:keepNext/>
              <w:rPr>
                <w:rFonts w:ascii="Times New Roman" w:eastAsia="Calibri" w:hAnsi="Times New Roman" w:cs="Times New Roman"/>
              </w:rPr>
            </w:pPr>
            <w:r w:rsidRPr="00956F16">
              <w:rPr>
                <w:rFonts w:ascii="Times New Roman" w:eastAsia="Calibri" w:hAnsi="Times New Roman" w:cs="Times New Roman"/>
              </w:rPr>
              <w:t>Ha a</w:t>
            </w:r>
            <w:r>
              <w:rPr>
                <w:rFonts w:ascii="Times New Roman" w:eastAsia="Calibri" w:hAnsi="Times New Roman" w:cs="Times New Roman"/>
              </w:rPr>
              <w:t>z ANC</w:t>
            </w:r>
          </w:p>
        </w:tc>
        <w:tc>
          <w:tcPr>
            <w:tcW w:w="5521" w:type="dxa"/>
          </w:tcPr>
          <w:p w14:paraId="5546A9FC" w14:textId="77777777" w:rsidR="006A43A2" w:rsidRPr="00956F16" w:rsidRDefault="006A43A2" w:rsidP="00F36C14">
            <w:pPr>
              <w:keepNext/>
              <w:rPr>
                <w:rFonts w:ascii="Times New Roman" w:eastAsia="Calibri" w:hAnsi="Times New Roman" w:cs="Times New Roman"/>
              </w:rPr>
            </w:pPr>
            <w:r w:rsidRPr="00956F16">
              <w:rPr>
                <w:rFonts w:ascii="Times New Roman" w:eastAsia="Calibri" w:hAnsi="Times New Roman" w:cs="Times New Roman"/>
              </w:rPr>
              <w:t>Javasolt kezelés</w:t>
            </w:r>
          </w:p>
        </w:tc>
      </w:tr>
      <w:tr w:rsidR="006A43A2" w:rsidRPr="00956F16" w14:paraId="59BCD61C" w14:textId="77777777" w:rsidTr="00F36C14">
        <w:tc>
          <w:tcPr>
            <w:tcW w:w="3539" w:type="dxa"/>
          </w:tcPr>
          <w:p w14:paraId="5B0FF926" w14:textId="397CEF95" w:rsidR="006A43A2" w:rsidRPr="00956F16" w:rsidRDefault="00EB0095">
            <w:pPr>
              <w:keepNext/>
              <w:rPr>
                <w:rFonts w:ascii="Times New Roman" w:eastAsia="Calibri" w:hAnsi="Times New Roman" w:cs="Times New Roman"/>
              </w:rPr>
            </w:pPr>
            <w:r>
              <w:rPr>
                <w:rFonts w:ascii="Times New Roman" w:eastAsia="Calibri" w:hAnsi="Times New Roman" w:cs="Times New Roman"/>
              </w:rPr>
              <w:t>l</w:t>
            </w:r>
            <w:r w:rsidRPr="00EB0095">
              <w:rPr>
                <w:rFonts w:ascii="Times New Roman" w:eastAsia="Calibri" w:hAnsi="Times New Roman" w:cs="Times New Roman"/>
              </w:rPr>
              <w:t>egalább 7</w:t>
            </w:r>
            <w:r>
              <w:rPr>
                <w:rFonts w:ascii="Times New Roman" w:eastAsia="Calibri" w:hAnsi="Times New Roman" w:cs="Times New Roman"/>
              </w:rPr>
              <w:t> </w:t>
            </w:r>
            <w:r w:rsidRPr="00EB0095">
              <w:rPr>
                <w:rFonts w:ascii="Times New Roman" w:eastAsia="Calibri" w:hAnsi="Times New Roman" w:cs="Times New Roman"/>
              </w:rPr>
              <w:t>napon át 1</w:t>
            </w:r>
            <w:r>
              <w:rPr>
                <w:rFonts w:ascii="Times New Roman" w:eastAsia="Calibri" w:hAnsi="Times New Roman" w:cs="Times New Roman"/>
              </w:rPr>
              <w:t> </w:t>
            </w:r>
            <w:r w:rsidRPr="00EB0095">
              <w:rPr>
                <w:rFonts w:ascii="Times New Roman" w:eastAsia="Calibri" w:hAnsi="Times New Roman" w:cs="Times New Roman"/>
              </w:rPr>
              <w:t>×</w:t>
            </w:r>
            <w:r>
              <w:rPr>
                <w:rFonts w:ascii="Times New Roman" w:eastAsia="Calibri" w:hAnsi="Times New Roman" w:cs="Times New Roman"/>
              </w:rPr>
              <w:t> </w:t>
            </w:r>
            <w:r w:rsidRPr="00EB0095">
              <w:rPr>
                <w:rFonts w:ascii="Times New Roman" w:eastAsia="Calibri" w:hAnsi="Times New Roman" w:cs="Times New Roman"/>
              </w:rPr>
              <w:t>10</w:t>
            </w:r>
            <w:r w:rsidRPr="00E83289">
              <w:rPr>
                <w:rFonts w:ascii="Times New Roman" w:eastAsia="Calibri" w:hAnsi="Times New Roman" w:cs="Times New Roman"/>
                <w:vertAlign w:val="superscript"/>
              </w:rPr>
              <w:t>9</w:t>
            </w:r>
            <w:r w:rsidRPr="00EB0095">
              <w:rPr>
                <w:rFonts w:ascii="Times New Roman" w:eastAsia="Calibri" w:hAnsi="Times New Roman" w:cs="Times New Roman"/>
              </w:rPr>
              <w:t>/l alá esik vagy</w:t>
            </w:r>
            <w:r>
              <w:rPr>
                <w:rFonts w:ascii="Times New Roman" w:eastAsia="Calibri" w:hAnsi="Times New Roman" w:cs="Times New Roman"/>
              </w:rPr>
              <w:t xml:space="preserve"> </w:t>
            </w:r>
            <w:r w:rsidRPr="00EB0095">
              <w:rPr>
                <w:rFonts w:ascii="Times New Roman" w:eastAsia="Calibri" w:hAnsi="Times New Roman" w:cs="Times New Roman"/>
              </w:rPr>
              <w:t>1</w:t>
            </w:r>
            <w:r>
              <w:rPr>
                <w:rFonts w:ascii="Times New Roman" w:eastAsia="Calibri" w:hAnsi="Times New Roman" w:cs="Times New Roman"/>
              </w:rPr>
              <w:t> </w:t>
            </w:r>
            <w:r w:rsidRPr="00EB0095">
              <w:rPr>
                <w:rFonts w:ascii="Times New Roman" w:eastAsia="Calibri" w:hAnsi="Times New Roman" w:cs="Times New Roman"/>
              </w:rPr>
              <w:t>×</w:t>
            </w:r>
            <w:r>
              <w:rPr>
                <w:rFonts w:ascii="Times New Roman" w:eastAsia="Calibri" w:hAnsi="Times New Roman" w:cs="Times New Roman"/>
              </w:rPr>
              <w:t> </w:t>
            </w:r>
            <w:r w:rsidRPr="00EB0095">
              <w:rPr>
                <w:rFonts w:ascii="Times New Roman" w:eastAsia="Calibri" w:hAnsi="Times New Roman" w:cs="Times New Roman"/>
              </w:rPr>
              <w:t>10</w:t>
            </w:r>
            <w:r w:rsidRPr="00E83289">
              <w:rPr>
                <w:rFonts w:ascii="Times New Roman" w:eastAsia="Calibri" w:hAnsi="Times New Roman" w:cs="Times New Roman"/>
                <w:vertAlign w:val="superscript"/>
              </w:rPr>
              <w:t>9</w:t>
            </w:r>
            <w:r w:rsidRPr="00EB0095">
              <w:rPr>
                <w:rFonts w:ascii="Times New Roman" w:eastAsia="Calibri" w:hAnsi="Times New Roman" w:cs="Times New Roman"/>
              </w:rPr>
              <w:t>/l alá esik és lázzal jár (≥</w:t>
            </w:r>
            <w:r>
              <w:rPr>
                <w:rFonts w:ascii="Times New Roman" w:eastAsia="Calibri" w:hAnsi="Times New Roman" w:cs="Times New Roman"/>
              </w:rPr>
              <w:t> </w:t>
            </w:r>
            <w:r w:rsidRPr="00EB0095">
              <w:rPr>
                <w:rFonts w:ascii="Times New Roman" w:eastAsia="Calibri" w:hAnsi="Times New Roman" w:cs="Times New Roman"/>
              </w:rPr>
              <w:t>38,5</w:t>
            </w:r>
            <w:r>
              <w:rPr>
                <w:rFonts w:ascii="Times New Roman" w:eastAsia="Calibri" w:hAnsi="Times New Roman" w:cs="Times New Roman"/>
              </w:rPr>
              <w:t> </w:t>
            </w:r>
            <w:r w:rsidRPr="00EB0095">
              <w:rPr>
                <w:rFonts w:ascii="Times New Roman" w:eastAsia="Calibri" w:hAnsi="Times New Roman" w:cs="Times New Roman"/>
              </w:rPr>
              <w:t>°C-os</w:t>
            </w:r>
            <w:r>
              <w:rPr>
                <w:rFonts w:ascii="Times New Roman" w:eastAsia="Calibri" w:hAnsi="Times New Roman" w:cs="Times New Roman"/>
              </w:rPr>
              <w:t xml:space="preserve"> </w:t>
            </w:r>
            <w:r w:rsidRPr="00EB0095">
              <w:rPr>
                <w:rFonts w:ascii="Times New Roman" w:eastAsia="Calibri" w:hAnsi="Times New Roman" w:cs="Times New Roman"/>
              </w:rPr>
              <w:t>testhőmérséklet) vagy 0,5</w:t>
            </w:r>
            <w:r>
              <w:rPr>
                <w:rFonts w:ascii="Times New Roman" w:eastAsia="Calibri" w:hAnsi="Times New Roman" w:cs="Times New Roman"/>
              </w:rPr>
              <w:t> </w:t>
            </w:r>
            <w:r w:rsidRPr="00EB0095">
              <w:rPr>
                <w:rFonts w:ascii="Times New Roman" w:eastAsia="Calibri" w:hAnsi="Times New Roman" w:cs="Times New Roman"/>
              </w:rPr>
              <w:t>×</w:t>
            </w:r>
            <w:r>
              <w:rPr>
                <w:rFonts w:ascii="Times New Roman" w:eastAsia="Calibri" w:hAnsi="Times New Roman" w:cs="Times New Roman"/>
              </w:rPr>
              <w:t> </w:t>
            </w:r>
            <w:r w:rsidRPr="00EB0095">
              <w:rPr>
                <w:rFonts w:ascii="Times New Roman" w:eastAsia="Calibri" w:hAnsi="Times New Roman" w:cs="Times New Roman"/>
              </w:rPr>
              <w:t>10</w:t>
            </w:r>
            <w:r w:rsidRPr="00E83289">
              <w:rPr>
                <w:rFonts w:ascii="Times New Roman" w:eastAsia="Calibri" w:hAnsi="Times New Roman" w:cs="Times New Roman"/>
                <w:vertAlign w:val="superscript"/>
              </w:rPr>
              <w:t>9</w:t>
            </w:r>
            <w:r w:rsidRPr="00EB0095">
              <w:rPr>
                <w:rFonts w:ascii="Times New Roman" w:eastAsia="Calibri" w:hAnsi="Times New Roman" w:cs="Times New Roman"/>
              </w:rPr>
              <w:t>/l alá esik</w:t>
            </w:r>
          </w:p>
        </w:tc>
        <w:tc>
          <w:tcPr>
            <w:tcW w:w="5521" w:type="dxa"/>
          </w:tcPr>
          <w:p w14:paraId="43060A10" w14:textId="51788255" w:rsidR="006A43A2" w:rsidRPr="00956F16" w:rsidRDefault="00EB0095" w:rsidP="00F36C14">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r>
              <w:t xml:space="preserve"> </w:t>
            </w:r>
            <w:r w:rsidRPr="006A43A2">
              <w:rPr>
                <w:rFonts w:ascii="Times New Roman" w:eastAsia="Calibri" w:hAnsi="Times New Roman" w:cs="Times New Roman"/>
              </w:rPr>
              <w:t>és</w:t>
            </w:r>
            <w:r>
              <w:rPr>
                <w:rFonts w:ascii="Times New Roman" w:eastAsia="Calibri" w:hAnsi="Times New Roman" w:cs="Times New Roman"/>
              </w:rPr>
              <w:t xml:space="preserve"> </w:t>
            </w:r>
            <w:r w:rsidRPr="006A43A2">
              <w:rPr>
                <w:rFonts w:ascii="Times New Roman" w:eastAsia="Calibri" w:hAnsi="Times New Roman" w:cs="Times New Roman"/>
              </w:rPr>
              <w:t>legalább 7</w:t>
            </w:r>
            <w:r>
              <w:rPr>
                <w:rFonts w:ascii="Times New Roman" w:eastAsia="Calibri" w:hAnsi="Times New Roman" w:cs="Times New Roman"/>
              </w:rPr>
              <w:t> </w:t>
            </w:r>
            <w:r w:rsidRPr="006A43A2">
              <w:rPr>
                <w:rFonts w:ascii="Times New Roman" w:eastAsia="Calibri" w:hAnsi="Times New Roman" w:cs="Times New Roman"/>
              </w:rPr>
              <w:t>naponta ellenőrizze a vérképet.</w:t>
            </w:r>
          </w:p>
        </w:tc>
      </w:tr>
      <w:tr w:rsidR="006A43A2" w:rsidRPr="00956F16" w14:paraId="7BE4DCA2" w14:textId="77777777" w:rsidTr="00F36C14">
        <w:tc>
          <w:tcPr>
            <w:tcW w:w="3539" w:type="dxa"/>
          </w:tcPr>
          <w:p w14:paraId="3C6EE942" w14:textId="3B8C4AE7" w:rsidR="006A43A2" w:rsidRPr="00956F16" w:rsidRDefault="006A43A2" w:rsidP="00F36C14">
            <w:pPr>
              <w:keepNext/>
              <w:rPr>
                <w:rFonts w:ascii="Times New Roman" w:eastAsia="Calibri" w:hAnsi="Times New Roman" w:cs="Times New Roman"/>
              </w:rPr>
            </w:pPr>
            <w:r w:rsidRPr="00956F16">
              <w:rPr>
                <w:rFonts w:ascii="Times New Roman" w:eastAsia="Calibri" w:hAnsi="Times New Roman" w:cs="Times New Roman"/>
              </w:rPr>
              <w:t>visszatér ≥ </w:t>
            </w:r>
            <w:r w:rsidR="00EB0095">
              <w:rPr>
                <w:rFonts w:ascii="Times New Roman" w:eastAsia="Calibri" w:hAnsi="Times New Roman" w:cs="Times New Roman"/>
              </w:rPr>
              <w:t>1</w:t>
            </w:r>
            <w:r w:rsidRPr="00956F16">
              <w:rPr>
                <w:rFonts w:ascii="Times New Roman" w:eastAsia="Calibri" w:hAnsi="Times New Roman" w:cs="Times New Roman"/>
              </w:rPr>
              <w:t>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05F750D6" w14:textId="4E4CC7D7" w:rsidR="006A43A2" w:rsidRPr="00956F16" w:rsidRDefault="00EB0095" w:rsidP="00F36C14">
            <w:pPr>
              <w:keepNext/>
              <w:rPr>
                <w:rFonts w:ascii="Times New Roman" w:eastAsia="Calibri" w:hAnsi="Times New Roman" w:cs="Times New Roman"/>
              </w:rPr>
            </w:pPr>
            <w:r w:rsidRPr="006A43A2">
              <w:rPr>
                <w:rFonts w:ascii="Times New Roman" w:eastAsia="Calibri" w:hAnsi="Times New Roman" w:cs="Times New Roman"/>
              </w:rPr>
              <w:t>Folytassa a lenalidomid-kezelést a következő</w:t>
            </w:r>
            <w:r>
              <w:rPr>
                <w:rFonts w:ascii="Times New Roman" w:eastAsia="Calibri" w:hAnsi="Times New Roman" w:cs="Times New Roman"/>
              </w:rPr>
              <w:t xml:space="preserve"> </w:t>
            </w:r>
            <w:r w:rsidRPr="006A43A2">
              <w:rPr>
                <w:rFonts w:ascii="Times New Roman" w:eastAsia="Calibri" w:hAnsi="Times New Roman" w:cs="Times New Roman"/>
              </w:rPr>
              <w:t>alacsonyabb dózisszinttel (</w:t>
            </w:r>
            <w:r w:rsidR="00145FFC">
              <w:rPr>
                <w:rFonts w:ascii="Times New Roman" w:eastAsia="Times New Roman" w:hAnsi="Times New Roman" w:cs="Times New Roman"/>
                <w:szCs w:val="20"/>
              </w:rPr>
              <w:t>–</w:t>
            </w:r>
            <w:r w:rsidRPr="006A43A2">
              <w:rPr>
                <w:rFonts w:ascii="Times New Roman" w:eastAsia="Calibri" w:hAnsi="Times New Roman" w:cs="Times New Roman"/>
              </w:rPr>
              <w:t>1.</w:t>
            </w:r>
            <w:r>
              <w:rPr>
                <w:rFonts w:ascii="Times New Roman" w:eastAsia="Calibri" w:hAnsi="Times New Roman" w:cs="Times New Roman"/>
              </w:rPr>
              <w:t> </w:t>
            </w:r>
            <w:r w:rsidRPr="006A43A2">
              <w:rPr>
                <w:rFonts w:ascii="Times New Roman" w:eastAsia="Calibri" w:hAnsi="Times New Roman" w:cs="Times New Roman"/>
              </w:rPr>
              <w:t>dóz</w:t>
            </w:r>
            <w:r w:rsidR="00887676">
              <w:rPr>
                <w:rFonts w:ascii="Times New Roman" w:eastAsia="Calibri" w:hAnsi="Times New Roman" w:cs="Times New Roman"/>
              </w:rPr>
              <w:t>isszint</w:t>
            </w:r>
            <w:r w:rsidRPr="006A43A2">
              <w:rPr>
                <w:rFonts w:ascii="Times New Roman" w:eastAsia="Calibri" w:hAnsi="Times New Roman" w:cs="Times New Roman"/>
              </w:rPr>
              <w:t>).</w:t>
            </w:r>
          </w:p>
        </w:tc>
      </w:tr>
      <w:tr w:rsidR="006A43A2" w:rsidRPr="00956F16" w14:paraId="2BE709A4" w14:textId="77777777" w:rsidTr="00F36C14">
        <w:tc>
          <w:tcPr>
            <w:tcW w:w="3539" w:type="dxa"/>
          </w:tcPr>
          <w:p w14:paraId="15F12A37" w14:textId="39B32E72" w:rsidR="006A43A2" w:rsidRPr="00956F16" w:rsidRDefault="00EB0095" w:rsidP="00F36C14">
            <w:pPr>
              <w:keepNext/>
              <w:rPr>
                <w:rFonts w:ascii="Times New Roman" w:eastAsia="Calibri" w:hAnsi="Times New Roman" w:cs="Times New Roman"/>
              </w:rPr>
            </w:pPr>
            <w:r>
              <w:rPr>
                <w:rFonts w:ascii="Times New Roman" w:eastAsia="Calibri" w:hAnsi="Times New Roman" w:cs="Times New Roman"/>
              </w:rPr>
              <w:t>minden további alkalommal, ha l</w:t>
            </w:r>
            <w:r w:rsidRPr="00EB0095">
              <w:rPr>
                <w:rFonts w:ascii="Times New Roman" w:eastAsia="Calibri" w:hAnsi="Times New Roman" w:cs="Times New Roman"/>
              </w:rPr>
              <w:t>egalább 7</w:t>
            </w:r>
            <w:r>
              <w:rPr>
                <w:rFonts w:ascii="Times New Roman" w:eastAsia="Calibri" w:hAnsi="Times New Roman" w:cs="Times New Roman"/>
              </w:rPr>
              <w:t> </w:t>
            </w:r>
            <w:r w:rsidRPr="00EB0095">
              <w:rPr>
                <w:rFonts w:ascii="Times New Roman" w:eastAsia="Calibri" w:hAnsi="Times New Roman" w:cs="Times New Roman"/>
              </w:rPr>
              <w:t>napon át 1</w:t>
            </w:r>
            <w:r>
              <w:rPr>
                <w:rFonts w:ascii="Times New Roman" w:eastAsia="Calibri" w:hAnsi="Times New Roman" w:cs="Times New Roman"/>
              </w:rPr>
              <w:t> </w:t>
            </w:r>
            <w:r w:rsidRPr="00EB0095">
              <w:rPr>
                <w:rFonts w:ascii="Times New Roman" w:eastAsia="Calibri" w:hAnsi="Times New Roman" w:cs="Times New Roman"/>
              </w:rPr>
              <w:t>×</w:t>
            </w:r>
            <w:r>
              <w:rPr>
                <w:rFonts w:ascii="Times New Roman" w:eastAsia="Calibri" w:hAnsi="Times New Roman" w:cs="Times New Roman"/>
              </w:rPr>
              <w:t> </w:t>
            </w:r>
            <w:r w:rsidRPr="00EB0095">
              <w:rPr>
                <w:rFonts w:ascii="Times New Roman" w:eastAsia="Calibri" w:hAnsi="Times New Roman" w:cs="Times New Roman"/>
              </w:rPr>
              <w:t>10</w:t>
            </w:r>
            <w:r w:rsidRPr="00F36C14">
              <w:rPr>
                <w:rFonts w:ascii="Times New Roman" w:eastAsia="Calibri" w:hAnsi="Times New Roman" w:cs="Times New Roman"/>
                <w:vertAlign w:val="superscript"/>
              </w:rPr>
              <w:t>9</w:t>
            </w:r>
            <w:r w:rsidRPr="00EB0095">
              <w:rPr>
                <w:rFonts w:ascii="Times New Roman" w:eastAsia="Calibri" w:hAnsi="Times New Roman" w:cs="Times New Roman"/>
              </w:rPr>
              <w:t>/l alá esik vagy</w:t>
            </w:r>
            <w:r>
              <w:rPr>
                <w:rFonts w:ascii="Times New Roman" w:eastAsia="Calibri" w:hAnsi="Times New Roman" w:cs="Times New Roman"/>
              </w:rPr>
              <w:t xml:space="preserve"> </w:t>
            </w:r>
            <w:r w:rsidRPr="00EB0095">
              <w:rPr>
                <w:rFonts w:ascii="Times New Roman" w:eastAsia="Calibri" w:hAnsi="Times New Roman" w:cs="Times New Roman"/>
              </w:rPr>
              <w:t>1</w:t>
            </w:r>
            <w:r>
              <w:rPr>
                <w:rFonts w:ascii="Times New Roman" w:eastAsia="Calibri" w:hAnsi="Times New Roman" w:cs="Times New Roman"/>
              </w:rPr>
              <w:t> </w:t>
            </w:r>
            <w:r w:rsidRPr="00EB0095">
              <w:rPr>
                <w:rFonts w:ascii="Times New Roman" w:eastAsia="Calibri" w:hAnsi="Times New Roman" w:cs="Times New Roman"/>
              </w:rPr>
              <w:t>×</w:t>
            </w:r>
            <w:r>
              <w:rPr>
                <w:rFonts w:ascii="Times New Roman" w:eastAsia="Calibri" w:hAnsi="Times New Roman" w:cs="Times New Roman"/>
              </w:rPr>
              <w:t> </w:t>
            </w:r>
            <w:r w:rsidRPr="00EB0095">
              <w:rPr>
                <w:rFonts w:ascii="Times New Roman" w:eastAsia="Calibri" w:hAnsi="Times New Roman" w:cs="Times New Roman"/>
              </w:rPr>
              <w:t>10</w:t>
            </w:r>
            <w:r w:rsidRPr="00F36C14">
              <w:rPr>
                <w:rFonts w:ascii="Times New Roman" w:eastAsia="Calibri" w:hAnsi="Times New Roman" w:cs="Times New Roman"/>
                <w:vertAlign w:val="superscript"/>
              </w:rPr>
              <w:t>9</w:t>
            </w:r>
            <w:r w:rsidRPr="00EB0095">
              <w:rPr>
                <w:rFonts w:ascii="Times New Roman" w:eastAsia="Calibri" w:hAnsi="Times New Roman" w:cs="Times New Roman"/>
              </w:rPr>
              <w:t>/l alá esik és lázzal jár (≥</w:t>
            </w:r>
            <w:r>
              <w:rPr>
                <w:rFonts w:ascii="Times New Roman" w:eastAsia="Calibri" w:hAnsi="Times New Roman" w:cs="Times New Roman"/>
              </w:rPr>
              <w:t> </w:t>
            </w:r>
            <w:r w:rsidRPr="00EB0095">
              <w:rPr>
                <w:rFonts w:ascii="Times New Roman" w:eastAsia="Calibri" w:hAnsi="Times New Roman" w:cs="Times New Roman"/>
              </w:rPr>
              <w:t>38,5</w:t>
            </w:r>
            <w:r>
              <w:rPr>
                <w:rFonts w:ascii="Times New Roman" w:eastAsia="Calibri" w:hAnsi="Times New Roman" w:cs="Times New Roman"/>
              </w:rPr>
              <w:t> </w:t>
            </w:r>
            <w:r w:rsidRPr="00EB0095">
              <w:rPr>
                <w:rFonts w:ascii="Times New Roman" w:eastAsia="Calibri" w:hAnsi="Times New Roman" w:cs="Times New Roman"/>
              </w:rPr>
              <w:t>°C-os</w:t>
            </w:r>
            <w:r>
              <w:rPr>
                <w:rFonts w:ascii="Times New Roman" w:eastAsia="Calibri" w:hAnsi="Times New Roman" w:cs="Times New Roman"/>
              </w:rPr>
              <w:t xml:space="preserve"> </w:t>
            </w:r>
            <w:r w:rsidRPr="00EB0095">
              <w:rPr>
                <w:rFonts w:ascii="Times New Roman" w:eastAsia="Calibri" w:hAnsi="Times New Roman" w:cs="Times New Roman"/>
              </w:rPr>
              <w:t>testhőmérséklet) vagy 0,5</w:t>
            </w:r>
            <w:r>
              <w:rPr>
                <w:rFonts w:ascii="Times New Roman" w:eastAsia="Calibri" w:hAnsi="Times New Roman" w:cs="Times New Roman"/>
              </w:rPr>
              <w:t> </w:t>
            </w:r>
            <w:r w:rsidRPr="00EB0095">
              <w:rPr>
                <w:rFonts w:ascii="Times New Roman" w:eastAsia="Calibri" w:hAnsi="Times New Roman" w:cs="Times New Roman"/>
              </w:rPr>
              <w:t>×</w:t>
            </w:r>
            <w:r>
              <w:rPr>
                <w:rFonts w:ascii="Times New Roman" w:eastAsia="Calibri" w:hAnsi="Times New Roman" w:cs="Times New Roman"/>
              </w:rPr>
              <w:t> </w:t>
            </w:r>
            <w:r w:rsidRPr="00EB0095">
              <w:rPr>
                <w:rFonts w:ascii="Times New Roman" w:eastAsia="Calibri" w:hAnsi="Times New Roman" w:cs="Times New Roman"/>
              </w:rPr>
              <w:t>10</w:t>
            </w:r>
            <w:r w:rsidRPr="00F36C14">
              <w:rPr>
                <w:rFonts w:ascii="Times New Roman" w:eastAsia="Calibri" w:hAnsi="Times New Roman" w:cs="Times New Roman"/>
                <w:vertAlign w:val="superscript"/>
              </w:rPr>
              <w:t>9</w:t>
            </w:r>
            <w:r w:rsidRPr="00EB0095">
              <w:rPr>
                <w:rFonts w:ascii="Times New Roman" w:eastAsia="Calibri" w:hAnsi="Times New Roman" w:cs="Times New Roman"/>
              </w:rPr>
              <w:t>/l alá esik</w:t>
            </w:r>
          </w:p>
        </w:tc>
        <w:tc>
          <w:tcPr>
            <w:tcW w:w="5521" w:type="dxa"/>
          </w:tcPr>
          <w:p w14:paraId="5FED4117" w14:textId="729B5EF7" w:rsidR="006A43A2" w:rsidRPr="00956F16" w:rsidRDefault="00EB0095" w:rsidP="00F36C14">
            <w:pPr>
              <w:keepNext/>
              <w:rPr>
                <w:rFonts w:ascii="Times New Roman" w:eastAsia="Calibri" w:hAnsi="Times New Roman" w:cs="Times New Roman"/>
              </w:rPr>
            </w:pPr>
            <w:r w:rsidRPr="00956F16">
              <w:rPr>
                <w:rFonts w:ascii="Times New Roman" w:eastAsia="Calibri" w:hAnsi="Times New Roman" w:cs="Times New Roman"/>
              </w:rPr>
              <w:t>Szakítsa meg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r>
              <w:t xml:space="preserve"> </w:t>
            </w:r>
            <w:r w:rsidRPr="006A43A2">
              <w:rPr>
                <w:rFonts w:ascii="Times New Roman" w:eastAsia="Calibri" w:hAnsi="Times New Roman" w:cs="Times New Roman"/>
              </w:rPr>
              <w:t>és</w:t>
            </w:r>
            <w:r>
              <w:rPr>
                <w:rFonts w:ascii="Times New Roman" w:eastAsia="Calibri" w:hAnsi="Times New Roman" w:cs="Times New Roman"/>
              </w:rPr>
              <w:t xml:space="preserve"> </w:t>
            </w:r>
            <w:r w:rsidRPr="006A43A2">
              <w:rPr>
                <w:rFonts w:ascii="Times New Roman" w:eastAsia="Calibri" w:hAnsi="Times New Roman" w:cs="Times New Roman"/>
              </w:rPr>
              <w:t>legalább 7</w:t>
            </w:r>
            <w:r>
              <w:rPr>
                <w:rFonts w:ascii="Times New Roman" w:eastAsia="Calibri" w:hAnsi="Times New Roman" w:cs="Times New Roman"/>
              </w:rPr>
              <w:t> </w:t>
            </w:r>
            <w:r w:rsidRPr="006A43A2">
              <w:rPr>
                <w:rFonts w:ascii="Times New Roman" w:eastAsia="Calibri" w:hAnsi="Times New Roman" w:cs="Times New Roman"/>
              </w:rPr>
              <w:t>naponta ellenőrizze a vérképet.</w:t>
            </w:r>
          </w:p>
        </w:tc>
      </w:tr>
      <w:tr w:rsidR="006A43A2" w:rsidRPr="00956F16" w14:paraId="3FEB7102" w14:textId="77777777" w:rsidTr="00F36C14">
        <w:tc>
          <w:tcPr>
            <w:tcW w:w="3539" w:type="dxa"/>
          </w:tcPr>
          <w:p w14:paraId="04F8154C" w14:textId="427628CB" w:rsidR="006A43A2" w:rsidRPr="00956F16" w:rsidRDefault="006A43A2" w:rsidP="00F36C14">
            <w:pPr>
              <w:rPr>
                <w:rFonts w:ascii="Times New Roman" w:eastAsia="Calibri" w:hAnsi="Times New Roman" w:cs="Times New Roman"/>
              </w:rPr>
            </w:pPr>
            <w:r w:rsidRPr="00956F16">
              <w:rPr>
                <w:rFonts w:ascii="Times New Roman" w:eastAsia="Calibri" w:hAnsi="Times New Roman" w:cs="Times New Roman"/>
              </w:rPr>
              <w:t>visszatér ≥ </w:t>
            </w:r>
            <w:r w:rsidR="00EB0095">
              <w:rPr>
                <w:rFonts w:ascii="Times New Roman" w:eastAsia="Calibri" w:hAnsi="Times New Roman" w:cs="Times New Roman"/>
              </w:rPr>
              <w:t>1</w:t>
            </w:r>
            <w:r w:rsidRPr="00956F16">
              <w:rPr>
                <w:rFonts w:ascii="Times New Roman" w:eastAsia="Calibri" w:hAnsi="Times New Roman" w:cs="Times New Roman"/>
              </w:rPr>
              <w:t> × 10</w:t>
            </w:r>
            <w:r w:rsidRPr="00956F16">
              <w:rPr>
                <w:rFonts w:ascii="Times New Roman" w:eastAsia="Calibri" w:hAnsi="Times New Roman" w:cs="Times New Roman"/>
                <w:vertAlign w:val="superscript"/>
              </w:rPr>
              <w:t>9</w:t>
            </w:r>
            <w:r w:rsidRPr="00956F16">
              <w:rPr>
                <w:rFonts w:ascii="Times New Roman" w:eastAsia="Calibri" w:hAnsi="Times New Roman" w:cs="Times New Roman"/>
              </w:rPr>
              <w:t>/l értékre</w:t>
            </w:r>
          </w:p>
        </w:tc>
        <w:tc>
          <w:tcPr>
            <w:tcW w:w="5521" w:type="dxa"/>
          </w:tcPr>
          <w:p w14:paraId="3C55BAC8" w14:textId="4D971E18" w:rsidR="006A43A2" w:rsidRPr="00956F16" w:rsidRDefault="00EB0095" w:rsidP="00F36C14">
            <w:pPr>
              <w:rPr>
                <w:rFonts w:ascii="Times New Roman" w:eastAsia="Calibri" w:hAnsi="Times New Roman" w:cs="Times New Roman"/>
              </w:rPr>
            </w:pPr>
            <w:r w:rsidRPr="000F77BC">
              <w:rPr>
                <w:rFonts w:ascii="Times New Roman" w:eastAsia="Calibri" w:hAnsi="Times New Roman" w:cs="Times New Roman"/>
              </w:rPr>
              <w:t>Folytassa a</w:t>
            </w:r>
            <w:r w:rsidRPr="000F77BC">
              <w:rPr>
                <w:rFonts w:ascii="Times New Roman" w:eastAsia="Calibri" w:hAnsi="Times New Roman" w:cs="Times New Roman"/>
              </w:rPr>
              <w:lastRenderedPageBreak/>
              <w:t xml:space="preserve"> lenalidomid-kezelést a következő</w:t>
            </w:r>
            <w:r>
              <w:rPr>
                <w:rFonts w:ascii="Times New Roman" w:eastAsia="Calibri" w:hAnsi="Times New Roman" w:cs="Times New Roman"/>
              </w:rPr>
              <w:t xml:space="preserve"> </w:t>
            </w:r>
            <w:r w:rsidRPr="000F77BC">
              <w:rPr>
                <w:rFonts w:ascii="Times New Roman" w:eastAsia="Calibri" w:hAnsi="Times New Roman" w:cs="Times New Roman"/>
              </w:rPr>
              <w:t>alacsonyabb dózisszinttel</w:t>
            </w:r>
            <w:r w:rsidRPr="000F77BC">
              <w:rPr>
                <w:rFonts w:ascii="Times New Roman" w:eastAsia="Calibri" w:hAnsi="Times New Roman" w:cs="Times New Roman"/>
              </w:rPr>
              <w:lastRenderedPageBreak/>
              <w:t xml:space="preserve"> </w:t>
            </w:r>
            <w:r w:rsidRPr="000F77BC">
              <w:rPr>
                <w:rFonts w:ascii="Times New Roman" w:eastAsia="Calibri" w:hAnsi="Times New Roman" w:cs="Times New Roman"/>
              </w:rPr>
              <w:lastRenderedPageBreak/>
              <w:t>(</w:t>
            </w:r>
            <w:r w:rsidR="00145FFC">
              <w:rPr>
                <w:rFonts w:ascii="Times New Roman" w:eastAsia="Times New Roman" w:hAnsi="Times New Roman" w:cs="Times New Roman"/>
                <w:szCs w:val="20"/>
              </w:rPr>
              <w:t>–</w:t>
            </w:r>
            <w:r w:rsidRPr="000F77BC">
              <w:rPr>
                <w:rFonts w:ascii="Times New Roman" w:eastAsia="Calibri" w:hAnsi="Times New Roman" w:cs="Times New Roman"/>
              </w:rPr>
              <w:t xml:space="preserve">2., </w:t>
            </w:r>
            <w:r w:rsidR="00145FFC">
              <w:rPr>
                <w:rFonts w:ascii="Times New Roman" w:eastAsia="Times New Roman" w:hAnsi="Times New Roman" w:cs="Times New Roman"/>
                <w:szCs w:val="20"/>
              </w:rPr>
              <w:t>–</w:t>
            </w:r>
            <w:r w:rsidRPr="000F77BC">
              <w:rPr>
                <w:rFonts w:ascii="Times New Roman" w:eastAsia="Calibri" w:hAnsi="Times New Roman" w:cs="Times New Roman"/>
              </w:rPr>
              <w:t>3.</w:t>
            </w:r>
            <w:r>
              <w:rPr>
                <w:rFonts w:ascii="Times New Roman" w:eastAsia="Calibri" w:hAnsi="Times New Roman" w:cs="Times New Roman"/>
              </w:rPr>
              <w:t> </w:t>
            </w:r>
            <w:r w:rsidRPr="000F77BC">
              <w:rPr>
                <w:rFonts w:ascii="Times New Roman" w:eastAsia="Calibri" w:hAnsi="Times New Roman" w:cs="Times New Roman"/>
              </w:rPr>
              <w:t>dózisszint).</w:t>
            </w:r>
            <w:r>
              <w:rPr>
                <w:rFonts w:ascii="Times New Roman" w:eastAsia="Calibri" w:hAnsi="Times New Roman" w:cs="Times New Roman"/>
              </w:rPr>
              <w:t xml:space="preserve"> </w:t>
            </w:r>
            <w:r w:rsidRPr="000F77BC">
              <w:rPr>
                <w:rFonts w:ascii="Times New Roman" w:eastAsia="Calibri" w:hAnsi="Times New Roman" w:cs="Times New Roman"/>
              </w:rPr>
              <w:t xml:space="preserve">Ne csökkentse a </w:t>
            </w:r>
            <w:r w:rsidR="00426AD5">
              <w:rPr>
                <w:rFonts w:ascii="Times New Roman" w:eastAsia="Calibri" w:hAnsi="Times New Roman" w:cs="Times New Roman"/>
              </w:rPr>
              <w:t>dózist</w:t>
            </w:r>
            <w:r w:rsidR="00426AD5" w:rsidRPr="00956F16">
              <w:rPr>
                <w:rFonts w:ascii="Times New Roman" w:eastAsia="Calibri" w:hAnsi="Times New Roman" w:cs="Times New Roman"/>
              </w:rPr>
              <w:t xml:space="preserve"> </w:t>
            </w:r>
            <w:r w:rsidRPr="000F77BC">
              <w:rPr>
                <w:rFonts w:ascii="Times New Roman" w:eastAsia="Calibri" w:hAnsi="Times New Roman" w:cs="Times New Roman"/>
              </w:rPr>
              <w:t xml:space="preserve">a </w:t>
            </w:r>
            <w:r w:rsidR="00145FFC">
              <w:rPr>
                <w:rFonts w:ascii="Times New Roman" w:eastAsia="Times New Roman" w:hAnsi="Times New Roman" w:cs="Times New Roman"/>
                <w:szCs w:val="20"/>
              </w:rPr>
              <w:t>–</w:t>
            </w:r>
            <w:r w:rsidRPr="000F77BC">
              <w:rPr>
                <w:rFonts w:ascii="Times New Roman" w:eastAsia="Calibri" w:hAnsi="Times New Roman" w:cs="Times New Roman"/>
              </w:rPr>
              <w:t>3.</w:t>
            </w:r>
            <w:r>
              <w:rPr>
                <w:rFonts w:ascii="Times New Roman" w:eastAsia="Calibri" w:hAnsi="Times New Roman" w:cs="Times New Roman"/>
              </w:rPr>
              <w:t> </w:t>
            </w:r>
            <w:r w:rsidRPr="000F77BC">
              <w:rPr>
                <w:rFonts w:ascii="Times New Roman" w:eastAsia="Calibri" w:hAnsi="Times New Roman" w:cs="Times New Roman"/>
              </w:rPr>
              <w:t>dózisszint alá.</w:t>
            </w:r>
          </w:p>
        </w:tc>
      </w:tr>
    </w:tbl>
    <w:p w14:paraId="2CE9BCA7" w14:textId="396A5C01" w:rsidR="006A43A2" w:rsidRPr="007E5A32" w:rsidRDefault="006A43A2" w:rsidP="00EB0095">
      <w:pPr>
        <w:spacing w:after="0" w:line="240" w:lineRule="auto"/>
        <w:rPr>
          <w:rFonts w:ascii="Times New Roman" w:hAnsi="Times New Roman"/>
          <w:sz w:val="18"/>
        </w:rPr>
      </w:pPr>
      <w:r w:rsidRPr="00B6219F">
        <w:rPr>
          <w:rFonts w:ascii="Times" w:eastAsia="Calibri" w:hAnsi="Times" w:cs="Times New Roman"/>
          <w:sz w:val="18"/>
          <w:szCs w:val="18"/>
          <w:vertAlign w:val="superscript"/>
        </w:rPr>
        <w:t>a</w:t>
      </w:r>
      <w:r w:rsidRPr="00B6219F">
        <w:rPr>
          <w:rFonts w:ascii="Times New Roman" w:eastAsia="Calibri" w:hAnsi="Times New Roman" w:cs="Times New Roman"/>
          <w:sz w:val="18"/>
          <w:szCs w:val="18"/>
        </w:rPr>
        <w:t xml:space="preserve"> </w:t>
      </w:r>
      <w:r w:rsidR="00EB0095" w:rsidRPr="00EB0095">
        <w:rPr>
          <w:rFonts w:ascii="Times New Roman" w:eastAsia="Calibri" w:hAnsi="Times New Roman" w:cs="Times New Roman"/>
          <w:sz w:val="18"/>
          <w:szCs w:val="18"/>
        </w:rPr>
        <w:t>A kezelőorvos belátása szerint, amennyiben bármelyik dózisszint mellett a neutropenia az egyetlen toxicitás, akkor a terápiát ki kell</w:t>
      </w:r>
      <w:r w:rsidR="00EB0095">
        <w:rPr>
          <w:rFonts w:ascii="Times New Roman" w:eastAsia="Calibri" w:hAnsi="Times New Roman" w:cs="Times New Roman"/>
          <w:sz w:val="18"/>
          <w:szCs w:val="18"/>
        </w:rPr>
        <w:t xml:space="preserve"> </w:t>
      </w:r>
      <w:r w:rsidR="00EB0095" w:rsidRPr="00EB0095">
        <w:rPr>
          <w:rFonts w:ascii="Times New Roman" w:eastAsia="Calibri" w:hAnsi="Times New Roman" w:cs="Times New Roman"/>
          <w:sz w:val="18"/>
          <w:szCs w:val="18"/>
        </w:rPr>
        <w:t>egészíteni granulocyta-kolónia</w:t>
      </w:r>
      <w:r w:rsidR="00404E9B">
        <w:rPr>
          <w:rFonts w:ascii="Times New Roman" w:eastAsia="Calibri" w:hAnsi="Times New Roman" w:cs="Times New Roman"/>
          <w:sz w:val="18"/>
          <w:szCs w:val="18"/>
        </w:rPr>
        <w:t>-</w:t>
      </w:r>
      <w:r w:rsidR="00EB0095" w:rsidRPr="00EB0095">
        <w:rPr>
          <w:rFonts w:ascii="Times New Roman" w:eastAsia="Calibri" w:hAnsi="Times New Roman" w:cs="Times New Roman"/>
          <w:sz w:val="18"/>
          <w:szCs w:val="18"/>
        </w:rPr>
        <w:t>stimuláló faktorral (G-CSF)</w:t>
      </w:r>
      <w:r w:rsidR="00EB0095">
        <w:rPr>
          <w:rFonts w:ascii="Times New Roman" w:eastAsia="Calibri" w:hAnsi="Times New Roman" w:cs="Times New Roman"/>
          <w:sz w:val="18"/>
          <w:szCs w:val="18"/>
        </w:rPr>
        <w:t>.</w:t>
      </w:r>
    </w:p>
    <w:p w14:paraId="29D2FE2F" w14:textId="76C85750" w:rsidR="006A43A2" w:rsidRDefault="006A43A2" w:rsidP="00EB542D">
      <w:pPr>
        <w:spacing w:after="0" w:line="240" w:lineRule="auto"/>
        <w:rPr>
          <w:rFonts w:ascii="Times New Roman" w:hAnsi="Times New Roman" w:cs="Times New Roman"/>
        </w:rPr>
      </w:pPr>
    </w:p>
    <w:p w14:paraId="3AFE01C7" w14:textId="71EF83C0" w:rsidR="008D7944" w:rsidRPr="00E83289" w:rsidRDefault="00D1437B" w:rsidP="007E5A32">
      <w:pPr>
        <w:keepNext/>
        <w:spacing w:after="0" w:line="240" w:lineRule="auto"/>
        <w:rPr>
          <w:rFonts w:ascii="Times New Roman" w:hAnsi="Times New Roman" w:cs="Times New Roman"/>
          <w:i/>
          <w:iCs/>
          <w:u w:val="single"/>
        </w:rPr>
      </w:pPr>
      <w:r>
        <w:rPr>
          <w:rFonts w:ascii="Times New Roman" w:hAnsi="Times New Roman" w:cs="Times New Roman"/>
          <w:i/>
          <w:iCs/>
          <w:u w:val="single"/>
        </w:rPr>
        <w:t>F</w:t>
      </w:r>
      <w:r w:rsidR="008D7944" w:rsidRPr="00E83289">
        <w:rPr>
          <w:rFonts w:ascii="Times New Roman" w:hAnsi="Times New Roman" w:cs="Times New Roman"/>
          <w:i/>
          <w:iCs/>
          <w:u w:val="single"/>
        </w:rPr>
        <w:t>ollicularis lymphoma (FL)</w:t>
      </w:r>
    </w:p>
    <w:p w14:paraId="3D96F62D" w14:textId="77777777" w:rsidR="008D7944" w:rsidRPr="00E83289" w:rsidRDefault="008D7944" w:rsidP="007E5A32">
      <w:pPr>
        <w:keepNext/>
        <w:spacing w:after="0" w:line="240" w:lineRule="auto"/>
        <w:rPr>
          <w:rFonts w:ascii="Times New Roman" w:hAnsi="Times New Roman" w:cs="Times New Roman"/>
          <w:i/>
          <w:iCs/>
        </w:rPr>
      </w:pPr>
      <w:r w:rsidRPr="00E83289">
        <w:rPr>
          <w:rFonts w:ascii="Times New Roman" w:hAnsi="Times New Roman" w:cs="Times New Roman"/>
          <w:i/>
          <w:iCs/>
        </w:rPr>
        <w:t>Tumorlízis szindróma (TLS)</w:t>
      </w:r>
    </w:p>
    <w:p w14:paraId="4CF5B0F9" w14:textId="089319ED" w:rsidR="008D7944" w:rsidRPr="008D7944" w:rsidRDefault="008D7944" w:rsidP="008D7944">
      <w:pPr>
        <w:spacing w:after="0" w:line="240" w:lineRule="auto"/>
        <w:rPr>
          <w:rFonts w:ascii="Times New Roman" w:hAnsi="Times New Roman" w:cs="Times New Roman"/>
        </w:rPr>
      </w:pPr>
      <w:r w:rsidRPr="008D7944">
        <w:rPr>
          <w:rFonts w:ascii="Times New Roman" w:hAnsi="Times New Roman" w:cs="Times New Roman"/>
        </w:rPr>
        <w:t>Az első ciklus első hetében – vagy hosszabb ideig, ha klinikailag indokolt – minden betegnek TLS-profilaxisban kell részesülnie (allopurinol, razburikáz vagy azzal ekvivalens kezelés az intézményi</w:t>
      </w:r>
      <w:r>
        <w:rPr>
          <w:rFonts w:ascii="Times New Roman" w:hAnsi="Times New Roman" w:cs="Times New Roman"/>
        </w:rPr>
        <w:t xml:space="preserve"> </w:t>
      </w:r>
      <w:r w:rsidRPr="008D7944">
        <w:rPr>
          <w:rFonts w:ascii="Times New Roman" w:hAnsi="Times New Roman" w:cs="Times New Roman"/>
        </w:rPr>
        <w:t>irányelveknek megfelelően), és biztosítani kell a megfelelő hidratáltságot (</w:t>
      </w:r>
      <w:r w:rsidRPr="00E83289">
        <w:rPr>
          <w:rFonts w:ascii="Times New Roman" w:hAnsi="Times New Roman" w:cs="Times New Roman"/>
          <w:i/>
          <w:iCs/>
        </w:rPr>
        <w:t>per os</w:t>
      </w:r>
      <w:r w:rsidRPr="008D7944">
        <w:rPr>
          <w:rFonts w:ascii="Times New Roman" w:hAnsi="Times New Roman" w:cs="Times New Roman"/>
        </w:rPr>
        <w:t>). A TLS</w:t>
      </w:r>
      <w:r>
        <w:rPr>
          <w:rFonts w:ascii="Times New Roman" w:hAnsi="Times New Roman" w:cs="Times New Roman"/>
        </w:rPr>
        <w:t xml:space="preserve"> </w:t>
      </w:r>
      <w:r w:rsidRPr="008D7944">
        <w:rPr>
          <w:rFonts w:ascii="Times New Roman" w:hAnsi="Times New Roman" w:cs="Times New Roman"/>
        </w:rPr>
        <w:lastRenderedPageBreak/>
        <w:t>monitorozása érdekében a betegeknél az első ciklus alatt, valamint klinikailag indokolt esetben hetente</w:t>
      </w:r>
      <w:r>
        <w:rPr>
          <w:rFonts w:ascii="Times New Roman" w:hAnsi="Times New Roman" w:cs="Times New Roman"/>
        </w:rPr>
        <w:t xml:space="preserve"> </w:t>
      </w:r>
      <w:r w:rsidRPr="008D7944">
        <w:rPr>
          <w:rFonts w:ascii="Times New Roman" w:hAnsi="Times New Roman" w:cs="Times New Roman"/>
        </w:rPr>
        <w:t>vérkémiai vizsgálatot kell végezni.</w:t>
      </w:r>
    </w:p>
    <w:p w14:paraId="79B2593A" w14:textId="300E7AFB" w:rsidR="008D7944" w:rsidRPr="008D7944" w:rsidRDefault="008D7944" w:rsidP="008D7944">
      <w:pPr>
        <w:spacing w:after="0" w:line="240" w:lineRule="auto"/>
        <w:rPr>
          <w:rFonts w:ascii="Times New Roman" w:hAnsi="Times New Roman" w:cs="Times New Roman"/>
        </w:rPr>
      </w:pPr>
      <w:r w:rsidRPr="008D7944">
        <w:rPr>
          <w:rFonts w:ascii="Times New Roman" w:hAnsi="Times New Roman" w:cs="Times New Roman"/>
        </w:rPr>
        <w:t>Laboratóriumi TLS vagy 1.</w:t>
      </w:r>
      <w:r>
        <w:rPr>
          <w:rFonts w:ascii="Times New Roman" w:hAnsi="Times New Roman" w:cs="Times New Roman"/>
        </w:rPr>
        <w:t> </w:t>
      </w:r>
      <w:r w:rsidRPr="008D7944">
        <w:rPr>
          <w:rFonts w:ascii="Times New Roman" w:hAnsi="Times New Roman" w:cs="Times New Roman"/>
        </w:rPr>
        <w:t>fokú klinikai TLS esetén a lenalidomid-kezelés változatlanul folytatható</w:t>
      </w:r>
      <w:r>
        <w:rPr>
          <w:rFonts w:ascii="Times New Roman" w:hAnsi="Times New Roman" w:cs="Times New Roman"/>
        </w:rPr>
        <w:t xml:space="preserve"> </w:t>
      </w:r>
      <w:r w:rsidRPr="008D7944">
        <w:rPr>
          <w:rFonts w:ascii="Times New Roman" w:hAnsi="Times New Roman" w:cs="Times New Roman"/>
        </w:rPr>
        <w:t>(fenntartó dózis), vagy a kezelőorvos megítélése alapján egy dózisszinttel csökkentve folytatható. Az</w:t>
      </w:r>
      <w:r>
        <w:rPr>
          <w:rFonts w:ascii="Times New Roman" w:hAnsi="Times New Roman" w:cs="Times New Roman"/>
        </w:rPr>
        <w:t xml:space="preserve"> </w:t>
      </w:r>
      <w:r w:rsidRPr="008D7944">
        <w:rPr>
          <w:rFonts w:ascii="Times New Roman" w:hAnsi="Times New Roman" w:cs="Times New Roman"/>
        </w:rPr>
        <w:t>elektrolitzavarok rendeződéséig biztosítani kell az intenzív intravénás hidratálást és a helyi standard</w:t>
      </w:r>
      <w:r>
        <w:rPr>
          <w:rFonts w:ascii="Times New Roman" w:hAnsi="Times New Roman" w:cs="Times New Roman"/>
        </w:rPr>
        <w:t xml:space="preserve"> </w:t>
      </w:r>
      <w:r w:rsidRPr="008D7944">
        <w:rPr>
          <w:rFonts w:ascii="Times New Roman" w:hAnsi="Times New Roman" w:cs="Times New Roman"/>
        </w:rPr>
        <w:t>eljárásnak megfelelő orvosi ellátást. A hyperuricaemia mérséklésére razburikáz-kezelésre lehet</w:t>
      </w:r>
      <w:r>
        <w:rPr>
          <w:rFonts w:ascii="Times New Roman" w:hAnsi="Times New Roman" w:cs="Times New Roman"/>
        </w:rPr>
        <w:t xml:space="preserve"> </w:t>
      </w:r>
      <w:r w:rsidRPr="008D7944">
        <w:rPr>
          <w:rFonts w:ascii="Times New Roman" w:hAnsi="Times New Roman" w:cs="Times New Roman"/>
        </w:rPr>
        <w:t>szükség. A beteg hospitalizációja a kezelőorvos megítélésének függvénye.</w:t>
      </w:r>
    </w:p>
    <w:p w14:paraId="0F23557F" w14:textId="4D35454A" w:rsidR="008D7944" w:rsidRDefault="008D7944" w:rsidP="008D7944">
      <w:pPr>
        <w:spacing w:after="0" w:line="240" w:lineRule="auto"/>
        <w:rPr>
          <w:rFonts w:ascii="Times New Roman" w:hAnsi="Times New Roman" w:cs="Times New Roman"/>
        </w:rPr>
      </w:pPr>
      <w:r w:rsidRPr="008D7944">
        <w:rPr>
          <w:rFonts w:ascii="Times New Roman" w:hAnsi="Times New Roman" w:cs="Times New Roman"/>
        </w:rPr>
        <w:t>2–4.</w:t>
      </w:r>
      <w:r>
        <w:rPr>
          <w:rFonts w:ascii="Times New Roman" w:hAnsi="Times New Roman" w:cs="Times New Roman"/>
        </w:rPr>
        <w:t> </w:t>
      </w:r>
      <w:r w:rsidRPr="008D7944">
        <w:rPr>
          <w:rFonts w:ascii="Times New Roman" w:hAnsi="Times New Roman" w:cs="Times New Roman"/>
        </w:rPr>
        <w:t>fokú klinikai TLS esetén a lenalidomid-kezelést meg kell szakítani, és hetente vagy klinikailag</w:t>
      </w:r>
      <w:r>
        <w:rPr>
          <w:rFonts w:ascii="Times New Roman" w:hAnsi="Times New Roman" w:cs="Times New Roman"/>
        </w:rPr>
        <w:t xml:space="preserve"> </w:t>
      </w:r>
      <w:r w:rsidRPr="008D7944">
        <w:rPr>
          <w:rFonts w:ascii="Times New Roman" w:hAnsi="Times New Roman" w:cs="Times New Roman"/>
        </w:rPr>
        <w:t>indokolt gyakorisággal vérkémiai vizsgálatot kell végezni. Az elektrolitzavarok rendeződéséig</w:t>
      </w:r>
      <w:r>
        <w:rPr>
          <w:rFonts w:ascii="Times New Roman" w:hAnsi="Times New Roman" w:cs="Times New Roman"/>
        </w:rPr>
        <w:t xml:space="preserve"> </w:t>
      </w:r>
      <w:r w:rsidRPr="008D7944">
        <w:rPr>
          <w:rFonts w:ascii="Times New Roman" w:hAnsi="Times New Roman" w:cs="Times New Roman"/>
        </w:rPr>
        <w:t>biztosítani kell az intenzív intravénás hidratálást és a helyi standard eljárásnak megfelelő orvosi</w:t>
      </w:r>
      <w:r>
        <w:rPr>
          <w:rFonts w:ascii="Times New Roman" w:hAnsi="Times New Roman" w:cs="Times New Roman"/>
        </w:rPr>
        <w:t xml:space="preserve"> </w:t>
      </w:r>
      <w:r w:rsidRPr="008D7944">
        <w:rPr>
          <w:rFonts w:ascii="Times New Roman" w:hAnsi="Times New Roman" w:cs="Times New Roman"/>
        </w:rPr>
        <w:t>ellátást. A razburikáz-kezelés és a beteg hospitalizációja a kezelőorvos megítélésének függvénye. A</w:t>
      </w:r>
      <w:r>
        <w:rPr>
          <w:rFonts w:ascii="Times New Roman" w:hAnsi="Times New Roman" w:cs="Times New Roman"/>
        </w:rPr>
        <w:t xml:space="preserve"> </w:t>
      </w:r>
      <w:r w:rsidRPr="008D7944">
        <w:rPr>
          <w:rFonts w:ascii="Times New Roman" w:hAnsi="Times New Roman" w:cs="Times New Roman"/>
        </w:rPr>
        <w:t>TLS 0.</w:t>
      </w:r>
      <w:r>
        <w:rPr>
          <w:rFonts w:ascii="Times New Roman" w:hAnsi="Times New Roman" w:cs="Times New Roman"/>
        </w:rPr>
        <w:t> </w:t>
      </w:r>
      <w:r w:rsidRPr="008D7944">
        <w:rPr>
          <w:rFonts w:ascii="Times New Roman" w:hAnsi="Times New Roman" w:cs="Times New Roman"/>
        </w:rPr>
        <w:t>fokra történő rendeződésekor a lenalidomid-kezelés a kezelőorvos megítélése alapján az</w:t>
      </w:r>
      <w:r>
        <w:rPr>
          <w:rFonts w:ascii="Times New Roman" w:hAnsi="Times New Roman" w:cs="Times New Roman"/>
        </w:rPr>
        <w:t xml:space="preserve"> </w:t>
      </w:r>
      <w:r w:rsidRPr="008D7944">
        <w:rPr>
          <w:rFonts w:ascii="Times New Roman" w:hAnsi="Times New Roman" w:cs="Times New Roman"/>
        </w:rPr>
        <w:t>eggyel alacsonyabb dózisszinten folytatható (lásd 4.4</w:t>
      </w:r>
      <w:r>
        <w:rPr>
          <w:rFonts w:ascii="Times New Roman" w:hAnsi="Times New Roman" w:cs="Times New Roman"/>
        </w:rPr>
        <w:t> </w:t>
      </w:r>
      <w:r w:rsidRPr="008D7944">
        <w:rPr>
          <w:rFonts w:ascii="Times New Roman" w:hAnsi="Times New Roman" w:cs="Times New Roman"/>
        </w:rPr>
        <w:t>pont).</w:t>
      </w:r>
    </w:p>
    <w:p w14:paraId="0FB006AC" w14:textId="77777777" w:rsidR="008D7944" w:rsidRPr="008D7944" w:rsidRDefault="008D7944" w:rsidP="008D7944">
      <w:pPr>
        <w:spacing w:after="0" w:line="240" w:lineRule="auto"/>
        <w:rPr>
          <w:rFonts w:ascii="Times New Roman" w:hAnsi="Times New Roman" w:cs="Times New Roman"/>
        </w:rPr>
      </w:pPr>
    </w:p>
    <w:p w14:paraId="599395F1" w14:textId="61F5F2DC" w:rsidR="008D7944" w:rsidRPr="00E83289" w:rsidRDefault="008D7944" w:rsidP="008D7944">
      <w:pPr>
        <w:spacing w:after="0" w:line="240" w:lineRule="auto"/>
        <w:rPr>
          <w:rFonts w:ascii="Times New Roman" w:hAnsi="Times New Roman" w:cs="Times New Roman"/>
          <w:i/>
          <w:iCs/>
        </w:rPr>
      </w:pPr>
      <w:r w:rsidRPr="00E83289">
        <w:rPr>
          <w:rFonts w:ascii="Times New Roman" w:hAnsi="Times New Roman" w:cs="Times New Roman"/>
          <w:i/>
          <w:iCs/>
        </w:rPr>
        <w:t>Tumorfellángolási reakció</w:t>
      </w:r>
    </w:p>
    <w:p w14:paraId="41903F3A" w14:textId="1CD2086B" w:rsidR="008D7944" w:rsidRDefault="008D7944" w:rsidP="008D7944">
      <w:pPr>
        <w:spacing w:after="0" w:line="240" w:lineRule="auto"/>
        <w:rPr>
          <w:rFonts w:ascii="Times New Roman" w:hAnsi="Times New Roman" w:cs="Times New Roman"/>
        </w:rPr>
      </w:pPr>
      <w:r w:rsidRPr="008D7944">
        <w:rPr>
          <w:rFonts w:ascii="Times New Roman" w:hAnsi="Times New Roman" w:cs="Times New Roman"/>
        </w:rPr>
        <w:t>A kezelőorvos megítélése alapján a lenalidomid-kezelés 1. vagy 2.</w:t>
      </w:r>
      <w:r>
        <w:rPr>
          <w:rFonts w:ascii="Times New Roman" w:hAnsi="Times New Roman" w:cs="Times New Roman"/>
        </w:rPr>
        <w:t> </w:t>
      </w:r>
      <w:r w:rsidRPr="008D7944">
        <w:rPr>
          <w:rFonts w:ascii="Times New Roman" w:hAnsi="Times New Roman" w:cs="Times New Roman"/>
        </w:rPr>
        <w:t>súlyossági fokú tumorfellángolási</w:t>
      </w:r>
      <w:r>
        <w:rPr>
          <w:rFonts w:ascii="Times New Roman" w:hAnsi="Times New Roman" w:cs="Times New Roman"/>
        </w:rPr>
        <w:t xml:space="preserve"> </w:t>
      </w:r>
      <w:r w:rsidRPr="008D7944">
        <w:rPr>
          <w:rFonts w:ascii="Times New Roman" w:hAnsi="Times New Roman" w:cs="Times New Roman"/>
        </w:rPr>
        <w:t>reakciót (tumour flare reaction, TFR) mutató betegeknél megszakítás, illetve módosítás nélkül</w:t>
      </w:r>
      <w:r>
        <w:rPr>
          <w:rFonts w:ascii="Times New Roman" w:hAnsi="Times New Roman" w:cs="Times New Roman"/>
        </w:rPr>
        <w:t xml:space="preserve"> </w:t>
      </w:r>
      <w:r w:rsidRPr="008D7944">
        <w:rPr>
          <w:rFonts w:ascii="Times New Roman" w:hAnsi="Times New Roman" w:cs="Times New Roman"/>
        </w:rPr>
        <w:t>folytatható. A kezelőorvos megítélése alapján nem-szteroid gyulladásgátló gyógyszerek (NSAID),</w:t>
      </w:r>
      <w:r>
        <w:rPr>
          <w:rFonts w:ascii="Times New Roman" w:hAnsi="Times New Roman" w:cs="Times New Roman"/>
        </w:rPr>
        <w:t xml:space="preserve"> </w:t>
      </w:r>
      <w:r w:rsidRPr="008D7944">
        <w:rPr>
          <w:rFonts w:ascii="Times New Roman" w:hAnsi="Times New Roman" w:cs="Times New Roman"/>
        </w:rPr>
        <w:t>rövid hatástartamú kortikoszteroidok és/vagy kábító fájdalomcsillapítók alkalmazhatóak. A 3. vagy 4.</w:t>
      </w:r>
      <w:r>
        <w:rPr>
          <w:rFonts w:ascii="Times New Roman" w:hAnsi="Times New Roman" w:cs="Times New Roman"/>
        </w:rPr>
        <w:t> </w:t>
      </w:r>
      <w:r w:rsidRPr="008D7944">
        <w:rPr>
          <w:rFonts w:ascii="Times New Roman" w:hAnsi="Times New Roman" w:cs="Times New Roman"/>
        </w:rPr>
        <w:t>súlyossági fokú TFR-t mutató betegeknél fel kell függeszteni a lenalidomid-kezelést és NSAID-,</w:t>
      </w:r>
      <w:r>
        <w:rPr>
          <w:rFonts w:ascii="Times New Roman" w:hAnsi="Times New Roman" w:cs="Times New Roman"/>
        </w:rPr>
        <w:t xml:space="preserve"> </w:t>
      </w:r>
      <w:r w:rsidRPr="008D7944">
        <w:rPr>
          <w:rFonts w:ascii="Times New Roman" w:hAnsi="Times New Roman" w:cs="Times New Roman"/>
        </w:rPr>
        <w:t>kortikoszteroid- és/vagy kábító fájdalomcsillapító kezelést kell elkezdeni. A lenalidomid-kezelés a</w:t>
      </w:r>
      <w:r>
        <w:rPr>
          <w:rFonts w:ascii="Times New Roman" w:hAnsi="Times New Roman" w:cs="Times New Roman"/>
        </w:rPr>
        <w:t xml:space="preserve"> </w:t>
      </w:r>
      <w:r w:rsidRPr="008D7944">
        <w:rPr>
          <w:rFonts w:ascii="Times New Roman" w:hAnsi="Times New Roman" w:cs="Times New Roman"/>
        </w:rPr>
        <w:t>ciklus hátralévő részében ugyanazon a dózisszinten újrakezdhető, ha a TFR legfeljebb 1.</w:t>
      </w:r>
      <w:r>
        <w:rPr>
          <w:rFonts w:ascii="Times New Roman" w:hAnsi="Times New Roman" w:cs="Times New Roman"/>
        </w:rPr>
        <w:t> </w:t>
      </w:r>
      <w:r w:rsidRPr="008D7944">
        <w:rPr>
          <w:rFonts w:ascii="Times New Roman" w:hAnsi="Times New Roman" w:cs="Times New Roman"/>
        </w:rPr>
        <w:t>súlyossági</w:t>
      </w:r>
      <w:r>
        <w:rPr>
          <w:rFonts w:ascii="Times New Roman" w:hAnsi="Times New Roman" w:cs="Times New Roman"/>
        </w:rPr>
        <w:t xml:space="preserve"> </w:t>
      </w:r>
      <w:r w:rsidRPr="008D7944">
        <w:rPr>
          <w:rFonts w:ascii="Times New Roman" w:hAnsi="Times New Roman" w:cs="Times New Roman"/>
        </w:rPr>
        <w:t>fokúra rendeződik. A betegek a tünetek csillapítása érdekében az 1. és 2.</w:t>
      </w:r>
      <w:r>
        <w:rPr>
          <w:rFonts w:ascii="Times New Roman" w:hAnsi="Times New Roman" w:cs="Times New Roman"/>
        </w:rPr>
        <w:t> </w:t>
      </w:r>
      <w:r w:rsidRPr="008D7944">
        <w:rPr>
          <w:rFonts w:ascii="Times New Roman" w:hAnsi="Times New Roman" w:cs="Times New Roman"/>
        </w:rPr>
        <w:t>súlyossági fokú TFR</w:t>
      </w:r>
      <w:r>
        <w:rPr>
          <w:rFonts w:ascii="Times New Roman" w:hAnsi="Times New Roman" w:cs="Times New Roman"/>
        </w:rPr>
        <w:t xml:space="preserve"> </w:t>
      </w:r>
      <w:r w:rsidRPr="008D7944">
        <w:rPr>
          <w:rFonts w:ascii="Times New Roman" w:hAnsi="Times New Roman" w:cs="Times New Roman"/>
        </w:rPr>
        <w:t>kezelésére vonatkozó iránymutatás szerint kezelhetők (lásd 4.4</w:t>
      </w:r>
      <w:r>
        <w:rPr>
          <w:rFonts w:ascii="Times New Roman" w:hAnsi="Times New Roman" w:cs="Times New Roman"/>
        </w:rPr>
        <w:t> </w:t>
      </w:r>
      <w:r w:rsidRPr="008D7944">
        <w:rPr>
          <w:rFonts w:ascii="Times New Roman" w:hAnsi="Times New Roman" w:cs="Times New Roman"/>
        </w:rPr>
        <w:t>pont).</w:t>
      </w:r>
    </w:p>
    <w:p w14:paraId="4099BCC6" w14:textId="77777777" w:rsidR="008D7944" w:rsidRPr="008D7944" w:rsidRDefault="008D7944" w:rsidP="008D7944">
      <w:pPr>
        <w:spacing w:after="0" w:line="240" w:lineRule="auto"/>
        <w:rPr>
          <w:rFonts w:ascii="Times New Roman" w:hAnsi="Times New Roman" w:cs="Times New Roman"/>
        </w:rPr>
      </w:pPr>
    </w:p>
    <w:p w14:paraId="7F1B9699" w14:textId="64EBD1D7" w:rsidR="006A43A2" w:rsidRPr="00E83289" w:rsidRDefault="008D7944" w:rsidP="00EB542D">
      <w:pPr>
        <w:spacing w:after="0" w:line="240" w:lineRule="auto"/>
        <w:rPr>
          <w:rFonts w:ascii="Times New Roman" w:hAnsi="Times New Roman" w:cs="Times New Roman"/>
          <w:i/>
          <w:iCs/>
          <w:u w:val="single"/>
        </w:rPr>
      </w:pPr>
      <w:r w:rsidRPr="00E83289">
        <w:rPr>
          <w:rFonts w:ascii="Times New Roman" w:hAnsi="Times New Roman" w:cs="Times New Roman"/>
          <w:i/>
          <w:iCs/>
          <w:u w:val="single"/>
        </w:rPr>
        <w:t>Az összes javallat esetében</w:t>
      </w:r>
    </w:p>
    <w:p w14:paraId="169C565E" w14:textId="0EB7FDF4"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lenalidomiddal összefüggőnek tulajdonított további, 3-as vagy 4-es fokozatú toxicitások esetén abba kell hagyni a kezelést és – az orvos döntésétől függően – eggyel alacsonyabb dózisszinten kell újrakezdeni, amikor a toxicitás legfeljebb 2-es súlyossági fokúra rendeződött.</w:t>
      </w:r>
    </w:p>
    <w:p w14:paraId="06AA029C" w14:textId="77777777" w:rsidR="00956F16" w:rsidRPr="00956F16" w:rsidRDefault="00956F16" w:rsidP="00956F16">
      <w:pPr>
        <w:spacing w:after="0" w:line="240" w:lineRule="auto"/>
        <w:rPr>
          <w:rFonts w:ascii="Times New Roman" w:eastAsia="Calibri" w:hAnsi="Times New Roman" w:cs="Times New Roman"/>
        </w:rPr>
      </w:pPr>
    </w:p>
    <w:p w14:paraId="4332BF76" w14:textId="540417B8"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2-es vagy 3-as fokozatú bőrkiütés esetén mérlegelni kell a lenalidomid</w:t>
      </w:r>
      <w:r w:rsidR="00104634">
        <w:rPr>
          <w:rFonts w:ascii="Times New Roman" w:eastAsia="Calibri" w:hAnsi="Times New Roman" w:cs="Times New Roman"/>
        </w:rPr>
        <w:t>-</w:t>
      </w:r>
      <w:r w:rsidRPr="00956F16">
        <w:rPr>
          <w:rFonts w:ascii="Times New Roman" w:eastAsia="Calibri" w:hAnsi="Times New Roman" w:cs="Times New Roman"/>
        </w:rPr>
        <w:t>kezelés megszakítását vagy leállítását. Feltétlenül abba kell hagyni a lenalidomid</w:t>
      </w:r>
      <w:r w:rsidR="00104634">
        <w:rPr>
          <w:rFonts w:ascii="Times New Roman" w:eastAsia="Calibri" w:hAnsi="Times New Roman" w:cs="Times New Roman"/>
        </w:rPr>
        <w:t>-</w:t>
      </w:r>
      <w:r w:rsidRPr="00956F16">
        <w:rPr>
          <w:rFonts w:ascii="Times New Roman" w:eastAsia="Calibri" w:hAnsi="Times New Roman" w:cs="Times New Roman"/>
        </w:rPr>
        <w:t>kezelést angioödéma,</w:t>
      </w:r>
      <w:r w:rsidR="000801FE">
        <w:rPr>
          <w:rFonts w:ascii="Times New Roman" w:eastAsia="Calibri" w:hAnsi="Times New Roman" w:cs="Times New Roman"/>
        </w:rPr>
        <w:t xml:space="preserve"> anaphylaxiás reakció,</w:t>
      </w:r>
      <w:r w:rsidRPr="00956F16">
        <w:rPr>
          <w:rFonts w:ascii="Times New Roman" w:eastAsia="Calibri" w:hAnsi="Times New Roman" w:cs="Times New Roman"/>
        </w:rPr>
        <w:t xml:space="preserve"> 4-es fokozatú bőrkiütés, exfoliatív vagy hólyagos kiütés, illetve Stevens–Johnson-szindróma, toxicus epidermalis necrolysis (TEN) vagy eosinophiliával és szisztémás tünetekkel járó gyógyszerreakció (DRESS) gyanúja esetén, és ezen reakciók elmúlása után sem szabad azt újrakezdeni.</w:t>
      </w:r>
    </w:p>
    <w:p w14:paraId="0CE7F2D4" w14:textId="77777777" w:rsidR="00956F16" w:rsidRPr="00956F16" w:rsidRDefault="00956F16" w:rsidP="00956F16">
      <w:pPr>
        <w:spacing w:after="0" w:line="240" w:lineRule="auto"/>
        <w:rPr>
          <w:rFonts w:ascii="Times New Roman" w:eastAsia="Calibri" w:hAnsi="Times New Roman" w:cs="Times New Roman"/>
        </w:rPr>
      </w:pPr>
    </w:p>
    <w:p w14:paraId="395B6424" w14:textId="77777777" w:rsidR="00956F16" w:rsidRPr="00E83289" w:rsidRDefault="00956F16" w:rsidP="00956F16">
      <w:pPr>
        <w:keepNext/>
        <w:spacing w:after="0" w:line="240" w:lineRule="auto"/>
        <w:rPr>
          <w:rFonts w:ascii="Times New Roman" w:eastAsia="Calibri" w:hAnsi="Times New Roman" w:cs="Times New Roman"/>
          <w:i/>
          <w:iCs/>
          <w:u w:val="single"/>
        </w:rPr>
      </w:pPr>
      <w:r w:rsidRPr="00E83289">
        <w:rPr>
          <w:rFonts w:ascii="Times New Roman" w:eastAsia="Calibri" w:hAnsi="Times New Roman" w:cs="Times New Roman"/>
          <w:i/>
          <w:iCs/>
          <w:u w:val="single"/>
        </w:rPr>
        <w:t>Különleges betegcsoportok</w:t>
      </w:r>
    </w:p>
    <w:p w14:paraId="021D8A9B" w14:textId="77777777" w:rsidR="00956F16" w:rsidRPr="00956F16" w:rsidRDefault="00956F16" w:rsidP="00956F16">
      <w:pPr>
        <w:keepNext/>
        <w:numPr>
          <w:ilvl w:val="0"/>
          <w:numId w:val="16"/>
        </w:numPr>
        <w:tabs>
          <w:tab w:val="left" w:pos="567"/>
        </w:tabs>
        <w:spacing w:after="0" w:line="240" w:lineRule="auto"/>
        <w:ind w:left="567" w:hanging="567"/>
        <w:rPr>
          <w:rFonts w:ascii="Times New Roman" w:eastAsia="Calibri" w:hAnsi="Times New Roman" w:cs="Times New Roman"/>
          <w:u w:val="single"/>
        </w:rPr>
      </w:pPr>
      <w:r w:rsidRPr="00956F16">
        <w:rPr>
          <w:rFonts w:ascii="Times New Roman" w:eastAsia="Calibri" w:hAnsi="Times New Roman" w:cs="Times New Roman"/>
          <w:u w:val="single"/>
        </w:rPr>
        <w:t>Gyermekek és serdülők</w:t>
      </w:r>
    </w:p>
    <w:p w14:paraId="425B0166"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A Lenalidomide Grindeks gyermekeknél és serdülőknél – születéstől 18 éves korig – nem alkalmazható a biztonságossággal kapcsolatos aggályok miatt (lásd 5.1 pont).</w:t>
      </w:r>
    </w:p>
    <w:p w14:paraId="38517C86" w14:textId="77777777" w:rsidR="00956F16" w:rsidRPr="00956F16" w:rsidRDefault="00956F16" w:rsidP="00956F16">
      <w:pPr>
        <w:spacing w:after="0" w:line="240" w:lineRule="auto"/>
        <w:rPr>
          <w:rFonts w:ascii="Times New Roman" w:eastAsia="Calibri" w:hAnsi="Times New Roman" w:cs="Times New Roman"/>
        </w:rPr>
      </w:pPr>
    </w:p>
    <w:p w14:paraId="292302B0" w14:textId="77777777" w:rsidR="00956F16" w:rsidRPr="00956F16" w:rsidRDefault="00956F16" w:rsidP="00956F16">
      <w:pPr>
        <w:keepNext/>
        <w:numPr>
          <w:ilvl w:val="0"/>
          <w:numId w:val="16"/>
        </w:numPr>
        <w:tabs>
          <w:tab w:val="left" w:pos="567"/>
        </w:tabs>
        <w:spacing w:after="0" w:line="240" w:lineRule="auto"/>
        <w:ind w:left="567" w:hanging="567"/>
        <w:rPr>
          <w:rFonts w:ascii="Times New Roman" w:eastAsia="Calibri" w:hAnsi="Times New Roman" w:cs="Times New Roman"/>
          <w:u w:val="single"/>
        </w:rPr>
      </w:pPr>
      <w:r w:rsidRPr="00956F16">
        <w:rPr>
          <w:rFonts w:ascii="Times New Roman" w:eastAsia="Calibri" w:hAnsi="Times New Roman" w:cs="Times New Roman"/>
          <w:u w:val="single"/>
        </w:rPr>
        <w:t>Idősek</w:t>
      </w:r>
    </w:p>
    <w:p w14:paraId="3F2AE3E4" w14:textId="2EA49833" w:rsid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jelenleg rendelkezésre álló farmakokinetikai adatok ismertetése az 5.2 pontban található. A lenalidomidot a klinikai vizsgálatok során legfeljebb 91 éves kor</w:t>
      </w:r>
      <w:r w:rsidR="00C72EC7">
        <w:rPr>
          <w:rFonts w:ascii="Times New Roman" w:eastAsia="Calibri" w:hAnsi="Times New Roman" w:cs="Times New Roman"/>
        </w:rPr>
        <w:t>ig</w:t>
      </w:r>
      <w:r w:rsidRPr="00956F16">
        <w:rPr>
          <w:rFonts w:ascii="Times New Roman" w:eastAsia="Calibri" w:hAnsi="Times New Roman" w:cs="Times New Roman"/>
        </w:rPr>
        <w:t xml:space="preserve"> </w:t>
      </w:r>
      <w:r w:rsidR="00C72EC7">
        <w:rPr>
          <w:rFonts w:ascii="Times New Roman" w:eastAsia="Calibri" w:hAnsi="Times New Roman" w:cs="Times New Roman"/>
        </w:rPr>
        <w:t xml:space="preserve">alkalmazták </w:t>
      </w:r>
      <w:r w:rsidRPr="00956F16">
        <w:rPr>
          <w:rFonts w:ascii="Times New Roman" w:eastAsia="Calibri" w:hAnsi="Times New Roman" w:cs="Times New Roman"/>
        </w:rPr>
        <w:t>myeloma multiplex</w:t>
      </w:r>
      <w:r w:rsidR="004B092C">
        <w:rPr>
          <w:rFonts w:ascii="Times New Roman" w:eastAsia="Calibri" w:hAnsi="Times New Roman" w:cs="Times New Roman"/>
        </w:rPr>
        <w:t>ben szenvedő</w:t>
      </w:r>
      <w:r w:rsidRPr="00956F16">
        <w:rPr>
          <w:rFonts w:ascii="Times New Roman" w:eastAsia="Calibri" w:hAnsi="Times New Roman" w:cs="Times New Roman"/>
        </w:rPr>
        <w:t xml:space="preserve"> betegek</w:t>
      </w:r>
      <w:r w:rsidR="00563904">
        <w:rPr>
          <w:rFonts w:ascii="Times New Roman" w:eastAsia="Calibri" w:hAnsi="Times New Roman" w:cs="Times New Roman"/>
        </w:rPr>
        <w:t xml:space="preserve">, </w:t>
      </w:r>
      <w:r w:rsidR="00D1437B">
        <w:rPr>
          <w:rFonts w:ascii="Times New Roman" w:eastAsia="Calibri" w:hAnsi="Times New Roman" w:cs="Times New Roman"/>
        </w:rPr>
        <w:t xml:space="preserve">és </w:t>
      </w:r>
      <w:r w:rsidR="00563904">
        <w:rPr>
          <w:rFonts w:ascii="Times New Roman" w:eastAsia="Calibri" w:hAnsi="Times New Roman" w:cs="Times New Roman"/>
        </w:rPr>
        <w:t xml:space="preserve">legfeljebb </w:t>
      </w:r>
      <w:r w:rsidR="00563904" w:rsidRPr="00563904">
        <w:rPr>
          <w:rFonts w:ascii="Times New Roman" w:eastAsia="Calibri" w:hAnsi="Times New Roman" w:cs="Times New Roman"/>
        </w:rPr>
        <w:t>95</w:t>
      </w:r>
      <w:r w:rsidR="00563904">
        <w:rPr>
          <w:rFonts w:ascii="Times New Roman" w:eastAsia="Calibri" w:hAnsi="Times New Roman" w:cs="Times New Roman"/>
        </w:rPr>
        <w:t> </w:t>
      </w:r>
      <w:r w:rsidR="00563904" w:rsidRPr="00563904">
        <w:rPr>
          <w:rFonts w:ascii="Times New Roman" w:eastAsia="Calibri" w:hAnsi="Times New Roman" w:cs="Times New Roman"/>
        </w:rPr>
        <w:t>éves kor</w:t>
      </w:r>
      <w:r w:rsidR="00C72EC7">
        <w:rPr>
          <w:rFonts w:ascii="Times New Roman" w:eastAsia="Calibri" w:hAnsi="Times New Roman" w:cs="Times New Roman"/>
        </w:rPr>
        <w:t>ig</w:t>
      </w:r>
      <w:r w:rsidR="00563904" w:rsidRPr="00563904">
        <w:rPr>
          <w:rFonts w:ascii="Times New Roman" w:eastAsia="Calibri" w:hAnsi="Times New Roman" w:cs="Times New Roman"/>
        </w:rPr>
        <w:t xml:space="preserve"> </w:t>
      </w:r>
      <w:r w:rsidR="00C72EC7">
        <w:rPr>
          <w:rFonts w:ascii="Times New Roman" w:eastAsia="Calibri" w:hAnsi="Times New Roman" w:cs="Times New Roman"/>
        </w:rPr>
        <w:t xml:space="preserve">alkalmazták </w:t>
      </w:r>
      <w:r w:rsidR="00563904" w:rsidRPr="00563904">
        <w:rPr>
          <w:rFonts w:ascii="Times New Roman" w:eastAsia="Calibri" w:hAnsi="Times New Roman" w:cs="Times New Roman"/>
        </w:rPr>
        <w:t>myelodysplasiás szindrómákban</w:t>
      </w:r>
      <w:r w:rsidR="004B092C" w:rsidRPr="00934095">
        <w:rPr>
          <w:rFonts w:ascii="Times New Roman" w:eastAsia="Calibri" w:hAnsi="Times New Roman" w:cs="Times New Roman"/>
        </w:rPr>
        <w:t xml:space="preserve"> szenvedő betegek kezelésére </w:t>
      </w:r>
      <w:r w:rsidRPr="00956F16">
        <w:rPr>
          <w:rFonts w:ascii="Times New Roman" w:eastAsia="Calibri" w:hAnsi="Times New Roman" w:cs="Times New Roman"/>
        </w:rPr>
        <w:t>(lásd 5.1 pont).</w:t>
      </w:r>
    </w:p>
    <w:p w14:paraId="1E5AC57F" w14:textId="77777777" w:rsidR="004B092C" w:rsidRPr="00956F16" w:rsidRDefault="004B092C" w:rsidP="00956F16">
      <w:pPr>
        <w:spacing w:after="0" w:line="240" w:lineRule="auto"/>
        <w:rPr>
          <w:rFonts w:ascii="Times New Roman" w:eastAsia="Calibri" w:hAnsi="Times New Roman" w:cs="Times New Roman"/>
        </w:rPr>
      </w:pPr>
    </w:p>
    <w:p w14:paraId="16B12E4D"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Mivel a csökkent veseműködés valószínűsége idős betegeknél nagyobb, a dózist körültekintően kell kiválasztani, és javasolt a vesefunkció ellenőrzése.</w:t>
      </w:r>
    </w:p>
    <w:p w14:paraId="264A0B94" w14:textId="77777777" w:rsidR="00956F16" w:rsidRPr="00956F16" w:rsidRDefault="00956F16" w:rsidP="00956F16">
      <w:pPr>
        <w:spacing w:after="0" w:line="240" w:lineRule="auto"/>
        <w:rPr>
          <w:rFonts w:ascii="Times New Roman" w:eastAsia="Calibri" w:hAnsi="Times New Roman" w:cs="Times New Roman"/>
        </w:rPr>
      </w:pPr>
    </w:p>
    <w:p w14:paraId="01AAEACF" w14:textId="77777777" w:rsidR="00956F16" w:rsidRPr="00956F16" w:rsidRDefault="00956F16" w:rsidP="00956F16">
      <w:pPr>
        <w:keepNext/>
        <w:spacing w:after="0" w:line="240" w:lineRule="auto"/>
        <w:rPr>
          <w:rFonts w:ascii="Times New Roman" w:eastAsia="Calibri" w:hAnsi="Times New Roman" w:cs="Times New Roman"/>
          <w:i/>
        </w:rPr>
      </w:pPr>
      <w:r w:rsidRPr="00956F16">
        <w:rPr>
          <w:rFonts w:ascii="Times New Roman" w:eastAsia="Calibri" w:hAnsi="Times New Roman" w:cs="Times New Roman"/>
          <w:i/>
        </w:rPr>
        <w:t>Újonnan diagnosztizált myeloma multiplex transzplantációra nem alkalmas betegeknél</w:t>
      </w:r>
    </w:p>
    <w:p w14:paraId="14FEC9F7"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75 éves és annál idősebb, myeloma multiplex-szel újonnan diagnosztizált betegeket gondosan ki kell vizsgálni, mielőtt a kezelés mellett döntenének (lásd 4.4 pont).</w:t>
      </w:r>
    </w:p>
    <w:p w14:paraId="0D96B625" w14:textId="77777777" w:rsidR="00956F16" w:rsidRPr="00956F16" w:rsidRDefault="00956F16" w:rsidP="00956F16">
      <w:pPr>
        <w:spacing w:after="0" w:line="240" w:lineRule="auto"/>
        <w:rPr>
          <w:rFonts w:ascii="Times New Roman" w:eastAsia="Calibri" w:hAnsi="Times New Roman" w:cs="Times New Roman"/>
        </w:rPr>
      </w:pPr>
    </w:p>
    <w:p w14:paraId="69D65067"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lastRenderedPageBreak/>
        <w:t>Dexametazon és lenalidomid kombinációjával kezelt 75 évesnél idősebb betegek esetén a dexametazon kezdő dózisa naponta egyszer 20 mg a 28 napos kezelési ciklusok 1., 8., 15. és 22. napján.</w:t>
      </w:r>
    </w:p>
    <w:p w14:paraId="5DD76AA4" w14:textId="77777777" w:rsidR="00956F16" w:rsidRPr="00956F16" w:rsidRDefault="00956F16" w:rsidP="00956F16">
      <w:pPr>
        <w:spacing w:after="0" w:line="240" w:lineRule="auto"/>
        <w:rPr>
          <w:rFonts w:ascii="Times New Roman" w:eastAsia="Calibri" w:hAnsi="Times New Roman" w:cs="Times New Roman"/>
        </w:rPr>
      </w:pPr>
    </w:p>
    <w:p w14:paraId="2C22ECA5"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melfalánnal és prednizonnal kombinációban adott lenalidomiddal kezelt 75 évesnél idősebb betegek esetén dózismódosítás nem javasolt.</w:t>
      </w:r>
    </w:p>
    <w:p w14:paraId="52DD5254" w14:textId="77777777" w:rsidR="00956F16" w:rsidRPr="00956F16" w:rsidRDefault="00956F16" w:rsidP="00956F16">
      <w:pPr>
        <w:spacing w:after="0" w:line="240" w:lineRule="auto"/>
        <w:rPr>
          <w:rFonts w:ascii="Times New Roman" w:eastAsia="Calibri" w:hAnsi="Times New Roman" w:cs="Times New Roman"/>
        </w:rPr>
      </w:pPr>
    </w:p>
    <w:p w14:paraId="0FAC38E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Azoknál a 75 éves és annál idősebb, myeloma multiplex-szel újonnan diagnosztizált betegeknél, akik lenalidomidot kaptak, magasabb volt a súlyos mellékhatások és a kezelés abbahagyásához vezető mellékhatások incidenciája.</w:t>
      </w:r>
    </w:p>
    <w:p w14:paraId="5D10E930" w14:textId="77777777" w:rsidR="00956F16" w:rsidRPr="00956F16" w:rsidRDefault="00956F16" w:rsidP="00956F16">
      <w:pPr>
        <w:spacing w:after="0" w:line="240" w:lineRule="auto"/>
        <w:rPr>
          <w:rFonts w:ascii="Times New Roman" w:eastAsia="Calibri" w:hAnsi="Times New Roman" w:cs="Times New Roman"/>
        </w:rPr>
      </w:pPr>
    </w:p>
    <w:p w14:paraId="6CCEB166" w14:textId="0C4EA49A"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75 évesnél idősebb, myeloma multiplex-szel újonnan diagnosztizált betegek kevésbé tolerálták a lenalidomid kombinációs terápiát, mint a fiatalabb betegcsoportok. Ezek a betegek a 75 évesnél fiatalabb betegekhez képest nagyobb gyakorisággal hagyták abba a kezelést intolerancia (3-as vagy 4</w:t>
      </w:r>
      <w:r w:rsidR="00104634">
        <w:rPr>
          <w:rFonts w:ascii="Times New Roman" w:eastAsia="Calibri" w:hAnsi="Times New Roman" w:cs="Times New Roman"/>
        </w:rPr>
        <w:t>-</w:t>
      </w:r>
      <w:r w:rsidRPr="00956F16">
        <w:rPr>
          <w:rFonts w:ascii="Times New Roman" w:eastAsia="Calibri" w:hAnsi="Times New Roman" w:cs="Times New Roman"/>
        </w:rPr>
        <w:t>es fokozatú mellékhatások és súlyos mellékhatások) miatt.</w:t>
      </w:r>
    </w:p>
    <w:p w14:paraId="50788386" w14:textId="77777777" w:rsidR="00956F16" w:rsidRPr="00956F16" w:rsidRDefault="00956F16" w:rsidP="00956F16">
      <w:pPr>
        <w:spacing w:after="0" w:line="240" w:lineRule="auto"/>
        <w:rPr>
          <w:rFonts w:ascii="Times New Roman" w:eastAsia="Calibri" w:hAnsi="Times New Roman" w:cs="Times New Roman"/>
        </w:rPr>
      </w:pPr>
    </w:p>
    <w:p w14:paraId="3A5A940E" w14:textId="77777777" w:rsidR="00956F16" w:rsidRPr="00956F16" w:rsidRDefault="00956F16" w:rsidP="00956F16">
      <w:pPr>
        <w:keepNext/>
        <w:spacing w:after="0" w:line="240" w:lineRule="auto"/>
        <w:rPr>
          <w:rFonts w:ascii="Times New Roman" w:eastAsia="Calibri" w:hAnsi="Times New Roman" w:cs="Times New Roman"/>
          <w:i/>
        </w:rPr>
      </w:pPr>
      <w:r w:rsidRPr="00956F16">
        <w:rPr>
          <w:rFonts w:ascii="Times New Roman" w:eastAsia="Calibri" w:hAnsi="Times New Roman" w:cs="Times New Roman"/>
          <w:i/>
        </w:rPr>
        <w:t>Myeloma multiplex: már legalább egy korábbi terápián átesett betegek</w:t>
      </w:r>
    </w:p>
    <w:p w14:paraId="3FEEB7E6"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lenalidomid/dexametazon- és placebo/dexametazon-csoportok között nem volt jelentős különbség a 65 éves és annál idősebb myeloma multiplexben szenvedő betegek arányát illetően. Az idősebb és a fiatalabb betegek között összességében nem mutatkozott különbség a kezelés biztonságosságát és hatásosságát illetően, bár az idős betegek nagyobb mértékű prediszpozíciója nem zárható ki.</w:t>
      </w:r>
    </w:p>
    <w:p w14:paraId="4411D217" w14:textId="66496628" w:rsidR="00956F16" w:rsidRDefault="00956F16" w:rsidP="00956F16">
      <w:pPr>
        <w:spacing w:after="0" w:line="240" w:lineRule="auto"/>
        <w:rPr>
          <w:rFonts w:ascii="Times New Roman" w:eastAsia="Calibri" w:hAnsi="Times New Roman" w:cs="Times New Roman"/>
        </w:rPr>
      </w:pPr>
    </w:p>
    <w:p w14:paraId="57B42DDD" w14:textId="77777777" w:rsidR="00563904" w:rsidRPr="00934095" w:rsidRDefault="00563904" w:rsidP="00563904">
      <w:pPr>
        <w:spacing w:after="0" w:line="240" w:lineRule="auto"/>
        <w:rPr>
          <w:rFonts w:ascii="Times New Roman" w:eastAsia="Calibri" w:hAnsi="Times New Roman" w:cs="Times New Roman"/>
          <w:i/>
          <w:iCs/>
        </w:rPr>
      </w:pPr>
      <w:r w:rsidRPr="00934095">
        <w:rPr>
          <w:rFonts w:ascii="Times New Roman" w:eastAsia="Calibri" w:hAnsi="Times New Roman" w:cs="Times New Roman"/>
          <w:i/>
          <w:iCs/>
        </w:rPr>
        <w:t>Myelodysplasiás szindrómák</w:t>
      </w:r>
    </w:p>
    <w:p w14:paraId="28E1059E" w14:textId="1CC95431" w:rsidR="00563904" w:rsidRDefault="00563904" w:rsidP="00563904">
      <w:pPr>
        <w:spacing w:after="0" w:line="240" w:lineRule="auto"/>
        <w:rPr>
          <w:rFonts w:ascii="Times New Roman" w:eastAsia="Calibri" w:hAnsi="Times New Roman" w:cs="Times New Roman"/>
        </w:rPr>
      </w:pPr>
      <w:r w:rsidRPr="00563904">
        <w:rPr>
          <w:rFonts w:ascii="Times New Roman" w:eastAsia="Calibri" w:hAnsi="Times New Roman" w:cs="Times New Roman"/>
        </w:rPr>
        <w:t>A lenalidomiddal kezelt, myelodysplasiás szindrómákban szenvedő betegeknél összességében nem</w:t>
      </w:r>
      <w:r>
        <w:rPr>
          <w:rFonts w:ascii="Times New Roman" w:eastAsia="Calibri" w:hAnsi="Times New Roman" w:cs="Times New Roman"/>
        </w:rPr>
        <w:t xml:space="preserve"> </w:t>
      </w:r>
      <w:r w:rsidRPr="00563904">
        <w:rPr>
          <w:rFonts w:ascii="Times New Roman" w:eastAsia="Calibri" w:hAnsi="Times New Roman" w:cs="Times New Roman"/>
        </w:rPr>
        <w:t>figyeltek meg különbséget a biztonságosság és a hatásosság tekintetében a 65</w:t>
      </w:r>
      <w:r>
        <w:rPr>
          <w:rFonts w:ascii="Times New Roman" w:eastAsia="Calibri" w:hAnsi="Times New Roman" w:cs="Times New Roman"/>
        </w:rPr>
        <w:t> </w:t>
      </w:r>
      <w:r w:rsidRPr="00563904">
        <w:rPr>
          <w:rFonts w:ascii="Times New Roman" w:eastAsia="Calibri" w:hAnsi="Times New Roman" w:cs="Times New Roman"/>
        </w:rPr>
        <w:t>év</w:t>
      </w:r>
      <w:r>
        <w:rPr>
          <w:rFonts w:ascii="Times New Roman" w:eastAsia="Calibri" w:hAnsi="Times New Roman" w:cs="Times New Roman"/>
        </w:rPr>
        <w:t>esnél idősebb és</w:t>
      </w:r>
      <w:r w:rsidRPr="00563904">
        <w:rPr>
          <w:rFonts w:ascii="Times New Roman" w:eastAsia="Calibri" w:hAnsi="Times New Roman" w:cs="Times New Roman"/>
        </w:rPr>
        <w:t xml:space="preserve"> a</w:t>
      </w:r>
      <w:r>
        <w:rPr>
          <w:rFonts w:ascii="Times New Roman" w:eastAsia="Calibri" w:hAnsi="Times New Roman" w:cs="Times New Roman"/>
        </w:rPr>
        <w:t xml:space="preserve">nnál </w:t>
      </w:r>
      <w:r w:rsidRPr="00563904">
        <w:rPr>
          <w:rFonts w:ascii="Times New Roman" w:eastAsia="Calibri" w:hAnsi="Times New Roman" w:cs="Times New Roman"/>
        </w:rPr>
        <w:t>fiatalabb betegek közöt</w:t>
      </w:r>
      <w:r>
        <w:rPr>
          <w:rFonts w:ascii="Times New Roman" w:eastAsia="Calibri" w:hAnsi="Times New Roman" w:cs="Times New Roman"/>
        </w:rPr>
        <w:t>t.</w:t>
      </w:r>
    </w:p>
    <w:p w14:paraId="157BCDA9" w14:textId="77777777" w:rsidR="00563904" w:rsidRDefault="00563904" w:rsidP="00563904">
      <w:pPr>
        <w:spacing w:after="0" w:line="240" w:lineRule="auto"/>
        <w:rPr>
          <w:rFonts w:ascii="Times New Roman" w:eastAsia="Calibri" w:hAnsi="Times New Roman" w:cs="Times New Roman"/>
        </w:rPr>
      </w:pPr>
    </w:p>
    <w:p w14:paraId="7B04BCD6" w14:textId="77777777" w:rsidR="000801FE" w:rsidRPr="00E83289" w:rsidRDefault="000801FE" w:rsidP="000801FE">
      <w:pPr>
        <w:spacing w:after="0" w:line="240" w:lineRule="auto"/>
        <w:rPr>
          <w:rFonts w:ascii="Times New Roman" w:eastAsia="Calibri" w:hAnsi="Times New Roman" w:cs="Times New Roman"/>
          <w:i/>
          <w:iCs/>
        </w:rPr>
      </w:pPr>
      <w:r w:rsidRPr="00E83289">
        <w:rPr>
          <w:rFonts w:ascii="Times New Roman" w:eastAsia="Calibri" w:hAnsi="Times New Roman" w:cs="Times New Roman"/>
          <w:i/>
          <w:iCs/>
        </w:rPr>
        <w:t>Follicularis lymphoma</w:t>
      </w:r>
    </w:p>
    <w:p w14:paraId="1654A135" w14:textId="16EB4CD5" w:rsidR="000801FE" w:rsidRDefault="000801FE" w:rsidP="000801FE">
      <w:pPr>
        <w:spacing w:after="0" w:line="240" w:lineRule="auto"/>
        <w:rPr>
          <w:rFonts w:ascii="Times New Roman" w:eastAsia="Calibri" w:hAnsi="Times New Roman" w:cs="Times New Roman"/>
        </w:rPr>
      </w:pPr>
      <w:r w:rsidRPr="000801FE">
        <w:rPr>
          <w:rFonts w:ascii="Times New Roman" w:eastAsia="Calibri" w:hAnsi="Times New Roman" w:cs="Times New Roman"/>
        </w:rPr>
        <w:t>Lenalidomid és rituximab kombinációjával kezelt, follicularis lymphomában szenvedő betegek</w:t>
      </w:r>
      <w:r>
        <w:rPr>
          <w:rFonts w:ascii="Times New Roman" w:eastAsia="Calibri" w:hAnsi="Times New Roman" w:cs="Times New Roman"/>
        </w:rPr>
        <w:t xml:space="preserve"> </w:t>
      </w:r>
      <w:r w:rsidRPr="000801FE">
        <w:rPr>
          <w:rFonts w:ascii="Times New Roman" w:eastAsia="Calibri" w:hAnsi="Times New Roman" w:cs="Times New Roman"/>
        </w:rPr>
        <w:t>esetében a 65</w:t>
      </w:r>
      <w:r>
        <w:rPr>
          <w:rFonts w:ascii="Times New Roman" w:eastAsia="Calibri" w:hAnsi="Times New Roman" w:cs="Times New Roman"/>
        </w:rPr>
        <w:t> </w:t>
      </w:r>
      <w:r w:rsidRPr="000801FE">
        <w:rPr>
          <w:rFonts w:ascii="Times New Roman" w:eastAsia="Calibri" w:hAnsi="Times New Roman" w:cs="Times New Roman"/>
        </w:rPr>
        <w:t>éves és annál idősebb betegeknél észlelt mellékhatások összesített gyakorisága hasonló a</w:t>
      </w:r>
      <w:r>
        <w:rPr>
          <w:rFonts w:ascii="Times New Roman" w:eastAsia="Calibri" w:hAnsi="Times New Roman" w:cs="Times New Roman"/>
        </w:rPr>
        <w:t xml:space="preserve"> </w:t>
      </w:r>
      <w:r w:rsidRPr="000801FE">
        <w:rPr>
          <w:rFonts w:ascii="Times New Roman" w:eastAsia="Calibri" w:hAnsi="Times New Roman" w:cs="Times New Roman"/>
        </w:rPr>
        <w:t>65</w:t>
      </w:r>
      <w:r>
        <w:rPr>
          <w:rFonts w:ascii="Times New Roman" w:eastAsia="Calibri" w:hAnsi="Times New Roman" w:cs="Times New Roman"/>
        </w:rPr>
        <w:t> </w:t>
      </w:r>
      <w:r w:rsidRPr="000801FE">
        <w:rPr>
          <w:rFonts w:ascii="Times New Roman" w:eastAsia="Calibri" w:hAnsi="Times New Roman" w:cs="Times New Roman"/>
        </w:rPr>
        <w:t>év</w:t>
      </w:r>
      <w:r>
        <w:rPr>
          <w:rFonts w:ascii="Times New Roman" w:eastAsia="Calibri" w:hAnsi="Times New Roman" w:cs="Times New Roman"/>
        </w:rPr>
        <w:t>esnél fiatalabbaknál</w:t>
      </w:r>
      <w:r w:rsidRPr="000801FE">
        <w:rPr>
          <w:rFonts w:ascii="Times New Roman" w:eastAsia="Calibri" w:hAnsi="Times New Roman" w:cs="Times New Roman"/>
        </w:rPr>
        <w:t xml:space="preserve"> tapasztalthoz. A két korcsoport között nem figyeltek meg különbséget a</w:t>
      </w:r>
      <w:r>
        <w:rPr>
          <w:rFonts w:ascii="Times New Roman" w:eastAsia="Calibri" w:hAnsi="Times New Roman" w:cs="Times New Roman"/>
        </w:rPr>
        <w:t xml:space="preserve"> </w:t>
      </w:r>
      <w:r w:rsidRPr="000801FE">
        <w:rPr>
          <w:rFonts w:ascii="Times New Roman" w:eastAsia="Calibri" w:hAnsi="Times New Roman" w:cs="Times New Roman"/>
        </w:rPr>
        <w:t>hatásosságban.</w:t>
      </w:r>
    </w:p>
    <w:p w14:paraId="5BEF5826" w14:textId="77777777" w:rsidR="000801FE" w:rsidRPr="00956F16" w:rsidRDefault="000801FE" w:rsidP="000801FE">
      <w:pPr>
        <w:spacing w:after="0" w:line="240" w:lineRule="auto"/>
        <w:rPr>
          <w:rFonts w:ascii="Times New Roman" w:eastAsia="Calibri" w:hAnsi="Times New Roman" w:cs="Times New Roman"/>
        </w:rPr>
      </w:pPr>
    </w:p>
    <w:p w14:paraId="7AB58688" w14:textId="77777777" w:rsidR="00956F16" w:rsidRPr="00956F16" w:rsidRDefault="00956F16" w:rsidP="00956F16">
      <w:pPr>
        <w:keepNext/>
        <w:numPr>
          <w:ilvl w:val="0"/>
          <w:numId w:val="16"/>
        </w:numPr>
        <w:tabs>
          <w:tab w:val="left" w:pos="567"/>
        </w:tabs>
        <w:spacing w:after="0" w:line="240" w:lineRule="auto"/>
        <w:ind w:left="567" w:hanging="567"/>
        <w:rPr>
          <w:rFonts w:ascii="Times New Roman" w:eastAsia="Calibri" w:hAnsi="Times New Roman" w:cs="Times New Roman"/>
          <w:u w:val="single"/>
        </w:rPr>
      </w:pPr>
      <w:r w:rsidRPr="00956F16">
        <w:rPr>
          <w:rFonts w:ascii="Times New Roman" w:eastAsia="Calibri" w:hAnsi="Times New Roman" w:cs="Times New Roman"/>
          <w:u w:val="single"/>
        </w:rPr>
        <w:t>Vesekárosodás</w:t>
      </w:r>
    </w:p>
    <w:p w14:paraId="20F708DE" w14:textId="400D690F"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elsősorban a vesén keresztül választódik ki; súlyosabb fokú vesekárosodásban szenvedő betegeknél csökkent lehet a kezeléssel szembeni tolerancia (lásd 4.4 pont). Körültekintően kell eljárni a </w:t>
      </w:r>
      <w:r w:rsidR="00426AD5">
        <w:rPr>
          <w:rFonts w:ascii="Times New Roman" w:eastAsia="Calibri" w:hAnsi="Times New Roman" w:cs="Times New Roman"/>
        </w:rPr>
        <w:t>dózis</w:t>
      </w:r>
      <w:r w:rsidR="00426AD5" w:rsidRPr="00956F16">
        <w:rPr>
          <w:rFonts w:ascii="Times New Roman" w:eastAsia="Calibri" w:hAnsi="Times New Roman" w:cs="Times New Roman"/>
        </w:rPr>
        <w:t xml:space="preserve"> </w:t>
      </w:r>
      <w:r w:rsidRPr="00956F16">
        <w:rPr>
          <w:rFonts w:ascii="Times New Roman" w:eastAsia="Calibri" w:hAnsi="Times New Roman" w:cs="Times New Roman"/>
        </w:rPr>
        <w:t>kiválasztásánál, és javasolt a vesefunkció ellenőrzése.</w:t>
      </w:r>
    </w:p>
    <w:p w14:paraId="401BF10F" w14:textId="77777777" w:rsidR="00956F16" w:rsidRPr="00956F16" w:rsidRDefault="00956F16" w:rsidP="00956F16">
      <w:pPr>
        <w:spacing w:after="0" w:line="240" w:lineRule="auto"/>
        <w:rPr>
          <w:rFonts w:ascii="Times New Roman" w:eastAsia="Calibri" w:hAnsi="Times New Roman" w:cs="Times New Roman"/>
        </w:rPr>
      </w:pPr>
    </w:p>
    <w:p w14:paraId="0AFBA013" w14:textId="3211C2F6"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Enyhe </w:t>
      </w:r>
      <w:r w:rsidR="004D1937">
        <w:rPr>
          <w:rFonts w:ascii="Times New Roman" w:eastAsia="Calibri" w:hAnsi="Times New Roman" w:cs="Times New Roman"/>
        </w:rPr>
        <w:t xml:space="preserve">fokú </w:t>
      </w:r>
      <w:r w:rsidRPr="00956F16">
        <w:rPr>
          <w:rFonts w:ascii="Times New Roman" w:eastAsia="Calibri" w:hAnsi="Times New Roman" w:cs="Times New Roman"/>
        </w:rPr>
        <w:t>vesekárosodás</w:t>
      </w:r>
      <w:r w:rsidR="001648F7">
        <w:rPr>
          <w:rFonts w:ascii="Times New Roman" w:eastAsia="Calibri" w:hAnsi="Times New Roman" w:cs="Times New Roman"/>
        </w:rPr>
        <w:t xml:space="preserve"> esetén</w:t>
      </w:r>
      <w:r w:rsidR="000801FE">
        <w:rPr>
          <w:rFonts w:ascii="Times New Roman" w:eastAsia="Calibri" w:hAnsi="Times New Roman" w:cs="Times New Roman"/>
        </w:rPr>
        <w:t xml:space="preserve"> </w:t>
      </w:r>
      <w:r w:rsidRPr="00956F16">
        <w:rPr>
          <w:rFonts w:ascii="Times New Roman" w:eastAsia="Calibri" w:hAnsi="Times New Roman" w:cs="Times New Roman"/>
        </w:rPr>
        <w:t>myeloma multiplexben</w:t>
      </w:r>
      <w:r w:rsidR="00563904">
        <w:rPr>
          <w:rFonts w:ascii="Times New Roman" w:eastAsia="Calibri" w:hAnsi="Times New Roman" w:cs="Times New Roman"/>
        </w:rPr>
        <w:t xml:space="preserve">, </w:t>
      </w:r>
      <w:r w:rsidR="00563904" w:rsidRPr="00563904">
        <w:rPr>
          <w:rFonts w:ascii="Times New Roman" w:eastAsia="Calibri" w:hAnsi="Times New Roman" w:cs="Times New Roman"/>
        </w:rPr>
        <w:t>myelodysplasiás szindrómákban</w:t>
      </w:r>
      <w:r w:rsidRPr="00956F16">
        <w:rPr>
          <w:rFonts w:ascii="Times New Roman" w:eastAsia="Calibri" w:hAnsi="Times New Roman" w:cs="Times New Roman"/>
        </w:rPr>
        <w:t xml:space="preserve"> </w:t>
      </w:r>
      <w:r w:rsidR="000801FE">
        <w:rPr>
          <w:rFonts w:ascii="Times New Roman" w:eastAsia="Calibri" w:hAnsi="Times New Roman" w:cs="Times New Roman"/>
        </w:rPr>
        <w:t xml:space="preserve">és </w:t>
      </w:r>
      <w:r w:rsidR="000801FE" w:rsidRPr="000801FE">
        <w:rPr>
          <w:rFonts w:ascii="Times New Roman" w:eastAsia="Calibri" w:hAnsi="Times New Roman" w:cs="Times New Roman"/>
        </w:rPr>
        <w:t xml:space="preserve">follicularis lymphomában </w:t>
      </w:r>
      <w:r w:rsidRPr="00956F16">
        <w:rPr>
          <w:rFonts w:ascii="Times New Roman" w:eastAsia="Calibri" w:hAnsi="Times New Roman" w:cs="Times New Roman"/>
        </w:rPr>
        <w:t xml:space="preserve">szenvedő betegnél nincs szükség a </w:t>
      </w:r>
      <w:r w:rsidR="00426AD5">
        <w:rPr>
          <w:rFonts w:ascii="Times New Roman" w:eastAsia="Calibri" w:hAnsi="Times New Roman" w:cs="Times New Roman"/>
        </w:rPr>
        <w:t>dózis</w:t>
      </w:r>
      <w:r w:rsidR="00426AD5" w:rsidRPr="00956F16">
        <w:rPr>
          <w:rFonts w:ascii="Times New Roman" w:eastAsia="Calibri" w:hAnsi="Times New Roman" w:cs="Times New Roman"/>
        </w:rPr>
        <w:t xml:space="preserve"> </w:t>
      </w:r>
      <w:r w:rsidRPr="00956F16">
        <w:rPr>
          <w:rFonts w:ascii="Times New Roman" w:eastAsia="Calibri" w:hAnsi="Times New Roman" w:cs="Times New Roman"/>
        </w:rPr>
        <w:t>módosítására.</w:t>
      </w:r>
    </w:p>
    <w:p w14:paraId="7238A149" w14:textId="00F878F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Közepes vagy súlyos </w:t>
      </w:r>
      <w:r w:rsidR="004D1937">
        <w:rPr>
          <w:rFonts w:ascii="Times New Roman" w:eastAsia="Calibri" w:hAnsi="Times New Roman" w:cs="Times New Roman"/>
        </w:rPr>
        <w:t xml:space="preserve">fokú </w:t>
      </w:r>
      <w:r w:rsidRPr="00956F16">
        <w:rPr>
          <w:rFonts w:ascii="Times New Roman" w:eastAsia="Calibri" w:hAnsi="Times New Roman" w:cs="Times New Roman"/>
        </w:rPr>
        <w:t>vesekárosodásban</w:t>
      </w:r>
      <w:r w:rsidR="00563904">
        <w:rPr>
          <w:rFonts w:ascii="Times New Roman" w:eastAsia="Calibri" w:hAnsi="Times New Roman" w:cs="Times New Roman"/>
        </w:rPr>
        <w:t>,</w:t>
      </w:r>
      <w:r w:rsidRPr="00956F16">
        <w:rPr>
          <w:rFonts w:ascii="Times New Roman" w:eastAsia="Calibri" w:hAnsi="Times New Roman" w:cs="Times New Roman"/>
        </w:rPr>
        <w:t xml:space="preserve"> vagy végstádiumú vesebetegségben szenvedő betegek esetén az alábbi dózismódosítás javasolt a kezelés kezdetén és a kezelés során mindvégig. Végstádiumú vesebetegséggel kapcsolatosan (ESRD/End Stage Renal Disease) (30 ml/perc alatti kreatinin-clearance (</w:t>
      </w:r>
      <w:r w:rsidR="009B7272">
        <w:rPr>
          <w:rFonts w:ascii="Times New Roman" w:eastAsia="Calibri" w:hAnsi="Times New Roman" w:cs="Times New Roman"/>
        </w:rPr>
        <w:t>CrCl</w:t>
      </w:r>
      <w:r w:rsidRPr="00956F16">
        <w:rPr>
          <w:rFonts w:ascii="Times New Roman" w:eastAsia="Calibri" w:hAnsi="Times New Roman" w:cs="Times New Roman"/>
        </w:rPr>
        <w:t xml:space="preserve">), dialízist igénylő állapot) nincs </w:t>
      </w:r>
      <w:r w:rsidR="002C399E">
        <w:rPr>
          <w:rFonts w:ascii="Times New Roman" w:eastAsia="Calibri" w:hAnsi="Times New Roman" w:cs="Times New Roman"/>
        </w:rPr>
        <w:t>3</w:t>
      </w:r>
      <w:r w:rsidRPr="00956F16">
        <w:rPr>
          <w:rFonts w:ascii="Times New Roman" w:eastAsia="Calibri" w:hAnsi="Times New Roman" w:cs="Times New Roman"/>
        </w:rPr>
        <w:t>. fázisú vizsgálatokból származó tapasztalat.</w:t>
      </w:r>
    </w:p>
    <w:p w14:paraId="01906A0E" w14:textId="77777777" w:rsidR="00956F16" w:rsidRPr="00956F16" w:rsidRDefault="00956F16" w:rsidP="00956F16">
      <w:pPr>
        <w:spacing w:after="0" w:line="240" w:lineRule="auto"/>
        <w:rPr>
          <w:rFonts w:ascii="Times New Roman" w:eastAsia="Calibri" w:hAnsi="Times New Roman" w:cs="Times New Roman"/>
        </w:rPr>
      </w:pPr>
    </w:p>
    <w:p w14:paraId="1C414A5E" w14:textId="77777777" w:rsidR="00956F16" w:rsidRPr="00B94410" w:rsidRDefault="00956F16" w:rsidP="00956F16">
      <w:pPr>
        <w:keepNext/>
        <w:spacing w:after="0" w:line="240" w:lineRule="auto"/>
        <w:rPr>
          <w:rFonts w:ascii="Times New Roman" w:eastAsia="Calibri" w:hAnsi="Times New Roman" w:cs="Times New Roman"/>
          <w:i/>
        </w:rPr>
      </w:pPr>
      <w:bookmarkStart w:id="0" w:name="_Hlk101863152"/>
      <w:r w:rsidRPr="00B94410">
        <w:rPr>
          <w:rFonts w:ascii="Times New Roman" w:eastAsia="Calibri" w:hAnsi="Times New Roman" w:cs="Times New Roman"/>
          <w:i/>
        </w:rPr>
        <w:lastRenderedPageBreak/>
        <w:t>Myeloma multiplex</w:t>
      </w:r>
    </w:p>
    <w:tbl>
      <w:tblPr>
        <w:tblStyle w:val="Rcsostblzat"/>
        <w:tblW w:w="0" w:type="auto"/>
        <w:tblLook w:val="04A0" w:firstRow="1" w:lastRow="0" w:firstColumn="1" w:lastColumn="0" w:noHBand="0" w:noVBand="1"/>
      </w:tblPr>
      <w:tblGrid>
        <w:gridCol w:w="4530"/>
        <w:gridCol w:w="4530"/>
      </w:tblGrid>
      <w:tr w:rsidR="00956F16" w:rsidRPr="00B94410" w14:paraId="3E4AC3D0" w14:textId="77777777" w:rsidTr="00694E9C">
        <w:tc>
          <w:tcPr>
            <w:tcW w:w="4530" w:type="dxa"/>
          </w:tcPr>
          <w:p w14:paraId="0FCEC33B" w14:textId="3A95CCB9" w:rsidR="00956F16" w:rsidRPr="00B94410" w:rsidRDefault="00956F16" w:rsidP="00956F16">
            <w:pPr>
              <w:keepNext/>
              <w:rPr>
                <w:rFonts w:ascii="Times New Roman" w:eastAsia="Calibri" w:hAnsi="Times New Roman" w:cs="Times New Roman"/>
                <w:b/>
              </w:rPr>
            </w:pPr>
            <w:r w:rsidRPr="00B94410">
              <w:rPr>
                <w:rFonts w:ascii="Times New Roman" w:eastAsia="Calibri" w:hAnsi="Times New Roman" w:cs="Times New Roman"/>
                <w:b/>
              </w:rPr>
              <w:t xml:space="preserve">Veseműködés (kreatinin-clearance, </w:t>
            </w:r>
            <w:r w:rsidR="009B7272" w:rsidRPr="00B94410">
              <w:rPr>
                <w:rFonts w:ascii="Times New Roman" w:eastAsia="Calibri" w:hAnsi="Times New Roman" w:cs="Times New Roman"/>
                <w:b/>
              </w:rPr>
              <w:t>CrCl</w:t>
            </w:r>
            <w:r w:rsidRPr="00B94410">
              <w:rPr>
                <w:rFonts w:ascii="Times New Roman" w:eastAsia="Calibri" w:hAnsi="Times New Roman" w:cs="Times New Roman"/>
                <w:b/>
              </w:rPr>
              <w:t>)</w:t>
            </w:r>
          </w:p>
        </w:tc>
        <w:tc>
          <w:tcPr>
            <w:tcW w:w="4530" w:type="dxa"/>
          </w:tcPr>
          <w:p w14:paraId="328BF535" w14:textId="574551E7" w:rsidR="00956F16" w:rsidRPr="00B94410" w:rsidRDefault="00956F16" w:rsidP="00956F16">
            <w:pPr>
              <w:keepNext/>
              <w:rPr>
                <w:rFonts w:ascii="Times New Roman" w:eastAsia="Calibri" w:hAnsi="Times New Roman" w:cs="Times New Roman"/>
              </w:rPr>
            </w:pPr>
            <w:r w:rsidRPr="00B94410">
              <w:rPr>
                <w:rFonts w:ascii="Times New Roman" w:eastAsia="Calibri" w:hAnsi="Times New Roman" w:cs="Times New Roman"/>
                <w:b/>
              </w:rPr>
              <w:t>Dózismódosítás</w:t>
            </w:r>
          </w:p>
        </w:tc>
      </w:tr>
      <w:tr w:rsidR="00956F16" w:rsidRPr="00B94410" w14:paraId="4EF26B12" w14:textId="77777777" w:rsidTr="00694E9C">
        <w:tc>
          <w:tcPr>
            <w:tcW w:w="4530" w:type="dxa"/>
          </w:tcPr>
          <w:p w14:paraId="5546E4AE" w14:textId="1963F146" w:rsidR="00956F16" w:rsidRPr="00B94410" w:rsidRDefault="00956F16" w:rsidP="00956F16">
            <w:pPr>
              <w:keepNext/>
              <w:rPr>
                <w:rFonts w:ascii="Times New Roman" w:eastAsia="Calibri" w:hAnsi="Times New Roman" w:cs="Times New Roman"/>
              </w:rPr>
            </w:pPr>
            <w:r w:rsidRPr="005A48A1">
              <w:rPr>
                <w:rFonts w:ascii="Times New Roman" w:eastAsia="Calibri" w:hAnsi="Times New Roman" w:cs="Times New Roman"/>
              </w:rPr>
              <w:t>Közepes</w:t>
            </w:r>
            <w:r w:rsidR="004D1937" w:rsidRPr="005A48A1">
              <w:rPr>
                <w:rFonts w:ascii="Times New Roman" w:eastAsia="Calibri" w:hAnsi="Times New Roman" w:cs="Times New Roman"/>
              </w:rPr>
              <w:t xml:space="preserve"> fokú</w:t>
            </w:r>
            <w:r w:rsidRPr="00B94410">
              <w:rPr>
                <w:rFonts w:ascii="Times New Roman" w:eastAsia="Calibri" w:hAnsi="Times New Roman" w:cs="Times New Roman"/>
              </w:rPr>
              <w:t xml:space="preserve"> vesekárosodás</w:t>
            </w:r>
          </w:p>
          <w:p w14:paraId="1BBFCEC4" w14:textId="78D5FFA8" w:rsidR="00956F16" w:rsidRPr="00B94410" w:rsidRDefault="00956F16" w:rsidP="00956F16">
            <w:pPr>
              <w:keepNext/>
              <w:rPr>
                <w:rFonts w:ascii="Times New Roman" w:eastAsia="Calibri" w:hAnsi="Times New Roman" w:cs="Times New Roman"/>
              </w:rPr>
            </w:pPr>
            <w:r w:rsidRPr="00B94410">
              <w:rPr>
                <w:rFonts w:ascii="Times New Roman" w:eastAsia="Calibri" w:hAnsi="Times New Roman" w:cs="Times New Roman"/>
              </w:rPr>
              <w:t>(30 ≤ </w:t>
            </w:r>
            <w:r w:rsidR="009B7272" w:rsidRPr="00B94410">
              <w:rPr>
                <w:rFonts w:ascii="Times New Roman" w:eastAsia="Calibri" w:hAnsi="Times New Roman" w:cs="Times New Roman"/>
              </w:rPr>
              <w:t>CrCl</w:t>
            </w:r>
            <w:r w:rsidRPr="00B94410">
              <w:rPr>
                <w:rFonts w:ascii="Times New Roman" w:eastAsia="Calibri" w:hAnsi="Times New Roman" w:cs="Times New Roman"/>
              </w:rPr>
              <w:t> &lt; 50 ml/perc)</w:t>
            </w:r>
          </w:p>
        </w:tc>
        <w:tc>
          <w:tcPr>
            <w:tcW w:w="4530" w:type="dxa"/>
          </w:tcPr>
          <w:p w14:paraId="286BE9BB" w14:textId="77777777" w:rsidR="00956F16" w:rsidRPr="00B94410" w:rsidRDefault="00956F16" w:rsidP="00956F16">
            <w:pPr>
              <w:keepNext/>
              <w:rPr>
                <w:rFonts w:ascii="Times New Roman" w:eastAsia="Calibri" w:hAnsi="Times New Roman" w:cs="Times New Roman"/>
              </w:rPr>
            </w:pPr>
            <w:r w:rsidRPr="00B94410">
              <w:rPr>
                <w:rFonts w:ascii="Times New Roman" w:eastAsia="Calibri" w:hAnsi="Times New Roman" w:cs="Times New Roman"/>
              </w:rPr>
              <w:t>Naponta egyszer 10 mg</w:t>
            </w:r>
            <w:r w:rsidRPr="00B94410">
              <w:rPr>
                <w:rFonts w:ascii="Times New Roman" w:eastAsia="Calibri" w:hAnsi="Times New Roman" w:cs="Times New Roman"/>
                <w:vertAlign w:val="superscript"/>
              </w:rPr>
              <w:t>1</w:t>
            </w:r>
          </w:p>
        </w:tc>
      </w:tr>
      <w:tr w:rsidR="00956F16" w:rsidRPr="00B94410" w14:paraId="10F2A367" w14:textId="77777777" w:rsidTr="00694E9C">
        <w:tc>
          <w:tcPr>
            <w:tcW w:w="4530" w:type="dxa"/>
          </w:tcPr>
          <w:p w14:paraId="45027DF6" w14:textId="3A7FA085" w:rsidR="00956F16" w:rsidRPr="00B94410" w:rsidRDefault="00956F16" w:rsidP="007E5A32">
            <w:pPr>
              <w:keepNext/>
              <w:rPr>
                <w:rFonts w:ascii="Times New Roman" w:eastAsia="Calibri" w:hAnsi="Times New Roman" w:cs="Times New Roman"/>
              </w:rPr>
            </w:pPr>
            <w:r w:rsidRPr="00B94410">
              <w:rPr>
                <w:rFonts w:ascii="Times New Roman" w:eastAsia="Calibri" w:hAnsi="Times New Roman" w:cs="Times New Roman"/>
              </w:rPr>
              <w:t>Súlyos</w:t>
            </w:r>
            <w:r w:rsidR="004D1937" w:rsidRPr="00B94410">
              <w:rPr>
                <w:rFonts w:ascii="Times New Roman" w:eastAsia="Calibri" w:hAnsi="Times New Roman" w:cs="Times New Roman"/>
              </w:rPr>
              <w:t xml:space="preserve"> </w:t>
            </w:r>
            <w:r w:rsidR="004D1937" w:rsidRPr="005A48A1">
              <w:rPr>
                <w:rFonts w:ascii="Times New Roman" w:eastAsia="Calibri" w:hAnsi="Times New Roman" w:cs="Times New Roman"/>
              </w:rPr>
              <w:t>fokú</w:t>
            </w:r>
            <w:r w:rsidRPr="005A48A1">
              <w:rPr>
                <w:rFonts w:ascii="Times New Roman" w:eastAsia="Calibri" w:hAnsi="Times New Roman" w:cs="Times New Roman"/>
              </w:rPr>
              <w:t xml:space="preserve"> </w:t>
            </w:r>
            <w:r w:rsidRPr="00B94410">
              <w:rPr>
                <w:rFonts w:ascii="Times New Roman" w:eastAsia="Calibri" w:hAnsi="Times New Roman" w:cs="Times New Roman"/>
              </w:rPr>
              <w:t>vesekárosodás</w:t>
            </w:r>
          </w:p>
          <w:p w14:paraId="0BA719D7" w14:textId="2794129C" w:rsidR="00956F16" w:rsidRPr="00B94410" w:rsidRDefault="00956F16" w:rsidP="007E5A32">
            <w:pPr>
              <w:keepNext/>
              <w:rPr>
                <w:rFonts w:ascii="Times New Roman" w:eastAsia="Calibri" w:hAnsi="Times New Roman" w:cs="Times New Roman"/>
              </w:rPr>
            </w:pPr>
            <w:r w:rsidRPr="00B94410">
              <w:rPr>
                <w:rFonts w:ascii="Times New Roman" w:eastAsia="Calibri" w:hAnsi="Times New Roman" w:cs="Times New Roman"/>
              </w:rPr>
              <w:t>(</w:t>
            </w:r>
            <w:r w:rsidR="009B7272" w:rsidRPr="00B94410">
              <w:rPr>
                <w:rFonts w:ascii="Times New Roman" w:eastAsia="Calibri" w:hAnsi="Times New Roman" w:cs="Times New Roman"/>
              </w:rPr>
              <w:t>CrCl</w:t>
            </w:r>
            <w:r w:rsidRPr="00B94410">
              <w:rPr>
                <w:rFonts w:ascii="Times New Roman" w:eastAsia="Calibri" w:hAnsi="Times New Roman" w:cs="Times New Roman"/>
              </w:rPr>
              <w:t> &lt; 30 ml/perc és nem szükséges dialízis)</w:t>
            </w:r>
          </w:p>
        </w:tc>
        <w:tc>
          <w:tcPr>
            <w:tcW w:w="4530" w:type="dxa"/>
          </w:tcPr>
          <w:p w14:paraId="24970DEC" w14:textId="77777777" w:rsidR="00956F16" w:rsidRPr="00B94410" w:rsidRDefault="00956F16" w:rsidP="007E5A32">
            <w:pPr>
              <w:keepNext/>
              <w:rPr>
                <w:rFonts w:ascii="Times New Roman" w:eastAsia="Calibri" w:hAnsi="Times New Roman" w:cs="Times New Roman"/>
                <w:vertAlign w:val="superscript"/>
              </w:rPr>
            </w:pPr>
            <w:r w:rsidRPr="00B94410">
              <w:rPr>
                <w:rFonts w:ascii="Times New Roman" w:eastAsia="Calibri" w:hAnsi="Times New Roman" w:cs="Times New Roman"/>
              </w:rPr>
              <w:t>Naponta egyszer 7,5 mg</w:t>
            </w:r>
            <w:r w:rsidRPr="00B94410">
              <w:rPr>
                <w:rFonts w:ascii="Times New Roman" w:eastAsia="Calibri" w:hAnsi="Times New Roman" w:cs="Times New Roman"/>
                <w:vertAlign w:val="superscript"/>
              </w:rPr>
              <w:t>2</w:t>
            </w:r>
          </w:p>
          <w:p w14:paraId="51FDCEC8" w14:textId="77777777" w:rsidR="00956F16" w:rsidRPr="00B94410" w:rsidRDefault="00956F16" w:rsidP="007E5A32">
            <w:pPr>
              <w:keepNext/>
              <w:rPr>
                <w:rFonts w:ascii="Times New Roman" w:eastAsia="Calibri" w:hAnsi="Times New Roman" w:cs="Times New Roman"/>
              </w:rPr>
            </w:pPr>
            <w:r w:rsidRPr="00B94410">
              <w:rPr>
                <w:rFonts w:ascii="Times New Roman" w:eastAsia="Calibri" w:hAnsi="Times New Roman" w:cs="Times New Roman"/>
              </w:rPr>
              <w:t>Minden másnap 15 mg</w:t>
            </w:r>
          </w:p>
        </w:tc>
      </w:tr>
      <w:tr w:rsidR="00956F16" w:rsidRPr="00B94410" w14:paraId="0CE1C24B" w14:textId="77777777" w:rsidTr="00694E9C">
        <w:tc>
          <w:tcPr>
            <w:tcW w:w="4530" w:type="dxa"/>
          </w:tcPr>
          <w:p w14:paraId="47736A9A" w14:textId="77777777" w:rsidR="00956F16" w:rsidRPr="00B94410" w:rsidRDefault="00956F16" w:rsidP="00956F16">
            <w:pPr>
              <w:rPr>
                <w:rFonts w:ascii="Times New Roman" w:eastAsia="Calibri" w:hAnsi="Times New Roman" w:cs="Times New Roman"/>
              </w:rPr>
            </w:pPr>
            <w:r w:rsidRPr="00B94410">
              <w:rPr>
                <w:rFonts w:ascii="Times New Roman" w:eastAsia="Calibri" w:hAnsi="Times New Roman" w:cs="Times New Roman"/>
              </w:rPr>
              <w:t>Végstádiumú vesebetegség (ESRD)</w:t>
            </w:r>
          </w:p>
          <w:p w14:paraId="31CD7B06" w14:textId="7703686C" w:rsidR="00956F16" w:rsidRPr="00B94410" w:rsidRDefault="00956F16" w:rsidP="00956F16">
            <w:pPr>
              <w:rPr>
                <w:rFonts w:ascii="Times New Roman" w:eastAsia="Calibri" w:hAnsi="Times New Roman" w:cs="Times New Roman"/>
              </w:rPr>
            </w:pPr>
            <w:r w:rsidRPr="00B94410">
              <w:rPr>
                <w:rFonts w:ascii="Times New Roman" w:eastAsia="Calibri" w:hAnsi="Times New Roman" w:cs="Times New Roman"/>
              </w:rPr>
              <w:t>(</w:t>
            </w:r>
            <w:r w:rsidR="009B7272" w:rsidRPr="00B94410">
              <w:rPr>
                <w:rFonts w:ascii="Times New Roman" w:eastAsia="Calibri" w:hAnsi="Times New Roman" w:cs="Times New Roman"/>
              </w:rPr>
              <w:t>CrCl</w:t>
            </w:r>
            <w:r w:rsidRPr="00B94410">
              <w:rPr>
                <w:rFonts w:ascii="Times New Roman" w:eastAsia="Calibri" w:hAnsi="Times New Roman" w:cs="Times New Roman"/>
              </w:rPr>
              <w:t>&lt; 30 ml/perc és dialízis szükséges)</w:t>
            </w:r>
          </w:p>
        </w:tc>
        <w:tc>
          <w:tcPr>
            <w:tcW w:w="4530" w:type="dxa"/>
          </w:tcPr>
          <w:p w14:paraId="32F5704B" w14:textId="43962553" w:rsidR="00956F16" w:rsidRPr="00B94410" w:rsidRDefault="00956F16" w:rsidP="00956F16">
            <w:pPr>
              <w:rPr>
                <w:rFonts w:ascii="Times New Roman" w:eastAsia="Calibri" w:hAnsi="Times New Roman" w:cs="Times New Roman"/>
              </w:rPr>
            </w:pPr>
            <w:r w:rsidRPr="00B94410">
              <w:rPr>
                <w:rFonts w:ascii="Times New Roman" w:eastAsia="Calibri" w:hAnsi="Times New Roman" w:cs="Times New Roman"/>
              </w:rPr>
              <w:t>Naponta egyszer 5 mg. A dózist dialízisnapokon, a dialízis után kell alkalmazni.</w:t>
            </w:r>
          </w:p>
        </w:tc>
      </w:tr>
    </w:tbl>
    <w:p w14:paraId="4BE770F1" w14:textId="77777777" w:rsidR="00956F16" w:rsidRPr="007E5A32" w:rsidRDefault="00956F16" w:rsidP="00956F16">
      <w:pPr>
        <w:spacing w:after="0" w:line="240" w:lineRule="auto"/>
        <w:rPr>
          <w:rFonts w:ascii="Times New Roman" w:eastAsia="Calibri" w:hAnsi="Times New Roman" w:cs="Times New Roman"/>
        </w:rPr>
      </w:pPr>
      <w:r w:rsidRPr="007E5A32">
        <w:rPr>
          <w:rFonts w:ascii="Times New Roman" w:eastAsia="Calibri" w:hAnsi="Times New Roman" w:cs="Times New Roman"/>
          <w:vertAlign w:val="superscript"/>
        </w:rPr>
        <w:t>1</w:t>
      </w:r>
      <w:r w:rsidRPr="007E5A32">
        <w:rPr>
          <w:rFonts w:ascii="Times New Roman" w:eastAsia="Calibri" w:hAnsi="Times New Roman" w:cs="Times New Roman"/>
        </w:rPr>
        <w:t xml:space="preserve"> Két ciklus után a dózis napi egyszeri 15 mg-ra növelhető, ha a beteg nem reagál a kezelésre, de azt tolerálja.</w:t>
      </w:r>
    </w:p>
    <w:p w14:paraId="08E4A226" w14:textId="77777777" w:rsidR="00956F16" w:rsidRPr="007E5A32" w:rsidRDefault="00956F16" w:rsidP="00956F16">
      <w:pPr>
        <w:spacing w:after="0" w:line="240" w:lineRule="auto"/>
        <w:rPr>
          <w:rFonts w:ascii="Times New Roman" w:eastAsia="Calibri" w:hAnsi="Times New Roman" w:cs="Times New Roman"/>
        </w:rPr>
      </w:pPr>
      <w:r w:rsidRPr="007E5A32">
        <w:rPr>
          <w:rFonts w:ascii="Times New Roman" w:eastAsia="Calibri" w:hAnsi="Times New Roman" w:cs="Times New Roman"/>
          <w:vertAlign w:val="superscript"/>
        </w:rPr>
        <w:t xml:space="preserve">2 </w:t>
      </w:r>
      <w:r w:rsidRPr="007E5A32">
        <w:rPr>
          <w:rFonts w:ascii="Times New Roman" w:eastAsia="Calibri" w:hAnsi="Times New Roman" w:cs="Times New Roman"/>
        </w:rPr>
        <w:t>Azokban az országokban, ahol a 7,5 mg-os kapszula kapható.</w:t>
      </w:r>
    </w:p>
    <w:bookmarkEnd w:id="0"/>
    <w:p w14:paraId="462D420D" w14:textId="023BED1D" w:rsidR="00956F16" w:rsidRPr="00B94410" w:rsidRDefault="00956F16" w:rsidP="00956F16">
      <w:pPr>
        <w:spacing w:after="0" w:line="240" w:lineRule="auto"/>
        <w:rPr>
          <w:rFonts w:ascii="Times New Roman" w:eastAsia="Calibri" w:hAnsi="Times New Roman" w:cs="Times New Roman"/>
        </w:rPr>
      </w:pPr>
    </w:p>
    <w:p w14:paraId="50041ECB" w14:textId="6B333A5F" w:rsidR="00563904" w:rsidRPr="005A48A1" w:rsidRDefault="00563904" w:rsidP="00934095">
      <w:pPr>
        <w:widowControl w:val="0"/>
        <w:spacing w:after="0" w:line="240" w:lineRule="auto"/>
        <w:rPr>
          <w:rFonts w:ascii="Times New Roman" w:eastAsia="Calibri" w:hAnsi="Times New Roman" w:cs="Times New Roman"/>
          <w:i/>
          <w:iCs/>
        </w:rPr>
      </w:pPr>
      <w:r w:rsidRPr="005A48A1">
        <w:rPr>
          <w:rFonts w:ascii="Times New Roman" w:eastAsia="Calibri" w:hAnsi="Times New Roman" w:cs="Times New Roman"/>
          <w:i/>
          <w:iCs/>
        </w:rPr>
        <w:t>Myelodysplasiás szindrómák</w:t>
      </w:r>
    </w:p>
    <w:tbl>
      <w:tblPr>
        <w:tblStyle w:val="Rcsostblzat3"/>
        <w:tblW w:w="0" w:type="auto"/>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3116"/>
        <w:gridCol w:w="1843"/>
        <w:gridCol w:w="4105"/>
      </w:tblGrid>
      <w:tr w:rsidR="00563904" w:rsidRPr="009A3DCB" w14:paraId="072EE375" w14:textId="77777777" w:rsidTr="007E5A32">
        <w:trPr>
          <w:tblHeader/>
        </w:trPr>
        <w:tc>
          <w:tcPr>
            <w:tcW w:w="3116" w:type="dxa"/>
          </w:tcPr>
          <w:p w14:paraId="7D5C96B7" w14:textId="6D8B4325" w:rsidR="005F50B2" w:rsidRPr="009A3DCB" w:rsidRDefault="00563904" w:rsidP="00934095">
            <w:pPr>
              <w:widowControl w:val="0"/>
              <w:tabs>
                <w:tab w:val="left" w:pos="567"/>
              </w:tabs>
              <w:spacing w:line="260" w:lineRule="exact"/>
              <w:rPr>
                <w:b/>
                <w:sz w:val="22"/>
                <w:szCs w:val="22"/>
                <w:lang w:val="en-GB"/>
              </w:rPr>
            </w:pPr>
            <w:r w:rsidRPr="007E5A32">
              <w:rPr>
                <w:b/>
                <w:lang w:val="en-GB"/>
              </w:rPr>
              <w:t>Veseműködés</w:t>
            </w:r>
          </w:p>
          <w:p w14:paraId="07DA6A37" w14:textId="6DC6C410" w:rsidR="00563904" w:rsidRPr="007E5A32" w:rsidRDefault="00563904" w:rsidP="007E5A32">
            <w:pPr>
              <w:widowControl w:val="0"/>
              <w:tabs>
                <w:tab w:val="left" w:pos="567"/>
              </w:tabs>
              <w:spacing w:line="260" w:lineRule="exact"/>
              <w:rPr>
                <w:b/>
                <w:sz w:val="22"/>
                <w:szCs w:val="22"/>
                <w:lang w:val="en-GB"/>
              </w:rPr>
            </w:pPr>
            <w:r w:rsidRPr="009A3DCB">
              <w:rPr>
                <w:b/>
                <w:sz w:val="22"/>
                <w:szCs w:val="22"/>
                <w:lang w:val="en-GB"/>
              </w:rPr>
              <w:t>(kreatinin-clearance</w:t>
            </w:r>
            <w:r w:rsidRPr="007E5A32">
              <w:rPr>
                <w:b/>
                <w:lang w:val="en-GB"/>
              </w:rPr>
              <w:t>)</w:t>
            </w:r>
          </w:p>
        </w:tc>
        <w:tc>
          <w:tcPr>
            <w:tcW w:w="5948" w:type="dxa"/>
            <w:gridSpan w:val="2"/>
          </w:tcPr>
          <w:p w14:paraId="61297E05" w14:textId="00B48CBB" w:rsidR="00563904" w:rsidRPr="007E5A32" w:rsidRDefault="00563904" w:rsidP="007E5A32">
            <w:pPr>
              <w:widowControl w:val="0"/>
              <w:tabs>
                <w:tab w:val="left" w:pos="567"/>
              </w:tabs>
              <w:autoSpaceDE w:val="0"/>
              <w:autoSpaceDN w:val="0"/>
              <w:adjustRightInd w:val="0"/>
              <w:jc w:val="center"/>
              <w:rPr>
                <w:sz w:val="22"/>
                <w:szCs w:val="22"/>
                <w:lang w:val="en-GB"/>
              </w:rPr>
            </w:pPr>
            <w:r w:rsidRPr="007E5A32">
              <w:rPr>
                <w:b/>
                <w:lang w:val="en-GB"/>
              </w:rPr>
              <w:t>Dózismódosítás</w:t>
            </w:r>
          </w:p>
        </w:tc>
      </w:tr>
      <w:tr w:rsidR="00934095" w:rsidRPr="009A3DCB" w14:paraId="6C19FF29" w14:textId="77777777" w:rsidTr="00934095">
        <w:tc>
          <w:tcPr>
            <w:tcW w:w="3116" w:type="dxa"/>
            <w:vMerge w:val="restart"/>
          </w:tcPr>
          <w:p w14:paraId="513A7765" w14:textId="29879171" w:rsidR="00563904" w:rsidRPr="007E5A32" w:rsidRDefault="00563904" w:rsidP="007E5A32">
            <w:pPr>
              <w:widowControl w:val="0"/>
              <w:rPr>
                <w:rFonts w:eastAsia="Calibri"/>
                <w:sz w:val="22"/>
                <w:szCs w:val="22"/>
              </w:rPr>
            </w:pPr>
            <w:r w:rsidRPr="009A3DCB">
              <w:rPr>
                <w:rFonts w:eastAsia="Calibri"/>
                <w:sz w:val="22"/>
                <w:szCs w:val="22"/>
              </w:rPr>
              <w:t>Közepes</w:t>
            </w:r>
            <w:r w:rsidR="004D1937" w:rsidRPr="009A3DCB">
              <w:rPr>
                <w:rFonts w:eastAsia="Calibri"/>
                <w:sz w:val="22"/>
                <w:szCs w:val="22"/>
              </w:rPr>
              <w:t xml:space="preserve"> fokú</w:t>
            </w:r>
            <w:r w:rsidRPr="009A3DCB">
              <w:rPr>
                <w:rFonts w:eastAsia="Calibri"/>
              </w:rPr>
              <w:t xml:space="preserve"> vesekárosodás</w:t>
            </w:r>
          </w:p>
          <w:p w14:paraId="14A7117A" w14:textId="50E355AC" w:rsidR="00563904" w:rsidRPr="007E5A32" w:rsidRDefault="00563904" w:rsidP="007E5A32">
            <w:pPr>
              <w:widowControl w:val="0"/>
              <w:tabs>
                <w:tab w:val="left" w:pos="567"/>
              </w:tabs>
              <w:spacing w:line="260" w:lineRule="exact"/>
              <w:rPr>
                <w:sz w:val="22"/>
                <w:szCs w:val="22"/>
                <w:lang w:val="hu-HU"/>
              </w:rPr>
            </w:pPr>
            <w:r w:rsidRPr="009A3DCB">
              <w:rPr>
                <w:rFonts w:eastAsia="Calibri"/>
              </w:rPr>
              <w:t>(30 ≤ CrCl &lt; </w:t>
            </w:r>
            <w:r w:rsidRPr="009A3DCB">
              <w:rPr>
                <w:rFonts w:eastAsia="Calibri"/>
                <w:sz w:val="22"/>
                <w:szCs w:val="22"/>
              </w:rPr>
              <w:t>50</w:t>
            </w:r>
            <w:r w:rsidRPr="009A3DCB">
              <w:rPr>
                <w:rFonts w:eastAsia="Calibri"/>
              </w:rPr>
              <w:t> ml/perc)</w:t>
            </w:r>
          </w:p>
        </w:tc>
        <w:tc>
          <w:tcPr>
            <w:tcW w:w="1843" w:type="dxa"/>
          </w:tcPr>
          <w:p w14:paraId="6856433E" w14:textId="6E6B6D91" w:rsidR="00563904" w:rsidRPr="009A3DCB" w:rsidRDefault="00563904" w:rsidP="00934095">
            <w:pPr>
              <w:widowControl w:val="0"/>
              <w:autoSpaceDE w:val="0"/>
              <w:autoSpaceDN w:val="0"/>
              <w:adjustRightInd w:val="0"/>
              <w:rPr>
                <w:sz w:val="22"/>
                <w:szCs w:val="22"/>
                <w:lang w:val="en-US"/>
              </w:rPr>
            </w:pPr>
            <w:r w:rsidRPr="009A3DCB">
              <w:rPr>
                <w:sz w:val="22"/>
                <w:szCs w:val="22"/>
                <w:lang w:val="en-US"/>
              </w:rPr>
              <w:t xml:space="preserve">Kezdő dózis </w:t>
            </w:r>
          </w:p>
        </w:tc>
        <w:tc>
          <w:tcPr>
            <w:tcW w:w="4105" w:type="dxa"/>
          </w:tcPr>
          <w:p w14:paraId="379FA041" w14:textId="1DEB6B6D" w:rsidR="00563904" w:rsidRPr="009A3DCB" w:rsidRDefault="00563904" w:rsidP="00934095">
            <w:pPr>
              <w:widowControl w:val="0"/>
              <w:autoSpaceDE w:val="0"/>
              <w:autoSpaceDN w:val="0"/>
              <w:adjustRightInd w:val="0"/>
              <w:rPr>
                <w:rStyle w:val="markedcontent"/>
                <w:sz w:val="22"/>
                <w:szCs w:val="22"/>
              </w:rPr>
            </w:pPr>
            <w:r w:rsidRPr="009A3DCB">
              <w:rPr>
                <w:rStyle w:val="markedcontent"/>
                <w:sz w:val="22"/>
                <w:szCs w:val="22"/>
              </w:rPr>
              <w:t>5 mg naponta</w:t>
            </w:r>
            <w:r w:rsidRPr="007E5A32">
              <w:rPr>
                <w:rStyle w:val="markedcontent"/>
              </w:rPr>
              <w:t xml:space="preserve"> egyszer</w:t>
            </w:r>
          </w:p>
          <w:p w14:paraId="58E53473" w14:textId="644E5E25" w:rsidR="00563904" w:rsidRPr="007E5A32" w:rsidRDefault="00563904" w:rsidP="007E5A32">
            <w:pPr>
              <w:widowControl w:val="0"/>
              <w:autoSpaceDE w:val="0"/>
              <w:autoSpaceDN w:val="0"/>
              <w:adjustRightInd w:val="0"/>
              <w:rPr>
                <w:sz w:val="22"/>
                <w:szCs w:val="22"/>
                <w:lang w:val="en-US"/>
              </w:rPr>
            </w:pPr>
            <w:r w:rsidRPr="009A3DCB">
              <w:rPr>
                <w:rStyle w:val="markedcontent"/>
                <w:sz w:val="22"/>
                <w:szCs w:val="22"/>
              </w:rPr>
              <w:t>(az ismétlődő 28 napos ciklusok 1.</w:t>
            </w:r>
            <w:r w:rsidR="005F50B2" w:rsidRPr="009A3DCB">
              <w:rPr>
                <w:rStyle w:val="markedcontent"/>
                <w:sz w:val="22"/>
                <w:szCs w:val="22"/>
              </w:rPr>
              <w:t>–</w:t>
            </w:r>
            <w:r w:rsidRPr="009A3DCB">
              <w:rPr>
                <w:rStyle w:val="markedcontent"/>
                <w:sz w:val="22"/>
                <w:szCs w:val="22"/>
              </w:rPr>
              <w:t>21. napján)</w:t>
            </w:r>
          </w:p>
        </w:tc>
      </w:tr>
      <w:tr w:rsidR="00563904" w:rsidRPr="009A3DCB" w14:paraId="39AB6B5B" w14:textId="77777777" w:rsidTr="00934095">
        <w:tc>
          <w:tcPr>
            <w:tcW w:w="3116" w:type="dxa"/>
            <w:vMerge/>
          </w:tcPr>
          <w:p w14:paraId="3C5EAA80" w14:textId="77777777" w:rsidR="00563904" w:rsidRPr="009A3DCB" w:rsidRDefault="00563904" w:rsidP="00934095">
            <w:pPr>
              <w:widowControl w:val="0"/>
              <w:tabs>
                <w:tab w:val="left" w:pos="567"/>
              </w:tabs>
              <w:spacing w:line="260" w:lineRule="exact"/>
              <w:rPr>
                <w:bCs/>
                <w:sz w:val="22"/>
                <w:szCs w:val="22"/>
                <w:lang w:val="en-GB"/>
              </w:rPr>
            </w:pPr>
          </w:p>
        </w:tc>
        <w:tc>
          <w:tcPr>
            <w:tcW w:w="1843" w:type="dxa"/>
          </w:tcPr>
          <w:p w14:paraId="16BFCBD7" w14:textId="5B38BC0A" w:rsidR="00563904" w:rsidRPr="009A3DCB" w:rsidRDefault="00145FFC" w:rsidP="00934095">
            <w:pPr>
              <w:widowControl w:val="0"/>
              <w:tabs>
                <w:tab w:val="left" w:pos="567"/>
              </w:tabs>
              <w:spacing w:line="260" w:lineRule="exact"/>
              <w:jc w:val="both"/>
              <w:rPr>
                <w:bCs/>
                <w:sz w:val="22"/>
                <w:szCs w:val="22"/>
                <w:lang w:val="en-GB"/>
              </w:rPr>
            </w:pPr>
            <w:r w:rsidRPr="009A3DCB">
              <w:t>–</w:t>
            </w:r>
            <w:r w:rsidR="00563904" w:rsidRPr="009A3DCB">
              <w:rPr>
                <w:bCs/>
                <w:sz w:val="22"/>
                <w:szCs w:val="22"/>
                <w:lang w:val="en-GB"/>
              </w:rPr>
              <w:t>1. dózisszint*</w:t>
            </w:r>
          </w:p>
        </w:tc>
        <w:tc>
          <w:tcPr>
            <w:tcW w:w="4105" w:type="dxa"/>
          </w:tcPr>
          <w:p w14:paraId="7D61304E" w14:textId="7E4F908A" w:rsidR="00563904" w:rsidRPr="007E5A32" w:rsidRDefault="00563904" w:rsidP="00934095">
            <w:pPr>
              <w:widowControl w:val="0"/>
              <w:autoSpaceDE w:val="0"/>
              <w:autoSpaceDN w:val="0"/>
              <w:adjustRightInd w:val="0"/>
              <w:rPr>
                <w:rStyle w:val="markedcontent"/>
                <w:rFonts w:eastAsiaTheme="minorHAnsi"/>
                <w:sz w:val="22"/>
                <w:szCs w:val="22"/>
                <w:lang w:val="hu-HU" w:eastAsia="en-US"/>
              </w:rPr>
            </w:pPr>
            <w:r w:rsidRPr="009A3DCB">
              <w:rPr>
                <w:rStyle w:val="markedcontent"/>
                <w:sz w:val="22"/>
                <w:szCs w:val="22"/>
              </w:rPr>
              <w:t>2,5 mg naponta egyszer</w:t>
            </w:r>
          </w:p>
          <w:p w14:paraId="1235EC00" w14:textId="17D35AEA" w:rsidR="00563904" w:rsidRPr="009A3DCB" w:rsidRDefault="00563904" w:rsidP="00934095">
            <w:pPr>
              <w:widowControl w:val="0"/>
              <w:tabs>
                <w:tab w:val="left" w:pos="567"/>
              </w:tabs>
              <w:spacing w:line="260" w:lineRule="exact"/>
              <w:rPr>
                <w:bCs/>
                <w:sz w:val="22"/>
                <w:szCs w:val="22"/>
                <w:lang w:val="en-GB"/>
              </w:rPr>
            </w:pPr>
            <w:r w:rsidRPr="009A3DCB">
              <w:rPr>
                <w:rStyle w:val="markedcontent"/>
                <w:sz w:val="22"/>
                <w:szCs w:val="22"/>
              </w:rPr>
              <w:t>(az ismétlődő 28 napos ciklusok 1.</w:t>
            </w:r>
            <w:r w:rsidR="005F50B2" w:rsidRPr="009A3DCB">
              <w:rPr>
                <w:rStyle w:val="markedcontent"/>
                <w:sz w:val="22"/>
                <w:szCs w:val="22"/>
              </w:rPr>
              <w:t>–</w:t>
            </w:r>
            <w:r w:rsidRPr="009A3DCB">
              <w:rPr>
                <w:rStyle w:val="markedcontent"/>
                <w:sz w:val="22"/>
                <w:szCs w:val="22"/>
              </w:rPr>
              <w:t>28. napján)</w:t>
            </w:r>
          </w:p>
        </w:tc>
      </w:tr>
      <w:tr w:rsidR="00563904" w:rsidRPr="009A3DCB" w14:paraId="5A0AEC40" w14:textId="77777777" w:rsidTr="00934095">
        <w:tc>
          <w:tcPr>
            <w:tcW w:w="3116" w:type="dxa"/>
            <w:vMerge/>
          </w:tcPr>
          <w:p w14:paraId="0042541C" w14:textId="77777777" w:rsidR="00563904" w:rsidRPr="009A3DCB" w:rsidRDefault="00563904" w:rsidP="00934095">
            <w:pPr>
              <w:widowControl w:val="0"/>
              <w:tabs>
                <w:tab w:val="left" w:pos="567"/>
              </w:tabs>
              <w:spacing w:line="260" w:lineRule="exact"/>
              <w:rPr>
                <w:bCs/>
                <w:sz w:val="22"/>
                <w:szCs w:val="22"/>
                <w:lang w:val="en-GB"/>
              </w:rPr>
            </w:pPr>
          </w:p>
        </w:tc>
        <w:tc>
          <w:tcPr>
            <w:tcW w:w="1843" w:type="dxa"/>
          </w:tcPr>
          <w:p w14:paraId="0BA165AE" w14:textId="4982DC29" w:rsidR="00563904" w:rsidRPr="009A3DCB" w:rsidRDefault="00145FFC" w:rsidP="00934095">
            <w:pPr>
              <w:widowControl w:val="0"/>
              <w:tabs>
                <w:tab w:val="left" w:pos="567"/>
              </w:tabs>
              <w:spacing w:line="260" w:lineRule="exact"/>
              <w:jc w:val="both"/>
              <w:rPr>
                <w:bCs/>
                <w:sz w:val="22"/>
                <w:szCs w:val="22"/>
                <w:lang w:val="en-GB"/>
              </w:rPr>
            </w:pPr>
            <w:r w:rsidRPr="009A3DCB">
              <w:t>–</w:t>
            </w:r>
            <w:r w:rsidR="00563904" w:rsidRPr="009A3DCB">
              <w:rPr>
                <w:bCs/>
                <w:sz w:val="22"/>
                <w:szCs w:val="22"/>
                <w:lang w:val="en-GB"/>
              </w:rPr>
              <w:t>2. dózisszint*</w:t>
            </w:r>
          </w:p>
        </w:tc>
        <w:tc>
          <w:tcPr>
            <w:tcW w:w="4105" w:type="dxa"/>
          </w:tcPr>
          <w:p w14:paraId="1C703A6A" w14:textId="1C962613" w:rsidR="00017E3C" w:rsidRPr="007E5A32" w:rsidRDefault="00017E3C" w:rsidP="00934095">
            <w:pPr>
              <w:widowControl w:val="0"/>
              <w:autoSpaceDE w:val="0"/>
              <w:autoSpaceDN w:val="0"/>
              <w:adjustRightInd w:val="0"/>
              <w:rPr>
                <w:rStyle w:val="markedcontent"/>
                <w:rFonts w:eastAsiaTheme="minorHAnsi"/>
                <w:sz w:val="22"/>
                <w:szCs w:val="22"/>
                <w:lang w:val="hu-HU" w:eastAsia="en-US"/>
              </w:rPr>
            </w:pPr>
            <w:r w:rsidRPr="009A3DCB">
              <w:rPr>
                <w:rStyle w:val="markedcontent"/>
                <w:sz w:val="22"/>
                <w:szCs w:val="22"/>
              </w:rPr>
              <w:t>2,5 mg másnaponta egyszer</w:t>
            </w:r>
          </w:p>
          <w:p w14:paraId="5ED63061" w14:textId="6326B714" w:rsidR="00563904" w:rsidRPr="009A3DCB" w:rsidRDefault="00017E3C" w:rsidP="00934095">
            <w:pPr>
              <w:widowControl w:val="0"/>
              <w:tabs>
                <w:tab w:val="left" w:pos="567"/>
              </w:tabs>
              <w:spacing w:line="260" w:lineRule="exact"/>
              <w:rPr>
                <w:bCs/>
                <w:sz w:val="22"/>
                <w:szCs w:val="22"/>
                <w:lang w:val="en-GB"/>
              </w:rPr>
            </w:pPr>
            <w:r w:rsidRPr="009A3DCB">
              <w:rPr>
                <w:rStyle w:val="markedcontent"/>
                <w:sz w:val="22"/>
                <w:szCs w:val="22"/>
              </w:rPr>
              <w:t>(az ismétlődő 28 napos ciklusok 1.</w:t>
            </w:r>
            <w:r w:rsidR="005F50B2" w:rsidRPr="009A3DCB">
              <w:rPr>
                <w:rStyle w:val="markedcontent"/>
                <w:sz w:val="22"/>
                <w:szCs w:val="22"/>
              </w:rPr>
              <w:t>–</w:t>
            </w:r>
            <w:r w:rsidRPr="009A3DCB">
              <w:rPr>
                <w:rStyle w:val="markedcontent"/>
                <w:sz w:val="22"/>
                <w:szCs w:val="22"/>
              </w:rPr>
              <w:t>28. napján)</w:t>
            </w:r>
          </w:p>
        </w:tc>
      </w:tr>
      <w:tr w:rsidR="00934095" w:rsidRPr="009A3DCB" w14:paraId="6A4E695F" w14:textId="77777777" w:rsidTr="00934095">
        <w:tc>
          <w:tcPr>
            <w:tcW w:w="3116" w:type="dxa"/>
            <w:vMerge w:val="restart"/>
          </w:tcPr>
          <w:p w14:paraId="0FEED9F9" w14:textId="1436236D" w:rsidR="00017E3C" w:rsidRPr="007E5A32" w:rsidRDefault="00017E3C" w:rsidP="007E5A32">
            <w:pPr>
              <w:widowControl w:val="0"/>
              <w:rPr>
                <w:rFonts w:eastAsia="Calibri"/>
                <w:sz w:val="22"/>
                <w:szCs w:val="22"/>
              </w:rPr>
            </w:pPr>
            <w:r w:rsidRPr="009A3DCB">
              <w:rPr>
                <w:rFonts w:eastAsia="Calibri"/>
              </w:rPr>
              <w:t xml:space="preserve">Súlyos </w:t>
            </w:r>
            <w:r w:rsidR="004D1937" w:rsidRPr="009A3DCB">
              <w:rPr>
                <w:rFonts w:eastAsia="Calibri"/>
                <w:sz w:val="22"/>
                <w:szCs w:val="22"/>
              </w:rPr>
              <w:t xml:space="preserve">fokú </w:t>
            </w:r>
            <w:r w:rsidRPr="009A3DCB">
              <w:rPr>
                <w:rFonts w:eastAsia="Calibri"/>
              </w:rPr>
              <w:t>vesekárosodás</w:t>
            </w:r>
          </w:p>
          <w:p w14:paraId="228106D8" w14:textId="592CF255" w:rsidR="00017E3C" w:rsidRPr="007E5A32" w:rsidRDefault="00017E3C" w:rsidP="007E5A32">
            <w:pPr>
              <w:widowControl w:val="0"/>
              <w:tabs>
                <w:tab w:val="left" w:pos="567"/>
              </w:tabs>
              <w:spacing w:line="260" w:lineRule="exact"/>
              <w:rPr>
                <w:sz w:val="22"/>
                <w:szCs w:val="22"/>
                <w:lang w:val="hu-HU"/>
              </w:rPr>
            </w:pPr>
            <w:r w:rsidRPr="009A3DCB">
              <w:rPr>
                <w:rFonts w:eastAsia="Calibri"/>
              </w:rPr>
              <w:t>(CrCl &lt; 30 ml/perc és nem szükséges dialízis)</w:t>
            </w:r>
          </w:p>
        </w:tc>
        <w:tc>
          <w:tcPr>
            <w:tcW w:w="1843" w:type="dxa"/>
          </w:tcPr>
          <w:p w14:paraId="4AF03F32" w14:textId="68B32570" w:rsidR="00017E3C" w:rsidRPr="007E5A32" w:rsidRDefault="00017E3C" w:rsidP="007E5A32">
            <w:pPr>
              <w:widowControl w:val="0"/>
              <w:autoSpaceDE w:val="0"/>
              <w:autoSpaceDN w:val="0"/>
              <w:adjustRightInd w:val="0"/>
              <w:rPr>
                <w:sz w:val="22"/>
                <w:szCs w:val="22"/>
                <w:lang w:val="en-US"/>
              </w:rPr>
            </w:pPr>
            <w:r w:rsidRPr="009A3DCB">
              <w:rPr>
                <w:sz w:val="22"/>
                <w:szCs w:val="22"/>
                <w:lang w:val="en-US"/>
              </w:rPr>
              <w:t xml:space="preserve">Kezdő dózis </w:t>
            </w:r>
          </w:p>
        </w:tc>
        <w:tc>
          <w:tcPr>
            <w:tcW w:w="4105" w:type="dxa"/>
          </w:tcPr>
          <w:p w14:paraId="622091E1" w14:textId="1CF5C2B3" w:rsidR="00017E3C" w:rsidRPr="007E5A32" w:rsidRDefault="00017E3C" w:rsidP="00934095">
            <w:pPr>
              <w:widowControl w:val="0"/>
              <w:autoSpaceDE w:val="0"/>
              <w:autoSpaceDN w:val="0"/>
              <w:adjustRightInd w:val="0"/>
              <w:rPr>
                <w:rStyle w:val="markedcontent"/>
                <w:rFonts w:eastAsiaTheme="minorHAnsi"/>
                <w:sz w:val="22"/>
                <w:szCs w:val="22"/>
                <w:lang w:val="hu-HU" w:eastAsia="en-US"/>
              </w:rPr>
            </w:pPr>
            <w:r w:rsidRPr="009A3DCB">
              <w:rPr>
                <w:rStyle w:val="markedcontent"/>
                <w:sz w:val="22"/>
                <w:szCs w:val="22"/>
              </w:rPr>
              <w:t>2,5 mg naponta egyszer</w:t>
            </w:r>
          </w:p>
          <w:p w14:paraId="2C7A48FA" w14:textId="43340F62" w:rsidR="00017E3C" w:rsidRPr="009A3DCB" w:rsidRDefault="00017E3C" w:rsidP="00934095">
            <w:pPr>
              <w:widowControl w:val="0"/>
              <w:tabs>
                <w:tab w:val="left" w:pos="567"/>
              </w:tabs>
              <w:spacing w:line="260" w:lineRule="exact"/>
              <w:rPr>
                <w:bCs/>
                <w:sz w:val="22"/>
                <w:szCs w:val="22"/>
                <w:lang w:val="en-GB"/>
              </w:rPr>
            </w:pPr>
            <w:r w:rsidRPr="009A3DCB">
              <w:rPr>
                <w:rStyle w:val="markedcontent"/>
                <w:sz w:val="22"/>
                <w:szCs w:val="22"/>
              </w:rPr>
              <w:t>(az ismétlődő 28 napos ciklusok 1.</w:t>
            </w:r>
            <w:r w:rsidR="005F50B2" w:rsidRPr="009A3DCB">
              <w:rPr>
                <w:rStyle w:val="markedcontent"/>
                <w:sz w:val="22"/>
                <w:szCs w:val="22"/>
              </w:rPr>
              <w:t>–</w:t>
            </w:r>
            <w:r w:rsidRPr="009A3DCB">
              <w:rPr>
                <w:rStyle w:val="markedcontent"/>
                <w:sz w:val="22"/>
                <w:szCs w:val="22"/>
              </w:rPr>
              <w:t>21. napján)</w:t>
            </w:r>
          </w:p>
        </w:tc>
      </w:tr>
      <w:tr w:rsidR="00017E3C" w:rsidRPr="009A3DCB" w14:paraId="22FE74A0" w14:textId="77777777" w:rsidTr="00934095">
        <w:tc>
          <w:tcPr>
            <w:tcW w:w="3116" w:type="dxa"/>
            <w:vMerge/>
          </w:tcPr>
          <w:p w14:paraId="5D2D5773" w14:textId="77777777" w:rsidR="00017E3C" w:rsidRPr="009A3DCB" w:rsidRDefault="00017E3C" w:rsidP="00934095">
            <w:pPr>
              <w:widowControl w:val="0"/>
              <w:tabs>
                <w:tab w:val="left" w:pos="567"/>
              </w:tabs>
              <w:spacing w:line="260" w:lineRule="exact"/>
              <w:rPr>
                <w:bCs/>
                <w:sz w:val="22"/>
                <w:szCs w:val="22"/>
                <w:lang w:val="en-GB"/>
              </w:rPr>
            </w:pPr>
          </w:p>
        </w:tc>
        <w:tc>
          <w:tcPr>
            <w:tcW w:w="1843" w:type="dxa"/>
          </w:tcPr>
          <w:p w14:paraId="2F80ACDF" w14:textId="7D312A8B" w:rsidR="00017E3C" w:rsidRPr="009A3DCB" w:rsidRDefault="00145FFC" w:rsidP="00934095">
            <w:pPr>
              <w:widowControl w:val="0"/>
              <w:tabs>
                <w:tab w:val="left" w:pos="567"/>
              </w:tabs>
              <w:spacing w:line="260" w:lineRule="exact"/>
              <w:jc w:val="both"/>
              <w:rPr>
                <w:bCs/>
                <w:sz w:val="22"/>
                <w:szCs w:val="22"/>
                <w:lang w:val="en-GB"/>
              </w:rPr>
            </w:pPr>
            <w:r w:rsidRPr="009A3DCB">
              <w:t>–</w:t>
            </w:r>
            <w:r w:rsidR="00017E3C" w:rsidRPr="009A3DCB">
              <w:rPr>
                <w:bCs/>
                <w:sz w:val="22"/>
                <w:szCs w:val="22"/>
                <w:lang w:val="en-GB"/>
              </w:rPr>
              <w:t>1. dózisszint*</w:t>
            </w:r>
          </w:p>
        </w:tc>
        <w:tc>
          <w:tcPr>
            <w:tcW w:w="4105" w:type="dxa"/>
          </w:tcPr>
          <w:p w14:paraId="28A1C2A5" w14:textId="224EA490" w:rsidR="00017E3C" w:rsidRPr="007E5A32" w:rsidRDefault="00017E3C" w:rsidP="00934095">
            <w:pPr>
              <w:widowControl w:val="0"/>
              <w:autoSpaceDE w:val="0"/>
              <w:autoSpaceDN w:val="0"/>
              <w:adjustRightInd w:val="0"/>
              <w:rPr>
                <w:rStyle w:val="markedcontent"/>
                <w:rFonts w:eastAsiaTheme="minorHAnsi"/>
                <w:sz w:val="22"/>
                <w:szCs w:val="22"/>
                <w:lang w:val="hu-HU" w:eastAsia="en-US"/>
              </w:rPr>
            </w:pPr>
            <w:r w:rsidRPr="009A3DCB">
              <w:rPr>
                <w:rStyle w:val="markedcontent"/>
                <w:sz w:val="22"/>
                <w:szCs w:val="22"/>
              </w:rPr>
              <w:t>2,5 mg másnaponta egyszer</w:t>
            </w:r>
          </w:p>
          <w:p w14:paraId="76653064" w14:textId="2C73B3F8" w:rsidR="00017E3C" w:rsidRPr="009A3DCB" w:rsidRDefault="00017E3C" w:rsidP="00934095">
            <w:pPr>
              <w:widowControl w:val="0"/>
              <w:tabs>
                <w:tab w:val="left" w:pos="567"/>
              </w:tabs>
              <w:spacing w:line="260" w:lineRule="exact"/>
              <w:rPr>
                <w:bCs/>
                <w:sz w:val="22"/>
                <w:szCs w:val="22"/>
                <w:lang w:val="en-GB"/>
              </w:rPr>
            </w:pPr>
            <w:r w:rsidRPr="009A3DCB">
              <w:rPr>
                <w:rStyle w:val="markedcontent"/>
                <w:sz w:val="22"/>
                <w:szCs w:val="22"/>
              </w:rPr>
              <w:t>(az ismétlődő 28 napos ciklusok 1.</w:t>
            </w:r>
            <w:r w:rsidR="005F50B2" w:rsidRPr="009A3DCB">
              <w:rPr>
                <w:rStyle w:val="markedcontent"/>
                <w:sz w:val="22"/>
                <w:szCs w:val="22"/>
              </w:rPr>
              <w:t>–</w:t>
            </w:r>
            <w:r w:rsidRPr="009A3DCB">
              <w:rPr>
                <w:rStyle w:val="markedcontent"/>
                <w:sz w:val="22"/>
                <w:szCs w:val="22"/>
              </w:rPr>
              <w:t>28. napján)</w:t>
            </w:r>
          </w:p>
        </w:tc>
      </w:tr>
      <w:tr w:rsidR="00017E3C" w:rsidRPr="009A3DCB" w14:paraId="78CF602C" w14:textId="77777777" w:rsidTr="00934095">
        <w:tc>
          <w:tcPr>
            <w:tcW w:w="3116" w:type="dxa"/>
            <w:vMerge/>
          </w:tcPr>
          <w:p w14:paraId="16CCE130" w14:textId="77777777" w:rsidR="00017E3C" w:rsidRPr="009A3DCB" w:rsidRDefault="00017E3C" w:rsidP="00934095">
            <w:pPr>
              <w:widowControl w:val="0"/>
              <w:tabs>
                <w:tab w:val="left" w:pos="567"/>
              </w:tabs>
              <w:spacing w:line="260" w:lineRule="exact"/>
              <w:rPr>
                <w:bCs/>
                <w:sz w:val="22"/>
                <w:szCs w:val="22"/>
                <w:lang w:val="en-GB"/>
              </w:rPr>
            </w:pPr>
          </w:p>
        </w:tc>
        <w:tc>
          <w:tcPr>
            <w:tcW w:w="1843" w:type="dxa"/>
          </w:tcPr>
          <w:p w14:paraId="4CE7B7B8" w14:textId="222E5936" w:rsidR="00017E3C" w:rsidRPr="009A3DCB" w:rsidRDefault="00145FFC" w:rsidP="00934095">
            <w:pPr>
              <w:widowControl w:val="0"/>
              <w:tabs>
                <w:tab w:val="left" w:pos="567"/>
              </w:tabs>
              <w:spacing w:line="260" w:lineRule="exact"/>
              <w:jc w:val="both"/>
              <w:rPr>
                <w:bCs/>
                <w:sz w:val="22"/>
                <w:szCs w:val="22"/>
                <w:lang w:val="en-GB"/>
              </w:rPr>
            </w:pPr>
            <w:r w:rsidRPr="009A3DCB">
              <w:t>–</w:t>
            </w:r>
            <w:r w:rsidR="00017E3C" w:rsidRPr="009A3DCB">
              <w:rPr>
                <w:bCs/>
                <w:sz w:val="22"/>
                <w:szCs w:val="22"/>
                <w:lang w:val="en-GB"/>
              </w:rPr>
              <w:t>2. dózisszint*</w:t>
            </w:r>
          </w:p>
        </w:tc>
        <w:tc>
          <w:tcPr>
            <w:tcW w:w="4105" w:type="dxa"/>
          </w:tcPr>
          <w:p w14:paraId="42CADE76" w14:textId="2DC42DD3" w:rsidR="00017E3C" w:rsidRPr="007E5A32" w:rsidRDefault="00017E3C" w:rsidP="00934095">
            <w:pPr>
              <w:widowControl w:val="0"/>
              <w:autoSpaceDE w:val="0"/>
              <w:autoSpaceDN w:val="0"/>
              <w:adjustRightInd w:val="0"/>
              <w:rPr>
                <w:rStyle w:val="markedcontent"/>
                <w:rFonts w:eastAsiaTheme="minorHAnsi"/>
                <w:sz w:val="22"/>
                <w:szCs w:val="22"/>
                <w:lang w:val="hu-HU" w:eastAsia="en-US"/>
              </w:rPr>
            </w:pPr>
            <w:r w:rsidRPr="009A3DCB">
              <w:rPr>
                <w:rStyle w:val="markedcontent"/>
                <w:sz w:val="22"/>
                <w:szCs w:val="22"/>
              </w:rPr>
              <w:t>2,5 mg hetente kétszer</w:t>
            </w:r>
          </w:p>
          <w:p w14:paraId="73DCCDC8" w14:textId="3929F6AF" w:rsidR="00017E3C" w:rsidRPr="009A3DCB" w:rsidRDefault="00017E3C" w:rsidP="00934095">
            <w:pPr>
              <w:widowControl w:val="0"/>
              <w:tabs>
                <w:tab w:val="left" w:pos="567"/>
              </w:tabs>
              <w:spacing w:line="260" w:lineRule="exact"/>
              <w:rPr>
                <w:bCs/>
                <w:sz w:val="22"/>
                <w:szCs w:val="22"/>
                <w:lang w:val="en-GB"/>
              </w:rPr>
            </w:pPr>
            <w:r w:rsidRPr="009A3DCB">
              <w:rPr>
                <w:rStyle w:val="markedcontent"/>
                <w:sz w:val="22"/>
                <w:szCs w:val="22"/>
              </w:rPr>
              <w:t>(az ismétlődő 28 napos ciklusok 1.</w:t>
            </w:r>
            <w:r w:rsidR="005F50B2" w:rsidRPr="009A3DCB">
              <w:rPr>
                <w:rStyle w:val="markedcontent"/>
                <w:sz w:val="22"/>
                <w:szCs w:val="22"/>
              </w:rPr>
              <w:t>–</w:t>
            </w:r>
            <w:r w:rsidRPr="009A3DCB">
              <w:rPr>
                <w:rStyle w:val="markedcontent"/>
                <w:sz w:val="22"/>
                <w:szCs w:val="22"/>
              </w:rPr>
              <w:t>28. napján)</w:t>
            </w:r>
          </w:p>
        </w:tc>
      </w:tr>
      <w:tr w:rsidR="00934095" w:rsidRPr="009A3DCB" w14:paraId="07D14351" w14:textId="77777777" w:rsidTr="00934095">
        <w:tc>
          <w:tcPr>
            <w:tcW w:w="3116" w:type="dxa"/>
            <w:vMerge w:val="restart"/>
          </w:tcPr>
          <w:p w14:paraId="53ECA482" w14:textId="77777777" w:rsidR="00017E3C" w:rsidRPr="007E5A32" w:rsidRDefault="00017E3C" w:rsidP="007E5A32">
            <w:pPr>
              <w:widowControl w:val="0"/>
              <w:rPr>
                <w:rFonts w:eastAsia="Calibri"/>
                <w:sz w:val="22"/>
                <w:szCs w:val="22"/>
              </w:rPr>
            </w:pPr>
            <w:r w:rsidRPr="009A3DCB">
              <w:rPr>
                <w:rFonts w:eastAsia="Calibri"/>
              </w:rPr>
              <w:t>Végstádiumú vesebetegség (ESRD)</w:t>
            </w:r>
          </w:p>
          <w:p w14:paraId="5A5CCA2C" w14:textId="77777777" w:rsidR="00017E3C" w:rsidRPr="009A3DCB" w:rsidRDefault="00017E3C" w:rsidP="00934095">
            <w:pPr>
              <w:widowControl w:val="0"/>
              <w:autoSpaceDE w:val="0"/>
              <w:autoSpaceDN w:val="0"/>
              <w:adjustRightInd w:val="0"/>
              <w:rPr>
                <w:rFonts w:eastAsia="Calibri"/>
                <w:sz w:val="22"/>
                <w:szCs w:val="22"/>
              </w:rPr>
            </w:pPr>
            <w:r w:rsidRPr="009A3DCB">
              <w:rPr>
                <w:rFonts w:eastAsia="Calibri"/>
              </w:rPr>
              <w:t>(CrCl&lt; 30 ml/perc és dialízis szükséges)</w:t>
            </w:r>
          </w:p>
          <w:p w14:paraId="031F5FE3" w14:textId="417BC705" w:rsidR="00017E3C" w:rsidRPr="009A3DCB" w:rsidRDefault="00017E3C" w:rsidP="00934095">
            <w:pPr>
              <w:widowControl w:val="0"/>
              <w:autoSpaceDE w:val="0"/>
              <w:autoSpaceDN w:val="0"/>
              <w:adjustRightInd w:val="0"/>
              <w:rPr>
                <w:rFonts w:eastAsia="Calibri"/>
                <w:sz w:val="22"/>
                <w:szCs w:val="22"/>
              </w:rPr>
            </w:pPr>
          </w:p>
          <w:p w14:paraId="448ED2D3" w14:textId="58437436" w:rsidR="00017E3C" w:rsidRPr="009A3DCB" w:rsidRDefault="00017E3C" w:rsidP="00934095">
            <w:pPr>
              <w:widowControl w:val="0"/>
              <w:autoSpaceDE w:val="0"/>
              <w:autoSpaceDN w:val="0"/>
              <w:adjustRightInd w:val="0"/>
              <w:rPr>
                <w:rFonts w:eastAsia="Calibri"/>
                <w:sz w:val="22"/>
                <w:szCs w:val="22"/>
              </w:rPr>
            </w:pPr>
            <w:r w:rsidRPr="009A3DCB">
              <w:rPr>
                <w:rFonts w:eastAsia="Calibri"/>
                <w:sz w:val="22"/>
                <w:szCs w:val="22"/>
              </w:rPr>
              <w:t>Azokon a napokon, amikor dialízist végeznek, a dózist a dialízis elvégzése után kell alkalmazni.</w:t>
            </w:r>
          </w:p>
          <w:p w14:paraId="574BF677" w14:textId="3C0BABE2" w:rsidR="00017E3C" w:rsidRPr="007E5A32" w:rsidRDefault="00017E3C" w:rsidP="007E5A32">
            <w:pPr>
              <w:widowControl w:val="0"/>
              <w:tabs>
                <w:tab w:val="left" w:pos="567"/>
              </w:tabs>
              <w:spacing w:line="260" w:lineRule="exact"/>
              <w:rPr>
                <w:sz w:val="22"/>
                <w:szCs w:val="22"/>
              </w:rPr>
            </w:pPr>
          </w:p>
        </w:tc>
        <w:tc>
          <w:tcPr>
            <w:tcW w:w="1843" w:type="dxa"/>
          </w:tcPr>
          <w:p w14:paraId="183B2713" w14:textId="6FC9D29B" w:rsidR="00017E3C" w:rsidRPr="007E5A32" w:rsidRDefault="00017E3C" w:rsidP="007E5A32">
            <w:pPr>
              <w:widowControl w:val="0"/>
              <w:autoSpaceDE w:val="0"/>
              <w:autoSpaceDN w:val="0"/>
              <w:adjustRightInd w:val="0"/>
              <w:rPr>
                <w:sz w:val="22"/>
                <w:szCs w:val="22"/>
                <w:lang w:val="en-US"/>
              </w:rPr>
            </w:pPr>
            <w:r w:rsidRPr="009A3DCB">
              <w:rPr>
                <w:sz w:val="22"/>
                <w:szCs w:val="22"/>
                <w:lang w:val="en-US"/>
              </w:rPr>
              <w:t xml:space="preserve">Kezdő dózis </w:t>
            </w:r>
          </w:p>
        </w:tc>
        <w:tc>
          <w:tcPr>
            <w:tcW w:w="4105" w:type="dxa"/>
          </w:tcPr>
          <w:p w14:paraId="37AC7AD6" w14:textId="77777777" w:rsidR="00017E3C" w:rsidRPr="007E5A32" w:rsidRDefault="00017E3C" w:rsidP="00934095">
            <w:pPr>
              <w:widowControl w:val="0"/>
              <w:autoSpaceDE w:val="0"/>
              <w:autoSpaceDN w:val="0"/>
              <w:adjustRightInd w:val="0"/>
              <w:rPr>
                <w:rStyle w:val="markedcontent"/>
                <w:rFonts w:eastAsiaTheme="minorHAnsi"/>
                <w:sz w:val="22"/>
                <w:szCs w:val="22"/>
                <w:lang w:val="hu-HU" w:eastAsia="en-US"/>
              </w:rPr>
            </w:pPr>
            <w:r w:rsidRPr="009A3DCB">
              <w:rPr>
                <w:rStyle w:val="markedcontent"/>
                <w:sz w:val="22"/>
                <w:szCs w:val="22"/>
              </w:rPr>
              <w:t>2,5 mg naponta egyszer</w:t>
            </w:r>
          </w:p>
          <w:p w14:paraId="08B7A212" w14:textId="5CAC10F0" w:rsidR="00017E3C" w:rsidRPr="009A3DCB" w:rsidRDefault="00017E3C" w:rsidP="00934095">
            <w:pPr>
              <w:widowControl w:val="0"/>
              <w:autoSpaceDE w:val="0"/>
              <w:autoSpaceDN w:val="0"/>
              <w:adjustRightInd w:val="0"/>
              <w:rPr>
                <w:sz w:val="22"/>
                <w:szCs w:val="22"/>
                <w:lang w:val="en-US"/>
              </w:rPr>
            </w:pPr>
            <w:r w:rsidRPr="009A3DCB">
              <w:rPr>
                <w:rStyle w:val="markedcontent"/>
                <w:sz w:val="22"/>
                <w:szCs w:val="22"/>
              </w:rPr>
              <w:t>(az ismétlődő 28 napos ciklusok 1.</w:t>
            </w:r>
            <w:r w:rsidR="005F50B2" w:rsidRPr="009A3DCB">
              <w:rPr>
                <w:rStyle w:val="markedcontent"/>
                <w:sz w:val="22"/>
                <w:szCs w:val="22"/>
              </w:rPr>
              <w:t>–</w:t>
            </w:r>
            <w:r w:rsidRPr="009A3DCB">
              <w:rPr>
                <w:rStyle w:val="markedcontent"/>
                <w:sz w:val="22"/>
                <w:szCs w:val="22"/>
              </w:rPr>
              <w:t>21. napján)</w:t>
            </w:r>
          </w:p>
        </w:tc>
      </w:tr>
      <w:tr w:rsidR="00017E3C" w:rsidRPr="009A3DCB" w14:paraId="40D5210A" w14:textId="77777777" w:rsidTr="00934095">
        <w:tc>
          <w:tcPr>
            <w:tcW w:w="3116" w:type="dxa"/>
            <w:vMerge/>
          </w:tcPr>
          <w:p w14:paraId="02102570" w14:textId="77777777" w:rsidR="00017E3C" w:rsidRPr="009A3DCB" w:rsidRDefault="00017E3C" w:rsidP="00934095">
            <w:pPr>
              <w:widowControl w:val="0"/>
              <w:tabs>
                <w:tab w:val="left" w:pos="567"/>
              </w:tabs>
              <w:spacing w:line="260" w:lineRule="exact"/>
              <w:jc w:val="both"/>
              <w:rPr>
                <w:bCs/>
                <w:sz w:val="22"/>
                <w:szCs w:val="22"/>
                <w:lang w:val="en-GB"/>
              </w:rPr>
            </w:pPr>
          </w:p>
        </w:tc>
        <w:tc>
          <w:tcPr>
            <w:tcW w:w="1843" w:type="dxa"/>
          </w:tcPr>
          <w:p w14:paraId="4078F734" w14:textId="488E70D8" w:rsidR="00017E3C" w:rsidRPr="009A3DCB" w:rsidRDefault="00145FFC" w:rsidP="00934095">
            <w:pPr>
              <w:widowControl w:val="0"/>
              <w:autoSpaceDE w:val="0"/>
              <w:autoSpaceDN w:val="0"/>
              <w:adjustRightInd w:val="0"/>
              <w:rPr>
                <w:sz w:val="22"/>
                <w:szCs w:val="22"/>
                <w:lang w:val="en-US"/>
              </w:rPr>
            </w:pPr>
            <w:r w:rsidRPr="009A3DCB">
              <w:t>–</w:t>
            </w:r>
            <w:r w:rsidR="00017E3C" w:rsidRPr="009A3DCB">
              <w:rPr>
                <w:bCs/>
                <w:sz w:val="22"/>
                <w:szCs w:val="22"/>
                <w:lang w:val="en-GB"/>
              </w:rPr>
              <w:t>1. dózisszint*</w:t>
            </w:r>
          </w:p>
        </w:tc>
        <w:tc>
          <w:tcPr>
            <w:tcW w:w="4105" w:type="dxa"/>
          </w:tcPr>
          <w:p w14:paraId="0EDA61F7" w14:textId="77777777" w:rsidR="00017E3C" w:rsidRPr="007E5A32" w:rsidRDefault="00017E3C" w:rsidP="00934095">
            <w:pPr>
              <w:widowControl w:val="0"/>
              <w:autoSpaceDE w:val="0"/>
              <w:autoSpaceDN w:val="0"/>
              <w:adjustRightInd w:val="0"/>
              <w:rPr>
                <w:rStyle w:val="markedcontent"/>
                <w:rFonts w:eastAsiaTheme="minorHAnsi"/>
                <w:sz w:val="22"/>
                <w:szCs w:val="22"/>
                <w:lang w:val="hu-HU" w:eastAsia="en-US"/>
              </w:rPr>
            </w:pPr>
            <w:r w:rsidRPr="009A3DCB">
              <w:rPr>
                <w:rStyle w:val="markedcontent"/>
                <w:sz w:val="22"/>
                <w:szCs w:val="22"/>
              </w:rPr>
              <w:t>2,5 mg másnaponta egyszer</w:t>
            </w:r>
          </w:p>
          <w:p w14:paraId="39104934" w14:textId="000AD905" w:rsidR="00017E3C" w:rsidRPr="009A3DCB" w:rsidRDefault="00017E3C" w:rsidP="00934095">
            <w:pPr>
              <w:widowControl w:val="0"/>
              <w:autoSpaceDE w:val="0"/>
              <w:autoSpaceDN w:val="0"/>
              <w:adjustRightInd w:val="0"/>
              <w:rPr>
                <w:sz w:val="22"/>
                <w:szCs w:val="22"/>
                <w:lang w:val="en-US"/>
              </w:rPr>
            </w:pPr>
            <w:r w:rsidRPr="009A3DCB">
              <w:rPr>
                <w:rStyle w:val="markedcontent"/>
                <w:sz w:val="22"/>
                <w:szCs w:val="22"/>
              </w:rPr>
              <w:t>(az ismétlődő 28 napos ciklusok 1.</w:t>
            </w:r>
            <w:r w:rsidR="005F50B2" w:rsidRPr="009A3DCB">
              <w:rPr>
                <w:rStyle w:val="markedcontent"/>
                <w:sz w:val="22"/>
                <w:szCs w:val="22"/>
              </w:rPr>
              <w:t>–</w:t>
            </w:r>
            <w:r w:rsidRPr="009A3DCB">
              <w:rPr>
                <w:rStyle w:val="markedcontent"/>
                <w:sz w:val="22"/>
                <w:szCs w:val="22"/>
              </w:rPr>
              <w:t>28. napján)</w:t>
            </w:r>
          </w:p>
        </w:tc>
      </w:tr>
      <w:tr w:rsidR="00017E3C" w:rsidRPr="009A3DCB" w14:paraId="771C99FA" w14:textId="77777777" w:rsidTr="00934095">
        <w:tc>
          <w:tcPr>
            <w:tcW w:w="3116" w:type="dxa"/>
            <w:vMerge/>
          </w:tcPr>
          <w:p w14:paraId="4B614B9B" w14:textId="77777777" w:rsidR="00017E3C" w:rsidRPr="009A3DCB" w:rsidRDefault="00017E3C" w:rsidP="00934095">
            <w:pPr>
              <w:widowControl w:val="0"/>
              <w:tabs>
                <w:tab w:val="left" w:pos="567"/>
              </w:tabs>
              <w:spacing w:line="260" w:lineRule="exact"/>
              <w:jc w:val="both"/>
              <w:rPr>
                <w:bCs/>
                <w:sz w:val="22"/>
                <w:szCs w:val="22"/>
                <w:lang w:val="en-GB"/>
              </w:rPr>
            </w:pPr>
          </w:p>
        </w:tc>
        <w:tc>
          <w:tcPr>
            <w:tcW w:w="1843" w:type="dxa"/>
          </w:tcPr>
          <w:p w14:paraId="6E9E6461" w14:textId="0BDE1DD9" w:rsidR="00017E3C" w:rsidRPr="009A3DCB" w:rsidRDefault="00145FFC" w:rsidP="00934095">
            <w:pPr>
              <w:widowControl w:val="0"/>
              <w:autoSpaceDE w:val="0"/>
              <w:autoSpaceDN w:val="0"/>
              <w:adjustRightInd w:val="0"/>
              <w:rPr>
                <w:sz w:val="22"/>
                <w:szCs w:val="22"/>
                <w:lang w:val="en-US"/>
              </w:rPr>
            </w:pPr>
            <w:r w:rsidRPr="009A3DCB">
              <w:t>–</w:t>
            </w:r>
            <w:r w:rsidR="00017E3C" w:rsidRPr="009A3DCB">
              <w:rPr>
                <w:bCs/>
                <w:sz w:val="22"/>
                <w:szCs w:val="22"/>
                <w:lang w:val="en-GB"/>
              </w:rPr>
              <w:t>2. dózisszint*</w:t>
            </w:r>
          </w:p>
        </w:tc>
        <w:tc>
          <w:tcPr>
            <w:tcW w:w="4105" w:type="dxa"/>
          </w:tcPr>
          <w:p w14:paraId="7F5AE2C6" w14:textId="77777777" w:rsidR="00017E3C" w:rsidRPr="007E5A32" w:rsidRDefault="00017E3C" w:rsidP="00934095">
            <w:pPr>
              <w:widowControl w:val="0"/>
              <w:autoSpaceDE w:val="0"/>
              <w:autoSpaceDN w:val="0"/>
              <w:adjustRightInd w:val="0"/>
              <w:rPr>
                <w:rStyle w:val="markedcontent"/>
                <w:rFonts w:eastAsiaTheme="minorHAnsi"/>
                <w:sz w:val="22"/>
                <w:szCs w:val="22"/>
                <w:lang w:val="hu-HU" w:eastAsia="en-US"/>
              </w:rPr>
            </w:pPr>
            <w:r w:rsidRPr="009A3DCB">
              <w:rPr>
                <w:rStyle w:val="markedcontent"/>
                <w:sz w:val="22"/>
                <w:szCs w:val="22"/>
              </w:rPr>
              <w:t>2,5 mg hetente kétszer</w:t>
            </w:r>
          </w:p>
          <w:p w14:paraId="6E24068F" w14:textId="5AEA9758" w:rsidR="00017E3C" w:rsidRPr="009A3DCB" w:rsidRDefault="00017E3C" w:rsidP="00934095">
            <w:pPr>
              <w:widowControl w:val="0"/>
              <w:autoSpaceDE w:val="0"/>
              <w:autoSpaceDN w:val="0"/>
              <w:adjustRightInd w:val="0"/>
              <w:rPr>
                <w:sz w:val="22"/>
                <w:szCs w:val="22"/>
                <w:lang w:val="en-US"/>
              </w:rPr>
            </w:pPr>
            <w:r w:rsidRPr="009A3DCB">
              <w:rPr>
                <w:rStyle w:val="markedcontent"/>
                <w:sz w:val="22"/>
                <w:szCs w:val="22"/>
              </w:rPr>
              <w:t>(az ismétlődő 28 napos ciklusok 1.</w:t>
            </w:r>
            <w:r w:rsidR="005F50B2" w:rsidRPr="009A3DCB">
              <w:rPr>
                <w:rStyle w:val="markedcontent"/>
                <w:sz w:val="22"/>
                <w:szCs w:val="22"/>
              </w:rPr>
              <w:t>–</w:t>
            </w:r>
            <w:r w:rsidRPr="009A3DCB">
              <w:rPr>
                <w:rStyle w:val="markedcontent"/>
                <w:sz w:val="22"/>
                <w:szCs w:val="22"/>
              </w:rPr>
              <w:t>28. napján)</w:t>
            </w:r>
          </w:p>
        </w:tc>
      </w:tr>
    </w:tbl>
    <w:p w14:paraId="275344D3" w14:textId="22BD6067" w:rsidR="00563904" w:rsidRPr="007E5A32" w:rsidRDefault="00F54CB9" w:rsidP="00934095">
      <w:pPr>
        <w:widowControl w:val="0"/>
        <w:spacing w:after="0" w:line="240" w:lineRule="auto"/>
        <w:rPr>
          <w:rFonts w:ascii="Times New Roman" w:eastAsia="Calibri" w:hAnsi="Times New Roman" w:cs="Times New Roman"/>
        </w:rPr>
      </w:pPr>
      <w:r w:rsidRPr="007E5A32">
        <w:rPr>
          <w:rFonts w:ascii="Times New Roman" w:eastAsia="Calibri" w:hAnsi="Times New Roman" w:cs="Times New Roman"/>
        </w:rPr>
        <w:t>* Ajánlott dóziscsökkentési lépések a kezelés során és a kezelés újrakezdésekor 3. vagy 4. súlyossági fokú neutropenia vagy thrombocytopenia, illetve egyéb, a lenalidomid alkalmazásával összefüggésben állónak ítélt 3. vagy 4. súlyossági fokú toxicitás kezelése érdekében, a fentiekben leírtak szerint.</w:t>
      </w:r>
    </w:p>
    <w:p w14:paraId="50949E0B" w14:textId="77777777" w:rsidR="004B092C" w:rsidRPr="005A48A1" w:rsidRDefault="004B092C" w:rsidP="00F54CB9">
      <w:pPr>
        <w:spacing w:after="0" w:line="240" w:lineRule="auto"/>
        <w:rPr>
          <w:rFonts w:ascii="Times New Roman" w:eastAsia="Calibri" w:hAnsi="Times New Roman" w:cs="Times New Roman"/>
        </w:rPr>
      </w:pPr>
    </w:p>
    <w:p w14:paraId="24B34B73" w14:textId="567004AD" w:rsidR="000801FE" w:rsidRPr="005A48A1" w:rsidRDefault="000801FE" w:rsidP="000801FE">
      <w:pPr>
        <w:keepNext/>
        <w:spacing w:after="0" w:line="240" w:lineRule="auto"/>
        <w:rPr>
          <w:rFonts w:ascii="Times New Roman" w:eastAsia="Calibri" w:hAnsi="Times New Roman" w:cs="Times New Roman"/>
          <w:i/>
        </w:rPr>
      </w:pPr>
      <w:r w:rsidRPr="005A48A1">
        <w:rPr>
          <w:rFonts w:ascii="Times New Roman" w:eastAsia="Calibri" w:hAnsi="Times New Roman" w:cs="Times New Roman"/>
          <w:i/>
        </w:rPr>
        <w:t>Follicularis lymphoma</w:t>
      </w:r>
    </w:p>
    <w:tbl>
      <w:tblPr>
        <w:tblStyle w:val="Rcsostblzat"/>
        <w:tblW w:w="0" w:type="auto"/>
        <w:tblLook w:val="04A0" w:firstRow="1" w:lastRow="0" w:firstColumn="1" w:lastColumn="0" w:noHBand="0" w:noVBand="1"/>
      </w:tblPr>
      <w:tblGrid>
        <w:gridCol w:w="4530"/>
        <w:gridCol w:w="4530"/>
      </w:tblGrid>
      <w:tr w:rsidR="000801FE" w:rsidRPr="00B94410" w14:paraId="33D51D32" w14:textId="77777777" w:rsidTr="00F36C14">
        <w:tc>
          <w:tcPr>
            <w:tcW w:w="4530" w:type="dxa"/>
          </w:tcPr>
          <w:p w14:paraId="0D624CAD" w14:textId="22703EF6" w:rsidR="000801FE" w:rsidRPr="005A48A1" w:rsidRDefault="000801FE" w:rsidP="00F36C14">
            <w:pPr>
              <w:keepNext/>
              <w:rPr>
                <w:rFonts w:ascii="Times New Roman" w:eastAsia="Calibri" w:hAnsi="Times New Roman" w:cs="Times New Roman"/>
                <w:b/>
              </w:rPr>
            </w:pPr>
            <w:r w:rsidRPr="005A48A1">
              <w:rPr>
                <w:rFonts w:ascii="Times New Roman" w:eastAsia="Calibri" w:hAnsi="Times New Roman" w:cs="Times New Roman"/>
                <w:b/>
              </w:rPr>
              <w:t>Veseműködés (CrCl)</w:t>
            </w:r>
          </w:p>
        </w:tc>
        <w:tc>
          <w:tcPr>
            <w:tcW w:w="4530" w:type="dxa"/>
          </w:tcPr>
          <w:p w14:paraId="0F2450C8" w14:textId="77777777" w:rsidR="000801FE" w:rsidRPr="005A48A1" w:rsidRDefault="000801FE" w:rsidP="00F36C14">
            <w:pPr>
              <w:keepNext/>
              <w:rPr>
                <w:rFonts w:ascii="Times New Roman" w:eastAsia="Calibri" w:hAnsi="Times New Roman" w:cs="Times New Roman"/>
              </w:rPr>
            </w:pPr>
            <w:r w:rsidRPr="005A48A1">
              <w:rPr>
                <w:rFonts w:ascii="Times New Roman" w:eastAsia="Calibri" w:hAnsi="Times New Roman" w:cs="Times New Roman"/>
                <w:b/>
              </w:rPr>
              <w:t>Dózismódosítás</w:t>
            </w:r>
          </w:p>
          <w:p w14:paraId="7F3BCA84" w14:textId="3921FBC6" w:rsidR="000801FE" w:rsidRPr="005A48A1" w:rsidRDefault="000801FE">
            <w:pPr>
              <w:keepNext/>
              <w:rPr>
                <w:rFonts w:ascii="Times New Roman" w:eastAsia="Calibri" w:hAnsi="Times New Roman" w:cs="Times New Roman"/>
              </w:rPr>
            </w:pPr>
            <w:r w:rsidRPr="005A48A1">
              <w:rPr>
                <w:rFonts w:ascii="Times New Roman" w:eastAsia="Calibri" w:hAnsi="Times New Roman" w:cs="Times New Roman"/>
              </w:rPr>
              <w:t>(az ismétlődő, 28 napos ciklusok 1</w:t>
            </w:r>
            <w:r w:rsidR="005F50B2" w:rsidRPr="005A48A1">
              <w:rPr>
                <w:rFonts w:ascii="Times New Roman" w:eastAsia="Calibri" w:hAnsi="Times New Roman" w:cs="Times New Roman"/>
              </w:rPr>
              <w:t>.</w:t>
            </w:r>
            <w:r w:rsidRPr="005A48A1">
              <w:rPr>
                <w:rFonts w:ascii="Times New Roman" w:eastAsia="Calibri" w:hAnsi="Times New Roman" w:cs="Times New Roman"/>
              </w:rPr>
              <w:t>–21. napján)</w:t>
            </w:r>
          </w:p>
        </w:tc>
      </w:tr>
      <w:tr w:rsidR="000801FE" w:rsidRPr="00B94410" w14:paraId="5A38E6EC" w14:textId="77777777" w:rsidTr="00F36C14">
        <w:tc>
          <w:tcPr>
            <w:tcW w:w="4530" w:type="dxa"/>
          </w:tcPr>
          <w:p w14:paraId="11CDC8BB" w14:textId="249E7E71" w:rsidR="000801FE" w:rsidRPr="005A48A1" w:rsidRDefault="000801FE" w:rsidP="00F36C14">
            <w:pPr>
              <w:keepNext/>
              <w:rPr>
                <w:rFonts w:ascii="Times New Roman" w:eastAsia="Calibri" w:hAnsi="Times New Roman" w:cs="Times New Roman"/>
              </w:rPr>
            </w:pPr>
            <w:r w:rsidRPr="005A48A1">
              <w:rPr>
                <w:rFonts w:ascii="Times New Roman" w:eastAsia="Calibri" w:hAnsi="Times New Roman" w:cs="Times New Roman"/>
              </w:rPr>
              <w:t>Közepes</w:t>
            </w:r>
            <w:r w:rsidR="004D1937" w:rsidRPr="005A48A1">
              <w:rPr>
                <w:rFonts w:ascii="Times New Roman" w:eastAsia="Calibri" w:hAnsi="Times New Roman" w:cs="Times New Roman"/>
              </w:rPr>
              <w:t xml:space="preserve"> fokú</w:t>
            </w:r>
            <w:r w:rsidRPr="005A48A1">
              <w:rPr>
                <w:rFonts w:ascii="Times New Roman" w:eastAsia="Calibri" w:hAnsi="Times New Roman" w:cs="Times New Roman"/>
              </w:rPr>
              <w:t xml:space="preserve"> vesekárosodás</w:t>
            </w:r>
          </w:p>
          <w:p w14:paraId="1E9A5EF0" w14:textId="280CAF85" w:rsidR="000801FE" w:rsidRPr="005A48A1" w:rsidRDefault="000801FE" w:rsidP="00F36C14">
            <w:pPr>
              <w:keepNext/>
              <w:rPr>
                <w:rFonts w:ascii="Times New Roman" w:eastAsia="Calibri" w:hAnsi="Times New Roman" w:cs="Times New Roman"/>
              </w:rPr>
            </w:pPr>
            <w:r w:rsidRPr="005A48A1">
              <w:rPr>
                <w:rFonts w:ascii="Times New Roman" w:eastAsia="Calibri" w:hAnsi="Times New Roman" w:cs="Times New Roman"/>
              </w:rPr>
              <w:t>(30 ≤ CrCl &lt; 60 ml/perc)</w:t>
            </w:r>
          </w:p>
        </w:tc>
        <w:tc>
          <w:tcPr>
            <w:tcW w:w="4530" w:type="dxa"/>
          </w:tcPr>
          <w:p w14:paraId="2338EF16" w14:textId="21A6E65D" w:rsidR="000801FE" w:rsidRPr="005A48A1" w:rsidRDefault="00AF35A9" w:rsidP="00F36C14">
            <w:pPr>
              <w:keepNext/>
              <w:rPr>
                <w:rFonts w:ascii="Times New Roman" w:eastAsia="Calibri" w:hAnsi="Times New Roman" w:cs="Times New Roman"/>
              </w:rPr>
            </w:pPr>
            <w:r w:rsidRPr="005A48A1">
              <w:rPr>
                <w:rFonts w:ascii="Times New Roman" w:eastAsia="Calibri" w:hAnsi="Times New Roman" w:cs="Times New Roman"/>
              </w:rPr>
              <w:t>10 mg n</w:t>
            </w:r>
            <w:r w:rsidR="000801FE" w:rsidRPr="005A48A1">
              <w:rPr>
                <w:rFonts w:ascii="Times New Roman" w:eastAsia="Calibri" w:hAnsi="Times New Roman" w:cs="Times New Roman"/>
              </w:rPr>
              <w:t>aponta egyszer</w:t>
            </w:r>
            <w:r w:rsidR="000801FE" w:rsidRPr="005A48A1">
              <w:rPr>
                <w:rFonts w:ascii="Times New Roman" w:eastAsia="Calibri" w:hAnsi="Times New Roman" w:cs="Times New Roman"/>
                <w:vertAlign w:val="superscript"/>
              </w:rPr>
              <w:t>1</w:t>
            </w:r>
            <w:r w:rsidR="009706B9" w:rsidRPr="005A48A1">
              <w:rPr>
                <w:rFonts w:ascii="Times New Roman" w:eastAsia="Calibri" w:hAnsi="Times New Roman" w:cs="Times New Roman"/>
                <w:vertAlign w:val="superscript"/>
              </w:rPr>
              <w:t>,2</w:t>
            </w:r>
            <w:r w:rsidRPr="005A48A1">
              <w:rPr>
                <w:rFonts w:ascii="Times New Roman" w:eastAsia="Calibri" w:hAnsi="Times New Roman" w:cs="Times New Roman"/>
              </w:rPr>
              <w:t>.</w:t>
            </w:r>
          </w:p>
        </w:tc>
      </w:tr>
      <w:tr w:rsidR="000801FE" w:rsidRPr="00B94410" w14:paraId="5924478E" w14:textId="77777777" w:rsidTr="00F36C14">
        <w:tc>
          <w:tcPr>
            <w:tcW w:w="4530" w:type="dxa"/>
          </w:tcPr>
          <w:p w14:paraId="53FFD3F5" w14:textId="3CB88B03" w:rsidR="000801FE" w:rsidRPr="005A48A1" w:rsidRDefault="000801FE" w:rsidP="00F36C14">
            <w:pPr>
              <w:rPr>
                <w:rFonts w:ascii="Times New Roman" w:eastAsia="Calibri" w:hAnsi="Times New Roman" w:cs="Times New Roman"/>
              </w:rPr>
            </w:pPr>
            <w:r w:rsidRPr="005A48A1">
              <w:rPr>
                <w:rFonts w:ascii="Times New Roman" w:eastAsia="Calibri" w:hAnsi="Times New Roman" w:cs="Times New Roman"/>
              </w:rPr>
              <w:t xml:space="preserve">Súlyos </w:t>
            </w:r>
            <w:r w:rsidR="004D1937" w:rsidRPr="005A48A1">
              <w:rPr>
                <w:rFonts w:ascii="Times New Roman" w:eastAsia="Calibri" w:hAnsi="Times New Roman" w:cs="Times New Roman"/>
              </w:rPr>
              <w:t xml:space="preserve">fokú </w:t>
            </w:r>
            <w:r w:rsidRPr="005A48A1">
              <w:rPr>
                <w:rFonts w:ascii="Times New Roman" w:eastAsia="Calibri" w:hAnsi="Times New Roman" w:cs="Times New Roman"/>
              </w:rPr>
              <w:t>vesekárosodás</w:t>
            </w:r>
          </w:p>
          <w:p w14:paraId="1873513F" w14:textId="77777777" w:rsidR="000801FE" w:rsidRPr="005A48A1" w:rsidRDefault="000801FE" w:rsidP="00F36C14">
            <w:pPr>
              <w:rPr>
                <w:rFonts w:ascii="Times New Roman" w:eastAsia="Calibri" w:hAnsi="Times New Roman" w:cs="Times New Roman"/>
              </w:rPr>
            </w:pPr>
            <w:r w:rsidRPr="005A48A1">
              <w:rPr>
                <w:rFonts w:ascii="Times New Roman" w:eastAsia="Calibri" w:hAnsi="Times New Roman" w:cs="Times New Roman"/>
              </w:rPr>
              <w:t>(CrCl &lt; 30 ml/perc és nem szükséges dialízis)</w:t>
            </w:r>
          </w:p>
        </w:tc>
        <w:tc>
          <w:tcPr>
            <w:tcW w:w="4530" w:type="dxa"/>
          </w:tcPr>
          <w:p w14:paraId="01EC1668" w14:textId="2630649E" w:rsidR="000801FE" w:rsidRPr="005A48A1" w:rsidRDefault="00AF35A9" w:rsidP="00F36C14">
            <w:pPr>
              <w:rPr>
                <w:rFonts w:ascii="Times New Roman" w:eastAsia="Calibri" w:hAnsi="Times New Roman" w:cs="Times New Roman"/>
              </w:rPr>
            </w:pPr>
            <w:r w:rsidRPr="005A48A1">
              <w:rPr>
                <w:rFonts w:ascii="Times New Roman" w:eastAsia="Calibri" w:hAnsi="Times New Roman" w:cs="Times New Roman"/>
              </w:rPr>
              <w:t>5 mg naponta egyszer.</w:t>
            </w:r>
          </w:p>
        </w:tc>
      </w:tr>
      <w:tr w:rsidR="000801FE" w:rsidRPr="00B94410" w14:paraId="11D2637E" w14:textId="77777777" w:rsidTr="00F36C14">
        <w:tc>
          <w:tcPr>
            <w:tcW w:w="4530" w:type="dxa"/>
          </w:tcPr>
          <w:p w14:paraId="5FDA0022" w14:textId="77777777" w:rsidR="000801FE" w:rsidRPr="005A48A1" w:rsidRDefault="000801FE" w:rsidP="00F36C14">
            <w:pPr>
              <w:rPr>
                <w:rFonts w:ascii="Times New Roman" w:eastAsia="Calibri" w:hAnsi="Times New Roman" w:cs="Times New Roman"/>
              </w:rPr>
            </w:pPr>
            <w:r w:rsidRPr="005A48A1">
              <w:rPr>
                <w:rFonts w:ascii="Times New Roman" w:eastAsia="Calibri" w:hAnsi="Times New Roman" w:cs="Times New Roman"/>
              </w:rPr>
              <w:t>Végstádiumú vesebetegség (ESRD)</w:t>
            </w:r>
          </w:p>
          <w:p w14:paraId="4943F842" w14:textId="77777777" w:rsidR="000801FE" w:rsidRPr="005A48A1" w:rsidRDefault="000801FE" w:rsidP="00F36C14">
            <w:pPr>
              <w:rPr>
                <w:rFonts w:ascii="Times New Roman" w:eastAsia="Calibri" w:hAnsi="Times New Roman" w:cs="Times New Roman"/>
              </w:rPr>
            </w:pPr>
            <w:r w:rsidRPr="005A48A1">
              <w:rPr>
                <w:rFonts w:ascii="Times New Roman" w:eastAsia="Calibri" w:hAnsi="Times New Roman" w:cs="Times New Roman"/>
              </w:rPr>
              <w:t>(CrCl&lt; 30 ml/perc és dialízis szükséges)</w:t>
            </w:r>
          </w:p>
        </w:tc>
        <w:tc>
          <w:tcPr>
            <w:tcW w:w="4530" w:type="dxa"/>
          </w:tcPr>
          <w:p w14:paraId="4F97E8FF" w14:textId="484ECD0A" w:rsidR="000801FE" w:rsidRPr="005A48A1" w:rsidRDefault="00AF35A9" w:rsidP="00430504">
            <w:pPr>
              <w:rPr>
                <w:rFonts w:ascii="Times New Roman" w:eastAsia="Calibri" w:hAnsi="Times New Roman" w:cs="Times New Roman"/>
              </w:rPr>
            </w:pPr>
            <w:r w:rsidRPr="005A48A1">
              <w:rPr>
                <w:rFonts w:ascii="Times New Roman" w:eastAsia="Calibri" w:hAnsi="Times New Roman" w:cs="Times New Roman"/>
              </w:rPr>
              <w:t>5 mg naponta egyszer. A</w:t>
            </w:r>
            <w:r w:rsidR="00C72EC7" w:rsidRPr="005A48A1">
              <w:rPr>
                <w:rFonts w:ascii="Times New Roman" w:eastAsia="Calibri" w:hAnsi="Times New Roman" w:cs="Times New Roman"/>
              </w:rPr>
              <w:t xml:space="preserve"> dózist </w:t>
            </w:r>
            <w:r w:rsidRPr="005A48A1">
              <w:rPr>
                <w:rFonts w:ascii="Times New Roman" w:eastAsia="Calibri" w:hAnsi="Times New Roman" w:cs="Times New Roman"/>
              </w:rPr>
              <w:t>dialízis-napokon a</w:t>
            </w:r>
            <w:r w:rsidR="00430504" w:rsidRPr="005A48A1">
              <w:rPr>
                <w:rFonts w:ascii="Times New Roman" w:eastAsia="Calibri" w:hAnsi="Times New Roman" w:cs="Times New Roman"/>
              </w:rPr>
              <w:t xml:space="preserve"> </w:t>
            </w:r>
            <w:r w:rsidRPr="005A48A1">
              <w:rPr>
                <w:rFonts w:ascii="Times New Roman" w:eastAsia="Calibri" w:hAnsi="Times New Roman" w:cs="Times New Roman"/>
              </w:rPr>
              <w:t>dialízis után kell alkalmazni.</w:t>
            </w:r>
            <w:r w:rsidRPr="005A48A1" w:rsidDel="00AF35A9">
              <w:rPr>
                <w:rFonts w:ascii="Times New Roman" w:eastAsia="Calibri" w:hAnsi="Times New Roman" w:cs="Times New Roman"/>
              </w:rPr>
              <w:t xml:space="preserve"> </w:t>
            </w:r>
          </w:p>
        </w:tc>
      </w:tr>
    </w:tbl>
    <w:p w14:paraId="4F3F9EFB" w14:textId="26F220F3" w:rsidR="000801FE" w:rsidRPr="00956F16" w:rsidRDefault="000801FE" w:rsidP="000801FE">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1</w:t>
      </w:r>
      <w:r w:rsidRPr="00956F16">
        <w:rPr>
          <w:rFonts w:ascii="Times New Roman" w:eastAsia="Calibri" w:hAnsi="Times New Roman" w:cs="Times New Roman"/>
          <w:sz w:val="18"/>
          <w:szCs w:val="18"/>
        </w:rPr>
        <w:t xml:space="preserve"> Két ciklus után a dózis napi egyszeri 15 mg-ra növelhető, ha a beteg tolerálja</w:t>
      </w:r>
      <w:r w:rsidR="009706B9">
        <w:rPr>
          <w:rFonts w:ascii="Times New Roman" w:eastAsia="Calibri" w:hAnsi="Times New Roman" w:cs="Times New Roman"/>
          <w:sz w:val="18"/>
          <w:szCs w:val="18"/>
        </w:rPr>
        <w:t xml:space="preserve"> a kezelést</w:t>
      </w:r>
      <w:r w:rsidRPr="00956F16">
        <w:rPr>
          <w:rFonts w:ascii="Times New Roman" w:eastAsia="Calibri" w:hAnsi="Times New Roman" w:cs="Times New Roman"/>
          <w:sz w:val="18"/>
          <w:szCs w:val="18"/>
        </w:rPr>
        <w:t>.</w:t>
      </w:r>
    </w:p>
    <w:p w14:paraId="639AE099" w14:textId="73FC1FB6" w:rsidR="009706B9" w:rsidRPr="00E83289" w:rsidRDefault="000801FE" w:rsidP="009706B9">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 xml:space="preserve">2 </w:t>
      </w:r>
      <w:r w:rsidR="009706B9" w:rsidRPr="00E83289">
        <w:rPr>
          <w:rFonts w:ascii="Times New Roman" w:eastAsia="Calibri" w:hAnsi="Times New Roman" w:cs="Times New Roman"/>
          <w:sz w:val="18"/>
          <w:szCs w:val="18"/>
        </w:rPr>
        <w:t>10</w:t>
      </w:r>
      <w:r w:rsidR="009706B9">
        <w:rPr>
          <w:rFonts w:ascii="Times New Roman" w:eastAsia="Calibri" w:hAnsi="Times New Roman" w:cs="Times New Roman"/>
          <w:sz w:val="18"/>
          <w:szCs w:val="18"/>
        </w:rPr>
        <w:t> </w:t>
      </w:r>
      <w:r w:rsidR="009706B9" w:rsidRPr="00E83289">
        <w:rPr>
          <w:rFonts w:ascii="Times New Roman" w:eastAsia="Calibri" w:hAnsi="Times New Roman" w:cs="Times New Roman"/>
          <w:sz w:val="18"/>
          <w:szCs w:val="18"/>
        </w:rPr>
        <w:t xml:space="preserve">mg-os kezdő </w:t>
      </w:r>
      <w:r w:rsidR="009706B9">
        <w:rPr>
          <w:rFonts w:ascii="Times New Roman" w:eastAsia="Calibri" w:hAnsi="Times New Roman" w:cs="Times New Roman"/>
          <w:sz w:val="18"/>
          <w:szCs w:val="18"/>
        </w:rPr>
        <w:t>dózissal</w:t>
      </w:r>
      <w:r w:rsidR="009706B9" w:rsidRPr="00E83289">
        <w:rPr>
          <w:rFonts w:ascii="Times New Roman" w:eastAsia="Calibri" w:hAnsi="Times New Roman" w:cs="Times New Roman"/>
          <w:sz w:val="18"/>
          <w:szCs w:val="18"/>
        </w:rPr>
        <w:t xml:space="preserve"> kezelt betegeknél lenalidomidnak tulajdonított 3. vagy 4.</w:t>
      </w:r>
      <w:r w:rsidR="009706B9">
        <w:rPr>
          <w:rFonts w:ascii="Times New Roman" w:eastAsia="Calibri" w:hAnsi="Times New Roman" w:cs="Times New Roman"/>
          <w:sz w:val="18"/>
          <w:szCs w:val="18"/>
        </w:rPr>
        <w:t> </w:t>
      </w:r>
      <w:r w:rsidR="009706B9" w:rsidRPr="00E83289">
        <w:rPr>
          <w:rFonts w:ascii="Times New Roman" w:eastAsia="Calibri" w:hAnsi="Times New Roman" w:cs="Times New Roman"/>
          <w:sz w:val="18"/>
          <w:szCs w:val="18"/>
        </w:rPr>
        <w:t>fokú neutropenia vagy thrombocytopenia esetén vagy</w:t>
      </w:r>
      <w:r w:rsidR="009706B9">
        <w:rPr>
          <w:rFonts w:ascii="Times New Roman" w:eastAsia="Calibri" w:hAnsi="Times New Roman" w:cs="Times New Roman"/>
          <w:sz w:val="18"/>
          <w:szCs w:val="18"/>
        </w:rPr>
        <w:t xml:space="preserve"> </w:t>
      </w:r>
      <w:r w:rsidR="009706B9" w:rsidRPr="00E83289">
        <w:rPr>
          <w:rFonts w:ascii="Times New Roman" w:eastAsia="Calibri" w:hAnsi="Times New Roman" w:cs="Times New Roman"/>
          <w:sz w:val="18"/>
          <w:szCs w:val="18"/>
        </w:rPr>
        <w:t>egyéb 3. vagy 4.</w:t>
      </w:r>
      <w:r w:rsidR="009706B9">
        <w:rPr>
          <w:rFonts w:ascii="Times New Roman" w:eastAsia="Calibri" w:hAnsi="Times New Roman" w:cs="Times New Roman"/>
          <w:sz w:val="18"/>
          <w:szCs w:val="18"/>
        </w:rPr>
        <w:t> </w:t>
      </w:r>
      <w:r w:rsidR="009706B9" w:rsidRPr="00E83289">
        <w:rPr>
          <w:rFonts w:ascii="Times New Roman" w:eastAsia="Calibri" w:hAnsi="Times New Roman" w:cs="Times New Roman"/>
          <w:sz w:val="18"/>
          <w:szCs w:val="18"/>
        </w:rPr>
        <w:t>fokú toxicitás esetén alkalmazott dóziscsökkentéskor a</w:t>
      </w:r>
      <w:r w:rsidR="009706B9">
        <w:rPr>
          <w:rFonts w:ascii="Times New Roman" w:eastAsia="Calibri" w:hAnsi="Times New Roman" w:cs="Times New Roman"/>
          <w:sz w:val="18"/>
          <w:szCs w:val="18"/>
        </w:rPr>
        <w:t xml:space="preserve"> dózis</w:t>
      </w:r>
      <w:r w:rsidR="009706B9" w:rsidRPr="00E83289">
        <w:rPr>
          <w:rFonts w:ascii="Times New Roman" w:eastAsia="Calibri" w:hAnsi="Times New Roman" w:cs="Times New Roman"/>
          <w:sz w:val="18"/>
          <w:szCs w:val="18"/>
        </w:rPr>
        <w:t xml:space="preserve"> nem csökkenthető másnaponta </w:t>
      </w:r>
      <w:r w:rsidR="009706B9">
        <w:rPr>
          <w:rFonts w:ascii="Times New Roman" w:eastAsia="Calibri" w:hAnsi="Times New Roman" w:cs="Times New Roman"/>
          <w:sz w:val="18"/>
          <w:szCs w:val="18"/>
        </w:rPr>
        <w:t xml:space="preserve">alkalmazott </w:t>
      </w:r>
      <w:r w:rsidR="009706B9" w:rsidRPr="00E83289">
        <w:rPr>
          <w:rFonts w:ascii="Times New Roman" w:eastAsia="Calibri" w:hAnsi="Times New Roman" w:cs="Times New Roman"/>
          <w:sz w:val="18"/>
          <w:szCs w:val="18"/>
        </w:rPr>
        <w:t>5</w:t>
      </w:r>
      <w:r w:rsidR="009706B9">
        <w:rPr>
          <w:rFonts w:ascii="Times New Roman" w:eastAsia="Calibri" w:hAnsi="Times New Roman" w:cs="Times New Roman"/>
          <w:sz w:val="18"/>
          <w:szCs w:val="18"/>
        </w:rPr>
        <w:t> </w:t>
      </w:r>
      <w:r w:rsidR="009706B9" w:rsidRPr="00E83289">
        <w:rPr>
          <w:rFonts w:ascii="Times New Roman" w:eastAsia="Calibri" w:hAnsi="Times New Roman" w:cs="Times New Roman"/>
          <w:sz w:val="18"/>
          <w:szCs w:val="18"/>
        </w:rPr>
        <w:t>mg vagy napi egyszer</w:t>
      </w:r>
      <w:r w:rsidR="009706B9">
        <w:rPr>
          <w:rFonts w:ascii="Times New Roman" w:eastAsia="Calibri" w:hAnsi="Times New Roman" w:cs="Times New Roman"/>
          <w:sz w:val="18"/>
          <w:szCs w:val="18"/>
        </w:rPr>
        <w:t>i</w:t>
      </w:r>
      <w:r w:rsidR="009706B9" w:rsidRPr="00E83289">
        <w:rPr>
          <w:rFonts w:ascii="Times New Roman" w:eastAsia="Calibri" w:hAnsi="Times New Roman" w:cs="Times New Roman"/>
          <w:sz w:val="18"/>
          <w:szCs w:val="18"/>
        </w:rPr>
        <w:t xml:space="preserve"> 2,5</w:t>
      </w:r>
      <w:r w:rsidR="009706B9">
        <w:rPr>
          <w:rFonts w:ascii="Times New Roman" w:eastAsia="Calibri" w:hAnsi="Times New Roman" w:cs="Times New Roman"/>
          <w:sz w:val="18"/>
          <w:szCs w:val="18"/>
        </w:rPr>
        <w:t> </w:t>
      </w:r>
      <w:r w:rsidR="009706B9" w:rsidRPr="00E83289">
        <w:rPr>
          <w:rFonts w:ascii="Times New Roman" w:eastAsia="Calibri" w:hAnsi="Times New Roman" w:cs="Times New Roman"/>
          <w:sz w:val="18"/>
          <w:szCs w:val="18"/>
        </w:rPr>
        <w:t>mg</w:t>
      </w:r>
      <w:r w:rsidR="009706B9">
        <w:rPr>
          <w:rFonts w:ascii="Times New Roman" w:eastAsia="Calibri" w:hAnsi="Times New Roman" w:cs="Times New Roman"/>
          <w:sz w:val="18"/>
          <w:szCs w:val="18"/>
        </w:rPr>
        <w:t xml:space="preserve"> </w:t>
      </w:r>
      <w:r w:rsidR="009706B9" w:rsidRPr="00E83289">
        <w:rPr>
          <w:rFonts w:ascii="Times New Roman" w:eastAsia="Calibri" w:hAnsi="Times New Roman" w:cs="Times New Roman"/>
          <w:sz w:val="18"/>
          <w:szCs w:val="18"/>
        </w:rPr>
        <w:t>alá.</w:t>
      </w:r>
    </w:p>
    <w:p w14:paraId="4449EAC0" w14:textId="77777777" w:rsidR="009706B9" w:rsidRDefault="009706B9" w:rsidP="00956F16">
      <w:pPr>
        <w:spacing w:after="0" w:line="240" w:lineRule="auto"/>
        <w:rPr>
          <w:rFonts w:ascii="Times New Roman" w:eastAsia="Calibri" w:hAnsi="Times New Roman" w:cs="Times New Roman"/>
        </w:rPr>
      </w:pPr>
    </w:p>
    <w:p w14:paraId="514BDA0B" w14:textId="0E36342B"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Vesekárosodásban szenvedő betegek esetén a lenalidomid</w:t>
      </w:r>
      <w:r w:rsidR="00104634">
        <w:rPr>
          <w:rFonts w:ascii="Times New Roman" w:eastAsia="Calibri" w:hAnsi="Times New Roman" w:cs="Times New Roman"/>
        </w:rPr>
        <w:t>-</w:t>
      </w:r>
      <w:r w:rsidRPr="00956F16">
        <w:rPr>
          <w:rFonts w:ascii="Times New Roman" w:eastAsia="Calibri" w:hAnsi="Times New Roman" w:cs="Times New Roman"/>
        </w:rPr>
        <w:t>kezelés megkezdése után a további dózismódosításokat a beteg egyedi toleranciája alapján, a fent leírtak szerint kell végezni.</w:t>
      </w:r>
    </w:p>
    <w:p w14:paraId="65F8B25C" w14:textId="77777777" w:rsidR="00956F16" w:rsidRPr="00956F16" w:rsidRDefault="00956F16" w:rsidP="00956F16">
      <w:pPr>
        <w:spacing w:after="0" w:line="240" w:lineRule="auto"/>
        <w:rPr>
          <w:rFonts w:ascii="Times New Roman" w:eastAsia="Calibri" w:hAnsi="Times New Roman" w:cs="Times New Roman"/>
        </w:rPr>
      </w:pPr>
    </w:p>
    <w:p w14:paraId="10DF4F83" w14:textId="77777777" w:rsidR="00956F16" w:rsidRPr="00956F16" w:rsidRDefault="00956F16" w:rsidP="00956F16">
      <w:pPr>
        <w:keepNext/>
        <w:numPr>
          <w:ilvl w:val="0"/>
          <w:numId w:val="16"/>
        </w:numPr>
        <w:tabs>
          <w:tab w:val="left" w:pos="567"/>
        </w:tabs>
        <w:spacing w:after="0" w:line="240" w:lineRule="auto"/>
        <w:ind w:left="567" w:hanging="567"/>
        <w:rPr>
          <w:rFonts w:ascii="Times New Roman" w:eastAsia="Calibri" w:hAnsi="Times New Roman" w:cs="Times New Roman"/>
          <w:u w:val="single"/>
        </w:rPr>
      </w:pPr>
      <w:r w:rsidRPr="00956F16">
        <w:rPr>
          <w:rFonts w:ascii="Times New Roman" w:eastAsia="Calibri" w:hAnsi="Times New Roman" w:cs="Times New Roman"/>
          <w:u w:val="single"/>
        </w:rPr>
        <w:t>Májkárosodás</w:t>
      </w:r>
    </w:p>
    <w:p w14:paraId="61FA1121"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lenalidomidot hivatalosan nem vizsgálták májkárosodásban szenvedő betegeknél, és nincsenek specifikus dózisajánlások.</w:t>
      </w:r>
    </w:p>
    <w:p w14:paraId="51701633" w14:textId="77777777" w:rsidR="00956F16" w:rsidRPr="00956F16" w:rsidRDefault="00956F16" w:rsidP="00956F16">
      <w:pPr>
        <w:spacing w:after="0" w:line="240" w:lineRule="auto"/>
        <w:rPr>
          <w:rFonts w:ascii="Times New Roman" w:eastAsia="Calibri" w:hAnsi="Times New Roman" w:cs="Times New Roman"/>
        </w:rPr>
      </w:pPr>
    </w:p>
    <w:p w14:paraId="54107BFE"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u w:val="single"/>
        </w:rPr>
        <w:t>Az alkalmazás módja</w:t>
      </w:r>
    </w:p>
    <w:p w14:paraId="17719478"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Szájon át történő alkalmazásra.</w:t>
      </w:r>
    </w:p>
    <w:p w14:paraId="7B598739" w14:textId="507C037A"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Lenalidomide Grindeks kapszulákat a beütemezett napokon, hozzávetőleg ugyanabban az időpontban kell bevenni, szájon át. A kapszulákat nem szabad felnyitni, összetörni vagy megrágni. A kapszulákat egészben kell lenyelni, lehetőleg vízzel, étellel együtt vagy </w:t>
      </w:r>
      <w:r w:rsidR="00B94410">
        <w:rPr>
          <w:rFonts w:ascii="Times New Roman" w:eastAsia="Calibri" w:hAnsi="Times New Roman" w:cs="Times New Roman"/>
        </w:rPr>
        <w:t>étkezéstől függetlenül</w:t>
      </w:r>
      <w:r w:rsidRPr="00956F16">
        <w:rPr>
          <w:rFonts w:ascii="Times New Roman" w:eastAsia="Calibri" w:hAnsi="Times New Roman" w:cs="Times New Roman"/>
        </w:rPr>
        <w:t>.</w:t>
      </w:r>
    </w:p>
    <w:p w14:paraId="34A5886C" w14:textId="77777777" w:rsidR="00956F16" w:rsidRPr="00956F16" w:rsidRDefault="00956F16" w:rsidP="00956F16">
      <w:pPr>
        <w:spacing w:after="0" w:line="240" w:lineRule="auto"/>
        <w:rPr>
          <w:rFonts w:ascii="Times New Roman" w:eastAsia="Calibri" w:hAnsi="Times New Roman" w:cs="Times New Roman"/>
        </w:rPr>
      </w:pPr>
    </w:p>
    <w:p w14:paraId="4D6F74AB"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kapszulának csak az egyik végét javasolt megnyomni a buborékcsomagolásból való eltávolításhoz, csökkentve ezzel a kapszula deformálódásának vagy törésének kockázatát.</w:t>
      </w:r>
    </w:p>
    <w:p w14:paraId="47DBB15E" w14:textId="77777777" w:rsidR="00956F16" w:rsidRPr="00956F16" w:rsidRDefault="00956F16" w:rsidP="00956F16">
      <w:pPr>
        <w:spacing w:after="0" w:line="240" w:lineRule="auto"/>
        <w:rPr>
          <w:rFonts w:ascii="Times New Roman" w:eastAsia="Calibri" w:hAnsi="Times New Roman" w:cs="Times New Roman"/>
        </w:rPr>
      </w:pPr>
    </w:p>
    <w:p w14:paraId="5230368B"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4.3</w:t>
      </w:r>
      <w:r w:rsidRPr="00956F16">
        <w:rPr>
          <w:rFonts w:ascii="Times New Roman" w:eastAsia="Calibri" w:hAnsi="Times New Roman" w:cs="Times New Roman"/>
          <w:b/>
        </w:rPr>
        <w:tab/>
        <w:t>Ellenjavallatok</w:t>
      </w:r>
    </w:p>
    <w:p w14:paraId="1EA952B5" w14:textId="77777777" w:rsidR="00956F16" w:rsidRPr="00956F16" w:rsidRDefault="00956F16" w:rsidP="00956F16">
      <w:pPr>
        <w:keepNext/>
        <w:spacing w:after="0" w:line="240" w:lineRule="auto"/>
        <w:rPr>
          <w:rFonts w:ascii="Times New Roman" w:eastAsia="Calibri" w:hAnsi="Times New Roman" w:cs="Times New Roman"/>
        </w:rPr>
      </w:pPr>
    </w:p>
    <w:p w14:paraId="60D6A5EB" w14:textId="77777777" w:rsidR="00956F16" w:rsidRPr="00956F16" w:rsidRDefault="00956F16" w:rsidP="00956F16">
      <w:pPr>
        <w:keepNext/>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w:t>
      </w:r>
      <w:r w:rsidRPr="00956F16">
        <w:rPr>
          <w:rFonts w:ascii="Times New Roman" w:eastAsia="Calibri" w:hAnsi="Times New Roman" w:cs="Times New Roman"/>
        </w:rPr>
        <w:tab/>
        <w:t>A készítmény hatóanyagával vagy a 6.1 pontban felsorolt bármely segédanyagával szembeni túlérzékenység.</w:t>
      </w:r>
    </w:p>
    <w:p w14:paraId="25A8231B" w14:textId="77777777" w:rsidR="00956F16" w:rsidRPr="00956F16" w:rsidRDefault="00956F16" w:rsidP="00956F16">
      <w:pPr>
        <w:keepNext/>
        <w:tabs>
          <w:tab w:val="left" w:pos="567"/>
        </w:tabs>
        <w:spacing w:after="0" w:line="240" w:lineRule="auto"/>
        <w:rPr>
          <w:rFonts w:ascii="Times New Roman" w:eastAsia="Calibri" w:hAnsi="Times New Roman" w:cs="Times New Roman"/>
        </w:rPr>
      </w:pPr>
      <w:r w:rsidRPr="00956F16">
        <w:rPr>
          <w:rFonts w:ascii="Times New Roman" w:eastAsia="Calibri" w:hAnsi="Times New Roman" w:cs="Times New Roman"/>
        </w:rPr>
        <w:t>-</w:t>
      </w:r>
      <w:r w:rsidRPr="00956F16">
        <w:rPr>
          <w:rFonts w:ascii="Times New Roman" w:eastAsia="Calibri" w:hAnsi="Times New Roman" w:cs="Times New Roman"/>
        </w:rPr>
        <w:tab/>
        <w:t>Terhes nők.</w:t>
      </w:r>
    </w:p>
    <w:p w14:paraId="3E578A84" w14:textId="77777777" w:rsidR="00956F16" w:rsidRPr="00956F16" w:rsidRDefault="00956F16" w:rsidP="00956F16">
      <w:p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w:t>
      </w:r>
      <w:r w:rsidRPr="00956F16">
        <w:rPr>
          <w:rFonts w:ascii="Times New Roman" w:eastAsia="Calibri" w:hAnsi="Times New Roman" w:cs="Times New Roman"/>
        </w:rPr>
        <w:tab/>
        <w:t>Fogamzóképes nők, kivéve, ha betartják a terhességmegelőző program összes feltételét (lásd 4.4 és 4.6 pont).</w:t>
      </w:r>
    </w:p>
    <w:p w14:paraId="3F69BD46" w14:textId="77777777" w:rsidR="00956F16" w:rsidRPr="00956F16" w:rsidRDefault="00956F16" w:rsidP="00956F16">
      <w:pPr>
        <w:spacing w:after="0" w:line="240" w:lineRule="auto"/>
        <w:rPr>
          <w:rFonts w:ascii="Times New Roman" w:eastAsia="Calibri" w:hAnsi="Times New Roman" w:cs="Times New Roman"/>
        </w:rPr>
      </w:pPr>
    </w:p>
    <w:p w14:paraId="568EFFAB"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lastRenderedPageBreak/>
        <w:t>4.4</w:t>
      </w:r>
      <w:r w:rsidRPr="00956F16">
        <w:rPr>
          <w:rFonts w:ascii="Times New Roman" w:eastAsia="Calibri" w:hAnsi="Times New Roman" w:cs="Times New Roman"/>
          <w:b/>
        </w:rPr>
        <w:tab/>
        <w:t>Különleges figyelmeztetések és az alkalmazással kapcsolatos óvintézkedések</w:t>
      </w:r>
    </w:p>
    <w:p w14:paraId="46F329C6" w14:textId="77777777" w:rsidR="00956F16" w:rsidRDefault="00956F16" w:rsidP="00956F16">
      <w:pPr>
        <w:keepNext/>
        <w:spacing w:after="0" w:line="240" w:lineRule="auto"/>
        <w:rPr>
          <w:rFonts w:ascii="Times New Roman" w:eastAsia="Calibri" w:hAnsi="Times New Roman" w:cs="Times New Roman"/>
        </w:rPr>
      </w:pPr>
    </w:p>
    <w:p w14:paraId="1D502DBD" w14:textId="3B2FCFE9" w:rsidR="00F44D42" w:rsidRPr="00441247" w:rsidRDefault="00F44D42" w:rsidP="00956F16">
      <w:pPr>
        <w:keepNext/>
        <w:spacing w:after="0" w:line="240" w:lineRule="auto"/>
        <w:rPr>
          <w:rFonts w:ascii="Times New Roman" w:eastAsia="Calibri" w:hAnsi="Times New Roman" w:cs="Times New Roman"/>
          <w:b/>
        </w:rPr>
      </w:pPr>
      <w:r w:rsidRPr="00441247">
        <w:rPr>
          <w:rFonts w:ascii="Times New Roman" w:eastAsia="Calibri" w:hAnsi="Times New Roman" w:cs="Times New Roman"/>
          <w:b/>
        </w:rPr>
        <w:t>Amennyiben a lenalidomidot más gyógyszerekkel kombinációban adják, a kezelés megkezdése előtt tanulmány</w:t>
      </w:r>
      <w:r>
        <w:rPr>
          <w:rFonts w:ascii="Times New Roman" w:eastAsia="Calibri" w:hAnsi="Times New Roman" w:cs="Times New Roman"/>
          <w:b/>
        </w:rPr>
        <w:t>ozni kell az adott gyógyszerek a</w:t>
      </w:r>
      <w:r w:rsidRPr="00441247">
        <w:rPr>
          <w:rFonts w:ascii="Times New Roman" w:eastAsia="Calibri" w:hAnsi="Times New Roman" w:cs="Times New Roman"/>
          <w:b/>
        </w:rPr>
        <w:t>lkalmazási előírását is.</w:t>
      </w:r>
    </w:p>
    <w:p w14:paraId="186EA118" w14:textId="77777777" w:rsidR="00F44D42" w:rsidRPr="00956F16" w:rsidRDefault="00F44D42" w:rsidP="00956F16">
      <w:pPr>
        <w:keepNext/>
        <w:spacing w:after="0" w:line="240" w:lineRule="auto"/>
        <w:rPr>
          <w:rFonts w:ascii="Times New Roman" w:eastAsia="Calibri" w:hAnsi="Times New Roman" w:cs="Times New Roman"/>
        </w:rPr>
      </w:pPr>
    </w:p>
    <w:p w14:paraId="799664EC"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Figyelmeztetések terhesség esetén</w:t>
      </w:r>
    </w:p>
    <w:p w14:paraId="19AAA354"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szerkezetileg hasonló a talidomidhoz. A talidomid ismert humán teratogén hatóanyag, amely súlyos, életet veszélyeztető születési rendellenességeket okoz. A lenalidomid majmoknál a talidomidnál leírtakhoz hasonló malformációkat okozott (lásd 4.6 és 5.3 pont). Ha a lenalidomidot terhesség alatt alkalmazzák, annak teratogén hatása embernél is várható.</w:t>
      </w:r>
    </w:p>
    <w:p w14:paraId="42488F14" w14:textId="77777777" w:rsidR="00956F16" w:rsidRPr="00956F16" w:rsidRDefault="00956F16" w:rsidP="00956F16">
      <w:pPr>
        <w:spacing w:after="0" w:line="240" w:lineRule="auto"/>
        <w:rPr>
          <w:rFonts w:ascii="Times New Roman" w:eastAsia="Calibri" w:hAnsi="Times New Roman" w:cs="Times New Roman"/>
        </w:rPr>
      </w:pPr>
    </w:p>
    <w:p w14:paraId="74A5C9A1"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terhességmegelőző program feltételeit minden betegnek be kell tartania, hacsak nincs megbízható bizonyíték arra, hogy a beteg nem fogamzóképes.</w:t>
      </w:r>
    </w:p>
    <w:p w14:paraId="17351DC0" w14:textId="77777777" w:rsidR="00956F16" w:rsidRPr="00956F16" w:rsidRDefault="00956F16" w:rsidP="00956F16">
      <w:pPr>
        <w:spacing w:after="0" w:line="240" w:lineRule="auto"/>
        <w:rPr>
          <w:rFonts w:ascii="Times New Roman" w:eastAsia="Calibri" w:hAnsi="Times New Roman" w:cs="Times New Roman"/>
        </w:rPr>
      </w:pPr>
    </w:p>
    <w:p w14:paraId="6BC316C1"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A fogamzóképtelenség feltételei nőknél</w:t>
      </w:r>
    </w:p>
    <w:p w14:paraId="364CD94F"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Egy nőbeteg vagy </w:t>
      </w:r>
      <w:r w:rsidRPr="00956F16">
        <w:rPr>
          <w:rFonts w:ascii="Times New Roman" w:eastAsia="Calibri" w:hAnsi="Times New Roman" w:cs="Times New Roman"/>
        </w:rPr>
        <w:lastRenderedPageBreak/>
        <w:t>egy férfi beteg nő partnere fogamzóképesnek tekintendő, hacsak nem teljesül rá az alábbi követelmények közül legalább egy:</w:t>
      </w:r>
    </w:p>
    <w:p w14:paraId="3D397475"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50 éves vagy annál idősebb életkor, és a természetes amenorrhea legalább 1 éve tart (daganatkezelést követő vagy szoptatás idején fennálló amenorrhea nem zárja ki a beteg fogamzóképességét).</w:t>
      </w:r>
    </w:p>
    <w:p w14:paraId="60356E4A"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nőgyógyász szakorvos által igazolt korai petefészek-elégtelenség.</w:t>
      </w:r>
    </w:p>
    <w:p w14:paraId="7CD4F927"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előzetes kétoldali salpingo-oophorectomia vagy hysterectomia.</w:t>
      </w:r>
    </w:p>
    <w:p w14:paraId="11673911" w14:textId="409E3F74"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XY genotípus, Turner</w:t>
      </w:r>
      <w:r w:rsidR="00104634">
        <w:rPr>
          <w:rFonts w:ascii="Times New Roman" w:eastAsia="Calibri" w:hAnsi="Times New Roman" w:cs="Times New Roman"/>
        </w:rPr>
        <w:t>-</w:t>
      </w:r>
      <w:r w:rsidRPr="00956F16">
        <w:rPr>
          <w:rFonts w:ascii="Times New Roman" w:eastAsia="Calibri" w:hAnsi="Times New Roman" w:cs="Times New Roman"/>
        </w:rPr>
        <w:t>szindróma, uterus agenesia.</w:t>
      </w:r>
    </w:p>
    <w:p w14:paraId="40050A3B" w14:textId="77777777" w:rsidR="00956F16" w:rsidRPr="00956F16" w:rsidRDefault="00956F16" w:rsidP="00956F16">
      <w:pPr>
        <w:spacing w:after="0" w:line="240" w:lineRule="auto"/>
        <w:rPr>
          <w:rFonts w:ascii="Times New Roman" w:eastAsia="Calibri" w:hAnsi="Times New Roman" w:cs="Times New Roman"/>
        </w:rPr>
      </w:pPr>
    </w:p>
    <w:p w14:paraId="1C665719"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Tanácsadás</w:t>
      </w:r>
    </w:p>
    <w:p w14:paraId="1D280F82"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A fogamzóképes nők számára a lenalidomid ellenjavallt, hacsak a nő nem felel meg az alábbi követelmények mindegyikének:</w:t>
      </w:r>
    </w:p>
    <w:p w14:paraId="24E7B543" w14:textId="77777777" w:rsidR="00956F16" w:rsidRPr="00956F16" w:rsidRDefault="00956F16" w:rsidP="00956F16">
      <w:pPr>
        <w:widowControl w:val="0"/>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A beteg megérti a születendő magzatot érintő várható teratogén kockázatot.</w:t>
      </w:r>
    </w:p>
    <w:p w14:paraId="6821864E" w14:textId="4960F109" w:rsidR="00956F16" w:rsidRPr="00956F16" w:rsidRDefault="00956F16" w:rsidP="00956F16">
      <w:pPr>
        <w:widowControl w:val="0"/>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 xml:space="preserve">A beteg megérti, hogy megszakítás nélküli, hatékony fogamzásgátlásra van szükség, amit </w:t>
      </w:r>
      <w:r w:rsidR="00F44D42">
        <w:rPr>
          <w:rFonts w:ascii="Times New Roman" w:eastAsia="Calibri" w:hAnsi="Times New Roman" w:cs="Times New Roman"/>
        </w:rPr>
        <w:t xml:space="preserve">legalább </w:t>
      </w:r>
      <w:r w:rsidRPr="00956F16">
        <w:rPr>
          <w:rFonts w:ascii="Times New Roman" w:eastAsia="Calibri" w:hAnsi="Times New Roman" w:cs="Times New Roman"/>
        </w:rPr>
        <w:t xml:space="preserve">4 héttel a kezelést megelőzően kell elkezdeni, majd folytatni kell a kezelés teljes időtartama alatt és a kezelés befejezését követő további </w:t>
      </w:r>
      <w:r w:rsidR="00F44D42">
        <w:rPr>
          <w:rFonts w:ascii="Times New Roman" w:eastAsia="Calibri" w:hAnsi="Times New Roman" w:cs="Times New Roman"/>
        </w:rPr>
        <w:t xml:space="preserve">legalább </w:t>
      </w:r>
      <w:r w:rsidRPr="00956F16">
        <w:rPr>
          <w:rFonts w:ascii="Times New Roman" w:eastAsia="Calibri" w:hAnsi="Times New Roman" w:cs="Times New Roman"/>
        </w:rPr>
        <w:t>4 héten át.</w:t>
      </w:r>
    </w:p>
    <w:p w14:paraId="692A5CAA" w14:textId="77777777" w:rsidR="00956F16" w:rsidRPr="00956F16" w:rsidRDefault="00956F16" w:rsidP="00956F16">
      <w:pPr>
        <w:widowControl w:val="0"/>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A fogamzóképes nőknek még akkor is követniük kell a hatékony fogamzásgátlásra vonatkozó tanácsokat, ha amenorrheájuk van.</w:t>
      </w:r>
    </w:p>
    <w:p w14:paraId="1931C90A" w14:textId="77777777" w:rsidR="00956F16" w:rsidRPr="00956F16" w:rsidRDefault="00956F16" w:rsidP="00956F16">
      <w:pPr>
        <w:widowControl w:val="0"/>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A betegnek képesnek kell lenie arra, hogy betartsa a hatékony fogamzásgátlásra vonatkozó szabályokat.</w:t>
      </w:r>
    </w:p>
    <w:p w14:paraId="25FA51F6" w14:textId="77777777" w:rsidR="00956F16" w:rsidRPr="00956F16" w:rsidRDefault="00956F16" w:rsidP="00956F16">
      <w:pPr>
        <w:widowControl w:val="0"/>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A beteg tájékoztatást kapott, és megértette a terhesség lehetséges következményeit és annak szükségességét, hogy haladéktalanul orvoshoz kell fordulnia, ha fennáll a terhesség lehetősége.</w:t>
      </w:r>
    </w:p>
    <w:p w14:paraId="0F270F3B" w14:textId="11F520B5" w:rsidR="00956F16" w:rsidRPr="00956F16" w:rsidRDefault="00956F16" w:rsidP="00956F16">
      <w:pPr>
        <w:widowControl w:val="0"/>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A beteg megérti, hogy a lenalidomid</w:t>
      </w:r>
      <w:r w:rsidR="00104634">
        <w:rPr>
          <w:rFonts w:ascii="Times New Roman" w:eastAsia="Calibri" w:hAnsi="Times New Roman" w:cs="Times New Roman"/>
        </w:rPr>
        <w:t>-</w:t>
      </w:r>
      <w:r w:rsidRPr="00956F16">
        <w:rPr>
          <w:rFonts w:ascii="Times New Roman" w:eastAsia="Calibri" w:hAnsi="Times New Roman" w:cs="Times New Roman"/>
        </w:rPr>
        <w:t>kezelést a gyógyszer kiadása után azonnal el kell kezdeni, a negatív terhességi teszteredményt követően.</w:t>
      </w:r>
    </w:p>
    <w:p w14:paraId="687FFB23" w14:textId="270BC521" w:rsidR="00956F16" w:rsidRPr="00956F16" w:rsidRDefault="00956F16" w:rsidP="00956F16">
      <w:pPr>
        <w:widowControl w:val="0"/>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 xml:space="preserve">A beteg megérti és elfogadja annak szükségességét, hogy </w:t>
      </w:r>
      <w:r w:rsidR="00F44D42">
        <w:rPr>
          <w:rFonts w:ascii="Times New Roman" w:eastAsia="Calibri" w:hAnsi="Times New Roman" w:cs="Times New Roman"/>
        </w:rPr>
        <w:t xml:space="preserve">legalább </w:t>
      </w:r>
      <w:r w:rsidRPr="00956F16">
        <w:rPr>
          <w:rFonts w:ascii="Times New Roman" w:eastAsia="Calibri" w:hAnsi="Times New Roman" w:cs="Times New Roman"/>
        </w:rPr>
        <w:t>4 hetente terhességi tesztet kell végezni, kivéve igazolt tubasterilizáció esetén.</w:t>
      </w:r>
    </w:p>
    <w:p w14:paraId="10D24A1B" w14:textId="77777777" w:rsidR="00956F16" w:rsidRPr="00956F16" w:rsidRDefault="00956F16" w:rsidP="00956F16">
      <w:pPr>
        <w:widowControl w:val="0"/>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A beteg megerősíti, hogy megértette a lenalidomid alkalmazásával kapcsolatos kockázatokat és a szükséges elővigyázatossági intézkedéseket.</w:t>
      </w:r>
    </w:p>
    <w:p w14:paraId="6E719FDC" w14:textId="77777777" w:rsidR="00956F16" w:rsidRPr="00956F16" w:rsidRDefault="00956F16" w:rsidP="00956F16">
      <w:pPr>
        <w:widowControl w:val="0"/>
        <w:spacing w:after="0" w:line="240" w:lineRule="auto"/>
        <w:rPr>
          <w:rFonts w:ascii="Times New Roman" w:eastAsia="Calibri" w:hAnsi="Times New Roman" w:cs="Times New Roman"/>
        </w:rPr>
      </w:pPr>
    </w:p>
    <w:p w14:paraId="180EA1A7"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Lenalidomidot szedő férfi betegeknél a farmakokinetikai adatok azt bizonyították, hogy a kezelés során a lenalidomid nagyon alacsony koncentrációban van jelen a humán spermában, a hatóanyag alkalmazásának abbahagyása után 3 nappal pedig már nem mutatható ki egészséges alanyok spermájából (lásd 5.2 pont). Óvintézkedésként – valamint azokat a különleges betegcsoportokat figyelembe véve, amelyeknél az elimináció elhúzódóbb, például vesekárosodásban szenvedőknél – minden lenalidomidot szedő férfi betegnek meg kell felelnie az alábbi követelményeknek:</w:t>
      </w:r>
    </w:p>
    <w:p w14:paraId="045C3859"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Megérti a várható teratogén kockázatot, ha terhes vagy fogamzóképes nővel lép szexuális kapcsolatba.</w:t>
      </w:r>
    </w:p>
    <w:p w14:paraId="60EA560B" w14:textId="63B70C26"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 xml:space="preserve">Megérti az óvszer használatának szükségességét, ha a kezelés alatt, illetve a kezelés megszakítását és/vagy abbahagyását követő </w:t>
      </w:r>
      <w:r w:rsidR="00F44D42">
        <w:rPr>
          <w:rFonts w:ascii="Times New Roman" w:eastAsia="Calibri" w:hAnsi="Times New Roman" w:cs="Times New Roman"/>
        </w:rPr>
        <w:t>legalább 7</w:t>
      </w:r>
      <w:r w:rsidRPr="00956F16">
        <w:rPr>
          <w:rFonts w:ascii="Times New Roman" w:eastAsia="Calibri" w:hAnsi="Times New Roman" w:cs="Times New Roman"/>
        </w:rPr>
        <w:t> </w:t>
      </w:r>
      <w:r w:rsidR="00F44D42">
        <w:rPr>
          <w:rFonts w:ascii="Times New Roman" w:eastAsia="Calibri" w:hAnsi="Times New Roman" w:cs="Times New Roman"/>
        </w:rPr>
        <w:t>napon</w:t>
      </w:r>
      <w:r w:rsidRPr="00956F16">
        <w:rPr>
          <w:rFonts w:ascii="Times New Roman" w:eastAsia="Calibri" w:hAnsi="Times New Roman" w:cs="Times New Roman"/>
        </w:rPr>
        <w:t xml:space="preserve"> belül terhes vagy olyan fogamzóképes nővel lép szexuális kapcsolatba, aki nem alkalmaz hatékony fogamzásgátló módszert (még akkor is, ha a férfi vasectomián esett át).</w:t>
      </w:r>
    </w:p>
    <w:p w14:paraId="18F3C82E"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lastRenderedPageBreak/>
        <w:t>Megérti, hogy amennyiben női partnere teherbe esik, mialatt a férfi Lenalidomide Grindeks-et szed, vagy röviddel azután, hogy abbahagyta a Lenalidomide Grindeks szedését, azonnal tájékoztatnia kell erről a kezelőorvosát, és hogy javasolt a női partnert vizsgálat és tanácsadás céljából, a teratológiában szakképesítéssel vagy abban tapasztalattal rendelkező szakemberhez utalni.</w:t>
      </w:r>
    </w:p>
    <w:p w14:paraId="5B533A91" w14:textId="77777777" w:rsidR="00956F16" w:rsidRPr="00956F16" w:rsidRDefault="00956F16" w:rsidP="00956F16">
      <w:pPr>
        <w:spacing w:after="0" w:line="240" w:lineRule="auto"/>
        <w:rPr>
          <w:rFonts w:ascii="Times New Roman" w:eastAsia="Calibri" w:hAnsi="Times New Roman" w:cs="Times New Roman"/>
        </w:rPr>
      </w:pPr>
    </w:p>
    <w:p w14:paraId="22FAACD0"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A kezelést elrendelő kezelőorvosnak fogamzóképes nők esetén biztosítania kell az alábbiakat:</w:t>
      </w:r>
    </w:p>
    <w:p w14:paraId="05C45CC4"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A beteg betartja a terhességmegelőző program követelményeit, beleértve annak igazolását, hogy azokat kielégítően megértette.</w:t>
      </w:r>
    </w:p>
    <w:p w14:paraId="59277D54"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A beteg elfogadja a fenti feltételeket.</w:t>
      </w:r>
    </w:p>
    <w:p w14:paraId="5AFFED36" w14:textId="77777777" w:rsidR="00956F16" w:rsidRPr="00956F16" w:rsidRDefault="00956F16" w:rsidP="00956F16">
      <w:pPr>
        <w:spacing w:after="0" w:line="240" w:lineRule="auto"/>
        <w:rPr>
          <w:rFonts w:ascii="Times New Roman" w:eastAsia="Calibri" w:hAnsi="Times New Roman" w:cs="Times New Roman"/>
        </w:rPr>
      </w:pPr>
    </w:p>
    <w:p w14:paraId="273C0776"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Fogamzásgátlás</w:t>
      </w:r>
    </w:p>
    <w:p w14:paraId="44F70159" w14:textId="03F471E3"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Fogamzóképes nőknek </w:t>
      </w:r>
      <w:r w:rsidR="006F2215">
        <w:rPr>
          <w:rFonts w:ascii="Times New Roman" w:eastAsia="Calibri" w:hAnsi="Times New Roman" w:cs="Times New Roman"/>
        </w:rPr>
        <w:t xml:space="preserve">legalább </w:t>
      </w:r>
      <w:r w:rsidRPr="00956F16">
        <w:rPr>
          <w:rFonts w:ascii="Times New Roman" w:eastAsia="Calibri" w:hAnsi="Times New Roman" w:cs="Times New Roman"/>
        </w:rPr>
        <w:t xml:space="preserve">egy hatékony fogamzásgátlási módszert kell alkalmazniuk a kezelés megkezdése előtt </w:t>
      </w:r>
      <w:r w:rsidR="00F44D42">
        <w:rPr>
          <w:rFonts w:ascii="Times New Roman" w:eastAsia="Calibri" w:hAnsi="Times New Roman" w:cs="Times New Roman"/>
        </w:rPr>
        <w:t xml:space="preserve">legalább </w:t>
      </w:r>
      <w:r w:rsidRPr="00956F16">
        <w:rPr>
          <w:rFonts w:ascii="Times New Roman" w:eastAsia="Calibri" w:hAnsi="Times New Roman" w:cs="Times New Roman"/>
        </w:rPr>
        <w:t>4 héten át, a kezelés alatt, és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 befejezését követően </w:t>
      </w:r>
      <w:r w:rsidR="00F44D42">
        <w:rPr>
          <w:rFonts w:ascii="Times New Roman" w:eastAsia="Calibri" w:hAnsi="Times New Roman" w:cs="Times New Roman"/>
        </w:rPr>
        <w:t xml:space="preserve">legalább </w:t>
      </w:r>
      <w:r w:rsidRPr="00956F16">
        <w:rPr>
          <w:rFonts w:ascii="Times New Roman" w:eastAsia="Calibri" w:hAnsi="Times New Roman" w:cs="Times New Roman"/>
        </w:rPr>
        <w:t>4 hétig, valamint az adagolás felfüggesztése során is, kivéve, ha a beteg elkötelezi magát az abszolút és folyamatos önmegtartóztatás mellett, és ezt havonta megerősíti. Ha a beteg nem alkalmaz hatékony fogamzásgátlást, akkor egy megfelelően képzett egészségügyi szakemberhez kell utalni fogamzásgátlási tanácsadásra, hogy a beteg elkezdhesse a fogamzásgátlást.</w:t>
      </w:r>
    </w:p>
    <w:p w14:paraId="52FB981C" w14:textId="77777777" w:rsidR="00956F16" w:rsidRPr="00956F16" w:rsidRDefault="00956F16" w:rsidP="00956F16">
      <w:pPr>
        <w:spacing w:after="0" w:line="240" w:lineRule="auto"/>
        <w:rPr>
          <w:rFonts w:ascii="Times New Roman" w:eastAsia="Calibri" w:hAnsi="Times New Roman" w:cs="Times New Roman"/>
        </w:rPr>
      </w:pPr>
    </w:p>
    <w:p w14:paraId="19074FC7"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Megfelelő fogamzásgátlásnak tekinthetők például az alábbi módszerek: </w:t>
      </w:r>
    </w:p>
    <w:p w14:paraId="488C4475"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implantátum,</w:t>
      </w:r>
    </w:p>
    <w:p w14:paraId="482B1B10"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levonorgesztrel-felszabadító, méhen belüli rendszer (IUS/</w:t>
      </w:r>
      <w:r w:rsidRPr="00956F16">
        <w:rPr>
          <w:rFonts w:ascii="Times New Roman" w:eastAsia="Calibri" w:hAnsi="Times New Roman" w:cs="Times New Roman"/>
          <w:spacing w:val="1"/>
        </w:rPr>
        <w:t>i</w:t>
      </w:r>
      <w:r w:rsidRPr="00956F16">
        <w:rPr>
          <w:rFonts w:ascii="Times New Roman" w:eastAsia="Calibri" w:hAnsi="Times New Roman" w:cs="Times New Roman"/>
        </w:rPr>
        <w:t>n</w:t>
      </w:r>
      <w:r w:rsidRPr="00956F16">
        <w:rPr>
          <w:rFonts w:ascii="Times New Roman" w:eastAsia="Calibri" w:hAnsi="Times New Roman" w:cs="Times New Roman"/>
          <w:spacing w:val="1"/>
        </w:rPr>
        <w:t>tra</w:t>
      </w:r>
      <w:r w:rsidRPr="00956F16">
        <w:rPr>
          <w:rFonts w:ascii="Times New Roman" w:eastAsia="Calibri" w:hAnsi="Times New Roman" w:cs="Times New Roman"/>
          <w:spacing w:val="-2"/>
        </w:rPr>
        <w:t>u</w:t>
      </w:r>
      <w:r w:rsidRPr="00956F16">
        <w:rPr>
          <w:rFonts w:ascii="Times New Roman" w:eastAsia="Calibri" w:hAnsi="Times New Roman" w:cs="Times New Roman"/>
          <w:spacing w:val="1"/>
        </w:rPr>
        <w:t>t</w:t>
      </w:r>
      <w:r w:rsidRPr="00956F16">
        <w:rPr>
          <w:rFonts w:ascii="Times New Roman" w:eastAsia="Calibri" w:hAnsi="Times New Roman" w:cs="Times New Roman"/>
          <w:spacing w:val="-2"/>
        </w:rPr>
        <w:t>e</w:t>
      </w:r>
      <w:r w:rsidRPr="00956F16">
        <w:rPr>
          <w:rFonts w:ascii="Times New Roman" w:eastAsia="Calibri" w:hAnsi="Times New Roman" w:cs="Times New Roman"/>
          <w:spacing w:val="1"/>
        </w:rPr>
        <w:t>ri</w:t>
      </w:r>
      <w:r w:rsidRPr="00956F16">
        <w:rPr>
          <w:rFonts w:ascii="Times New Roman" w:eastAsia="Calibri" w:hAnsi="Times New Roman" w:cs="Times New Roman"/>
          <w:spacing w:val="-2"/>
        </w:rPr>
        <w:t>n</w:t>
      </w:r>
      <w:r w:rsidRPr="00956F16">
        <w:rPr>
          <w:rFonts w:ascii="Times New Roman" w:eastAsia="Calibri" w:hAnsi="Times New Roman" w:cs="Times New Roman"/>
        </w:rPr>
        <w:t>e</w:t>
      </w:r>
      <w:r w:rsidRPr="00956F16">
        <w:rPr>
          <w:rFonts w:ascii="Times New Roman" w:eastAsia="Calibri" w:hAnsi="Times New Roman" w:cs="Times New Roman"/>
          <w:spacing w:val="1"/>
        </w:rPr>
        <w:t xml:space="preserve"> </w:t>
      </w:r>
      <w:r w:rsidRPr="00956F16">
        <w:rPr>
          <w:rFonts w:ascii="Times New Roman" w:eastAsia="Calibri" w:hAnsi="Times New Roman" w:cs="Times New Roman"/>
        </w:rPr>
        <w:t>s</w:t>
      </w:r>
      <w:r w:rsidRPr="00956F16">
        <w:rPr>
          <w:rFonts w:ascii="Times New Roman" w:eastAsia="Calibri" w:hAnsi="Times New Roman" w:cs="Times New Roman"/>
          <w:spacing w:val="-2"/>
        </w:rPr>
        <w:t>y</w:t>
      </w:r>
      <w:r w:rsidRPr="00956F16">
        <w:rPr>
          <w:rFonts w:ascii="Times New Roman" w:eastAsia="Calibri" w:hAnsi="Times New Roman" w:cs="Times New Roman"/>
          <w:spacing w:val="1"/>
        </w:rPr>
        <w:t>s</w:t>
      </w:r>
      <w:r w:rsidRPr="00956F16">
        <w:rPr>
          <w:rFonts w:ascii="Times New Roman" w:eastAsia="Calibri" w:hAnsi="Times New Roman" w:cs="Times New Roman"/>
          <w:spacing w:val="-1"/>
        </w:rPr>
        <w:t>t</w:t>
      </w:r>
      <w:r w:rsidRPr="00956F16">
        <w:rPr>
          <w:rFonts w:ascii="Times New Roman" w:eastAsia="Calibri" w:hAnsi="Times New Roman" w:cs="Times New Roman"/>
        </w:rPr>
        <w:t>em),</w:t>
      </w:r>
    </w:p>
    <w:p w14:paraId="38BA177E"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medroxiprogeszteron-acetát depo,</w:t>
      </w:r>
    </w:p>
    <w:p w14:paraId="56241F14"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tubasterilizáció,</w:t>
      </w:r>
    </w:p>
    <w:p w14:paraId="42C92818"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szexuális kapcsolat kizárólag vasectomizált partnerrel; a vasectomiát 2 negatív spermavizsgálattal kell igazolni,</w:t>
      </w:r>
    </w:p>
    <w:p w14:paraId="3A13F4CA"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csak progeszteront tartalmazó ovulációgátló tabletta (azaz dezogesztrel).</w:t>
      </w:r>
    </w:p>
    <w:p w14:paraId="2AA2BB95" w14:textId="77777777" w:rsidR="00956F16" w:rsidRPr="00956F16" w:rsidRDefault="00956F16" w:rsidP="00956F16">
      <w:pPr>
        <w:spacing w:after="0" w:line="240" w:lineRule="auto"/>
        <w:rPr>
          <w:rFonts w:ascii="Times New Roman" w:eastAsia="Calibri" w:hAnsi="Times New Roman" w:cs="Times New Roman"/>
        </w:rPr>
      </w:pPr>
    </w:p>
    <w:p w14:paraId="40030092" w14:textId="48E7232A" w:rsidR="00956F16" w:rsidRPr="00956F16" w:rsidRDefault="00956F16" w:rsidP="006F2215">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vénás thromboembolia kockázata miatt, amely magasabb a lenalidomidot kombinációs kezelés részeként szedő, myeloma multiplexes betegeknél, valamint kisebb mértékű a myeloma multiplexben, </w:t>
      </w:r>
      <w:r w:rsidR="006F2215" w:rsidRPr="006F2215">
        <w:rPr>
          <w:rFonts w:ascii="Times New Roman" w:eastAsia="Calibri" w:hAnsi="Times New Roman" w:cs="Times New Roman"/>
        </w:rPr>
        <w:t>myelodysplasiás szindrómákban és köpenysejtes</w:t>
      </w:r>
      <w:r w:rsidR="006F2215">
        <w:rPr>
          <w:rFonts w:ascii="Times New Roman" w:eastAsia="Calibri" w:hAnsi="Times New Roman" w:cs="Times New Roman"/>
        </w:rPr>
        <w:t xml:space="preserve"> </w:t>
      </w:r>
      <w:r w:rsidR="006F2215" w:rsidRPr="006F2215">
        <w:rPr>
          <w:rFonts w:ascii="Times New Roman" w:eastAsia="Calibri" w:hAnsi="Times New Roman" w:cs="Times New Roman"/>
        </w:rPr>
        <w:t>lymphomában</w:t>
      </w:r>
      <w:r w:rsidR="006F2215">
        <w:rPr>
          <w:rFonts w:ascii="Times New Roman" w:eastAsia="Calibri" w:hAnsi="Times New Roman" w:cs="Times New Roman"/>
        </w:rPr>
        <w:t xml:space="preserve"> </w:t>
      </w:r>
      <w:r w:rsidRPr="00956F16">
        <w:rPr>
          <w:rFonts w:ascii="Times New Roman" w:eastAsia="Calibri" w:hAnsi="Times New Roman" w:cs="Times New Roman"/>
        </w:rPr>
        <w:t>szenvedő, lenalidomid</w:t>
      </w:r>
      <w:r w:rsidR="00104634">
        <w:rPr>
          <w:rFonts w:ascii="Times New Roman" w:eastAsia="Calibri" w:hAnsi="Times New Roman" w:cs="Times New Roman"/>
        </w:rPr>
        <w:t>-</w:t>
      </w:r>
      <w:r w:rsidRPr="00956F16">
        <w:rPr>
          <w:rFonts w:ascii="Times New Roman" w:eastAsia="Calibri" w:hAnsi="Times New Roman" w:cs="Times New Roman"/>
        </w:rPr>
        <w:t>monoterápiában részesülő betegeknél, a kombinált orális fogamzásgátló tabletták alkalmazása nem javasolt (lásd még 4.5 pont). Ha a beteg már kombinált orális fogamzásgátlót szed, át kell térnie a fent felsorolt, hatékony módszerek egyikére. A vénás thromboembolia kockázata a kombinált orális fogamzásgátló elhagyását követő 4</w:t>
      </w:r>
      <w:r w:rsidR="005F50B2">
        <w:rPr>
          <w:rFonts w:ascii="Times New Roman" w:eastAsia="Calibri" w:hAnsi="Times New Roman" w:cs="Times New Roman"/>
        </w:rPr>
        <w:t>–</w:t>
      </w:r>
      <w:r w:rsidRPr="00956F16">
        <w:rPr>
          <w:rFonts w:ascii="Times New Roman" w:eastAsia="Calibri" w:hAnsi="Times New Roman" w:cs="Times New Roman"/>
        </w:rPr>
        <w:t>6 héten keresztül még fennáll. A dexametazonnal történő együttes alkalmazás csökkentheti a fogamzásgátló szteroidok hatásosságát (lásd 4.5 pont).</w:t>
      </w:r>
    </w:p>
    <w:p w14:paraId="4E39B8C8" w14:textId="77777777" w:rsidR="00956F16" w:rsidRPr="00956F16" w:rsidRDefault="00956F16" w:rsidP="00956F16">
      <w:pPr>
        <w:spacing w:after="0" w:line="240" w:lineRule="auto"/>
        <w:rPr>
          <w:rFonts w:ascii="Times New Roman" w:eastAsia="Calibri" w:hAnsi="Times New Roman" w:cs="Times New Roman"/>
        </w:rPr>
      </w:pPr>
    </w:p>
    <w:p w14:paraId="17729F09"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implantátumok és a levonorgesztrel-felszabadító, méhen belüli rendszerek az eszköz felhelyezésével járó fertőzések kialakulásának, valamint a szabálytalan hüvelyi vérzés emelkedett kockázatával járhatnak. A profilaktikus antibiotikumok alkalmazását meg kell fontolni, különösen neutropeniás betegek esetén.</w:t>
      </w:r>
    </w:p>
    <w:p w14:paraId="234BCF99" w14:textId="77777777" w:rsidR="00956F16" w:rsidRPr="00956F16" w:rsidRDefault="00956F16" w:rsidP="00956F16">
      <w:pPr>
        <w:spacing w:after="0" w:line="240" w:lineRule="auto"/>
        <w:rPr>
          <w:rFonts w:ascii="Times New Roman" w:eastAsia="Calibri" w:hAnsi="Times New Roman" w:cs="Times New Roman"/>
        </w:rPr>
      </w:pPr>
    </w:p>
    <w:p w14:paraId="2E67E452"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réz-felszabadító méhen belüli fogamzásgátló eszközök használata általában nem javasolt az eszköz felhelyezésével járó lehetséges fertőzésveszély, valamint a menstruációs vérveszteség miatt, amely a neutropeniás és a thrombocytopeniás betegeket veszélyeztetheti.</w:t>
      </w:r>
    </w:p>
    <w:p w14:paraId="62AED90E" w14:textId="77777777" w:rsidR="00956F16" w:rsidRPr="00956F16" w:rsidRDefault="00956F16" w:rsidP="00956F16">
      <w:pPr>
        <w:spacing w:after="0" w:line="240" w:lineRule="auto"/>
        <w:rPr>
          <w:rFonts w:ascii="Times New Roman" w:eastAsia="Calibri" w:hAnsi="Times New Roman" w:cs="Times New Roman"/>
        </w:rPr>
      </w:pPr>
    </w:p>
    <w:p w14:paraId="68C9E1EC" w14:textId="77777777" w:rsidR="00956F16" w:rsidRPr="00956F16" w:rsidRDefault="00956F16" w:rsidP="00441247">
      <w:pPr>
        <w:keepNext/>
        <w:keepLines/>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Terhességi teszt</w:t>
      </w:r>
    </w:p>
    <w:p w14:paraId="23ED13E5" w14:textId="77777777" w:rsidR="00956F16" w:rsidRPr="00956F16" w:rsidRDefault="00956F16" w:rsidP="00441247">
      <w:pPr>
        <w:keepNext/>
        <w:keepLines/>
        <w:spacing w:after="0" w:line="240" w:lineRule="auto"/>
        <w:rPr>
          <w:rFonts w:ascii="Times New Roman" w:eastAsia="Calibri" w:hAnsi="Times New Roman" w:cs="Times New Roman"/>
        </w:rPr>
      </w:pPr>
      <w:r w:rsidRPr="00956F16">
        <w:rPr>
          <w:rFonts w:ascii="Times New Roman" w:eastAsia="Calibri" w:hAnsi="Times New Roman" w:cs="Times New Roman"/>
        </w:rPr>
        <w:t>Fogamzóképes nőknél a helyi gyakorlatnak megfelelően, orvosi felügyelet mellett legalább 25 mNE/ml érzékenységű terhességi tesztet kell végezni az alábbiakban ismertetettek szerint. Ez a követelmény vonatkozik azokra a fogamzóképes nőkre is, akik teljes mértékű és folyamatos önmegtartóztatást gyakorolnak. Ideális esetben a terhességi tesztnek, a gyógyszer felírásának és kiadásának ugyanazon a napon kell történnie. A lenalidomidot a fogamzóképes nők számára a gyógyszer felírásától számított 7 napon belül ki kell adni.</w:t>
      </w:r>
    </w:p>
    <w:p w14:paraId="59210704" w14:textId="77777777" w:rsidR="00956F16" w:rsidRPr="00956F16" w:rsidRDefault="00956F16" w:rsidP="00956F16">
      <w:pPr>
        <w:spacing w:after="0" w:line="240" w:lineRule="auto"/>
        <w:rPr>
          <w:rFonts w:ascii="Times New Roman" w:eastAsia="Calibri" w:hAnsi="Times New Roman" w:cs="Times New Roman"/>
        </w:rPr>
      </w:pPr>
    </w:p>
    <w:p w14:paraId="63170196"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A kezelés megkezdése előtt</w:t>
      </w:r>
    </w:p>
    <w:p w14:paraId="04A4CF3B" w14:textId="663CF01A"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Orvosi felügyelet mellett terhességi tesztet kell végezni a lenalidomid felírásakor, vagy az ezt megelőző 3 napban, ha a beteg előzőleg hatékony fogamzásgátló módszert alkalmazott legalább </w:t>
      </w:r>
      <w:r w:rsidRPr="00956F16">
        <w:rPr>
          <w:rFonts w:ascii="Times New Roman" w:eastAsia="Calibri" w:hAnsi="Times New Roman" w:cs="Times New Roman"/>
        </w:rPr>
        <w:lastRenderedPageBreak/>
        <w:t>4 héten át. A tesztnek meg kell erősítenie, hogy a beteg nem terhes, amikor elkezdi a lenalidomid</w:t>
      </w:r>
      <w:r w:rsidR="00104634">
        <w:rPr>
          <w:rFonts w:ascii="Times New Roman" w:eastAsia="Calibri" w:hAnsi="Times New Roman" w:cs="Times New Roman"/>
        </w:rPr>
        <w:t>-</w:t>
      </w:r>
      <w:r w:rsidRPr="00956F16">
        <w:rPr>
          <w:rFonts w:ascii="Times New Roman" w:eastAsia="Calibri" w:hAnsi="Times New Roman" w:cs="Times New Roman"/>
        </w:rPr>
        <w:t>kezelést.</w:t>
      </w:r>
    </w:p>
    <w:p w14:paraId="41AEC7F3" w14:textId="77777777" w:rsidR="00956F16" w:rsidRPr="00956F16" w:rsidRDefault="00956F16" w:rsidP="00956F16">
      <w:pPr>
        <w:spacing w:after="0" w:line="240" w:lineRule="auto"/>
        <w:rPr>
          <w:rFonts w:ascii="Times New Roman" w:eastAsia="Calibri" w:hAnsi="Times New Roman" w:cs="Times New Roman"/>
        </w:rPr>
      </w:pPr>
    </w:p>
    <w:p w14:paraId="693993FC"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A beteg utánkövetése és a kezelés befejezése</w:t>
      </w:r>
    </w:p>
    <w:p w14:paraId="60EF1B2A" w14:textId="0059E699" w:rsidR="00956F16" w:rsidRPr="00956F16" w:rsidRDefault="00F44D42" w:rsidP="00956F16">
      <w:pPr>
        <w:spacing w:after="0" w:line="240" w:lineRule="auto"/>
        <w:rPr>
          <w:rFonts w:ascii="Times New Roman" w:eastAsia="Calibri" w:hAnsi="Times New Roman" w:cs="Times New Roman"/>
        </w:rPr>
      </w:pPr>
      <w:r>
        <w:rPr>
          <w:rFonts w:ascii="Times New Roman" w:eastAsia="Calibri" w:hAnsi="Times New Roman" w:cs="Times New Roman"/>
        </w:rPr>
        <w:t>Legalább n</w:t>
      </w:r>
      <w:r w:rsidR="00956F16" w:rsidRPr="00956F16">
        <w:rPr>
          <w:rFonts w:ascii="Times New Roman" w:eastAsia="Calibri" w:hAnsi="Times New Roman" w:cs="Times New Roman"/>
        </w:rPr>
        <w:t xml:space="preserve">égyhetente, orvosi felügyelet mellett terhességi tesztet kell végezni, beleértve a kezelés utáni </w:t>
      </w:r>
      <w:r>
        <w:rPr>
          <w:rFonts w:ascii="Times New Roman" w:eastAsia="Calibri" w:hAnsi="Times New Roman" w:cs="Times New Roman"/>
        </w:rPr>
        <w:t xml:space="preserve">legalább </w:t>
      </w:r>
      <w:r w:rsidR="00956F16" w:rsidRPr="00956F16">
        <w:rPr>
          <w:rFonts w:ascii="Times New Roman" w:eastAsia="Calibri" w:hAnsi="Times New Roman" w:cs="Times New Roman"/>
        </w:rPr>
        <w:t>4. hetet is, kivéve igazolt tubasterilizáció esetén. Ezeket a terhességi teszteket a gyógyszer felírásának napján vagy az azt megelőző 3 napban kell elvégezni.</w:t>
      </w:r>
    </w:p>
    <w:p w14:paraId="4FF1F452" w14:textId="77777777" w:rsidR="00956F16" w:rsidRPr="00956F16" w:rsidRDefault="00956F16" w:rsidP="00956F16">
      <w:pPr>
        <w:spacing w:after="0" w:line="240" w:lineRule="auto"/>
        <w:rPr>
          <w:rFonts w:ascii="Times New Roman" w:eastAsia="Calibri" w:hAnsi="Times New Roman" w:cs="Times New Roman"/>
        </w:rPr>
      </w:pPr>
    </w:p>
    <w:p w14:paraId="1036D45E"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További óvintézkedések</w:t>
      </w:r>
    </w:p>
    <w:p w14:paraId="227DE72D"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betegeket figyelmeztetni kell, hogy ezt a gyógyszert soha nem adhatják oda más személyeknek, és a kezelés végén minden fel nem használt kapszulát vissza kell juttatniuk a gyógyszertárba biztonságos megsemmisítés céljából.</w:t>
      </w:r>
    </w:p>
    <w:p w14:paraId="531A78B2" w14:textId="77777777" w:rsidR="00956F16" w:rsidRPr="00956F16" w:rsidRDefault="00956F16" w:rsidP="00956F16">
      <w:pPr>
        <w:spacing w:after="0" w:line="240" w:lineRule="auto"/>
        <w:rPr>
          <w:rFonts w:ascii="Times New Roman" w:eastAsia="Calibri" w:hAnsi="Times New Roman" w:cs="Times New Roman"/>
        </w:rPr>
      </w:pPr>
    </w:p>
    <w:p w14:paraId="39952C37" w14:textId="4AD3FA39"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 alatt </w:t>
      </w:r>
      <w:r w:rsidR="00430504" w:rsidRPr="00430504">
        <w:rPr>
          <w:rFonts w:ascii="Times New Roman" w:eastAsia="Calibri" w:hAnsi="Times New Roman" w:cs="Times New Roman"/>
        </w:rPr>
        <w:t xml:space="preserve">(az adagolás megszakításának időszakait is beleértve) </w:t>
      </w:r>
      <w:r w:rsidRPr="00956F16">
        <w:rPr>
          <w:rFonts w:ascii="Times New Roman" w:eastAsia="Calibri" w:hAnsi="Times New Roman" w:cs="Times New Roman"/>
        </w:rPr>
        <w:t>és annak befejezését követő</w:t>
      </w:r>
      <w:r w:rsidR="00F44D42">
        <w:rPr>
          <w:rFonts w:ascii="Times New Roman" w:eastAsia="Calibri" w:hAnsi="Times New Roman" w:cs="Times New Roman"/>
        </w:rPr>
        <w:t>en</w:t>
      </w:r>
      <w:r w:rsidRPr="00956F16">
        <w:rPr>
          <w:rFonts w:ascii="Times New Roman" w:eastAsia="Calibri" w:hAnsi="Times New Roman" w:cs="Times New Roman"/>
        </w:rPr>
        <w:t xml:space="preserve"> </w:t>
      </w:r>
      <w:r w:rsidR="00F44D42">
        <w:rPr>
          <w:rFonts w:ascii="Times New Roman" w:eastAsia="Calibri" w:hAnsi="Times New Roman" w:cs="Times New Roman"/>
        </w:rPr>
        <w:t>legalább 7</w:t>
      </w:r>
      <w:r w:rsidRPr="00956F16">
        <w:rPr>
          <w:rFonts w:ascii="Times New Roman" w:eastAsia="Calibri" w:hAnsi="Times New Roman" w:cs="Times New Roman"/>
        </w:rPr>
        <w:t> </w:t>
      </w:r>
      <w:r w:rsidR="00F44D42">
        <w:rPr>
          <w:rFonts w:ascii="Times New Roman" w:eastAsia="Calibri" w:hAnsi="Times New Roman" w:cs="Times New Roman"/>
        </w:rPr>
        <w:t>napig</w:t>
      </w:r>
      <w:r w:rsidRPr="00956F16">
        <w:rPr>
          <w:rFonts w:ascii="Times New Roman" w:eastAsia="Calibri" w:hAnsi="Times New Roman" w:cs="Times New Roman"/>
        </w:rPr>
        <w:t xml:space="preserve"> a betegek nem adhatnak vért</w:t>
      </w:r>
      <w:r w:rsidR="00430504">
        <w:rPr>
          <w:rFonts w:ascii="Times New Roman" w:eastAsia="Calibri" w:hAnsi="Times New Roman" w:cs="Times New Roman"/>
        </w:rPr>
        <w:t>, ondót vagy spermát</w:t>
      </w:r>
      <w:r w:rsidRPr="00956F16">
        <w:rPr>
          <w:rFonts w:ascii="Times New Roman" w:eastAsia="Calibri" w:hAnsi="Times New Roman" w:cs="Times New Roman"/>
        </w:rPr>
        <w:t>.</w:t>
      </w:r>
    </w:p>
    <w:p w14:paraId="2ACE14DF" w14:textId="62BFA602" w:rsidR="00956F16" w:rsidRDefault="00956F16" w:rsidP="00956F16">
      <w:pPr>
        <w:spacing w:after="0" w:line="240" w:lineRule="auto"/>
        <w:rPr>
          <w:rFonts w:ascii="Times New Roman" w:eastAsia="Calibri" w:hAnsi="Times New Roman" w:cs="Times New Roman"/>
        </w:rPr>
      </w:pPr>
    </w:p>
    <w:p w14:paraId="6D5087E5" w14:textId="33EE9E5C" w:rsidR="009706B9" w:rsidRDefault="009706B9" w:rsidP="009706B9">
      <w:pPr>
        <w:spacing w:after="0" w:line="240" w:lineRule="auto"/>
        <w:rPr>
          <w:rFonts w:ascii="Times New Roman" w:eastAsia="Calibri" w:hAnsi="Times New Roman" w:cs="Times New Roman"/>
        </w:rPr>
      </w:pPr>
      <w:r w:rsidRPr="009706B9">
        <w:rPr>
          <w:rFonts w:ascii="Times New Roman" w:eastAsia="Calibri" w:hAnsi="Times New Roman" w:cs="Times New Roman"/>
        </w:rPr>
        <w:t>Az egészségügyi szakembereknek és gondozóknak eldobható kesztyűt kell viselniük a</w:t>
      </w:r>
      <w:r>
        <w:rPr>
          <w:rFonts w:ascii="Times New Roman" w:eastAsia="Calibri" w:hAnsi="Times New Roman" w:cs="Times New Roman"/>
        </w:rPr>
        <w:t xml:space="preserve"> </w:t>
      </w:r>
      <w:r w:rsidRPr="009706B9">
        <w:rPr>
          <w:rFonts w:ascii="Times New Roman" w:eastAsia="Calibri" w:hAnsi="Times New Roman" w:cs="Times New Roman"/>
        </w:rPr>
        <w:t>buborékcsomagolás, illetve a kapszula kezelésekor. A várandós vagy vélhetően várandós nőknek tilos</w:t>
      </w:r>
      <w:r>
        <w:rPr>
          <w:rFonts w:ascii="Times New Roman" w:eastAsia="Calibri" w:hAnsi="Times New Roman" w:cs="Times New Roman"/>
        </w:rPr>
        <w:t xml:space="preserve"> </w:t>
      </w:r>
      <w:r w:rsidRPr="009706B9">
        <w:rPr>
          <w:rFonts w:ascii="Times New Roman" w:eastAsia="Calibri" w:hAnsi="Times New Roman" w:cs="Times New Roman"/>
        </w:rPr>
        <w:t>kezelniük a buborékcsomagolást vagy a kapszulát (lásd 6.6</w:t>
      </w:r>
      <w:r>
        <w:rPr>
          <w:rFonts w:ascii="Times New Roman" w:eastAsia="Calibri" w:hAnsi="Times New Roman" w:cs="Times New Roman"/>
        </w:rPr>
        <w:t> </w:t>
      </w:r>
      <w:r w:rsidRPr="009706B9">
        <w:rPr>
          <w:rFonts w:ascii="Times New Roman" w:eastAsia="Calibri" w:hAnsi="Times New Roman" w:cs="Times New Roman"/>
        </w:rPr>
        <w:t>pont).</w:t>
      </w:r>
    </w:p>
    <w:p w14:paraId="1823D8E2" w14:textId="77777777" w:rsidR="009706B9" w:rsidRPr="00956F16" w:rsidRDefault="009706B9" w:rsidP="009706B9">
      <w:pPr>
        <w:spacing w:after="0" w:line="240" w:lineRule="auto"/>
        <w:rPr>
          <w:rFonts w:ascii="Times New Roman" w:eastAsia="Calibri" w:hAnsi="Times New Roman" w:cs="Times New Roman"/>
        </w:rPr>
      </w:pPr>
    </w:p>
    <w:p w14:paraId="3F036F27"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Oktatóanyag, a felírás és a kiadhatóság korlátozása</w:t>
      </w:r>
    </w:p>
    <w:p w14:paraId="01CBF13B" w14:textId="3B95E7D1" w:rsidR="00956F16" w:rsidRPr="00956F16" w:rsidRDefault="00956F16" w:rsidP="00BF0D2C">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Annak érdekében, hogy a magzati lenalidomid-expozíció elkerülésében segítse a betegeket, a forgalomba hozatali engedély jogosultja tájékozató anyagot biztosít egészségügyi szakemberek számára, hogy megerősítse a figyelmeztetést a lenalidomid várható teratogén hatását illetően, a kezelés megkezdése előtt fogamzásgátlással kapcsolatos tanácsokat nyújtson, és útmutatóval szolgáljon a terhességi tesztek szükségességéről. A gyógyszert felíró orvosnak a terhességmegelőző programban foglaltak szerint tájékoztatnia kell a beteget a várható teratogén kockázatról és a szigorú terhességmegelőző intézkedésekről, valamint el kell látnia a beteget a megfelelő oktató brosúrával, betegkártyával és/vagy </w:t>
      </w:r>
      <w:r w:rsidR="00C72EC7" w:rsidRPr="00956F16">
        <w:rPr>
          <w:rFonts w:ascii="Times New Roman" w:eastAsia="Calibri" w:hAnsi="Times New Roman" w:cs="Times New Roman"/>
        </w:rPr>
        <w:t xml:space="preserve">ezekkel egyenértékű anyagokkal </w:t>
      </w:r>
      <w:r w:rsidRPr="00956F16">
        <w:rPr>
          <w:rFonts w:ascii="Times New Roman" w:eastAsia="Calibri" w:hAnsi="Times New Roman" w:cs="Times New Roman"/>
        </w:rPr>
        <w:t>az adott ország</w:t>
      </w:r>
      <w:r w:rsidR="00C72EC7">
        <w:rPr>
          <w:rFonts w:ascii="Times New Roman" w:eastAsia="Calibri" w:hAnsi="Times New Roman" w:cs="Times New Roman"/>
        </w:rPr>
        <w:t xml:space="preserve"> illetékes hatóságával történt egyeztetésnek megfelelően</w:t>
      </w:r>
      <w:r w:rsidRPr="00956F16">
        <w:rPr>
          <w:rFonts w:ascii="Times New Roman" w:eastAsia="Calibri" w:hAnsi="Times New Roman" w:cs="Times New Roman"/>
        </w:rPr>
        <w:t xml:space="preserve">. Az egyes illetékes nemzeti hatóságokkal együttműködve </w:t>
      </w:r>
      <w:r w:rsidR="00C72EC7">
        <w:rPr>
          <w:rFonts w:ascii="Times New Roman" w:eastAsia="Calibri" w:hAnsi="Times New Roman" w:cs="Times New Roman"/>
        </w:rPr>
        <w:t>kontrollált hozzáférési</w:t>
      </w:r>
      <w:r w:rsidRPr="00956F16">
        <w:rPr>
          <w:rFonts w:ascii="Times New Roman" w:eastAsia="Calibri" w:hAnsi="Times New Roman" w:cs="Times New Roman"/>
        </w:rPr>
        <w:t xml:space="preserve"> </w:t>
      </w:r>
      <w:r w:rsidR="00C72EC7">
        <w:rPr>
          <w:rFonts w:ascii="Times New Roman" w:eastAsia="Calibri" w:hAnsi="Times New Roman" w:cs="Times New Roman"/>
        </w:rPr>
        <w:t>program</w:t>
      </w:r>
      <w:r w:rsidR="00C72EC7" w:rsidRPr="00956F16">
        <w:rPr>
          <w:rFonts w:ascii="Times New Roman" w:eastAsia="Calibri" w:hAnsi="Times New Roman" w:cs="Times New Roman"/>
        </w:rPr>
        <w:t xml:space="preserve"> </w:t>
      </w:r>
      <w:r w:rsidRPr="00956F16">
        <w:rPr>
          <w:rFonts w:ascii="Times New Roman" w:eastAsia="Calibri" w:hAnsi="Times New Roman" w:cs="Times New Roman"/>
        </w:rPr>
        <w:t>került bevezetésre</w:t>
      </w:r>
      <w:r w:rsidR="00C72EC7">
        <w:rPr>
          <w:rFonts w:ascii="Times New Roman" w:eastAsia="Calibri" w:hAnsi="Times New Roman" w:cs="Times New Roman"/>
        </w:rPr>
        <w:t>, amely</w:t>
      </w:r>
      <w:r w:rsidRPr="00956F16">
        <w:rPr>
          <w:rFonts w:ascii="Times New Roman" w:eastAsia="Calibri" w:hAnsi="Times New Roman" w:cs="Times New Roman"/>
        </w:rPr>
        <w:t xml:space="preserve"> magába foglalja betegkártya és/vagy ezzel egyenértékű, a gyógyszerfelírás és/vagy -kiadás ellenőrzésére szolgáló eszköz használatát, illetve a javallatra vonatkozó </w:t>
      </w:r>
      <w:r w:rsidR="00C72EC7">
        <w:rPr>
          <w:rFonts w:ascii="Times New Roman" w:eastAsia="Calibri" w:hAnsi="Times New Roman" w:cs="Times New Roman"/>
        </w:rPr>
        <w:t>információk</w:t>
      </w:r>
      <w:r w:rsidRPr="00956F16">
        <w:rPr>
          <w:rFonts w:ascii="Times New Roman" w:eastAsia="Calibri" w:hAnsi="Times New Roman" w:cs="Times New Roman"/>
        </w:rPr>
        <w:t xml:space="preserve"> gyűjtését az indikáción túli gyógyszeralkalmazás adott ország területén történő ellenőrzése érdekében. Ideális esetben a terhességi teszt elvégzésének, a gyógyszer felírásának és kiadásának ugyanazon a napon kell történnie. A lenalidomidot fogamzóképes nőknek az orvosilag ellenőrzött negatív terhességi teszteredmény után, a gyógyszer felírását követő 7 napon belül kell kiadni. A lenalidomid fogamzóképes nők számára legfeljebb 4 heti kezelésre elegendő dózisban</w:t>
      </w:r>
      <w:r w:rsidR="00BF0D2C">
        <w:rPr>
          <w:rFonts w:ascii="Times New Roman" w:eastAsia="Calibri" w:hAnsi="Times New Roman" w:cs="Times New Roman"/>
        </w:rPr>
        <w:t xml:space="preserve"> </w:t>
      </w:r>
      <w:r w:rsidR="00BF0D2C" w:rsidRPr="00BF0D2C">
        <w:rPr>
          <w:rFonts w:ascii="Times New Roman" w:eastAsia="Calibri" w:hAnsi="Times New Roman" w:cs="Times New Roman"/>
        </w:rPr>
        <w:t>és a jóváhagyott indikációkban alkalmazott adagolási</w:t>
      </w:r>
      <w:r w:rsidR="00BF0D2C">
        <w:rPr>
          <w:rFonts w:ascii="Times New Roman" w:eastAsia="Calibri" w:hAnsi="Times New Roman" w:cs="Times New Roman"/>
        </w:rPr>
        <w:t xml:space="preserve"> </w:t>
      </w:r>
      <w:r w:rsidR="00BF0D2C" w:rsidRPr="00BF0D2C">
        <w:rPr>
          <w:rFonts w:ascii="Times New Roman" w:eastAsia="Calibri" w:hAnsi="Times New Roman" w:cs="Times New Roman"/>
        </w:rPr>
        <w:t>rend szerint (lásd 4.2</w:t>
      </w:r>
      <w:r w:rsidR="00BF0D2C">
        <w:rPr>
          <w:rFonts w:ascii="Times New Roman" w:eastAsia="Calibri" w:hAnsi="Times New Roman" w:cs="Times New Roman"/>
        </w:rPr>
        <w:t> </w:t>
      </w:r>
      <w:r w:rsidR="00BF0D2C" w:rsidRPr="00BF0D2C">
        <w:rPr>
          <w:rFonts w:ascii="Times New Roman" w:eastAsia="Calibri" w:hAnsi="Times New Roman" w:cs="Times New Roman"/>
        </w:rPr>
        <w:t>pont)</w:t>
      </w:r>
      <w:r w:rsidRPr="00956F16">
        <w:rPr>
          <w:rFonts w:ascii="Times New Roman" w:eastAsia="Calibri" w:hAnsi="Times New Roman" w:cs="Times New Roman"/>
        </w:rPr>
        <w:t>, minden más beteg számára pedig legfeljebb 12 heti kezelésre elegendő dózisban írható fel.</w:t>
      </w:r>
    </w:p>
    <w:p w14:paraId="07F2118B" w14:textId="77777777" w:rsidR="00956F16" w:rsidRPr="00956F16" w:rsidRDefault="00956F16" w:rsidP="00956F16">
      <w:pPr>
        <w:spacing w:after="0" w:line="240" w:lineRule="auto"/>
        <w:rPr>
          <w:rFonts w:ascii="Times New Roman" w:eastAsia="Calibri" w:hAnsi="Times New Roman" w:cs="Times New Roman"/>
        </w:rPr>
      </w:pPr>
    </w:p>
    <w:p w14:paraId="6C97C24F" w14:textId="2886D72B" w:rsid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Egyéb különleges figyelmeztetések és az alkalmazással kapcsolatos óvintézkedések</w:t>
      </w:r>
    </w:p>
    <w:p w14:paraId="57F95B86" w14:textId="77777777" w:rsidR="00694E9C" w:rsidRPr="00956F16" w:rsidRDefault="00694E9C" w:rsidP="00956F16">
      <w:pPr>
        <w:keepNext/>
        <w:spacing w:after="0" w:line="240" w:lineRule="auto"/>
        <w:rPr>
          <w:rFonts w:ascii="Times New Roman" w:eastAsia="Calibri" w:hAnsi="Times New Roman" w:cs="Times New Roman"/>
          <w:u w:val="single"/>
        </w:rPr>
      </w:pPr>
    </w:p>
    <w:p w14:paraId="1506461B"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Myocardialis infarctus</w:t>
      </w:r>
    </w:p>
    <w:p w14:paraId="2CBC3647"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lenalidomidot alkalmazó betegeknél myocardialis infarctusról számoltak be, különösen azoknál, akik az ismert kockázati tényezőkkel rendelkeztek, az esemény az első 12 hónapon belül következett be, és a lenalidomidot dexametazonnal együtt alkalmazták. Azokat a betegeket, akiknél ismert kockázati tényezők – beleértve a korábbi thrombosist is – vannak jelen, gondosan monitorozni kell, és meg kell próbálni az összes befolyásolható kockázati tényezőt (például dohányzás, hypertonia és hyperlipidaemia) megfelelő intézkedésekkel a minimálisra csökkenteni.</w:t>
      </w:r>
    </w:p>
    <w:p w14:paraId="4B7B0BAC" w14:textId="77777777" w:rsidR="00956F16" w:rsidRPr="00956F16" w:rsidRDefault="00956F16" w:rsidP="00956F16">
      <w:pPr>
        <w:spacing w:after="0" w:line="240" w:lineRule="auto"/>
        <w:rPr>
          <w:rFonts w:ascii="Times New Roman" w:eastAsia="Calibri" w:hAnsi="Times New Roman" w:cs="Times New Roman"/>
        </w:rPr>
      </w:pPr>
    </w:p>
    <w:p w14:paraId="4A7BA312"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Vénás és artériás thromboemboliás események</w:t>
      </w:r>
    </w:p>
    <w:p w14:paraId="042BBE5D" w14:textId="00EB20BC"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Myeloma multiplexes betegeknél a dexametazonnal kombinált lenalidomid</w:t>
      </w:r>
      <w:r w:rsidR="00104634">
        <w:rPr>
          <w:rFonts w:ascii="Times New Roman" w:eastAsia="Calibri" w:hAnsi="Times New Roman" w:cs="Times New Roman"/>
        </w:rPr>
        <w:t>-</w:t>
      </w:r>
      <w:r w:rsidRPr="00956F16">
        <w:rPr>
          <w:rFonts w:ascii="Times New Roman" w:eastAsia="Calibri" w:hAnsi="Times New Roman" w:cs="Times New Roman"/>
        </w:rPr>
        <w:t>kezelés a vénás thromboembolia (elsősorban a mélyvénás thrombosis és a tüdőembólia) fokozott kockázatával jár</w:t>
      </w:r>
      <w:r w:rsidR="00F44D42">
        <w:rPr>
          <w:rFonts w:ascii="Times New Roman" w:eastAsia="Calibri" w:hAnsi="Times New Roman" w:cs="Times New Roman"/>
        </w:rPr>
        <w:t>.</w:t>
      </w:r>
      <w:r w:rsidRPr="00956F16">
        <w:rPr>
          <w:rFonts w:ascii="Times New Roman" w:eastAsia="Calibri" w:hAnsi="Times New Roman" w:cs="Times New Roman"/>
        </w:rPr>
        <w:t xml:space="preserve"> </w:t>
      </w:r>
      <w:r w:rsidR="00CE47BE">
        <w:rPr>
          <w:rFonts w:ascii="Times New Roman" w:eastAsia="Calibri" w:hAnsi="Times New Roman" w:cs="Times New Roman"/>
        </w:rPr>
        <w:t xml:space="preserve">A </w:t>
      </w:r>
      <w:r w:rsidR="00CE47BE" w:rsidRPr="00441247">
        <w:rPr>
          <w:rFonts w:ascii="Times New Roman" w:eastAsia="Calibri" w:hAnsi="Times New Roman" w:cs="Times New Roman"/>
        </w:rPr>
        <w:t xml:space="preserve">vénás thromboembolia kockázatát </w:t>
      </w:r>
      <w:r w:rsidRPr="00956F16">
        <w:rPr>
          <w:rFonts w:ascii="Times New Roman" w:eastAsia="Calibri" w:hAnsi="Times New Roman" w:cs="Times New Roman"/>
        </w:rPr>
        <w:t>kisebb mértékben észlelték a melfalánnal és prednizonnal kombinációban adott lenalidomid alkalmazása kapcsán.</w:t>
      </w:r>
    </w:p>
    <w:p w14:paraId="1D329A94" w14:textId="77777777" w:rsidR="00956F16" w:rsidRPr="00956F16" w:rsidRDefault="00956F16" w:rsidP="00956F16">
      <w:pPr>
        <w:spacing w:after="0" w:line="240" w:lineRule="auto"/>
        <w:rPr>
          <w:rFonts w:ascii="Times New Roman" w:eastAsia="Calibri" w:hAnsi="Times New Roman" w:cs="Times New Roman"/>
        </w:rPr>
      </w:pPr>
    </w:p>
    <w:p w14:paraId="3960DA5C" w14:textId="57537DAC"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lastRenderedPageBreak/>
        <w:t>Myeloma multiplexben</w:t>
      </w:r>
      <w:r w:rsidR="006F2215">
        <w:rPr>
          <w:rFonts w:ascii="Times New Roman" w:eastAsia="Calibri" w:hAnsi="Times New Roman" w:cs="Times New Roman"/>
        </w:rPr>
        <w:t xml:space="preserve">, </w:t>
      </w:r>
      <w:r w:rsidR="006F2215" w:rsidRPr="006F2215">
        <w:rPr>
          <w:rFonts w:ascii="Times New Roman" w:eastAsia="Calibri" w:hAnsi="Times New Roman" w:cs="Times New Roman"/>
        </w:rPr>
        <w:t>myelodysplasiás szindrómákban és köpenysejtes lymphomában</w:t>
      </w:r>
      <w:r w:rsidRPr="00956F16">
        <w:rPr>
          <w:rFonts w:ascii="Times New Roman" w:eastAsia="Calibri" w:hAnsi="Times New Roman" w:cs="Times New Roman"/>
        </w:rPr>
        <w:t xml:space="preserve"> szenvedő betegeknél a lenalidomid</w:t>
      </w:r>
      <w:r w:rsidR="00104634">
        <w:rPr>
          <w:rFonts w:ascii="Times New Roman" w:eastAsia="Calibri" w:hAnsi="Times New Roman" w:cs="Times New Roman"/>
        </w:rPr>
        <w:t>-</w:t>
      </w:r>
      <w:r w:rsidRPr="00956F16">
        <w:rPr>
          <w:rFonts w:ascii="Times New Roman" w:eastAsia="Calibri" w:hAnsi="Times New Roman" w:cs="Times New Roman"/>
        </w:rPr>
        <w:t>monoterápia esetén alacsonyabb a vénás thromboembolia (elsősorban mélyvénás thrombosis és tüdőembólia) kockázata, mint a kombinációban adott lenalidomiddal kezelt, myeloma multiplexben szenvedő betegek esetén (lásd 4.5 és 4.8 pont).</w:t>
      </w:r>
    </w:p>
    <w:p w14:paraId="53A5D6E9" w14:textId="77777777" w:rsidR="00956F16" w:rsidRPr="00956F16" w:rsidRDefault="00956F16" w:rsidP="00956F16">
      <w:pPr>
        <w:spacing w:after="0" w:line="240" w:lineRule="auto"/>
        <w:rPr>
          <w:rFonts w:ascii="Times New Roman" w:eastAsia="Calibri" w:hAnsi="Times New Roman" w:cs="Times New Roman"/>
        </w:rPr>
      </w:pPr>
    </w:p>
    <w:p w14:paraId="1C327A2B" w14:textId="2EBF83DD"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myeloma multiplexes betegeknél a dexametazonnal kombinált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 az artériás thromboembolia (elsősorban a myocardialis infarctus és a cerebrovascularis történés) fokozott kockázatával jár, amelyet a lenalidomid melfalánnal és prednizonnal kombinációban történő alkalmazása esetén kisebb mértékben figyeltek meg. Az </w:t>
      </w:r>
      <w:r w:rsidR="00062460" w:rsidRPr="00062460">
        <w:rPr>
          <w:rFonts w:ascii="Times New Roman" w:eastAsia="Calibri" w:hAnsi="Times New Roman" w:cs="Times New Roman"/>
        </w:rPr>
        <w:t>artériás thromboembolia</w:t>
      </w:r>
      <w:r w:rsidRPr="00956F16">
        <w:rPr>
          <w:rFonts w:ascii="Times New Roman" w:eastAsia="Calibri" w:hAnsi="Times New Roman" w:cs="Times New Roman"/>
        </w:rPr>
        <w:t xml:space="preserve"> kockázata lenalidomid monoterápiával kezelt myeloma multiplexes betegeknél alacsonyabb, mint a kombinációs terápia részeként lenalidomiddal kezelt myeloma multiplexes betegeknél.</w:t>
      </w:r>
    </w:p>
    <w:p w14:paraId="57858F13" w14:textId="77777777" w:rsidR="00956F16" w:rsidRPr="00956F16" w:rsidRDefault="00956F16" w:rsidP="00956F16">
      <w:pPr>
        <w:spacing w:after="0" w:line="240" w:lineRule="auto"/>
        <w:rPr>
          <w:rFonts w:ascii="Times New Roman" w:eastAsia="Calibri" w:hAnsi="Times New Roman" w:cs="Times New Roman"/>
        </w:rPr>
      </w:pPr>
    </w:p>
    <w:p w14:paraId="39CEA25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Ennek megfelelően gondosan monitorozni kell azokat a betegeket, akiknél a thromboembolia ismert kockázati tényezői állnak fenn, beleértve a korábbi thrombosist is. Megfelelő intézkedésekkel meg kell próbálni az összes befolyásolható kockázati tényező (pl. dohányzás, hypertonia és hyperlipidaemia) minimálisra csökkentését. Ezeknél a betegeknél az eritropoetikus szerek egyidejű alkalmazása vagy a kórtörténetben szereplő thromboemboliás események is növelhetik a thrombosis kockázatát. Ezért az eritropoetikus szerek vagy egyéb olyan szerek, amelyek növelhetik a thrombosis kockázatát (pl. hormonpótló terápia) csak körültekintően alkalmazhatóak a lenalidomiddal és dexametazonnal kezelt, myeloma multiplexes betegeknél. 12 g/dl fölötti hemoglobin-koncentráció esetén abba kell hagyni az eritropoetikus szerek alkalmazását.</w:t>
      </w:r>
    </w:p>
    <w:p w14:paraId="4737E184" w14:textId="77777777" w:rsidR="00956F16" w:rsidRPr="00956F16" w:rsidRDefault="00956F16" w:rsidP="00956F16">
      <w:pPr>
        <w:spacing w:after="0" w:line="240" w:lineRule="auto"/>
        <w:rPr>
          <w:rFonts w:ascii="Times New Roman" w:eastAsia="Calibri" w:hAnsi="Times New Roman" w:cs="Times New Roman"/>
        </w:rPr>
      </w:pPr>
    </w:p>
    <w:p w14:paraId="45D357F9"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betegeknek és a kezelőorvosnak figyelniük kell a thromboembolia jeleit és tüneteit. A betegeket figyelmeztetni kell arra, hogy kérjenek orvosi segítséget, amennyiben olyan tüneteik jelentkeznek, mint a légszomj, mellkasi fájdalom, kéz- vagy lábduzzanat. Profilaktikus antitrombotikus gyógyszerek alkalmazása javasolt, különösképpen azoknál a betegeknél, akiknél a thrombosis további kockázati tényezői is jelen vannak. A beteg meglévő kockázati tényezőinek gondos értékelése után, egyedileg kell dönteni az antitrombotikus profilaktikus kezelésről.</w:t>
      </w:r>
    </w:p>
    <w:p w14:paraId="57E2CF2F" w14:textId="77777777" w:rsidR="00956F16" w:rsidRPr="00956F16" w:rsidRDefault="00956F16" w:rsidP="00956F16">
      <w:pPr>
        <w:spacing w:after="0" w:line="240" w:lineRule="auto"/>
        <w:rPr>
          <w:rFonts w:ascii="Times New Roman" w:eastAsia="Calibri" w:hAnsi="Times New Roman" w:cs="Times New Roman"/>
        </w:rPr>
      </w:pPr>
    </w:p>
    <w:p w14:paraId="33333536" w14:textId="1E26044A" w:rsid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Ha a beteg bármilyen thromboemboliás eseményt tapasztal, akkor a kezelést abba kell hagyni, és standard antikoaguláns kezelést kell kezdeni. Amint a betegnél beállították az antikoaguláns terápiát, és </w:t>
      </w:r>
      <w:r w:rsidRPr="00E83289">
        <w:rPr>
          <w:rFonts w:ascii="Times New Roman" w:eastAsia="Calibri" w:hAnsi="Times New Roman" w:cs="Times New Roman"/>
        </w:rPr>
        <w:t>kezelték a thromboemboliás</w:t>
      </w:r>
      <w:r w:rsidRPr="00956F16">
        <w:rPr>
          <w:rFonts w:ascii="Times New Roman" w:eastAsia="Calibri" w:hAnsi="Times New Roman" w:cs="Times New Roman"/>
        </w:rPr>
        <w:t xml:space="preserve"> esemény minden esetleges szövődményét, a lenalidomid</w:t>
      </w:r>
      <w:r w:rsidR="00104634">
        <w:rPr>
          <w:rFonts w:ascii="Times New Roman" w:eastAsia="Calibri" w:hAnsi="Times New Roman" w:cs="Times New Roman"/>
        </w:rPr>
        <w:t>-</w:t>
      </w:r>
      <w:r w:rsidRPr="00956F16">
        <w:rPr>
          <w:rFonts w:ascii="Times New Roman" w:eastAsia="Calibri" w:hAnsi="Times New Roman" w:cs="Times New Roman"/>
        </w:rPr>
        <w:t>kezelés az előny/kockázat értékelésétől függően az eredeti dózissal újrakezdhető. A betegnek a lenalidomid</w:t>
      </w:r>
      <w:r w:rsidR="00104634">
        <w:rPr>
          <w:rFonts w:ascii="Times New Roman" w:eastAsia="Calibri" w:hAnsi="Times New Roman" w:cs="Times New Roman"/>
        </w:rPr>
        <w:t>-</w:t>
      </w:r>
      <w:r w:rsidRPr="00956F16">
        <w:rPr>
          <w:rFonts w:ascii="Times New Roman" w:eastAsia="Calibri" w:hAnsi="Times New Roman" w:cs="Times New Roman"/>
        </w:rPr>
        <w:t>kezelés alatt folytatnia kell az antikoaguláns terápiát.</w:t>
      </w:r>
    </w:p>
    <w:p w14:paraId="7494309C" w14:textId="77777777" w:rsidR="00D66E2F" w:rsidRPr="00956F16" w:rsidRDefault="00D66E2F" w:rsidP="00956F16">
      <w:pPr>
        <w:spacing w:after="0" w:line="240" w:lineRule="auto"/>
        <w:rPr>
          <w:rFonts w:ascii="Times New Roman" w:eastAsia="Calibri" w:hAnsi="Times New Roman" w:cs="Times New Roman"/>
        </w:rPr>
      </w:pPr>
    </w:p>
    <w:p w14:paraId="1455574E" w14:textId="1707C90B" w:rsidR="00D66E2F" w:rsidRPr="00E83289" w:rsidRDefault="00E83289" w:rsidP="00D66E2F">
      <w:pPr>
        <w:spacing w:after="0" w:line="240" w:lineRule="auto"/>
        <w:rPr>
          <w:rFonts w:ascii="Times New Roman" w:eastAsia="Calibri" w:hAnsi="Times New Roman" w:cs="Times New Roman"/>
          <w:i/>
          <w:u w:val="single"/>
        </w:rPr>
      </w:pPr>
      <w:r>
        <w:rPr>
          <w:rFonts w:ascii="Times New Roman" w:eastAsia="Calibri" w:hAnsi="Times New Roman" w:cs="Times New Roman"/>
          <w:i/>
          <w:u w:val="single"/>
        </w:rPr>
        <w:t>Pulmonalis hypertonia</w:t>
      </w:r>
    </w:p>
    <w:p w14:paraId="4E8D2B1D" w14:textId="2903099A" w:rsidR="00956F16" w:rsidRPr="00E83289" w:rsidRDefault="00D66E2F" w:rsidP="00D66E2F">
      <w:pPr>
        <w:spacing w:after="0" w:line="240" w:lineRule="auto"/>
        <w:rPr>
          <w:rFonts w:ascii="Times New Roman" w:eastAsia="Calibri" w:hAnsi="Times New Roman" w:cs="Times New Roman"/>
        </w:rPr>
      </w:pPr>
      <w:r w:rsidRPr="00E83289">
        <w:rPr>
          <w:rFonts w:ascii="Times New Roman" w:eastAsia="Calibri" w:hAnsi="Times New Roman" w:cs="Times New Roman"/>
        </w:rPr>
        <w:t>Lenalidomiddal kezelt betegeknél pulmonalis hypertonia eseteiről számoltak be, ezen esetek közül némelyik fatális kimenetelű volt. A lenalidomid-terápia megkezdése előtt és a kezelés alatt vizsgálni kell a betegeknél a cardiopulmonalis alapbetegség okozta jeleket és tüneteket.</w:t>
      </w:r>
    </w:p>
    <w:p w14:paraId="7419BE70" w14:textId="77777777" w:rsidR="00D66E2F" w:rsidRPr="00E83289" w:rsidRDefault="00D66E2F" w:rsidP="00D66E2F">
      <w:pPr>
        <w:spacing w:after="0" w:line="240" w:lineRule="auto"/>
        <w:rPr>
          <w:rFonts w:ascii="Times New Roman" w:eastAsia="Calibri" w:hAnsi="Times New Roman" w:cs="Times New Roman"/>
        </w:rPr>
      </w:pPr>
    </w:p>
    <w:p w14:paraId="18BBD0DA" w14:textId="77777777" w:rsidR="00956F16" w:rsidRPr="00956F16" w:rsidRDefault="00956F16" w:rsidP="00956F16">
      <w:pPr>
        <w:keepNext/>
        <w:spacing w:after="0" w:line="240" w:lineRule="auto"/>
        <w:rPr>
          <w:rFonts w:ascii="Times New Roman" w:eastAsia="Calibri" w:hAnsi="Times New Roman" w:cs="Times New Roman"/>
          <w:i/>
          <w:u w:val="single"/>
        </w:rPr>
      </w:pPr>
      <w:r w:rsidRPr="00E83289">
        <w:rPr>
          <w:rFonts w:ascii="Times New Roman" w:eastAsia="Calibri" w:hAnsi="Times New Roman" w:cs="Times New Roman"/>
          <w:i/>
          <w:u w:val="single"/>
        </w:rPr>
        <w:t>Neutropenia és thrombocytopenia</w:t>
      </w:r>
    </w:p>
    <w:p w14:paraId="78480273" w14:textId="709ED57C" w:rsidR="00956F16" w:rsidRPr="00956F16" w:rsidRDefault="00956F16" w:rsidP="006F2215">
      <w:pPr>
        <w:widowControl w:val="0"/>
        <w:spacing w:after="0" w:line="240" w:lineRule="auto"/>
        <w:rPr>
          <w:rFonts w:ascii="Times New Roman" w:eastAsia="Calibri" w:hAnsi="Times New Roman" w:cs="Times New Roman"/>
        </w:rPr>
      </w:pPr>
      <w:r w:rsidRPr="00956F16">
        <w:rPr>
          <w:rFonts w:ascii="Times New Roman" w:eastAsia="Calibri" w:hAnsi="Times New Roman" w:cs="Times New Roman"/>
        </w:rPr>
        <w:t>A lenalidomid legjelentősebb dóziskorlátozó toxicitásai többek között a neutropenia és a thrombocytopenia. A cytopeniák kialakulásának monitorozása céljából a kezelés megkezdésekor, a lenalidomid</w:t>
      </w:r>
      <w:r w:rsidR="00104634">
        <w:rPr>
          <w:rFonts w:ascii="Times New Roman" w:eastAsia="Calibri" w:hAnsi="Times New Roman" w:cs="Times New Roman"/>
        </w:rPr>
        <w:t>-</w:t>
      </w:r>
      <w:r w:rsidRPr="00956F16">
        <w:rPr>
          <w:rFonts w:ascii="Times New Roman" w:eastAsia="Calibri" w:hAnsi="Times New Roman" w:cs="Times New Roman"/>
        </w:rPr>
        <w:t>kezelés első 8 hetében hetente, valamint ezt követően havonta teljes vérképvizsgálatot kell végezni, amelybe beletartozik a fehérvérsejtszám és a minőségi vérkép, a vérlemezkeszám, a hemoglobin és a hematokrit meghatározása.</w:t>
      </w:r>
      <w:r w:rsidR="00BF0D2C">
        <w:rPr>
          <w:rFonts w:ascii="Times New Roman" w:eastAsia="Calibri" w:hAnsi="Times New Roman" w:cs="Times New Roman"/>
        </w:rPr>
        <w:t xml:space="preserve"> </w:t>
      </w:r>
      <w:r w:rsidR="006F2215" w:rsidRPr="006F2215">
        <w:rPr>
          <w:rFonts w:ascii="Times New Roman" w:eastAsia="Calibri" w:hAnsi="Times New Roman" w:cs="Times New Roman"/>
        </w:rPr>
        <w:t>Köpenysejtes lymphomában szenvedő betegeknél a 3. és a 4.</w:t>
      </w:r>
      <w:r w:rsidR="006F2215">
        <w:rPr>
          <w:rFonts w:ascii="Times New Roman" w:eastAsia="Calibri" w:hAnsi="Times New Roman" w:cs="Times New Roman"/>
        </w:rPr>
        <w:t> </w:t>
      </w:r>
      <w:r w:rsidR="006F2215" w:rsidRPr="006F2215">
        <w:rPr>
          <w:rFonts w:ascii="Times New Roman" w:eastAsia="Calibri" w:hAnsi="Times New Roman" w:cs="Times New Roman"/>
        </w:rPr>
        <w:t>ciklusban</w:t>
      </w:r>
      <w:r w:rsidR="006F2215">
        <w:rPr>
          <w:rFonts w:ascii="Times New Roman" w:eastAsia="Calibri" w:hAnsi="Times New Roman" w:cs="Times New Roman"/>
        </w:rPr>
        <w:t xml:space="preserve"> két</w:t>
      </w:r>
      <w:r w:rsidR="006F2215" w:rsidRPr="006F2215">
        <w:rPr>
          <w:rFonts w:ascii="Times New Roman" w:eastAsia="Calibri" w:hAnsi="Times New Roman" w:cs="Times New Roman"/>
        </w:rPr>
        <w:t xml:space="preserve">hetente, azután pedig minden ciklus elején kell végezni az ellenőrzést. </w:t>
      </w:r>
      <w:r w:rsidR="00BF0D2C" w:rsidRPr="00BF0D2C">
        <w:rPr>
          <w:rFonts w:ascii="Times New Roman" w:eastAsia="Calibri" w:hAnsi="Times New Roman" w:cs="Times New Roman"/>
        </w:rPr>
        <w:t>Follicularis lymphomában</w:t>
      </w:r>
      <w:r w:rsidR="00BF0D2C">
        <w:rPr>
          <w:rFonts w:ascii="Times New Roman" w:eastAsia="Calibri" w:hAnsi="Times New Roman" w:cs="Times New Roman"/>
        </w:rPr>
        <w:t xml:space="preserve"> </w:t>
      </w:r>
      <w:r w:rsidR="00BF0D2C" w:rsidRPr="00BF0D2C">
        <w:rPr>
          <w:rFonts w:ascii="Times New Roman" w:eastAsia="Calibri" w:hAnsi="Times New Roman" w:cs="Times New Roman"/>
        </w:rPr>
        <w:t>szenvedő betegeknél az 1.</w:t>
      </w:r>
      <w:r w:rsidR="00BF0D2C">
        <w:rPr>
          <w:rFonts w:ascii="Times New Roman" w:eastAsia="Calibri" w:hAnsi="Times New Roman" w:cs="Times New Roman"/>
        </w:rPr>
        <w:t> </w:t>
      </w:r>
      <w:r w:rsidR="00BF0D2C" w:rsidRPr="00BF0D2C">
        <w:rPr>
          <w:rFonts w:ascii="Times New Roman" w:eastAsia="Calibri" w:hAnsi="Times New Roman" w:cs="Times New Roman"/>
        </w:rPr>
        <w:t>ciklus (28</w:t>
      </w:r>
      <w:r w:rsidR="00BF0D2C">
        <w:rPr>
          <w:rFonts w:ascii="Times New Roman" w:eastAsia="Calibri" w:hAnsi="Times New Roman" w:cs="Times New Roman"/>
        </w:rPr>
        <w:t> </w:t>
      </w:r>
      <w:r w:rsidR="00BF0D2C" w:rsidRPr="00BF0D2C">
        <w:rPr>
          <w:rFonts w:ascii="Times New Roman" w:eastAsia="Calibri" w:hAnsi="Times New Roman" w:cs="Times New Roman"/>
        </w:rPr>
        <w:t>nap) első 3</w:t>
      </w:r>
      <w:r w:rsidR="00BF0D2C">
        <w:rPr>
          <w:rFonts w:ascii="Times New Roman" w:eastAsia="Calibri" w:hAnsi="Times New Roman" w:cs="Times New Roman"/>
        </w:rPr>
        <w:t> </w:t>
      </w:r>
      <w:r w:rsidR="00BF0D2C" w:rsidRPr="00BF0D2C">
        <w:rPr>
          <w:rFonts w:ascii="Times New Roman" w:eastAsia="Calibri" w:hAnsi="Times New Roman" w:cs="Times New Roman"/>
        </w:rPr>
        <w:t>hetében hetente kell ellenőrzést végezni, a</w:t>
      </w:r>
      <w:r w:rsidR="00BF0D2C">
        <w:rPr>
          <w:rFonts w:ascii="Times New Roman" w:eastAsia="Calibri" w:hAnsi="Times New Roman" w:cs="Times New Roman"/>
        </w:rPr>
        <w:t xml:space="preserve"> </w:t>
      </w:r>
      <w:r w:rsidR="00BF0D2C" w:rsidRPr="00BF0D2C">
        <w:rPr>
          <w:rFonts w:ascii="Times New Roman" w:eastAsia="Calibri" w:hAnsi="Times New Roman" w:cs="Times New Roman"/>
        </w:rPr>
        <w:t>2</w:t>
      </w:r>
      <w:r w:rsidR="00BF0D2C">
        <w:rPr>
          <w:rFonts w:ascii="Times New Roman" w:eastAsia="Calibri" w:hAnsi="Times New Roman" w:cs="Times New Roman"/>
        </w:rPr>
        <w:t>–</w:t>
      </w:r>
      <w:r w:rsidR="00BF0D2C" w:rsidRPr="00BF0D2C">
        <w:rPr>
          <w:rFonts w:ascii="Times New Roman" w:eastAsia="Calibri" w:hAnsi="Times New Roman" w:cs="Times New Roman"/>
        </w:rPr>
        <w:t>4.</w:t>
      </w:r>
      <w:r w:rsidR="00BF0D2C">
        <w:rPr>
          <w:rFonts w:ascii="Times New Roman" w:eastAsia="Calibri" w:hAnsi="Times New Roman" w:cs="Times New Roman"/>
        </w:rPr>
        <w:t> </w:t>
      </w:r>
      <w:r w:rsidR="00BF0D2C" w:rsidRPr="00BF0D2C">
        <w:rPr>
          <w:rFonts w:ascii="Times New Roman" w:eastAsia="Calibri" w:hAnsi="Times New Roman" w:cs="Times New Roman"/>
        </w:rPr>
        <w:t>ciklusban kéthetente, az ezt követő ciklusokban pedig a ciklus kezdetekor. Szükség lehet a</w:t>
      </w:r>
      <w:r w:rsidR="00BF0D2C">
        <w:rPr>
          <w:rFonts w:ascii="Times New Roman" w:eastAsia="Calibri" w:hAnsi="Times New Roman" w:cs="Times New Roman"/>
        </w:rPr>
        <w:t xml:space="preserve"> </w:t>
      </w:r>
      <w:r w:rsidR="00BF0D2C" w:rsidRPr="00BF0D2C">
        <w:rPr>
          <w:rFonts w:ascii="Times New Roman" w:eastAsia="Calibri" w:hAnsi="Times New Roman" w:cs="Times New Roman"/>
        </w:rPr>
        <w:t>kezelés megszakítására vagy a</w:t>
      </w:r>
      <w:r w:rsidR="00BF0D2C">
        <w:rPr>
          <w:rFonts w:ascii="Times New Roman" w:eastAsia="Calibri" w:hAnsi="Times New Roman" w:cs="Times New Roman"/>
        </w:rPr>
        <w:t xml:space="preserve"> dózis </w:t>
      </w:r>
      <w:r w:rsidR="00BF0D2C" w:rsidRPr="00BF0D2C">
        <w:rPr>
          <w:rFonts w:ascii="Times New Roman" w:eastAsia="Calibri" w:hAnsi="Times New Roman" w:cs="Times New Roman"/>
        </w:rPr>
        <w:t>csökkentésére (lásd 4.2</w:t>
      </w:r>
      <w:r w:rsidR="00BF0D2C">
        <w:rPr>
          <w:rFonts w:ascii="Times New Roman" w:eastAsia="Calibri" w:hAnsi="Times New Roman" w:cs="Times New Roman"/>
        </w:rPr>
        <w:t> </w:t>
      </w:r>
      <w:r w:rsidR="00BF0D2C" w:rsidRPr="00BF0D2C">
        <w:rPr>
          <w:rFonts w:ascii="Times New Roman" w:eastAsia="Calibri" w:hAnsi="Times New Roman" w:cs="Times New Roman"/>
        </w:rPr>
        <w:t>pont).</w:t>
      </w:r>
    </w:p>
    <w:p w14:paraId="7D92EC03" w14:textId="77777777" w:rsidR="00956F16" w:rsidRPr="00956F16" w:rsidRDefault="00956F16" w:rsidP="00956F16">
      <w:pPr>
        <w:widowControl w:val="0"/>
        <w:spacing w:after="0" w:line="240" w:lineRule="auto"/>
        <w:rPr>
          <w:rFonts w:ascii="Times New Roman" w:eastAsia="Calibri" w:hAnsi="Times New Roman" w:cs="Times New Roman"/>
        </w:rPr>
      </w:pPr>
      <w:r w:rsidRPr="00956F16">
        <w:rPr>
          <w:rFonts w:ascii="Times New Roman" w:eastAsia="Calibri" w:hAnsi="Times New Roman" w:cs="Times New Roman"/>
        </w:rPr>
        <w:t>Neutropenia esetén, a beteg kezelése során az orvosnak fontolóra kell vennie növekedési faktorok alkalmazását.</w:t>
      </w:r>
    </w:p>
    <w:p w14:paraId="4F66DC3B" w14:textId="77777777" w:rsidR="00BF0D2C" w:rsidRDefault="00956F16" w:rsidP="00956F16">
      <w:pPr>
        <w:widowControl w:val="0"/>
        <w:spacing w:after="0" w:line="240" w:lineRule="auto"/>
        <w:rPr>
          <w:rFonts w:ascii="Times New Roman" w:eastAsia="Calibri" w:hAnsi="Times New Roman" w:cs="Times New Roman"/>
        </w:rPr>
      </w:pPr>
      <w:r w:rsidRPr="00956F16">
        <w:rPr>
          <w:rFonts w:ascii="Times New Roman" w:eastAsia="Calibri" w:hAnsi="Times New Roman" w:cs="Times New Roman"/>
        </w:rPr>
        <w:t>A betegek figyelmét fel kell hívni arra, hogy azonnal számolj</w:t>
      </w:r>
      <w:r w:rsidR="004D431B">
        <w:rPr>
          <w:rFonts w:ascii="Times New Roman" w:eastAsia="Calibri" w:hAnsi="Times New Roman" w:cs="Times New Roman"/>
        </w:rPr>
        <w:t>a</w:t>
      </w:r>
      <w:r w:rsidRPr="00956F16">
        <w:rPr>
          <w:rFonts w:ascii="Times New Roman" w:eastAsia="Calibri" w:hAnsi="Times New Roman" w:cs="Times New Roman"/>
        </w:rPr>
        <w:t>n</w:t>
      </w:r>
      <w:r w:rsidR="004D431B">
        <w:rPr>
          <w:rFonts w:ascii="Times New Roman" w:eastAsia="Calibri" w:hAnsi="Times New Roman" w:cs="Times New Roman"/>
        </w:rPr>
        <w:t>ak</w:t>
      </w:r>
      <w:r w:rsidRPr="00956F16">
        <w:rPr>
          <w:rFonts w:ascii="Times New Roman" w:eastAsia="Calibri" w:hAnsi="Times New Roman" w:cs="Times New Roman"/>
        </w:rPr>
        <w:t xml:space="preserve"> be a lázas epizódokról.</w:t>
      </w:r>
    </w:p>
    <w:p w14:paraId="08752136" w14:textId="5D1A8DA2" w:rsidR="00956F16" w:rsidRPr="00956F16" w:rsidRDefault="00956F16" w:rsidP="00956F16">
      <w:pPr>
        <w:widowControl w:val="0"/>
        <w:spacing w:after="0" w:line="240" w:lineRule="auto"/>
        <w:rPr>
          <w:rFonts w:ascii="Times New Roman" w:eastAsia="Calibri" w:hAnsi="Times New Roman" w:cs="Times New Roman"/>
        </w:rPr>
      </w:pPr>
      <w:r w:rsidRPr="00956F16">
        <w:rPr>
          <w:rFonts w:ascii="Times New Roman" w:eastAsia="Calibri" w:hAnsi="Times New Roman" w:cs="Times New Roman"/>
        </w:rPr>
        <w:t>A betegeknek és az orvosoknak figyelniük kell a vérzés okozta jelekre és tünetekre, köztük a petechiákra és epistaxisokra, különösen azoknál a betegnél, akik egyidejűleg vérzékenységre hajlamosító gyógyszereket kapnak (lásd 4.8 pont, Vérzéses zavarok).</w:t>
      </w:r>
    </w:p>
    <w:p w14:paraId="1087BA4F" w14:textId="77777777" w:rsidR="00956F16" w:rsidRPr="00956F16" w:rsidRDefault="00956F16" w:rsidP="00956F16">
      <w:pPr>
        <w:widowControl w:val="0"/>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Lenalidomid és egyéb mieloszuppresszív szerek együttes alkalmazása során elővigyázatosság </w:t>
      </w:r>
      <w:r w:rsidRPr="00956F16">
        <w:rPr>
          <w:rFonts w:ascii="Times New Roman" w:eastAsia="Calibri" w:hAnsi="Times New Roman" w:cs="Times New Roman"/>
        </w:rPr>
        <w:lastRenderedPageBreak/>
        <w:t>szükséges.</w:t>
      </w:r>
    </w:p>
    <w:p w14:paraId="42032A30" w14:textId="77777777" w:rsidR="00956F16" w:rsidRPr="00956F16" w:rsidRDefault="00956F16" w:rsidP="00956F16">
      <w:pPr>
        <w:spacing w:after="0" w:line="240" w:lineRule="auto"/>
        <w:rPr>
          <w:rFonts w:ascii="Times New Roman" w:eastAsia="Calibri" w:hAnsi="Times New Roman" w:cs="Times New Roman"/>
        </w:rPr>
      </w:pPr>
    </w:p>
    <w:p w14:paraId="0E7643D7" w14:textId="77777777" w:rsidR="00956F16" w:rsidRPr="00956F16" w:rsidRDefault="00956F16" w:rsidP="00956F16">
      <w:pPr>
        <w:keepNext/>
        <w:numPr>
          <w:ilvl w:val="0"/>
          <w:numId w:val="14"/>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Újonnan diagnosztizált myeloma multiplex: ASCT-n átesett, lenalidomid fenntartó kezelésben részesülő betegek</w:t>
      </w:r>
    </w:p>
    <w:p w14:paraId="6A153EC2"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CALGB 100104 vizsgálatban tapasztalt mellékhatások között voltak a nagy dózisú melfalán- és ASCT-kezelés (HDM/ASCT) után jelentett események és a fenntartó kezelés időszakában történt események is. Egy második elemzésben a fenntartó kezelés megkezdése után bekövetkezett eseményeket azonosították. Az IFM 2005-02 vizsgálatban csak a fenntartó kezelés időszakában történt mellékhatásokat tanulmányozták.</w:t>
      </w:r>
    </w:p>
    <w:p w14:paraId="4C158665" w14:textId="77777777" w:rsidR="00956F16" w:rsidRPr="00956F16" w:rsidRDefault="00956F16" w:rsidP="00956F16">
      <w:pPr>
        <w:spacing w:after="0" w:line="240" w:lineRule="auto"/>
        <w:rPr>
          <w:rFonts w:ascii="Times New Roman" w:eastAsia="Calibri" w:hAnsi="Times New Roman" w:cs="Times New Roman"/>
        </w:rPr>
      </w:pPr>
    </w:p>
    <w:p w14:paraId="70D1BC70"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fenntartó kezelést újonnan diagnosztizált myeloma multiplexben (NDMM/newly diagnosed multiple myeloma) szenvedő, ASCT-n átesett betegeknél értékelő két vizsgálatban 4-es fokozatú neutropeniát összességében nagyobb gyakorisággal figyeltek meg a lenalidomid fenntartó kezelést alkalmazó karokon, mint a placebo fenntartó kezelést alkalmazó karokon (32,1% vs. 26,7% [16,1% vs. 1,8% a fenntartó kezelés kezdete után] a CALGB 100104 vizsgálatban, illetve 16,4% vs. 0,7% az IFM 2005-02 vizsgálatban).</w:t>
      </w:r>
    </w:p>
    <w:p w14:paraId="3936F62C" w14:textId="1870E53E"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kezelésből eredő mellékhatásként a CALGB 100104 vizsgálatban a betegek 2,2%-ánál, az IFM 2005-02 vizsgálatban pedig a betegek 2,4%-ánál számoltak be a lenalidomid</w:t>
      </w:r>
      <w:r w:rsidR="00104634">
        <w:rPr>
          <w:rFonts w:ascii="Times New Roman" w:eastAsia="Calibri" w:hAnsi="Times New Roman" w:cs="Times New Roman"/>
        </w:rPr>
        <w:t>-</w:t>
      </w:r>
      <w:r w:rsidRPr="00956F16">
        <w:rPr>
          <w:rFonts w:ascii="Times New Roman" w:eastAsia="Calibri" w:hAnsi="Times New Roman" w:cs="Times New Roman"/>
        </w:rPr>
        <w:t>kezelés abbahagyásához vezető neutropeniáról. 4-es fokozatú lázas neutropeniát mindkét vizsgálatban hasonló gyakoriságokkal jelentettek a lenalidomid fenntartó kezelést alkalmazó karokon, mint a placebo fenntartó kezelést alkalmazó karokon (0,4% vs. 0,5% [0,4% vs. 0,5% a fenntartó kezelés kezdete után] a CALGB 100104 vizsgálatban és 0,3% vs. 0% az IFM 2005-02 vizsgálatban). A betegeket tájékoztatni kell arról, hogy azonnal számoljanak be a lázas epizódokról, mert szükség lehet a kezelés megszakítására és/vagy a dózis csökkentésére (lásd 4.2 pont).</w:t>
      </w:r>
    </w:p>
    <w:p w14:paraId="0C8EB59A" w14:textId="77777777" w:rsidR="00956F16" w:rsidRPr="00956F16" w:rsidRDefault="00956F16" w:rsidP="00956F16">
      <w:pPr>
        <w:spacing w:after="0" w:line="240" w:lineRule="auto"/>
        <w:rPr>
          <w:rFonts w:ascii="Times New Roman" w:eastAsia="Calibri" w:hAnsi="Times New Roman" w:cs="Times New Roman"/>
        </w:rPr>
      </w:pPr>
    </w:p>
    <w:p w14:paraId="59D99096" w14:textId="3C14F82D"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fenntartó kezelést NDMM-ben szenvedő, ASCT-n átesett betegeknél értékelő vizsgálatokban 3-as és 4-es fokozatú thrombocytopeniát összességében nagyobb gyakorisággal figyeltek meg a lenalidomid fenntartó kezelést alkalmazó karokon, mint a placebo fenntartó kezelést alkalmazó karokon (37,5% vs. 30,3% [17,9% vs. 4,1% a fenntartó kezelés kezdete után] a CALGB 100104 vizsgálatban és 13,0% vs. 2,9% az IFM 2005-02 vizsgálatban). A betegeknek és az orvosoknak figyelniük kell a vérzés okozta jelekre és tünetekre, köztük a petechiákra és epistaxisokra, különösen azoknál a betegnél, akik egyidejűleg vérzékenységre hajlamosító gyógyszereket kapnak (lásd 4.8 pont, Vérzéses zavarok).</w:t>
      </w:r>
    </w:p>
    <w:p w14:paraId="0A8CBAD0" w14:textId="77777777" w:rsidR="00956F16" w:rsidRDefault="00956F16" w:rsidP="00956F16">
      <w:pPr>
        <w:spacing w:after="0" w:line="240" w:lineRule="auto"/>
        <w:rPr>
          <w:rFonts w:ascii="Times New Roman" w:eastAsia="Calibri" w:hAnsi="Times New Roman" w:cs="Times New Roman"/>
        </w:rPr>
      </w:pPr>
    </w:p>
    <w:p w14:paraId="0FE1EAD6" w14:textId="77777777" w:rsidR="00CE47BE" w:rsidRPr="00441247" w:rsidRDefault="00CE47BE" w:rsidP="00441247">
      <w:pPr>
        <w:keepNext/>
        <w:numPr>
          <w:ilvl w:val="0"/>
          <w:numId w:val="14"/>
        </w:numPr>
        <w:tabs>
          <w:tab w:val="left" w:pos="567"/>
        </w:tabs>
        <w:spacing w:after="0" w:line="240" w:lineRule="auto"/>
        <w:ind w:hanging="720"/>
        <w:rPr>
          <w:rFonts w:ascii="Times New Roman" w:eastAsia="Calibri" w:hAnsi="Times New Roman" w:cs="Times New Roman"/>
          <w:u w:val="single"/>
        </w:rPr>
      </w:pPr>
      <w:r w:rsidRPr="00441247">
        <w:rPr>
          <w:rFonts w:ascii="Times New Roman" w:eastAsia="Calibri" w:hAnsi="Times New Roman" w:cs="Times New Roman"/>
          <w:u w:val="single"/>
        </w:rPr>
        <w:t>Újonnan diagnosztizált myeloma multiplex: bortezomibbal és dexametazonnal kombinációban adott lenalidomid-kezelésben részesülő, transzplantációra nem alkalmas betegek</w:t>
      </w:r>
    </w:p>
    <w:p w14:paraId="38365DA8" w14:textId="435CDBC1" w:rsidR="00CE47BE" w:rsidRDefault="00CE47BE" w:rsidP="00956F16">
      <w:pPr>
        <w:spacing w:after="0" w:line="240" w:lineRule="auto"/>
        <w:rPr>
          <w:rFonts w:ascii="Times New Roman" w:eastAsia="Calibri" w:hAnsi="Times New Roman" w:cs="Times New Roman"/>
        </w:rPr>
      </w:pPr>
      <w:r w:rsidRPr="00441247">
        <w:rPr>
          <w:rFonts w:ascii="Times New Roman" w:eastAsia="Calibri" w:hAnsi="Times New Roman" w:cs="Times New Roman"/>
        </w:rPr>
        <w:t>A SWOG S0777 vizsgálatban alacsonyabb</w:t>
      </w:r>
      <w:r>
        <w:rPr>
          <w:rFonts w:ascii="Times New Roman" w:eastAsia="Calibri" w:hAnsi="Times New Roman" w:cs="Times New Roman"/>
        </w:rPr>
        <w:t xml:space="preserve"> gyakorisággal figyeltek meg 4-es </w:t>
      </w:r>
      <w:r w:rsidRPr="00441247">
        <w:rPr>
          <w:rFonts w:ascii="Times New Roman" w:eastAsia="Calibri" w:hAnsi="Times New Roman" w:cs="Times New Roman"/>
        </w:rPr>
        <w:t xml:space="preserve">súlyossági fokú neutropeniát a bortezomibbal és dexametazonnal kominációban alkalmazott lenalidomid- (RVd) </w:t>
      </w:r>
      <w:r>
        <w:rPr>
          <w:rFonts w:ascii="Times New Roman" w:eastAsia="Calibri" w:hAnsi="Times New Roman" w:cs="Times New Roman"/>
        </w:rPr>
        <w:t>karon, mint az Rd komparátorkaron (2,7% vs. 5,9%). 4-es</w:t>
      </w:r>
      <w:r w:rsidRPr="00441247">
        <w:rPr>
          <w:rFonts w:ascii="Times New Roman" w:eastAsia="Calibri" w:hAnsi="Times New Roman" w:cs="Times New Roman"/>
        </w:rPr>
        <w:t xml:space="preserve"> súlyossági fokú lázas neutropeniát hasonló gyakorisággal jelentettek az RVd</w:t>
      </w:r>
      <w:r w:rsidR="00062460">
        <w:rPr>
          <w:rFonts w:ascii="Times New Roman" w:eastAsia="Calibri" w:hAnsi="Times New Roman" w:cs="Times New Roman"/>
        </w:rPr>
        <w:t>-</w:t>
      </w:r>
      <w:r w:rsidRPr="00441247">
        <w:rPr>
          <w:rFonts w:ascii="Times New Roman" w:eastAsia="Calibri" w:hAnsi="Times New Roman" w:cs="Times New Roman"/>
        </w:rPr>
        <w:t xml:space="preserve"> és az Rd-karon (0,0% vs. 0,4%). A betegeknek javasolni kell, hogy azonnal számoljanak be a lázas epizódokról, mert szükség lehet a kezelés megszakítására és/vagy a </w:t>
      </w:r>
      <w:r>
        <w:rPr>
          <w:rFonts w:ascii="Times New Roman" w:eastAsia="Calibri" w:hAnsi="Times New Roman" w:cs="Times New Roman"/>
        </w:rPr>
        <w:t>dózis csökkentésére (lásd 4.2 </w:t>
      </w:r>
      <w:r w:rsidRPr="00441247">
        <w:rPr>
          <w:rFonts w:ascii="Times New Roman" w:eastAsia="Calibri" w:hAnsi="Times New Roman" w:cs="Times New Roman"/>
        </w:rPr>
        <w:t>pont).</w:t>
      </w:r>
    </w:p>
    <w:p w14:paraId="459F0B28" w14:textId="77777777" w:rsidR="00CE47BE" w:rsidRDefault="00CE47BE" w:rsidP="00956F16">
      <w:pPr>
        <w:spacing w:after="0" w:line="240" w:lineRule="auto"/>
        <w:rPr>
          <w:rFonts w:ascii="Times New Roman" w:eastAsia="Calibri" w:hAnsi="Times New Roman" w:cs="Times New Roman"/>
        </w:rPr>
      </w:pPr>
    </w:p>
    <w:p w14:paraId="0EEB9947" w14:textId="3E174447" w:rsidR="00CE47BE" w:rsidRPr="00441247" w:rsidRDefault="00DF37D9" w:rsidP="00956F16">
      <w:pPr>
        <w:spacing w:after="0" w:line="240" w:lineRule="auto"/>
        <w:rPr>
          <w:rFonts w:ascii="Times New Roman" w:eastAsia="Calibri" w:hAnsi="Times New Roman" w:cs="Times New Roman"/>
        </w:rPr>
      </w:pPr>
      <w:r>
        <w:rPr>
          <w:rFonts w:ascii="Times New Roman" w:eastAsia="Calibri" w:hAnsi="Times New Roman" w:cs="Times New Roman"/>
        </w:rPr>
        <w:t>3-as vagy 4-es</w:t>
      </w:r>
      <w:r w:rsidR="00CE47BE" w:rsidRPr="00441247">
        <w:rPr>
          <w:rFonts w:ascii="Times New Roman" w:eastAsia="Calibri" w:hAnsi="Times New Roman" w:cs="Times New Roman"/>
        </w:rPr>
        <w:t xml:space="preserve"> súlyossági fokú thrombocytopeniát nagyobb gya</w:t>
      </w:r>
      <w:r>
        <w:rPr>
          <w:rFonts w:ascii="Times New Roman" w:eastAsia="Calibri" w:hAnsi="Times New Roman" w:cs="Times New Roman"/>
        </w:rPr>
        <w:t>korisággal figyeltek meg az RVd</w:t>
      </w:r>
      <w:r w:rsidR="00104634">
        <w:rPr>
          <w:rFonts w:ascii="Times New Roman" w:eastAsia="Calibri" w:hAnsi="Times New Roman" w:cs="Times New Roman"/>
        </w:rPr>
        <w:t>-</w:t>
      </w:r>
      <w:r w:rsidR="00CE47BE" w:rsidRPr="00441247">
        <w:rPr>
          <w:rFonts w:ascii="Times New Roman" w:eastAsia="Calibri" w:hAnsi="Times New Roman" w:cs="Times New Roman"/>
        </w:rPr>
        <w:t xml:space="preserve">karon, </w:t>
      </w:r>
      <w:r>
        <w:rPr>
          <w:rFonts w:ascii="Times New Roman" w:eastAsia="Calibri" w:hAnsi="Times New Roman" w:cs="Times New Roman"/>
        </w:rPr>
        <w:t>mint az Rd komparátor</w:t>
      </w:r>
      <w:r w:rsidR="00CE47BE" w:rsidRPr="00441247">
        <w:rPr>
          <w:rFonts w:ascii="Times New Roman" w:eastAsia="Calibri" w:hAnsi="Times New Roman" w:cs="Times New Roman"/>
        </w:rPr>
        <w:t>karon (17,2 % vs. 9,4%).</w:t>
      </w:r>
    </w:p>
    <w:p w14:paraId="073B19E6" w14:textId="77777777" w:rsidR="00CE47BE" w:rsidRPr="00956F16" w:rsidRDefault="00CE47BE" w:rsidP="00956F16">
      <w:pPr>
        <w:spacing w:after="0" w:line="240" w:lineRule="auto"/>
        <w:rPr>
          <w:rFonts w:ascii="Times New Roman" w:eastAsia="Calibri" w:hAnsi="Times New Roman" w:cs="Times New Roman"/>
        </w:rPr>
      </w:pPr>
    </w:p>
    <w:p w14:paraId="53E77BC1" w14:textId="77777777" w:rsidR="00956F16" w:rsidRPr="00956F16" w:rsidRDefault="00956F16" w:rsidP="00956F16">
      <w:pPr>
        <w:keepNext/>
        <w:numPr>
          <w:ilvl w:val="0"/>
          <w:numId w:val="14"/>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Újonnan diagnosztizált myeloma multiplex: transzplantációra nem alkalmas, kis dózisú dexametazonnal kombinációban adott lenalidomiddal kezelt betegek</w:t>
      </w:r>
    </w:p>
    <w:p w14:paraId="72836BCF" w14:textId="084BCB1D" w:rsidR="00956F16" w:rsidRPr="00956F16" w:rsidRDefault="00956F16" w:rsidP="00956F16">
      <w:pPr>
        <w:tabs>
          <w:tab w:val="left" w:pos="0"/>
        </w:tabs>
        <w:spacing w:after="0" w:line="240" w:lineRule="auto"/>
        <w:rPr>
          <w:rFonts w:ascii="Times New Roman" w:eastAsia="Calibri" w:hAnsi="Times New Roman" w:cs="Times New Roman"/>
        </w:rPr>
      </w:pPr>
      <w:r w:rsidRPr="00956F16">
        <w:rPr>
          <w:rFonts w:ascii="Times New Roman" w:eastAsia="Calibri" w:hAnsi="Times New Roman" w:cs="Times New Roman"/>
        </w:rPr>
        <w:t>A dexametazonnal kombinált lenalidomid</w:t>
      </w:r>
      <w:r w:rsidR="00104634">
        <w:rPr>
          <w:rFonts w:ascii="Times New Roman" w:eastAsia="Calibri" w:hAnsi="Times New Roman" w:cs="Times New Roman"/>
        </w:rPr>
        <w:t>-</w:t>
      </w:r>
      <w:r w:rsidRPr="00956F16">
        <w:rPr>
          <w:rFonts w:ascii="Times New Roman" w:eastAsia="Calibri" w:hAnsi="Times New Roman" w:cs="Times New Roman"/>
        </w:rPr>
        <w:t>karokon kisebb mértékben figyeltek meg 4-es fokozatú neutropeniát, mint a komparátorkaron (8,5% az Rd- [folyamatos kezelés] és Rd18- [18, négyhetes ciklusokban végzett kezelés] karon, szemben a melfalán/prednizon/talidomid</w:t>
      </w:r>
      <w:r w:rsidR="00104634">
        <w:rPr>
          <w:rFonts w:ascii="Times New Roman" w:eastAsia="Calibri" w:hAnsi="Times New Roman" w:cs="Times New Roman"/>
        </w:rPr>
        <w:t>-</w:t>
      </w:r>
      <w:r w:rsidRPr="00956F16">
        <w:rPr>
          <w:rFonts w:ascii="Times New Roman" w:eastAsia="Calibri" w:hAnsi="Times New Roman" w:cs="Times New Roman"/>
        </w:rPr>
        <w:t>karon tapasztalt 15%-os gyakorisággal, lásd 4.8 pont). A 4-es fokozatú lázas neutropeniás epizódok megfeleltek a komparátorkaron megfigyelteknek (0,6% az Rd- és Rd18</w:t>
      </w:r>
      <w:r w:rsidR="00104634">
        <w:rPr>
          <w:rFonts w:ascii="Times New Roman" w:eastAsia="Calibri" w:hAnsi="Times New Roman" w:cs="Times New Roman"/>
        </w:rPr>
        <w:t>-</w:t>
      </w:r>
      <w:r w:rsidRPr="00956F16">
        <w:rPr>
          <w:rFonts w:ascii="Times New Roman" w:eastAsia="Calibri" w:hAnsi="Times New Roman" w:cs="Times New Roman"/>
        </w:rPr>
        <w:t>karon lenalidomid/dexametazon kombinációval kezelt betegeknél, szemben a melfalán/prednizon/talidomid</w:t>
      </w:r>
      <w:r w:rsidR="00104634">
        <w:rPr>
          <w:rFonts w:ascii="Times New Roman" w:eastAsia="Calibri" w:hAnsi="Times New Roman" w:cs="Times New Roman"/>
        </w:rPr>
        <w:t>-</w:t>
      </w:r>
      <w:r w:rsidRPr="00956F16">
        <w:rPr>
          <w:rFonts w:ascii="Times New Roman" w:eastAsia="Calibri" w:hAnsi="Times New Roman" w:cs="Times New Roman"/>
        </w:rPr>
        <w:t>karon tapasztalt 0,7%-os gyakorisággal, lásd 4.8 pont).</w:t>
      </w:r>
    </w:p>
    <w:p w14:paraId="36CBD617" w14:textId="77777777" w:rsidR="00956F16" w:rsidRPr="00956F16" w:rsidRDefault="00956F16" w:rsidP="00956F16">
      <w:pPr>
        <w:spacing w:after="0" w:line="240" w:lineRule="auto"/>
        <w:rPr>
          <w:rFonts w:ascii="Times New Roman" w:eastAsia="Calibri" w:hAnsi="Times New Roman" w:cs="Times New Roman"/>
        </w:rPr>
      </w:pPr>
    </w:p>
    <w:p w14:paraId="44E10DCB" w14:textId="502F1EB1"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lastRenderedPageBreak/>
        <w:t>3-as vagy 4-es súlyossági fokozatú thrombocytopeniát ritkábban figyeltek meg az Rd és Rd18</w:t>
      </w:r>
      <w:r w:rsidR="00104634">
        <w:rPr>
          <w:rFonts w:ascii="Times New Roman" w:eastAsia="Calibri" w:hAnsi="Times New Roman" w:cs="Times New Roman"/>
        </w:rPr>
        <w:t>-</w:t>
      </w:r>
      <w:r w:rsidRPr="00956F16">
        <w:rPr>
          <w:rFonts w:ascii="Times New Roman" w:eastAsia="Calibri" w:hAnsi="Times New Roman" w:cs="Times New Roman"/>
        </w:rPr>
        <w:t>karon, mint a komparátorkaron (8,1% a lenalidomid- vs. 11% a komparátorkar).</w:t>
      </w:r>
    </w:p>
    <w:p w14:paraId="08DAEBA2" w14:textId="77777777" w:rsidR="00956F16" w:rsidRPr="00956F16" w:rsidRDefault="00956F16" w:rsidP="00956F16">
      <w:pPr>
        <w:spacing w:after="0" w:line="240" w:lineRule="auto"/>
        <w:rPr>
          <w:rFonts w:ascii="Times New Roman" w:eastAsia="Calibri" w:hAnsi="Times New Roman" w:cs="Times New Roman"/>
        </w:rPr>
      </w:pPr>
    </w:p>
    <w:p w14:paraId="518E52E2" w14:textId="77777777" w:rsidR="00956F16" w:rsidRPr="00956F16" w:rsidRDefault="00956F16" w:rsidP="00956F16">
      <w:pPr>
        <w:keepNext/>
        <w:numPr>
          <w:ilvl w:val="0"/>
          <w:numId w:val="14"/>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Újonnan diagnosztizált myeloma multiplex: transzplantációra nem alkalmas, melfalánnal és prednizonnal kombinációban adott lenalidomiddal kezelt betegek</w:t>
      </w:r>
    </w:p>
    <w:p w14:paraId="5C0E884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melfalánnal és prednizonnal történő kombinálása újonnan diagnosztizált myeloma multiplexes betegekkel végzett klinikai vizsgálatokban a 4-es fokozatú neutropenia magasabb incidenciájával jár (34,1% a melfalán, prednizon és lenalidomid kombinációval, majd lenalidomiddal kezelt betegeknél [MPR+R], valamint a melfalán, prednizon és lenalidomid kombinációval, majd placebóval kezelt betegeknél [MPR+p], szemben a MPp+p-karon kezelt betegeknél észlelt 7,8%-os gyakorisággal; lásd 4.8 pont). 4-es fokozatú lázas neutropenia epizódjait ritkán figyelték meg (az MPR+R/MPR+p-val kezelt betegeknél 1,7%-os, ezzel szemben az MPp+p-val kezelteknél 0,0%-os gyakorisággal; lásd 4.8 pont).</w:t>
      </w:r>
    </w:p>
    <w:p w14:paraId="3490213B" w14:textId="77777777" w:rsidR="00956F16" w:rsidRPr="00956F16" w:rsidRDefault="00956F16" w:rsidP="00956F16">
      <w:pPr>
        <w:spacing w:after="0" w:line="240" w:lineRule="auto"/>
        <w:rPr>
          <w:rFonts w:ascii="Times New Roman" w:eastAsia="Calibri" w:hAnsi="Times New Roman" w:cs="Times New Roman"/>
        </w:rPr>
      </w:pPr>
    </w:p>
    <w:p w14:paraId="1857A8C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melfalánnal és prednizonnal történő kombinálása myeloma multiplexes betegeknél a 3. és 4-es fokozatú thrombocytopenia magasabb incidenciájával jár (40,4% a MPR+R/MPR+p-vel kezelt betegeknél, ezzel szemben 13,7% az MPp+p-val kezelt betegeknél; lásd 4.8 pont).</w:t>
      </w:r>
    </w:p>
    <w:p w14:paraId="75F3AE8A" w14:textId="77777777" w:rsidR="00956F16" w:rsidRPr="00956F16" w:rsidRDefault="00956F16" w:rsidP="00956F16">
      <w:pPr>
        <w:spacing w:after="0" w:line="240" w:lineRule="auto"/>
        <w:rPr>
          <w:rFonts w:ascii="Times New Roman" w:eastAsia="Calibri" w:hAnsi="Times New Roman" w:cs="Times New Roman"/>
        </w:rPr>
      </w:pPr>
    </w:p>
    <w:p w14:paraId="207BDDD2" w14:textId="77777777" w:rsidR="00956F16" w:rsidRPr="00956F16" w:rsidRDefault="00956F16" w:rsidP="00956F16">
      <w:pPr>
        <w:keepNext/>
        <w:numPr>
          <w:ilvl w:val="0"/>
          <w:numId w:val="14"/>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Myeloma multiplex: legalább már egy korábbi kezelésben részesült betegek</w:t>
      </w:r>
    </w:p>
    <w:p w14:paraId="4AF9742A" w14:textId="3AB94F95" w:rsid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legalább egy korábbi terápiával már kezelt, myeloma multiplexes betegek esetén a dexametazonnal kombinált lenalidomid</w:t>
      </w:r>
      <w:r w:rsidR="00104634">
        <w:rPr>
          <w:rFonts w:ascii="Times New Roman" w:eastAsia="Calibri" w:hAnsi="Times New Roman" w:cs="Times New Roman"/>
        </w:rPr>
        <w:t>-</w:t>
      </w:r>
      <w:r w:rsidRPr="00956F16">
        <w:rPr>
          <w:rFonts w:ascii="Times New Roman" w:eastAsia="Calibri" w:hAnsi="Times New Roman" w:cs="Times New Roman"/>
        </w:rPr>
        <w:t>kezelés a 4-es fokozatú neutropenia nagyobb incidenciájával jár (5,1% a lenalidomiddal/dexametazonnal kezelt betegek és 0,6% a placeboval/dexametazonnal kezelt betegek esetén; lásd 4.8 pont). 4-es fokozatú lázas neutropeniás epizódot ritkán figyeltek meg (0,6% a lenalidomiddal/dexametazonnal kezelt betegek, illetve 0,0% a placeboval/dexametazonnal kezelt betegek esetén; lásd 4.8 pont).</w:t>
      </w:r>
    </w:p>
    <w:p w14:paraId="472FF69D" w14:textId="77777777" w:rsidR="001205A7" w:rsidRPr="00956F16" w:rsidRDefault="001205A7" w:rsidP="00956F16">
      <w:pPr>
        <w:spacing w:after="0" w:line="240" w:lineRule="auto"/>
        <w:rPr>
          <w:rFonts w:ascii="Times New Roman" w:eastAsia="Calibri" w:hAnsi="Times New Roman" w:cs="Times New Roman"/>
        </w:rPr>
      </w:pPr>
    </w:p>
    <w:p w14:paraId="0B983446" w14:textId="0999515E" w:rsidR="001205A7"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Myeloma multiplexes betegeknél a dexametazonnal kombinált lenalidomid</w:t>
      </w:r>
      <w:r w:rsidR="00104634">
        <w:rPr>
          <w:rFonts w:ascii="Times New Roman" w:eastAsia="Calibri" w:hAnsi="Times New Roman" w:cs="Times New Roman"/>
        </w:rPr>
        <w:t>-</w:t>
      </w:r>
      <w:r w:rsidRPr="00956F16">
        <w:rPr>
          <w:rFonts w:ascii="Times New Roman" w:eastAsia="Calibri" w:hAnsi="Times New Roman" w:cs="Times New Roman"/>
        </w:rPr>
        <w:t>kezelés a 3-as és 4</w:t>
      </w:r>
      <w:r w:rsidR="00104634">
        <w:rPr>
          <w:rFonts w:ascii="Times New Roman" w:eastAsia="Calibri" w:hAnsi="Times New Roman" w:cs="Times New Roman"/>
        </w:rPr>
        <w:t>-</w:t>
      </w:r>
      <w:r w:rsidRPr="00956F16">
        <w:rPr>
          <w:rFonts w:ascii="Times New Roman" w:eastAsia="Calibri" w:hAnsi="Times New Roman" w:cs="Times New Roman"/>
        </w:rPr>
        <w:t>es fokozatú thrombocytopenia nagyobb incidenciájával jár (9,9% és 1,4% a lenalidomiddal/dexametazonnal kezelt betegek, illetve 2,3% és 0,0% a placeboval/dexametazonnal kezelt betegek esetén; lásd 4.8 pont).</w:t>
      </w:r>
    </w:p>
    <w:p w14:paraId="036F21CF" w14:textId="05FEE727" w:rsidR="00956F16" w:rsidRDefault="00956F16" w:rsidP="00956F16">
      <w:pPr>
        <w:spacing w:after="0" w:line="240" w:lineRule="auto"/>
        <w:rPr>
          <w:rFonts w:ascii="Times New Roman" w:eastAsia="Calibri" w:hAnsi="Times New Roman" w:cs="Times New Roman"/>
        </w:rPr>
      </w:pPr>
    </w:p>
    <w:p w14:paraId="026F4ABB" w14:textId="77777777" w:rsidR="00153C38" w:rsidRPr="00934095" w:rsidRDefault="00153C38" w:rsidP="00934095">
      <w:pPr>
        <w:keepNext/>
        <w:numPr>
          <w:ilvl w:val="0"/>
          <w:numId w:val="14"/>
        </w:numPr>
        <w:tabs>
          <w:tab w:val="left" w:pos="567"/>
        </w:tabs>
        <w:spacing w:after="0" w:line="240" w:lineRule="auto"/>
        <w:ind w:hanging="720"/>
        <w:rPr>
          <w:rFonts w:ascii="Times New Roman" w:eastAsia="Calibri" w:hAnsi="Times New Roman" w:cs="Times New Roman"/>
          <w:u w:val="single"/>
        </w:rPr>
      </w:pPr>
      <w:r w:rsidRPr="00934095">
        <w:rPr>
          <w:rFonts w:ascii="Times New Roman" w:eastAsia="Calibri" w:hAnsi="Times New Roman" w:cs="Times New Roman"/>
          <w:u w:val="single"/>
        </w:rPr>
        <w:t>Myelodysplasiás szindrómák</w:t>
      </w:r>
    </w:p>
    <w:p w14:paraId="4EC26CE9" w14:textId="5B5AD35D" w:rsidR="00153C38" w:rsidRDefault="00153C38" w:rsidP="00153C38">
      <w:pPr>
        <w:spacing w:after="0" w:line="240" w:lineRule="auto"/>
        <w:rPr>
          <w:rFonts w:ascii="Times New Roman" w:eastAsia="Calibri" w:hAnsi="Times New Roman" w:cs="Times New Roman"/>
        </w:rPr>
      </w:pPr>
      <w:r w:rsidRPr="00153C38">
        <w:rPr>
          <w:rFonts w:ascii="Times New Roman" w:eastAsia="Calibri" w:hAnsi="Times New Roman" w:cs="Times New Roman"/>
        </w:rPr>
        <w:t>Myelodysplasiás szindrómákban szenvedő betegek esetében a lenalidomid-kezelés a 3. és</w:t>
      </w:r>
      <w:r>
        <w:rPr>
          <w:rFonts w:ascii="Times New Roman" w:eastAsia="Calibri" w:hAnsi="Times New Roman" w:cs="Times New Roman"/>
        </w:rPr>
        <w:t xml:space="preserve"> </w:t>
      </w:r>
      <w:r w:rsidRPr="00153C38">
        <w:rPr>
          <w:rFonts w:ascii="Times New Roman" w:eastAsia="Calibri" w:hAnsi="Times New Roman" w:cs="Times New Roman"/>
        </w:rPr>
        <w:t>4.</w:t>
      </w:r>
      <w:r>
        <w:rPr>
          <w:rFonts w:ascii="Times New Roman" w:eastAsia="Calibri" w:hAnsi="Times New Roman" w:cs="Times New Roman"/>
        </w:rPr>
        <w:t> </w:t>
      </w:r>
      <w:r w:rsidRPr="00153C38">
        <w:rPr>
          <w:rFonts w:ascii="Times New Roman" w:eastAsia="Calibri" w:hAnsi="Times New Roman" w:cs="Times New Roman"/>
        </w:rPr>
        <w:t>súlyossági fokú neutropenia és thrombocytopenia magasabb incidenciájával jár (lásd 4.8</w:t>
      </w:r>
      <w:r>
        <w:rPr>
          <w:rFonts w:ascii="Times New Roman" w:eastAsia="Calibri" w:hAnsi="Times New Roman" w:cs="Times New Roman"/>
        </w:rPr>
        <w:t> </w:t>
      </w:r>
      <w:r w:rsidRPr="00153C38">
        <w:rPr>
          <w:rFonts w:ascii="Times New Roman" w:eastAsia="Calibri" w:hAnsi="Times New Roman" w:cs="Times New Roman"/>
        </w:rPr>
        <w:t>pont).</w:t>
      </w:r>
    </w:p>
    <w:p w14:paraId="40C63196" w14:textId="77777777" w:rsidR="00153C38" w:rsidRPr="00153C38" w:rsidRDefault="00153C38" w:rsidP="00153C38">
      <w:pPr>
        <w:spacing w:after="0" w:line="240" w:lineRule="auto"/>
        <w:rPr>
          <w:rFonts w:ascii="Times New Roman" w:eastAsia="Calibri" w:hAnsi="Times New Roman" w:cs="Times New Roman"/>
        </w:rPr>
      </w:pPr>
    </w:p>
    <w:p w14:paraId="13D90EDE" w14:textId="731C075F" w:rsidR="00153C38" w:rsidRPr="00934095" w:rsidRDefault="00153C38" w:rsidP="00934095">
      <w:pPr>
        <w:keepNext/>
        <w:numPr>
          <w:ilvl w:val="0"/>
          <w:numId w:val="14"/>
        </w:numPr>
        <w:tabs>
          <w:tab w:val="left" w:pos="567"/>
        </w:tabs>
        <w:spacing w:after="0" w:line="240" w:lineRule="auto"/>
        <w:ind w:hanging="720"/>
        <w:rPr>
          <w:rFonts w:ascii="Times New Roman" w:eastAsia="Calibri" w:hAnsi="Times New Roman" w:cs="Times New Roman"/>
          <w:u w:val="single"/>
        </w:rPr>
      </w:pPr>
      <w:r w:rsidRPr="00934095">
        <w:rPr>
          <w:rFonts w:ascii="Times New Roman" w:eastAsia="Calibri" w:hAnsi="Times New Roman" w:cs="Times New Roman"/>
          <w:u w:val="single"/>
        </w:rPr>
        <w:t>Köpenysejtes lymphoma</w:t>
      </w:r>
    </w:p>
    <w:p w14:paraId="1EF6760C" w14:textId="40A9511C" w:rsidR="00153C38" w:rsidRDefault="00153C38" w:rsidP="00153C38">
      <w:pPr>
        <w:spacing w:after="0" w:line="240" w:lineRule="auto"/>
        <w:rPr>
          <w:rFonts w:ascii="Times New Roman" w:eastAsia="Calibri" w:hAnsi="Times New Roman" w:cs="Times New Roman"/>
        </w:rPr>
      </w:pPr>
      <w:r w:rsidRPr="00153C38">
        <w:rPr>
          <w:rFonts w:ascii="Times New Roman" w:eastAsia="Calibri" w:hAnsi="Times New Roman" w:cs="Times New Roman"/>
        </w:rPr>
        <w:t>Köpenysejtes lymphomában szenvedő betegek esetében a lenalidomid-kezelés a 3. és 4.</w:t>
      </w:r>
      <w:r>
        <w:rPr>
          <w:rFonts w:ascii="Times New Roman" w:eastAsia="Calibri" w:hAnsi="Times New Roman" w:cs="Times New Roman"/>
        </w:rPr>
        <w:t> </w:t>
      </w:r>
      <w:r w:rsidRPr="00153C38">
        <w:rPr>
          <w:rFonts w:ascii="Times New Roman" w:eastAsia="Calibri" w:hAnsi="Times New Roman" w:cs="Times New Roman"/>
        </w:rPr>
        <w:t>súlyosság</w:t>
      </w:r>
      <w:r w:rsidR="00D66EF9">
        <w:rPr>
          <w:rFonts w:ascii="Times New Roman" w:eastAsia="Calibri" w:hAnsi="Times New Roman" w:cs="Times New Roman"/>
        </w:rPr>
        <w:t>i</w:t>
      </w:r>
      <w:r>
        <w:rPr>
          <w:rFonts w:ascii="Times New Roman" w:eastAsia="Calibri" w:hAnsi="Times New Roman" w:cs="Times New Roman"/>
        </w:rPr>
        <w:t xml:space="preserve"> </w:t>
      </w:r>
      <w:r w:rsidRPr="00153C38">
        <w:rPr>
          <w:rFonts w:ascii="Times New Roman" w:eastAsia="Calibri" w:hAnsi="Times New Roman" w:cs="Times New Roman"/>
        </w:rPr>
        <w:t>fokú neutropenia magasabb incidenciájával jár a kontrollkar betegeihez képest (lásd 4.8</w:t>
      </w:r>
      <w:r>
        <w:rPr>
          <w:rFonts w:ascii="Times New Roman" w:eastAsia="Calibri" w:hAnsi="Times New Roman" w:cs="Times New Roman"/>
        </w:rPr>
        <w:t> </w:t>
      </w:r>
      <w:r w:rsidRPr="00153C38">
        <w:rPr>
          <w:rFonts w:ascii="Times New Roman" w:eastAsia="Calibri" w:hAnsi="Times New Roman" w:cs="Times New Roman"/>
        </w:rPr>
        <w:t>pont)</w:t>
      </w:r>
      <w:r>
        <w:rPr>
          <w:rFonts w:ascii="Times New Roman" w:eastAsia="Calibri" w:hAnsi="Times New Roman" w:cs="Times New Roman"/>
        </w:rPr>
        <w:t>.</w:t>
      </w:r>
    </w:p>
    <w:p w14:paraId="68CC5E38" w14:textId="77777777" w:rsidR="00153C38" w:rsidRDefault="00153C38" w:rsidP="00153C38">
      <w:pPr>
        <w:spacing w:after="0" w:line="240" w:lineRule="auto"/>
        <w:rPr>
          <w:rFonts w:ascii="Times New Roman" w:eastAsia="Calibri" w:hAnsi="Times New Roman" w:cs="Times New Roman"/>
        </w:rPr>
      </w:pPr>
    </w:p>
    <w:p w14:paraId="4C21A0D2" w14:textId="77777777" w:rsidR="00BF0D2C" w:rsidRPr="00E83289" w:rsidRDefault="00BF0D2C" w:rsidP="00E83289">
      <w:pPr>
        <w:keepNext/>
        <w:numPr>
          <w:ilvl w:val="0"/>
          <w:numId w:val="14"/>
        </w:numPr>
        <w:tabs>
          <w:tab w:val="left" w:pos="567"/>
        </w:tabs>
        <w:spacing w:after="0" w:line="240" w:lineRule="auto"/>
        <w:ind w:hanging="720"/>
        <w:rPr>
          <w:rFonts w:ascii="Times New Roman" w:eastAsia="Calibri" w:hAnsi="Times New Roman" w:cs="Times New Roman"/>
          <w:u w:val="single"/>
        </w:rPr>
      </w:pPr>
      <w:r w:rsidRPr="00E83289">
        <w:rPr>
          <w:rFonts w:ascii="Times New Roman" w:eastAsia="Calibri" w:hAnsi="Times New Roman" w:cs="Times New Roman"/>
          <w:u w:val="single"/>
        </w:rPr>
        <w:t>Follicularis lymphoma</w:t>
      </w:r>
    </w:p>
    <w:p w14:paraId="168CF6AF" w14:textId="167BEE75" w:rsidR="00BF0D2C" w:rsidRDefault="00BF0D2C" w:rsidP="00BF0D2C">
      <w:pPr>
        <w:spacing w:after="0" w:line="240" w:lineRule="auto"/>
        <w:rPr>
          <w:rFonts w:ascii="Times New Roman" w:eastAsia="Calibri" w:hAnsi="Times New Roman" w:cs="Times New Roman"/>
        </w:rPr>
      </w:pPr>
      <w:r w:rsidRPr="00BF0D2C">
        <w:rPr>
          <w:rFonts w:ascii="Times New Roman" w:eastAsia="Calibri" w:hAnsi="Times New Roman" w:cs="Times New Roman"/>
        </w:rPr>
        <w:t>Follicularis lymphomában szenvedő betegeknél a lenalidomid és rituximab kombinációja a 3. és</w:t>
      </w:r>
      <w:r>
        <w:rPr>
          <w:rFonts w:ascii="Times New Roman" w:eastAsia="Calibri" w:hAnsi="Times New Roman" w:cs="Times New Roman"/>
        </w:rPr>
        <w:t xml:space="preserve"> </w:t>
      </w:r>
      <w:r w:rsidRPr="00BF0D2C">
        <w:rPr>
          <w:rFonts w:ascii="Times New Roman" w:eastAsia="Calibri" w:hAnsi="Times New Roman" w:cs="Times New Roman"/>
        </w:rPr>
        <w:t>4.</w:t>
      </w:r>
      <w:r>
        <w:rPr>
          <w:rFonts w:ascii="Times New Roman" w:eastAsia="Calibri" w:hAnsi="Times New Roman" w:cs="Times New Roman"/>
        </w:rPr>
        <w:t> </w:t>
      </w:r>
      <w:r w:rsidRPr="00BF0D2C">
        <w:rPr>
          <w:rFonts w:ascii="Times New Roman" w:eastAsia="Calibri" w:hAnsi="Times New Roman" w:cs="Times New Roman"/>
        </w:rPr>
        <w:t>fokú neutropenia nagyobb gyakoriságával volt összefüggésben, mint a placebo/rituximab</w:t>
      </w:r>
      <w:r w:rsidR="00795B36">
        <w:rPr>
          <w:rFonts w:ascii="Times New Roman" w:eastAsia="Calibri" w:hAnsi="Times New Roman" w:cs="Times New Roman"/>
        </w:rPr>
        <w:t>-</w:t>
      </w:r>
      <w:r w:rsidRPr="00BF0D2C">
        <w:rPr>
          <w:rFonts w:ascii="Times New Roman" w:eastAsia="Calibri" w:hAnsi="Times New Roman" w:cs="Times New Roman"/>
        </w:rPr>
        <w:t>kar</w:t>
      </w:r>
      <w:r>
        <w:rPr>
          <w:rFonts w:ascii="Times New Roman" w:eastAsia="Calibri" w:hAnsi="Times New Roman" w:cs="Times New Roman"/>
        </w:rPr>
        <w:t xml:space="preserve"> </w:t>
      </w:r>
      <w:r w:rsidRPr="00BF0D2C">
        <w:rPr>
          <w:rFonts w:ascii="Times New Roman" w:eastAsia="Calibri" w:hAnsi="Times New Roman" w:cs="Times New Roman"/>
        </w:rPr>
        <w:t>betegeinél. A lázas neutropenia és a 3., illetve 4.</w:t>
      </w:r>
      <w:r>
        <w:rPr>
          <w:rFonts w:ascii="Times New Roman" w:eastAsia="Calibri" w:hAnsi="Times New Roman" w:cs="Times New Roman"/>
        </w:rPr>
        <w:t> </w:t>
      </w:r>
      <w:r w:rsidRPr="00BF0D2C">
        <w:rPr>
          <w:rFonts w:ascii="Times New Roman" w:eastAsia="Calibri" w:hAnsi="Times New Roman" w:cs="Times New Roman"/>
        </w:rPr>
        <w:t>fokú thrombocytopenia gyakoribb volt a</w:t>
      </w:r>
      <w:r>
        <w:rPr>
          <w:rFonts w:ascii="Times New Roman" w:eastAsia="Calibri" w:hAnsi="Times New Roman" w:cs="Times New Roman"/>
        </w:rPr>
        <w:t xml:space="preserve"> </w:t>
      </w:r>
      <w:r w:rsidRPr="00BF0D2C">
        <w:rPr>
          <w:rFonts w:ascii="Times New Roman" w:eastAsia="Calibri" w:hAnsi="Times New Roman" w:cs="Times New Roman"/>
        </w:rPr>
        <w:t>lenalidomid/rituximab</w:t>
      </w:r>
      <w:r w:rsidR="00795B36">
        <w:rPr>
          <w:rFonts w:ascii="Times New Roman" w:eastAsia="Calibri" w:hAnsi="Times New Roman" w:cs="Times New Roman"/>
        </w:rPr>
        <w:t>-</w:t>
      </w:r>
      <w:r w:rsidRPr="00BF0D2C">
        <w:rPr>
          <w:rFonts w:ascii="Times New Roman" w:eastAsia="Calibri" w:hAnsi="Times New Roman" w:cs="Times New Roman"/>
        </w:rPr>
        <w:t>karon (lásd 4.8</w:t>
      </w:r>
      <w:r>
        <w:rPr>
          <w:rFonts w:ascii="Times New Roman" w:eastAsia="Calibri" w:hAnsi="Times New Roman" w:cs="Times New Roman"/>
        </w:rPr>
        <w:t> </w:t>
      </w:r>
      <w:r w:rsidRPr="00BF0D2C">
        <w:rPr>
          <w:rFonts w:ascii="Times New Roman" w:eastAsia="Calibri" w:hAnsi="Times New Roman" w:cs="Times New Roman"/>
        </w:rPr>
        <w:t>pont).</w:t>
      </w:r>
    </w:p>
    <w:p w14:paraId="1ED6A835" w14:textId="77777777" w:rsidR="00BF0D2C" w:rsidRPr="00956F16" w:rsidRDefault="00BF0D2C" w:rsidP="00BF0D2C">
      <w:pPr>
        <w:spacing w:after="0" w:line="240" w:lineRule="auto"/>
        <w:rPr>
          <w:rFonts w:ascii="Times New Roman" w:eastAsia="Calibri" w:hAnsi="Times New Roman" w:cs="Times New Roman"/>
        </w:rPr>
      </w:pPr>
    </w:p>
    <w:p w14:paraId="5970C3C3" w14:textId="5EB865AD"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Pajzsmirigybetegségek</w:t>
      </w:r>
    </w:p>
    <w:p w14:paraId="5612E735"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Hypothyreosisos és hyperthyreosisos esetekről számoltak be. A kezelés megkezdése előtt javasolt gondoskodni a pajzsmirigyműködést befolyásoló társbetegségek optimális kontrolljáról. A pajzsmirigyműködést a kezelés megkezdésekor és a későbbiekben is javasolt ellenőrizni.</w:t>
      </w:r>
    </w:p>
    <w:p w14:paraId="2E3CAE27" w14:textId="77777777" w:rsidR="00956F16" w:rsidRPr="00956F16" w:rsidRDefault="00956F16" w:rsidP="00956F16">
      <w:pPr>
        <w:spacing w:after="0" w:line="240" w:lineRule="auto"/>
        <w:rPr>
          <w:rFonts w:ascii="Times New Roman" w:eastAsia="Calibri" w:hAnsi="Times New Roman" w:cs="Times New Roman"/>
        </w:rPr>
      </w:pPr>
    </w:p>
    <w:p w14:paraId="68F1D619"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Perifériás neuropathia</w:t>
      </w:r>
    </w:p>
    <w:p w14:paraId="42245FAC" w14:textId="291F056D" w:rsidR="00DF37D9"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szerkezetileg hasonló a talidomidhoz, amelyről ismert, hogy súlyos perifériás neuropathiát okoz. Az újonnan diagnosztizált myeloma multiplex </w:t>
      </w:r>
      <w:r w:rsidR="00DF37D9" w:rsidRPr="00441247">
        <w:rPr>
          <w:rFonts w:ascii="Times New Roman" w:eastAsia="Calibri" w:hAnsi="Times New Roman" w:cs="Times New Roman"/>
        </w:rPr>
        <w:t>esetén a dexametazonnal vagy melfalánnal és prednizonnal kombinációban alkalmazott lenalidom</w:t>
      </w:r>
      <w:r w:rsidR="00DF37D9">
        <w:rPr>
          <w:rFonts w:ascii="Times New Roman" w:eastAsia="Calibri" w:hAnsi="Times New Roman" w:cs="Times New Roman"/>
        </w:rPr>
        <w:t>id-kezelés, illetve lenalidomid</w:t>
      </w:r>
      <w:r w:rsidR="00104634">
        <w:rPr>
          <w:rFonts w:ascii="Times New Roman" w:eastAsia="Calibri" w:hAnsi="Times New Roman" w:cs="Times New Roman"/>
        </w:rPr>
        <w:t>-</w:t>
      </w:r>
      <w:r w:rsidR="00DF37D9" w:rsidRPr="00441247">
        <w:rPr>
          <w:rFonts w:ascii="Times New Roman" w:eastAsia="Calibri" w:hAnsi="Times New Roman" w:cs="Times New Roman"/>
        </w:rPr>
        <w:t xml:space="preserve">monoterápia vagy hosszú távú </w:t>
      </w:r>
      <w:r w:rsidR="00DF37D9">
        <w:rPr>
          <w:rFonts w:ascii="Times New Roman" w:eastAsia="Calibri" w:hAnsi="Times New Roman" w:cs="Times New Roman"/>
        </w:rPr>
        <w:t>lenalidomid</w:t>
      </w:r>
      <w:r w:rsidR="00104634">
        <w:rPr>
          <w:rFonts w:ascii="Times New Roman" w:eastAsia="Calibri" w:hAnsi="Times New Roman" w:cs="Times New Roman"/>
        </w:rPr>
        <w:t>-</w:t>
      </w:r>
      <w:r w:rsidR="00DF37D9" w:rsidRPr="00441247">
        <w:rPr>
          <w:rFonts w:ascii="Times New Roman" w:eastAsia="Calibri" w:hAnsi="Times New Roman" w:cs="Times New Roman"/>
        </w:rPr>
        <w:t xml:space="preserve">terápia mellett </w:t>
      </w:r>
      <w:r w:rsidRPr="00956F16">
        <w:rPr>
          <w:rFonts w:ascii="Times New Roman" w:eastAsia="Calibri" w:hAnsi="Times New Roman" w:cs="Times New Roman"/>
        </w:rPr>
        <w:t>nem figyelték meg a perifériás neuropathia gyakoriságának növekedését.</w:t>
      </w:r>
    </w:p>
    <w:p w14:paraId="6A8B1217" w14:textId="77777777" w:rsidR="001C6743" w:rsidRPr="00956F16" w:rsidRDefault="001C6743" w:rsidP="00956F16">
      <w:pPr>
        <w:spacing w:after="0" w:line="240" w:lineRule="auto"/>
        <w:rPr>
          <w:rFonts w:ascii="Times New Roman" w:eastAsia="Calibri" w:hAnsi="Times New Roman" w:cs="Times New Roman"/>
        </w:rPr>
      </w:pPr>
    </w:p>
    <w:p w14:paraId="03CE5494" w14:textId="34619E80" w:rsidR="00956F16" w:rsidRPr="00441247" w:rsidRDefault="00DF37D9" w:rsidP="00956F16">
      <w:pPr>
        <w:spacing w:after="0" w:line="240" w:lineRule="auto"/>
        <w:rPr>
          <w:rFonts w:ascii="Times New Roman" w:eastAsia="Calibri" w:hAnsi="Times New Roman" w:cs="Times New Roman"/>
        </w:rPr>
      </w:pPr>
      <w:r w:rsidRPr="00441247">
        <w:rPr>
          <w:rFonts w:ascii="Times New Roman" w:eastAsia="Calibri" w:hAnsi="Times New Roman" w:cs="Times New Roman"/>
        </w:rPr>
        <w:lastRenderedPageBreak/>
        <w:t xml:space="preserve">A lenalidomid intravénás bortezomibbal és dexametazonnal kombinációban történő alkalmazása myeloma multiplexes betegeknél a perifériás neuropathia nagyobb előfordulási gyakoriságával jár. A gyakoriság kisebb volt a bortezomib subcutan alkalmazása mellett. A további információkat illetően </w:t>
      </w:r>
      <w:r w:rsidRPr="00E83289">
        <w:rPr>
          <w:rFonts w:ascii="Times New Roman" w:eastAsia="Calibri" w:hAnsi="Times New Roman" w:cs="Times New Roman"/>
        </w:rPr>
        <w:t xml:space="preserve">lásd a 4.8 pontot és a bortezomib </w:t>
      </w:r>
      <w:r w:rsidR="00795B36">
        <w:rPr>
          <w:rFonts w:ascii="Times New Roman" w:eastAsia="Calibri" w:hAnsi="Times New Roman" w:cs="Times New Roman"/>
        </w:rPr>
        <w:t>a</w:t>
      </w:r>
      <w:r w:rsidRPr="00E83289">
        <w:rPr>
          <w:rFonts w:ascii="Times New Roman" w:eastAsia="Calibri" w:hAnsi="Times New Roman" w:cs="Times New Roman"/>
        </w:rPr>
        <w:t>lkalmazási előírását.</w:t>
      </w:r>
    </w:p>
    <w:p w14:paraId="77DC76EF" w14:textId="77777777" w:rsidR="00DF37D9" w:rsidRPr="00956F16" w:rsidRDefault="00DF37D9" w:rsidP="00956F16">
      <w:pPr>
        <w:spacing w:after="0" w:line="240" w:lineRule="auto"/>
        <w:rPr>
          <w:rFonts w:ascii="Times New Roman" w:eastAsia="Calibri" w:hAnsi="Times New Roman" w:cs="Times New Roman"/>
        </w:rPr>
      </w:pPr>
    </w:p>
    <w:p w14:paraId="1D8F732E" w14:textId="13DA1A9C" w:rsidR="00956F16" w:rsidRPr="00E83289" w:rsidRDefault="00B16058" w:rsidP="00956F16">
      <w:pPr>
        <w:keepNext/>
        <w:spacing w:after="0" w:line="240" w:lineRule="auto"/>
        <w:rPr>
          <w:rFonts w:ascii="Times New Roman" w:eastAsia="Calibri" w:hAnsi="Times New Roman" w:cs="Times New Roman"/>
          <w:i/>
          <w:u w:val="single"/>
        </w:rPr>
      </w:pPr>
      <w:r w:rsidRPr="00B16058">
        <w:rPr>
          <w:rFonts w:ascii="Times New Roman" w:eastAsia="Calibri" w:hAnsi="Times New Roman" w:cs="Times New Roman"/>
          <w:i/>
          <w:u w:val="single"/>
        </w:rPr>
        <w:t>T</w:t>
      </w:r>
      <w:r>
        <w:rPr>
          <w:rFonts w:ascii="Times New Roman" w:eastAsia="Calibri" w:hAnsi="Times New Roman" w:cs="Times New Roman"/>
          <w:i/>
          <w:u w:val="single"/>
        </w:rPr>
        <w:t>umorfellángolási reakció és tumorlízis szindróma</w:t>
      </w:r>
    </w:p>
    <w:p w14:paraId="23427525" w14:textId="200A5850" w:rsidR="00956F16" w:rsidRPr="00956F16" w:rsidRDefault="00956F16" w:rsidP="00956F16">
      <w:pPr>
        <w:spacing w:after="0" w:line="240" w:lineRule="auto"/>
        <w:rPr>
          <w:rFonts w:ascii="Times New Roman" w:eastAsia="Calibri" w:hAnsi="Times New Roman" w:cs="Times New Roman"/>
        </w:rPr>
      </w:pPr>
      <w:r w:rsidRPr="00E83289">
        <w:rPr>
          <w:rFonts w:ascii="Times New Roman" w:eastAsia="Calibri" w:hAnsi="Times New Roman" w:cs="Times New Roman"/>
        </w:rPr>
        <w:t>Mivel a lenalidomid antineoplasztikus hatással rendelkezik, szövődményként tumorlízis-szindróma (TLS/</w:t>
      </w:r>
      <w:r w:rsidRPr="00E83289">
        <w:rPr>
          <w:rFonts w:ascii="Times New Roman" w:eastAsia="Calibri" w:hAnsi="Times New Roman" w:cs="Times New Roman"/>
          <w:spacing w:val="1"/>
        </w:rPr>
        <w:t xml:space="preserve"> t</w:t>
      </w:r>
      <w:r w:rsidRPr="00E83289">
        <w:rPr>
          <w:rFonts w:ascii="Times New Roman" w:eastAsia="Calibri" w:hAnsi="Times New Roman" w:cs="Times New Roman"/>
        </w:rPr>
        <w:t>u</w:t>
      </w:r>
      <w:r w:rsidRPr="00E83289">
        <w:rPr>
          <w:rFonts w:ascii="Times New Roman" w:eastAsia="Calibri" w:hAnsi="Times New Roman" w:cs="Times New Roman"/>
          <w:spacing w:val="-3"/>
        </w:rPr>
        <w:t>m</w:t>
      </w:r>
      <w:r w:rsidRPr="00E83289">
        <w:rPr>
          <w:rFonts w:ascii="Times New Roman" w:eastAsia="Calibri" w:hAnsi="Times New Roman" w:cs="Times New Roman"/>
        </w:rPr>
        <w:t>our</w:t>
      </w:r>
      <w:r w:rsidRPr="00E83289">
        <w:rPr>
          <w:rFonts w:ascii="Times New Roman" w:eastAsia="Calibri" w:hAnsi="Times New Roman" w:cs="Times New Roman"/>
          <w:spacing w:val="1"/>
        </w:rPr>
        <w:t xml:space="preserve"> l</w:t>
      </w:r>
      <w:r w:rsidRPr="00E83289">
        <w:rPr>
          <w:rFonts w:ascii="Times New Roman" w:eastAsia="Calibri" w:hAnsi="Times New Roman" w:cs="Times New Roman"/>
          <w:spacing w:val="-2"/>
        </w:rPr>
        <w:t>y</w:t>
      </w:r>
      <w:r w:rsidRPr="00E83289">
        <w:rPr>
          <w:rFonts w:ascii="Times New Roman" w:eastAsia="Calibri" w:hAnsi="Times New Roman" w:cs="Times New Roman"/>
          <w:spacing w:val="1"/>
        </w:rPr>
        <w:t>s</w:t>
      </w:r>
      <w:r w:rsidRPr="00E83289">
        <w:rPr>
          <w:rFonts w:ascii="Times New Roman" w:eastAsia="Calibri" w:hAnsi="Times New Roman" w:cs="Times New Roman"/>
          <w:spacing w:val="-1"/>
        </w:rPr>
        <w:t>i</w:t>
      </w:r>
      <w:r w:rsidRPr="00E83289">
        <w:rPr>
          <w:rFonts w:ascii="Times New Roman" w:eastAsia="Calibri" w:hAnsi="Times New Roman" w:cs="Times New Roman"/>
        </w:rPr>
        <w:t>s</w:t>
      </w:r>
      <w:r w:rsidRPr="00E83289">
        <w:rPr>
          <w:rFonts w:ascii="Times New Roman" w:eastAsia="Calibri" w:hAnsi="Times New Roman" w:cs="Times New Roman"/>
          <w:spacing w:val="1"/>
        </w:rPr>
        <w:t xml:space="preserve"> </w:t>
      </w:r>
      <w:r w:rsidRPr="00E83289">
        <w:rPr>
          <w:rFonts w:ascii="Times New Roman" w:eastAsia="Calibri" w:hAnsi="Times New Roman" w:cs="Times New Roman"/>
        </w:rPr>
        <w:t>s</w:t>
      </w:r>
      <w:r w:rsidRPr="00E83289">
        <w:rPr>
          <w:rFonts w:ascii="Times New Roman" w:eastAsia="Calibri" w:hAnsi="Times New Roman" w:cs="Times New Roman"/>
          <w:spacing w:val="-2"/>
        </w:rPr>
        <w:t>y</w:t>
      </w:r>
      <w:r w:rsidRPr="00E83289">
        <w:rPr>
          <w:rFonts w:ascii="Times New Roman" w:eastAsia="Calibri" w:hAnsi="Times New Roman" w:cs="Times New Roman"/>
        </w:rPr>
        <w:t>nd</w:t>
      </w:r>
      <w:r w:rsidRPr="00E83289">
        <w:rPr>
          <w:rFonts w:ascii="Times New Roman" w:eastAsia="Calibri" w:hAnsi="Times New Roman" w:cs="Times New Roman"/>
          <w:spacing w:val="1"/>
        </w:rPr>
        <w:t>r</w:t>
      </w:r>
      <w:r w:rsidRPr="00E83289">
        <w:rPr>
          <w:rFonts w:ascii="Times New Roman" w:eastAsia="Calibri" w:hAnsi="Times New Roman" w:cs="Times New Roman"/>
        </w:rPr>
        <w:t>o</w:t>
      </w:r>
      <w:r w:rsidRPr="00E83289">
        <w:rPr>
          <w:rFonts w:ascii="Times New Roman" w:eastAsia="Calibri" w:hAnsi="Times New Roman" w:cs="Times New Roman"/>
          <w:spacing w:val="-3"/>
        </w:rPr>
        <w:t>m</w:t>
      </w:r>
      <w:r w:rsidRPr="00E83289">
        <w:rPr>
          <w:rFonts w:ascii="Times New Roman" w:eastAsia="Calibri" w:hAnsi="Times New Roman" w:cs="Times New Roman"/>
        </w:rPr>
        <w:t xml:space="preserve">e) léphet fel. </w:t>
      </w:r>
      <w:r w:rsidR="005962CB" w:rsidRPr="00E83289">
        <w:rPr>
          <w:rFonts w:ascii="Times New Roman" w:eastAsia="Calibri" w:hAnsi="Times New Roman" w:cs="Times New Roman"/>
        </w:rPr>
        <w:t xml:space="preserve">Beszámoltak TLS és tumorfellángolási reakció (tumour flare reaction, TFR) esetekről, beleértve </w:t>
      </w:r>
      <w:r w:rsidR="00F322D7" w:rsidRPr="00E83289">
        <w:rPr>
          <w:rFonts w:ascii="Times New Roman" w:eastAsia="Calibri" w:hAnsi="Times New Roman" w:cs="Times New Roman"/>
        </w:rPr>
        <w:t>letális</w:t>
      </w:r>
      <w:r w:rsidR="005962CB" w:rsidRPr="00E83289">
        <w:rPr>
          <w:rFonts w:ascii="Times New Roman" w:eastAsia="Calibri" w:hAnsi="Times New Roman" w:cs="Times New Roman"/>
        </w:rPr>
        <w:t xml:space="preserve"> kimenetelűeket is (lásd 4.8 pont).</w:t>
      </w:r>
      <w:r w:rsidR="005962CB" w:rsidRPr="00E83289">
        <w:rPr>
          <w:rFonts w:ascii="Times New Roman" w:hAnsi="Times New Roman" w:cs="Times New Roman"/>
        </w:rPr>
        <w:t xml:space="preserve"> </w:t>
      </w:r>
      <w:r w:rsidRPr="00E83289">
        <w:rPr>
          <w:rFonts w:ascii="Times New Roman" w:eastAsia="Calibri" w:hAnsi="Times New Roman" w:cs="Times New Roman"/>
        </w:rPr>
        <w:t>A TLS és a TFR kockázata a kezelést megelőzően nagy tumormérettel rendelkező betegeket érinti. Ilyen betegeknél körültekintően kell eljárni a lenalidomid</w:t>
      </w:r>
      <w:r w:rsidR="00104634">
        <w:rPr>
          <w:rFonts w:ascii="Times New Roman" w:eastAsia="Calibri" w:hAnsi="Times New Roman" w:cs="Times New Roman"/>
        </w:rPr>
        <w:t>-</w:t>
      </w:r>
      <w:r w:rsidRPr="00E83289">
        <w:rPr>
          <w:rFonts w:ascii="Times New Roman" w:eastAsia="Calibri" w:hAnsi="Times New Roman" w:cs="Times New Roman"/>
        </w:rPr>
        <w:t>kezelés bevezetésekor. Ezeket a betegeket folyamatosan monitorozni kell, különösen az első ciklus és a dózisemelés időszakában, és meg kell tenni a megfelelő óvintézkedéseket.</w:t>
      </w:r>
    </w:p>
    <w:p w14:paraId="4794C037" w14:textId="31A1F021" w:rsidR="00956F16" w:rsidRDefault="00956F16" w:rsidP="00956F16">
      <w:pPr>
        <w:spacing w:after="0" w:line="240" w:lineRule="auto"/>
        <w:rPr>
          <w:rFonts w:ascii="Times New Roman" w:eastAsia="Calibri" w:hAnsi="Times New Roman" w:cs="Times New Roman"/>
        </w:rPr>
      </w:pPr>
    </w:p>
    <w:p w14:paraId="51E4EE57" w14:textId="77777777" w:rsidR="00153C38" w:rsidRPr="00934095" w:rsidRDefault="00153C38" w:rsidP="00934095">
      <w:pPr>
        <w:keepNext/>
        <w:numPr>
          <w:ilvl w:val="0"/>
          <w:numId w:val="14"/>
        </w:numPr>
        <w:tabs>
          <w:tab w:val="left" w:pos="567"/>
        </w:tabs>
        <w:spacing w:after="0" w:line="240" w:lineRule="auto"/>
        <w:ind w:hanging="720"/>
        <w:rPr>
          <w:rFonts w:ascii="Times New Roman" w:eastAsia="Calibri" w:hAnsi="Times New Roman" w:cs="Times New Roman"/>
          <w:u w:val="single"/>
        </w:rPr>
      </w:pPr>
      <w:r w:rsidRPr="00934095">
        <w:rPr>
          <w:rFonts w:ascii="Times New Roman" w:eastAsia="Calibri" w:hAnsi="Times New Roman" w:cs="Times New Roman"/>
          <w:u w:val="single"/>
        </w:rPr>
        <w:t>Köpenysejtes lymphoma</w:t>
      </w:r>
    </w:p>
    <w:p w14:paraId="2C85EFB1" w14:textId="47EAB74D" w:rsidR="00153C38" w:rsidRDefault="00153C38" w:rsidP="00153C38">
      <w:pPr>
        <w:spacing w:after="0" w:line="240" w:lineRule="auto"/>
        <w:rPr>
          <w:rFonts w:ascii="Times New Roman" w:eastAsia="Calibri" w:hAnsi="Times New Roman" w:cs="Times New Roman"/>
        </w:rPr>
      </w:pPr>
      <w:r w:rsidRPr="00153C38">
        <w:rPr>
          <w:rFonts w:ascii="Times New Roman" w:eastAsia="Calibri" w:hAnsi="Times New Roman" w:cs="Times New Roman"/>
        </w:rPr>
        <w:t>Gondos ellenőrzés és kivizsgálás szükséges a T</w:t>
      </w:r>
      <w:r w:rsidR="00D66EF9">
        <w:rPr>
          <w:rFonts w:ascii="Times New Roman" w:eastAsia="Calibri" w:hAnsi="Times New Roman" w:cs="Times New Roman"/>
        </w:rPr>
        <w:t>F</w:t>
      </w:r>
      <w:r w:rsidRPr="00153C38">
        <w:rPr>
          <w:rFonts w:ascii="Times New Roman" w:eastAsia="Calibri" w:hAnsi="Times New Roman" w:cs="Times New Roman"/>
        </w:rPr>
        <w:t>R kialakulása tekintetében. Azok a betegek lehetnek</w:t>
      </w:r>
      <w:r>
        <w:rPr>
          <w:rFonts w:ascii="Times New Roman" w:eastAsia="Calibri" w:hAnsi="Times New Roman" w:cs="Times New Roman"/>
        </w:rPr>
        <w:t xml:space="preserve"> </w:t>
      </w:r>
      <w:r w:rsidRPr="00153C38">
        <w:rPr>
          <w:rFonts w:ascii="Times New Roman" w:eastAsia="Calibri" w:hAnsi="Times New Roman" w:cs="Times New Roman"/>
        </w:rPr>
        <w:t>kitéve a TFR kockázatának, akiknél a diagnózis felállításakor magas a köpenysejtes lymphomára</w:t>
      </w:r>
      <w:r>
        <w:rPr>
          <w:rFonts w:ascii="Times New Roman" w:eastAsia="Calibri" w:hAnsi="Times New Roman" w:cs="Times New Roman"/>
        </w:rPr>
        <w:t xml:space="preserve"> </w:t>
      </w:r>
      <w:r w:rsidRPr="00153C38">
        <w:rPr>
          <w:rFonts w:ascii="Times New Roman" w:eastAsia="Calibri" w:hAnsi="Times New Roman" w:cs="Times New Roman"/>
        </w:rPr>
        <w:t>vonatkozó Nemzetközi Prognosztikai Index (mantle cell lymphoma International Prognostic Index,</w:t>
      </w:r>
      <w:r>
        <w:rPr>
          <w:rFonts w:ascii="Times New Roman" w:eastAsia="Calibri" w:hAnsi="Times New Roman" w:cs="Times New Roman"/>
        </w:rPr>
        <w:t xml:space="preserve"> </w:t>
      </w:r>
      <w:r w:rsidRPr="00153C38">
        <w:rPr>
          <w:rFonts w:ascii="Times New Roman" w:eastAsia="Calibri" w:hAnsi="Times New Roman" w:cs="Times New Roman"/>
        </w:rPr>
        <w:t>MIPI), illetve a kezelés megkezdésekor nagy méretű a daganatos elváltozás (legalább egy elváltozás</w:t>
      </w:r>
      <w:r>
        <w:rPr>
          <w:rFonts w:ascii="Times New Roman" w:eastAsia="Calibri" w:hAnsi="Times New Roman" w:cs="Times New Roman"/>
        </w:rPr>
        <w:t xml:space="preserve"> </w:t>
      </w:r>
      <w:r w:rsidRPr="00153C38">
        <w:rPr>
          <w:rFonts w:ascii="Times New Roman" w:eastAsia="Calibri" w:hAnsi="Times New Roman" w:cs="Times New Roman"/>
        </w:rPr>
        <w:t>legnagyobb átmérője ≥</w:t>
      </w:r>
      <w:r>
        <w:rPr>
          <w:rFonts w:ascii="Times New Roman" w:eastAsia="Calibri" w:hAnsi="Times New Roman" w:cs="Times New Roman"/>
        </w:rPr>
        <w:t> </w:t>
      </w:r>
      <w:r w:rsidRPr="00153C38">
        <w:rPr>
          <w:rFonts w:ascii="Times New Roman" w:eastAsia="Calibri" w:hAnsi="Times New Roman" w:cs="Times New Roman"/>
        </w:rPr>
        <w:t>7</w:t>
      </w:r>
      <w:r>
        <w:rPr>
          <w:rFonts w:ascii="Times New Roman" w:eastAsia="Calibri" w:hAnsi="Times New Roman" w:cs="Times New Roman"/>
        </w:rPr>
        <w:t> </w:t>
      </w:r>
      <w:r w:rsidRPr="00153C38">
        <w:rPr>
          <w:rFonts w:ascii="Times New Roman" w:eastAsia="Calibri" w:hAnsi="Times New Roman" w:cs="Times New Roman"/>
        </w:rPr>
        <w:t>cm). A tumorfellángolási reakció a betegség progresszióját (PD)</w:t>
      </w:r>
      <w:r>
        <w:rPr>
          <w:rFonts w:ascii="Times New Roman" w:eastAsia="Calibri" w:hAnsi="Times New Roman" w:cs="Times New Roman"/>
        </w:rPr>
        <w:t xml:space="preserve"> </w:t>
      </w:r>
      <w:r w:rsidRPr="00153C38">
        <w:rPr>
          <w:rFonts w:ascii="Times New Roman" w:eastAsia="Calibri" w:hAnsi="Times New Roman" w:cs="Times New Roman"/>
        </w:rPr>
        <w:t>utánozhatja. Az MCL</w:t>
      </w:r>
      <w:r>
        <w:rPr>
          <w:rFonts w:ascii="Times New Roman" w:eastAsia="Calibri" w:hAnsi="Times New Roman" w:cs="Times New Roman"/>
        </w:rPr>
        <w:t>-</w:t>
      </w:r>
      <w:r w:rsidRPr="00153C38">
        <w:rPr>
          <w:rFonts w:ascii="Times New Roman" w:eastAsia="Calibri" w:hAnsi="Times New Roman" w:cs="Times New Roman"/>
        </w:rPr>
        <w:t>002 és MCL</w:t>
      </w:r>
      <w:r>
        <w:rPr>
          <w:rFonts w:ascii="Times New Roman" w:eastAsia="Calibri" w:hAnsi="Times New Roman" w:cs="Times New Roman"/>
        </w:rPr>
        <w:t>-0</w:t>
      </w:r>
      <w:r w:rsidRPr="00153C38">
        <w:rPr>
          <w:rFonts w:ascii="Times New Roman" w:eastAsia="Calibri" w:hAnsi="Times New Roman" w:cs="Times New Roman"/>
        </w:rPr>
        <w:t>01 vizsgálatban részt vevő azon betegeket, akik 1.</w:t>
      </w:r>
      <w:r>
        <w:rPr>
          <w:rFonts w:ascii="Times New Roman" w:eastAsia="Calibri" w:hAnsi="Times New Roman" w:cs="Times New Roman"/>
        </w:rPr>
        <w:t xml:space="preserve"> és </w:t>
      </w:r>
      <w:r w:rsidRPr="00153C38">
        <w:rPr>
          <w:rFonts w:ascii="Times New Roman" w:eastAsia="Calibri" w:hAnsi="Times New Roman" w:cs="Times New Roman"/>
        </w:rPr>
        <w:t>2.</w:t>
      </w:r>
      <w:r>
        <w:rPr>
          <w:rFonts w:ascii="Times New Roman" w:eastAsia="Calibri" w:hAnsi="Times New Roman" w:cs="Times New Roman"/>
        </w:rPr>
        <w:t> </w:t>
      </w:r>
      <w:r w:rsidRPr="00153C38">
        <w:rPr>
          <w:rFonts w:ascii="Times New Roman" w:eastAsia="Calibri" w:hAnsi="Times New Roman" w:cs="Times New Roman"/>
        </w:rPr>
        <w:t>súlyossági fokú TFR-t tapasztaltak, kortikoszteroidokkal, nem</w:t>
      </w:r>
      <w:r>
        <w:rPr>
          <w:rFonts w:ascii="Times New Roman" w:eastAsia="Calibri" w:hAnsi="Times New Roman" w:cs="Times New Roman"/>
        </w:rPr>
        <w:t>-</w:t>
      </w:r>
      <w:r w:rsidRPr="00153C38">
        <w:rPr>
          <w:rFonts w:ascii="Times New Roman" w:eastAsia="Calibri" w:hAnsi="Times New Roman" w:cs="Times New Roman"/>
        </w:rPr>
        <w:t>szteroid gyulladásgátló</w:t>
      </w:r>
      <w:r>
        <w:rPr>
          <w:rFonts w:ascii="Times New Roman" w:eastAsia="Calibri" w:hAnsi="Times New Roman" w:cs="Times New Roman"/>
        </w:rPr>
        <w:t xml:space="preserve"> </w:t>
      </w:r>
      <w:r w:rsidRPr="00153C38">
        <w:rPr>
          <w:rFonts w:ascii="Times New Roman" w:eastAsia="Calibri" w:hAnsi="Times New Roman" w:cs="Times New Roman"/>
        </w:rPr>
        <w:t>gyógyszerekkel (NSAID) és/vagy kábító fájdalomcsillapítókkal kezelték a TFR tüneteinek</w:t>
      </w:r>
      <w:r>
        <w:rPr>
          <w:rFonts w:ascii="Times New Roman" w:eastAsia="Calibri" w:hAnsi="Times New Roman" w:cs="Times New Roman"/>
        </w:rPr>
        <w:t xml:space="preserve"> </w:t>
      </w:r>
      <w:r w:rsidRPr="00153C38">
        <w:rPr>
          <w:rFonts w:ascii="Times New Roman" w:eastAsia="Calibri" w:hAnsi="Times New Roman" w:cs="Times New Roman"/>
        </w:rPr>
        <w:t>csillapítására. Az adott betegnél elvégzett gondos klinikai kivizsgálást követően kell meghozni a</w:t>
      </w:r>
      <w:r>
        <w:rPr>
          <w:rFonts w:ascii="Times New Roman" w:eastAsia="Calibri" w:hAnsi="Times New Roman" w:cs="Times New Roman"/>
        </w:rPr>
        <w:t xml:space="preserve"> </w:t>
      </w:r>
      <w:r w:rsidRPr="00153C38">
        <w:rPr>
          <w:rFonts w:ascii="Times New Roman" w:eastAsia="Calibri" w:hAnsi="Times New Roman" w:cs="Times New Roman"/>
        </w:rPr>
        <w:t>döntést a TFR kezelésére irányuló terápiás intézkedésekről (lásd 4.2 és 4.8</w:t>
      </w:r>
      <w:r>
        <w:rPr>
          <w:rFonts w:ascii="Times New Roman" w:eastAsia="Calibri" w:hAnsi="Times New Roman" w:cs="Times New Roman"/>
        </w:rPr>
        <w:t> </w:t>
      </w:r>
      <w:r w:rsidRPr="00153C38">
        <w:rPr>
          <w:rFonts w:ascii="Times New Roman" w:eastAsia="Calibri" w:hAnsi="Times New Roman" w:cs="Times New Roman"/>
        </w:rPr>
        <w:t>pont).</w:t>
      </w:r>
    </w:p>
    <w:p w14:paraId="3B220939" w14:textId="77777777" w:rsidR="00153C38" w:rsidRDefault="00153C38" w:rsidP="00153C38">
      <w:pPr>
        <w:spacing w:after="0" w:line="240" w:lineRule="auto"/>
        <w:rPr>
          <w:rFonts w:ascii="Times New Roman" w:eastAsia="Calibri" w:hAnsi="Times New Roman" w:cs="Times New Roman"/>
        </w:rPr>
      </w:pPr>
    </w:p>
    <w:p w14:paraId="01D263C9" w14:textId="77777777" w:rsidR="001C6743" w:rsidRPr="00E83289" w:rsidRDefault="001C6743" w:rsidP="00E83289">
      <w:pPr>
        <w:keepNext/>
        <w:numPr>
          <w:ilvl w:val="0"/>
          <w:numId w:val="14"/>
        </w:numPr>
        <w:tabs>
          <w:tab w:val="left" w:pos="567"/>
        </w:tabs>
        <w:spacing w:after="0" w:line="240" w:lineRule="auto"/>
        <w:ind w:hanging="720"/>
        <w:rPr>
          <w:rFonts w:ascii="Times New Roman" w:eastAsia="Calibri" w:hAnsi="Times New Roman" w:cs="Times New Roman"/>
          <w:u w:val="single"/>
        </w:rPr>
      </w:pPr>
      <w:r w:rsidRPr="00E83289">
        <w:rPr>
          <w:rFonts w:ascii="Times New Roman" w:eastAsia="Calibri" w:hAnsi="Times New Roman" w:cs="Times New Roman"/>
          <w:u w:val="single"/>
        </w:rPr>
        <w:t>Follicularis lymphoma</w:t>
      </w:r>
    </w:p>
    <w:p w14:paraId="770CB215" w14:textId="1286CE55" w:rsidR="001C6743" w:rsidRDefault="001C6743" w:rsidP="001C6743">
      <w:pPr>
        <w:spacing w:after="0" w:line="240" w:lineRule="auto"/>
        <w:rPr>
          <w:rFonts w:ascii="Times New Roman" w:eastAsia="Calibri" w:hAnsi="Times New Roman" w:cs="Times New Roman"/>
        </w:rPr>
      </w:pPr>
      <w:r w:rsidRPr="001C6743">
        <w:rPr>
          <w:rFonts w:ascii="Times New Roman" w:eastAsia="Calibri" w:hAnsi="Times New Roman" w:cs="Times New Roman"/>
        </w:rPr>
        <w:t>Gondos ellenőrzés és kivizsgálás szükséges a T</w:t>
      </w:r>
      <w:r w:rsidR="00D66EF9">
        <w:rPr>
          <w:rFonts w:ascii="Times New Roman" w:eastAsia="Calibri" w:hAnsi="Times New Roman" w:cs="Times New Roman"/>
        </w:rPr>
        <w:t>F</w:t>
      </w:r>
      <w:r w:rsidRPr="001C6743">
        <w:rPr>
          <w:rFonts w:ascii="Times New Roman" w:eastAsia="Calibri" w:hAnsi="Times New Roman" w:cs="Times New Roman"/>
        </w:rPr>
        <w:t>R kialakulása tekintetében. A tumorfellángolás</w:t>
      </w:r>
      <w:r>
        <w:rPr>
          <w:rFonts w:ascii="Times New Roman" w:eastAsia="Calibri" w:hAnsi="Times New Roman" w:cs="Times New Roman"/>
        </w:rPr>
        <w:t xml:space="preserve"> </w:t>
      </w:r>
      <w:r w:rsidRPr="001C6743">
        <w:rPr>
          <w:rFonts w:ascii="Times New Roman" w:eastAsia="Calibri" w:hAnsi="Times New Roman" w:cs="Times New Roman"/>
        </w:rPr>
        <w:t>utánozhatja a betegség progresszióját. Az 1., illetve 2.</w:t>
      </w:r>
      <w:r>
        <w:rPr>
          <w:rFonts w:ascii="Times New Roman" w:eastAsia="Calibri" w:hAnsi="Times New Roman" w:cs="Times New Roman"/>
        </w:rPr>
        <w:t> </w:t>
      </w:r>
      <w:r w:rsidRPr="001C6743">
        <w:rPr>
          <w:rFonts w:ascii="Times New Roman" w:eastAsia="Calibri" w:hAnsi="Times New Roman" w:cs="Times New Roman"/>
        </w:rPr>
        <w:t>súlyossági fokú TFR-t tapasztaló betegeket</w:t>
      </w:r>
      <w:r>
        <w:rPr>
          <w:rFonts w:ascii="Times New Roman" w:eastAsia="Calibri" w:hAnsi="Times New Roman" w:cs="Times New Roman"/>
        </w:rPr>
        <w:t xml:space="preserve"> </w:t>
      </w:r>
      <w:r w:rsidRPr="001C6743">
        <w:rPr>
          <w:rFonts w:ascii="Times New Roman" w:eastAsia="Calibri" w:hAnsi="Times New Roman" w:cs="Times New Roman"/>
        </w:rPr>
        <w:t>kortikoszteroidokkal, nemszteroid gyulladásgátló gyógyszerekkel (NSAID) és/vagy kábító</w:t>
      </w:r>
      <w:r>
        <w:rPr>
          <w:rFonts w:ascii="Times New Roman" w:eastAsia="Calibri" w:hAnsi="Times New Roman" w:cs="Times New Roman"/>
        </w:rPr>
        <w:t xml:space="preserve"> </w:t>
      </w:r>
      <w:r w:rsidRPr="001C6743">
        <w:rPr>
          <w:rFonts w:ascii="Times New Roman" w:eastAsia="Calibri" w:hAnsi="Times New Roman" w:cs="Times New Roman"/>
        </w:rPr>
        <w:t>fájdalomcsillapítókkal kezelték a TFR tüneteinek csillapítására. Az adott betegnél elvégzett gondos</w:t>
      </w:r>
      <w:r>
        <w:rPr>
          <w:rFonts w:ascii="Times New Roman" w:eastAsia="Calibri" w:hAnsi="Times New Roman" w:cs="Times New Roman"/>
        </w:rPr>
        <w:t xml:space="preserve"> </w:t>
      </w:r>
      <w:r w:rsidRPr="001C6743">
        <w:rPr>
          <w:rFonts w:ascii="Times New Roman" w:eastAsia="Calibri" w:hAnsi="Times New Roman" w:cs="Times New Roman"/>
        </w:rPr>
        <w:t>klinikai kivizsgálást követően kell meghozni a döntést a TFR kezelésére irányuló terápiás</w:t>
      </w:r>
      <w:r>
        <w:rPr>
          <w:rFonts w:ascii="Times New Roman" w:eastAsia="Calibri" w:hAnsi="Times New Roman" w:cs="Times New Roman"/>
        </w:rPr>
        <w:t xml:space="preserve"> </w:t>
      </w:r>
      <w:r w:rsidRPr="001C6743">
        <w:rPr>
          <w:rFonts w:ascii="Times New Roman" w:eastAsia="Calibri" w:hAnsi="Times New Roman" w:cs="Times New Roman"/>
        </w:rPr>
        <w:t>intézkedésekről (lásd 4.2 és 4.8</w:t>
      </w:r>
      <w:r>
        <w:rPr>
          <w:rFonts w:ascii="Times New Roman" w:eastAsia="Calibri" w:hAnsi="Times New Roman" w:cs="Times New Roman"/>
        </w:rPr>
        <w:t> </w:t>
      </w:r>
      <w:r w:rsidRPr="001C6743">
        <w:rPr>
          <w:rFonts w:ascii="Times New Roman" w:eastAsia="Calibri" w:hAnsi="Times New Roman" w:cs="Times New Roman"/>
        </w:rPr>
        <w:t>pont).</w:t>
      </w:r>
    </w:p>
    <w:p w14:paraId="346943A1" w14:textId="77777777" w:rsidR="001C6743" w:rsidRPr="001C6743" w:rsidRDefault="001C6743" w:rsidP="001C6743">
      <w:pPr>
        <w:spacing w:after="0" w:line="240" w:lineRule="auto"/>
        <w:rPr>
          <w:rFonts w:ascii="Times New Roman" w:eastAsia="Calibri" w:hAnsi="Times New Roman" w:cs="Times New Roman"/>
        </w:rPr>
      </w:pPr>
    </w:p>
    <w:p w14:paraId="22B0C98E" w14:textId="19893A0B" w:rsidR="001C6743" w:rsidRDefault="001C6743" w:rsidP="001C6743">
      <w:pPr>
        <w:spacing w:after="0" w:line="240" w:lineRule="auto"/>
        <w:rPr>
          <w:rFonts w:ascii="Times New Roman" w:eastAsia="Calibri" w:hAnsi="Times New Roman" w:cs="Times New Roman"/>
        </w:rPr>
      </w:pPr>
      <w:r w:rsidRPr="001C6743">
        <w:rPr>
          <w:rFonts w:ascii="Times New Roman" w:eastAsia="Calibri" w:hAnsi="Times New Roman" w:cs="Times New Roman"/>
        </w:rPr>
        <w:t>Gondos ellenőrzés és kivizsgálás szükséges a TLS kialakulása tekintetében. Az első ciklus alatt vagy</w:t>
      </w:r>
      <w:r>
        <w:rPr>
          <w:rFonts w:ascii="Times New Roman" w:eastAsia="Calibri" w:hAnsi="Times New Roman" w:cs="Times New Roman"/>
        </w:rPr>
        <w:t xml:space="preserve"> </w:t>
      </w:r>
      <w:r w:rsidRPr="001C6743">
        <w:rPr>
          <w:rFonts w:ascii="Times New Roman" w:eastAsia="Calibri" w:hAnsi="Times New Roman" w:cs="Times New Roman"/>
        </w:rPr>
        <w:t>ha klinikailag indokolt, hosszabb ideig</w:t>
      </w:r>
      <w:r>
        <w:rPr>
          <w:rFonts w:ascii="Times New Roman" w:eastAsia="Calibri" w:hAnsi="Times New Roman" w:cs="Times New Roman"/>
        </w:rPr>
        <w:t>,</w:t>
      </w:r>
      <w:r w:rsidRPr="001C6743">
        <w:rPr>
          <w:rFonts w:ascii="Times New Roman" w:eastAsia="Calibri" w:hAnsi="Times New Roman" w:cs="Times New Roman"/>
        </w:rPr>
        <w:t xml:space="preserve"> hetente végzett vérkémiai vizsgálatokon felül a betegeknek</w:t>
      </w:r>
      <w:r>
        <w:rPr>
          <w:rFonts w:ascii="Times New Roman" w:eastAsia="Calibri" w:hAnsi="Times New Roman" w:cs="Times New Roman"/>
        </w:rPr>
        <w:t xml:space="preserve"> </w:t>
      </w:r>
      <w:r w:rsidRPr="001C6743">
        <w:rPr>
          <w:rFonts w:ascii="Times New Roman" w:eastAsia="Calibri" w:hAnsi="Times New Roman" w:cs="Times New Roman"/>
        </w:rPr>
        <w:t>megfelelően hidratáltnak kell lenniük és TLS-profilaxisban kell részesülniük (lásd 4.2 és 4.8</w:t>
      </w:r>
      <w:r>
        <w:rPr>
          <w:rFonts w:ascii="Times New Roman" w:eastAsia="Calibri" w:hAnsi="Times New Roman" w:cs="Times New Roman"/>
        </w:rPr>
        <w:t> </w:t>
      </w:r>
      <w:r w:rsidRPr="001C6743">
        <w:rPr>
          <w:rFonts w:ascii="Times New Roman" w:eastAsia="Calibri" w:hAnsi="Times New Roman" w:cs="Times New Roman"/>
        </w:rPr>
        <w:t>pont).</w:t>
      </w:r>
    </w:p>
    <w:p w14:paraId="2EC23087" w14:textId="11D67C68" w:rsidR="001C6743" w:rsidRDefault="001C6743" w:rsidP="001C6743">
      <w:pPr>
        <w:spacing w:after="0" w:line="240" w:lineRule="auto"/>
        <w:rPr>
          <w:rFonts w:ascii="Times New Roman" w:eastAsia="Calibri" w:hAnsi="Times New Roman" w:cs="Times New Roman"/>
        </w:rPr>
      </w:pPr>
    </w:p>
    <w:p w14:paraId="04BC8B58" w14:textId="77777777" w:rsidR="000B2BE4" w:rsidRPr="00934095" w:rsidRDefault="000B2BE4" w:rsidP="000B2BE4">
      <w:pPr>
        <w:spacing w:after="0" w:line="240" w:lineRule="auto"/>
        <w:rPr>
          <w:rFonts w:ascii="Times New Roman" w:eastAsia="Calibri" w:hAnsi="Times New Roman" w:cs="Times New Roman"/>
          <w:i/>
          <w:iCs/>
          <w:u w:val="single"/>
        </w:rPr>
      </w:pPr>
      <w:r w:rsidRPr="00934095">
        <w:rPr>
          <w:rFonts w:ascii="Times New Roman" w:eastAsia="Calibri" w:hAnsi="Times New Roman" w:cs="Times New Roman"/>
          <w:i/>
          <w:iCs/>
          <w:u w:val="single"/>
        </w:rPr>
        <w:t>Tumorméret</w:t>
      </w:r>
    </w:p>
    <w:p w14:paraId="503A54CF" w14:textId="77777777" w:rsidR="000B2BE4" w:rsidRPr="00934095" w:rsidRDefault="000B2BE4" w:rsidP="00934095">
      <w:pPr>
        <w:keepNext/>
        <w:numPr>
          <w:ilvl w:val="0"/>
          <w:numId w:val="14"/>
        </w:numPr>
        <w:tabs>
          <w:tab w:val="left" w:pos="567"/>
        </w:tabs>
        <w:spacing w:after="0" w:line="240" w:lineRule="auto"/>
        <w:ind w:hanging="720"/>
        <w:rPr>
          <w:rFonts w:ascii="Times New Roman" w:eastAsia="Calibri" w:hAnsi="Times New Roman" w:cs="Times New Roman"/>
          <w:u w:val="single"/>
        </w:rPr>
      </w:pPr>
      <w:r w:rsidRPr="00934095">
        <w:rPr>
          <w:rFonts w:ascii="Times New Roman" w:eastAsia="Calibri" w:hAnsi="Times New Roman" w:cs="Times New Roman"/>
          <w:u w:val="single"/>
        </w:rPr>
        <w:t>Köpenysejtes lymphoma</w:t>
      </w:r>
    </w:p>
    <w:p w14:paraId="3558BA48" w14:textId="5F9E6066" w:rsidR="000B2BE4" w:rsidRDefault="000B2BE4" w:rsidP="000B2BE4">
      <w:pPr>
        <w:spacing w:after="0" w:line="240" w:lineRule="auto"/>
        <w:rPr>
          <w:rFonts w:ascii="Times New Roman" w:eastAsia="Calibri" w:hAnsi="Times New Roman" w:cs="Times New Roman"/>
        </w:rPr>
      </w:pPr>
      <w:r w:rsidRPr="000B2BE4">
        <w:rPr>
          <w:rFonts w:ascii="Times New Roman" w:eastAsia="Calibri" w:hAnsi="Times New Roman" w:cs="Times New Roman"/>
        </w:rPr>
        <w:t xml:space="preserve">A lenalidomid </w:t>
      </w:r>
      <w:r w:rsidR="005B0C3D">
        <w:rPr>
          <w:rFonts w:ascii="Times New Roman" w:eastAsia="Calibri" w:hAnsi="Times New Roman" w:cs="Times New Roman"/>
        </w:rPr>
        <w:t xml:space="preserve">alkalmazása </w:t>
      </w:r>
      <w:r w:rsidRPr="000B2BE4">
        <w:rPr>
          <w:rFonts w:ascii="Times New Roman" w:eastAsia="Calibri" w:hAnsi="Times New Roman" w:cs="Times New Roman"/>
        </w:rPr>
        <w:t>nem javasolt nagy tumormérettel rendelkező betegeknél, amennyiben más kezelési</w:t>
      </w:r>
      <w:r>
        <w:rPr>
          <w:rFonts w:ascii="Times New Roman" w:eastAsia="Calibri" w:hAnsi="Times New Roman" w:cs="Times New Roman"/>
        </w:rPr>
        <w:t xml:space="preserve"> </w:t>
      </w:r>
      <w:r w:rsidRPr="000B2BE4">
        <w:rPr>
          <w:rFonts w:ascii="Times New Roman" w:eastAsia="Calibri" w:hAnsi="Times New Roman" w:cs="Times New Roman"/>
        </w:rPr>
        <w:t>lehetőségek rendelkezésre állnak.</w:t>
      </w:r>
    </w:p>
    <w:p w14:paraId="0710F433" w14:textId="77777777" w:rsidR="000B2BE4" w:rsidRPr="000B2BE4" w:rsidRDefault="000B2BE4" w:rsidP="000B2BE4">
      <w:pPr>
        <w:spacing w:after="0" w:line="240" w:lineRule="auto"/>
        <w:rPr>
          <w:rFonts w:ascii="Times New Roman" w:eastAsia="Calibri" w:hAnsi="Times New Roman" w:cs="Times New Roman"/>
        </w:rPr>
      </w:pPr>
    </w:p>
    <w:p w14:paraId="27EF32ED" w14:textId="77777777" w:rsidR="000B2BE4" w:rsidRPr="00934095" w:rsidRDefault="000B2BE4" w:rsidP="00934095">
      <w:pPr>
        <w:keepNext/>
        <w:spacing w:after="0" w:line="240" w:lineRule="auto"/>
        <w:rPr>
          <w:rFonts w:ascii="Times New Roman" w:eastAsia="Calibri" w:hAnsi="Times New Roman" w:cs="Times New Roman"/>
          <w:i/>
          <w:iCs/>
        </w:rPr>
      </w:pPr>
      <w:r w:rsidRPr="00934095">
        <w:rPr>
          <w:rFonts w:ascii="Times New Roman" w:eastAsia="Calibri" w:hAnsi="Times New Roman" w:cs="Times New Roman"/>
          <w:i/>
          <w:iCs/>
        </w:rPr>
        <w:t>Korai halálozás</w:t>
      </w:r>
    </w:p>
    <w:p w14:paraId="5B697F10" w14:textId="78C5D48E" w:rsidR="000B2BE4" w:rsidRDefault="000B2BE4" w:rsidP="000B2BE4">
      <w:pPr>
        <w:spacing w:after="0" w:line="240" w:lineRule="auto"/>
        <w:rPr>
          <w:rFonts w:ascii="Times New Roman" w:eastAsia="Calibri" w:hAnsi="Times New Roman" w:cs="Times New Roman"/>
        </w:rPr>
      </w:pPr>
      <w:r w:rsidRPr="000B2BE4">
        <w:rPr>
          <w:rFonts w:ascii="Times New Roman" w:eastAsia="Calibri" w:hAnsi="Times New Roman" w:cs="Times New Roman"/>
        </w:rPr>
        <w:t>Az MCL-002</w:t>
      </w:r>
      <w:r>
        <w:rPr>
          <w:rFonts w:ascii="Times New Roman" w:eastAsia="Calibri" w:hAnsi="Times New Roman" w:cs="Times New Roman"/>
        </w:rPr>
        <w:t> </w:t>
      </w:r>
      <w:r w:rsidRPr="000B2BE4">
        <w:rPr>
          <w:rFonts w:ascii="Times New Roman" w:eastAsia="Calibri" w:hAnsi="Times New Roman" w:cs="Times New Roman"/>
        </w:rPr>
        <w:t>vizsgálatban összességében a korai (20</w:t>
      </w:r>
      <w:r>
        <w:rPr>
          <w:rFonts w:ascii="Times New Roman" w:eastAsia="Calibri" w:hAnsi="Times New Roman" w:cs="Times New Roman"/>
        </w:rPr>
        <w:t> </w:t>
      </w:r>
      <w:r w:rsidRPr="000B2BE4">
        <w:rPr>
          <w:rFonts w:ascii="Times New Roman" w:eastAsia="Calibri" w:hAnsi="Times New Roman" w:cs="Times New Roman"/>
        </w:rPr>
        <w:t>héten belül bekövetkező) halálozás előfordulásának</w:t>
      </w:r>
      <w:r>
        <w:rPr>
          <w:rFonts w:ascii="Times New Roman" w:eastAsia="Calibri" w:hAnsi="Times New Roman" w:cs="Times New Roman"/>
        </w:rPr>
        <w:t xml:space="preserve"> </w:t>
      </w:r>
      <w:r w:rsidRPr="000B2BE4">
        <w:rPr>
          <w:rFonts w:ascii="Times New Roman" w:eastAsia="Calibri" w:hAnsi="Times New Roman" w:cs="Times New Roman"/>
        </w:rPr>
        <w:t>kétségtelen növekedését tapasztalták. A vizsgálat kezdetén nagy tumormérettel rendelkező betegeknél</w:t>
      </w:r>
      <w:r>
        <w:rPr>
          <w:rFonts w:ascii="Times New Roman" w:eastAsia="Calibri" w:hAnsi="Times New Roman" w:cs="Times New Roman"/>
        </w:rPr>
        <w:t xml:space="preserve"> </w:t>
      </w:r>
      <w:r w:rsidRPr="000B2BE4">
        <w:rPr>
          <w:rFonts w:ascii="Times New Roman" w:eastAsia="Calibri" w:hAnsi="Times New Roman" w:cs="Times New Roman"/>
        </w:rPr>
        <w:t>fokozott a korai halálozás kockázata, a lenalidomid-karon 16/81 (20%), a kontrollkaron pedig 2/28 (7%)</w:t>
      </w:r>
      <w:r>
        <w:rPr>
          <w:rFonts w:ascii="Times New Roman" w:eastAsia="Calibri" w:hAnsi="Times New Roman" w:cs="Times New Roman"/>
        </w:rPr>
        <w:t xml:space="preserve"> </w:t>
      </w:r>
      <w:r w:rsidRPr="000B2BE4">
        <w:rPr>
          <w:rFonts w:ascii="Times New Roman" w:eastAsia="Calibri" w:hAnsi="Times New Roman" w:cs="Times New Roman"/>
        </w:rPr>
        <w:t>korai haláleset történt. 52</w:t>
      </w:r>
      <w:r>
        <w:rPr>
          <w:rFonts w:ascii="Times New Roman" w:eastAsia="Calibri" w:hAnsi="Times New Roman" w:cs="Times New Roman"/>
        </w:rPr>
        <w:t> </w:t>
      </w:r>
      <w:r w:rsidRPr="000B2BE4">
        <w:rPr>
          <w:rFonts w:ascii="Times New Roman" w:eastAsia="Calibri" w:hAnsi="Times New Roman" w:cs="Times New Roman"/>
        </w:rPr>
        <w:t>hétre vonatkozóan ugyanezek a számok a következőképpen alakultak: 32/81</w:t>
      </w:r>
      <w:r>
        <w:rPr>
          <w:rFonts w:ascii="Times New Roman" w:eastAsia="Calibri" w:hAnsi="Times New Roman" w:cs="Times New Roman"/>
        </w:rPr>
        <w:t xml:space="preserve"> </w:t>
      </w:r>
      <w:r w:rsidRPr="000B2BE4">
        <w:rPr>
          <w:rFonts w:ascii="Times New Roman" w:eastAsia="Calibri" w:hAnsi="Times New Roman" w:cs="Times New Roman"/>
        </w:rPr>
        <w:t>(40%) és 6/28 (21%) (lásd 5.1</w:t>
      </w:r>
      <w:r>
        <w:rPr>
          <w:rFonts w:ascii="Times New Roman" w:eastAsia="Calibri" w:hAnsi="Times New Roman" w:cs="Times New Roman"/>
        </w:rPr>
        <w:t> </w:t>
      </w:r>
      <w:r w:rsidRPr="000B2BE4">
        <w:rPr>
          <w:rFonts w:ascii="Times New Roman" w:eastAsia="Calibri" w:hAnsi="Times New Roman" w:cs="Times New Roman"/>
        </w:rPr>
        <w:t>pont).</w:t>
      </w:r>
    </w:p>
    <w:p w14:paraId="58784006" w14:textId="77777777" w:rsidR="000B2BE4" w:rsidRPr="000B2BE4" w:rsidRDefault="000B2BE4" w:rsidP="000B2BE4">
      <w:pPr>
        <w:spacing w:after="0" w:line="240" w:lineRule="auto"/>
        <w:rPr>
          <w:rFonts w:ascii="Times New Roman" w:eastAsia="Calibri" w:hAnsi="Times New Roman" w:cs="Times New Roman"/>
        </w:rPr>
      </w:pPr>
    </w:p>
    <w:p w14:paraId="793C778E" w14:textId="77777777" w:rsidR="000B2BE4" w:rsidRPr="00934095" w:rsidRDefault="000B2BE4" w:rsidP="000B2BE4">
      <w:pPr>
        <w:spacing w:after="0" w:line="240" w:lineRule="auto"/>
        <w:rPr>
          <w:rFonts w:ascii="Times New Roman" w:eastAsia="Calibri" w:hAnsi="Times New Roman" w:cs="Times New Roman"/>
          <w:i/>
          <w:iCs/>
        </w:rPr>
      </w:pPr>
      <w:r w:rsidRPr="00934095">
        <w:rPr>
          <w:rFonts w:ascii="Times New Roman" w:eastAsia="Calibri" w:hAnsi="Times New Roman" w:cs="Times New Roman"/>
          <w:i/>
          <w:iCs/>
        </w:rPr>
        <w:t>Nemkívánatos események</w:t>
      </w:r>
    </w:p>
    <w:p w14:paraId="5302E537" w14:textId="77777777" w:rsidR="000B2BE4" w:rsidRDefault="000B2BE4" w:rsidP="000B2BE4">
      <w:pPr>
        <w:spacing w:after="0" w:line="240" w:lineRule="auto"/>
        <w:rPr>
          <w:rFonts w:ascii="Times New Roman" w:eastAsia="Calibri" w:hAnsi="Times New Roman" w:cs="Times New Roman"/>
        </w:rPr>
      </w:pPr>
      <w:r w:rsidRPr="000B2BE4">
        <w:rPr>
          <w:rFonts w:ascii="Times New Roman" w:eastAsia="Calibri" w:hAnsi="Times New Roman" w:cs="Times New Roman"/>
        </w:rPr>
        <w:t>Az MCL-002 vizsgálatban az 1.</w:t>
      </w:r>
      <w:r>
        <w:rPr>
          <w:rFonts w:ascii="Times New Roman" w:eastAsia="Calibri" w:hAnsi="Times New Roman" w:cs="Times New Roman"/>
        </w:rPr>
        <w:t> </w:t>
      </w:r>
      <w:r w:rsidRPr="000B2BE4">
        <w:rPr>
          <w:rFonts w:ascii="Times New Roman" w:eastAsia="Calibri" w:hAnsi="Times New Roman" w:cs="Times New Roman"/>
        </w:rPr>
        <w:t>kezelési ciklus során 11/81 (14%) nagy tumormérettel rendelkező</w:t>
      </w:r>
      <w:r>
        <w:rPr>
          <w:rFonts w:ascii="Times New Roman" w:eastAsia="Calibri" w:hAnsi="Times New Roman" w:cs="Times New Roman"/>
        </w:rPr>
        <w:t xml:space="preserve"> </w:t>
      </w:r>
      <w:r w:rsidRPr="000B2BE4">
        <w:rPr>
          <w:rFonts w:ascii="Times New Roman" w:eastAsia="Calibri" w:hAnsi="Times New Roman" w:cs="Times New Roman"/>
        </w:rPr>
        <w:t>betegnél állították le a terápiát a lenalidomid-karon, ezzel szemben a kontrollcsoportban 1/28 (4%)</w:t>
      </w:r>
      <w:r>
        <w:rPr>
          <w:rFonts w:ascii="Times New Roman" w:eastAsia="Calibri" w:hAnsi="Times New Roman" w:cs="Times New Roman"/>
        </w:rPr>
        <w:t xml:space="preserve"> </w:t>
      </w:r>
      <w:r w:rsidRPr="000B2BE4">
        <w:rPr>
          <w:rFonts w:ascii="Times New Roman" w:eastAsia="Calibri" w:hAnsi="Times New Roman" w:cs="Times New Roman"/>
        </w:rPr>
        <w:t>betegnél. A lenalidomid-karon a nagy tumormérettel rendelkező betegeknél a kezelés 1.</w:t>
      </w:r>
      <w:r>
        <w:rPr>
          <w:rFonts w:ascii="Times New Roman" w:eastAsia="Calibri" w:hAnsi="Times New Roman" w:cs="Times New Roman"/>
        </w:rPr>
        <w:t> </w:t>
      </w:r>
      <w:r w:rsidRPr="000B2BE4">
        <w:rPr>
          <w:rFonts w:ascii="Times New Roman" w:eastAsia="Calibri" w:hAnsi="Times New Roman" w:cs="Times New Roman"/>
        </w:rPr>
        <w:t>kezelési ciklus</w:t>
      </w:r>
      <w:r>
        <w:rPr>
          <w:rFonts w:ascii="Times New Roman" w:eastAsia="Calibri" w:hAnsi="Times New Roman" w:cs="Times New Roman"/>
        </w:rPr>
        <w:t xml:space="preserve"> </w:t>
      </w:r>
      <w:r w:rsidRPr="000B2BE4">
        <w:rPr>
          <w:rFonts w:ascii="Times New Roman" w:eastAsia="Calibri" w:hAnsi="Times New Roman" w:cs="Times New Roman"/>
        </w:rPr>
        <w:t>alatti leállításának fő oka a nemkívánatos események fellépése volt, ez 7/11 (64%) betegnél fordult elő.</w:t>
      </w:r>
    </w:p>
    <w:p w14:paraId="6C6F6B49" w14:textId="6551C653" w:rsidR="000B2BE4" w:rsidRDefault="000B2BE4" w:rsidP="000B2BE4">
      <w:pPr>
        <w:spacing w:after="0" w:line="240" w:lineRule="auto"/>
        <w:rPr>
          <w:rFonts w:ascii="Times New Roman" w:eastAsia="Calibri" w:hAnsi="Times New Roman" w:cs="Times New Roman"/>
        </w:rPr>
      </w:pPr>
      <w:r w:rsidRPr="000B2BE4">
        <w:rPr>
          <w:rFonts w:ascii="Times New Roman" w:eastAsia="Calibri" w:hAnsi="Times New Roman" w:cs="Times New Roman"/>
        </w:rPr>
        <w:lastRenderedPageBreak/>
        <w:t>A</w:t>
      </w:r>
      <w:r>
        <w:rPr>
          <w:rFonts w:ascii="Times New Roman" w:eastAsia="Calibri" w:hAnsi="Times New Roman" w:cs="Times New Roman"/>
        </w:rPr>
        <w:t xml:space="preserve"> </w:t>
      </w:r>
      <w:r w:rsidRPr="000B2BE4">
        <w:rPr>
          <w:rFonts w:ascii="Times New Roman" w:eastAsia="Calibri" w:hAnsi="Times New Roman" w:cs="Times New Roman"/>
        </w:rPr>
        <w:t>nagy tumormérettel rendelkező betegeknél ezért szorosan ellenőrizni kell a mellékhatások esetleges</w:t>
      </w:r>
      <w:r>
        <w:rPr>
          <w:rFonts w:ascii="Times New Roman" w:eastAsia="Calibri" w:hAnsi="Times New Roman" w:cs="Times New Roman"/>
        </w:rPr>
        <w:t xml:space="preserve"> </w:t>
      </w:r>
      <w:r w:rsidRPr="000B2BE4">
        <w:rPr>
          <w:rFonts w:ascii="Times New Roman" w:eastAsia="Calibri" w:hAnsi="Times New Roman" w:cs="Times New Roman"/>
        </w:rPr>
        <w:t>kialakulását (lásd 4.8</w:t>
      </w:r>
      <w:r>
        <w:rPr>
          <w:rFonts w:ascii="Times New Roman" w:eastAsia="Calibri" w:hAnsi="Times New Roman" w:cs="Times New Roman"/>
        </w:rPr>
        <w:t> </w:t>
      </w:r>
      <w:r w:rsidRPr="000B2BE4">
        <w:rPr>
          <w:rFonts w:ascii="Times New Roman" w:eastAsia="Calibri" w:hAnsi="Times New Roman" w:cs="Times New Roman"/>
        </w:rPr>
        <w:t>pont), beleértve a tumorfellángolási reakció (TFR) jeleit. TFR esetén szükséges</w:t>
      </w:r>
      <w:r>
        <w:rPr>
          <w:rFonts w:ascii="Times New Roman" w:eastAsia="Calibri" w:hAnsi="Times New Roman" w:cs="Times New Roman"/>
        </w:rPr>
        <w:t xml:space="preserve"> </w:t>
      </w:r>
      <w:r w:rsidRPr="000B2BE4">
        <w:rPr>
          <w:rFonts w:ascii="Times New Roman" w:eastAsia="Calibri" w:hAnsi="Times New Roman" w:cs="Times New Roman"/>
        </w:rPr>
        <w:t>dózismódosításokat illetően lásd a 4.2</w:t>
      </w:r>
      <w:r>
        <w:rPr>
          <w:rFonts w:ascii="Times New Roman" w:eastAsia="Calibri" w:hAnsi="Times New Roman" w:cs="Times New Roman"/>
        </w:rPr>
        <w:t> </w:t>
      </w:r>
      <w:r w:rsidRPr="000B2BE4">
        <w:rPr>
          <w:rFonts w:ascii="Times New Roman" w:eastAsia="Calibri" w:hAnsi="Times New Roman" w:cs="Times New Roman"/>
        </w:rPr>
        <w:t>pontot.</w:t>
      </w:r>
      <w:r>
        <w:rPr>
          <w:rFonts w:ascii="Times New Roman" w:eastAsia="Calibri" w:hAnsi="Times New Roman" w:cs="Times New Roman"/>
        </w:rPr>
        <w:t xml:space="preserve"> </w:t>
      </w:r>
      <w:r w:rsidRPr="000B2BE4">
        <w:rPr>
          <w:rFonts w:ascii="Times New Roman" w:eastAsia="Calibri" w:hAnsi="Times New Roman" w:cs="Times New Roman"/>
        </w:rPr>
        <w:t xml:space="preserve">A nagy tumorméret </w:t>
      </w:r>
      <w:r>
        <w:rPr>
          <w:rFonts w:ascii="Times New Roman" w:eastAsia="Calibri" w:hAnsi="Times New Roman" w:cs="Times New Roman"/>
        </w:rPr>
        <w:t xml:space="preserve">a </w:t>
      </w:r>
      <w:r w:rsidRPr="000B2BE4">
        <w:rPr>
          <w:rFonts w:ascii="Times New Roman" w:eastAsia="Calibri" w:hAnsi="Times New Roman" w:cs="Times New Roman"/>
        </w:rPr>
        <w:t>meghatározás szerint legalább egy, ≥</w:t>
      </w:r>
      <w:r>
        <w:rPr>
          <w:rFonts w:ascii="Times New Roman" w:eastAsia="Calibri" w:hAnsi="Times New Roman" w:cs="Times New Roman"/>
        </w:rPr>
        <w:t> </w:t>
      </w:r>
      <w:r w:rsidRPr="000B2BE4">
        <w:rPr>
          <w:rFonts w:ascii="Times New Roman" w:eastAsia="Calibri" w:hAnsi="Times New Roman" w:cs="Times New Roman"/>
        </w:rPr>
        <w:t>5</w:t>
      </w:r>
      <w:r>
        <w:rPr>
          <w:rFonts w:ascii="Times New Roman" w:eastAsia="Calibri" w:hAnsi="Times New Roman" w:cs="Times New Roman"/>
        </w:rPr>
        <w:t> </w:t>
      </w:r>
      <w:r w:rsidRPr="000B2BE4">
        <w:rPr>
          <w:rFonts w:ascii="Times New Roman" w:eastAsia="Calibri" w:hAnsi="Times New Roman" w:cs="Times New Roman"/>
        </w:rPr>
        <w:t xml:space="preserve">cm átmérőjű elváltozást vagy </w:t>
      </w:r>
      <w:r>
        <w:rPr>
          <w:rFonts w:ascii="Times New Roman" w:eastAsia="Calibri" w:hAnsi="Times New Roman" w:cs="Times New Roman"/>
        </w:rPr>
        <w:t>három</w:t>
      </w:r>
      <w:r w:rsidRPr="000B2BE4">
        <w:rPr>
          <w:rFonts w:ascii="Times New Roman" w:eastAsia="Calibri" w:hAnsi="Times New Roman" w:cs="Times New Roman"/>
        </w:rPr>
        <w:t>, ≥</w:t>
      </w:r>
      <w:r>
        <w:rPr>
          <w:rFonts w:ascii="Times New Roman" w:eastAsia="Calibri" w:hAnsi="Times New Roman" w:cs="Times New Roman"/>
        </w:rPr>
        <w:t> </w:t>
      </w:r>
      <w:r w:rsidRPr="000B2BE4">
        <w:rPr>
          <w:rFonts w:ascii="Times New Roman" w:eastAsia="Calibri" w:hAnsi="Times New Roman" w:cs="Times New Roman"/>
        </w:rPr>
        <w:t>3</w:t>
      </w:r>
      <w:r>
        <w:rPr>
          <w:rFonts w:ascii="Times New Roman" w:eastAsia="Calibri" w:hAnsi="Times New Roman" w:cs="Times New Roman"/>
        </w:rPr>
        <w:t> </w:t>
      </w:r>
      <w:r w:rsidRPr="000B2BE4">
        <w:rPr>
          <w:rFonts w:ascii="Times New Roman" w:eastAsia="Calibri" w:hAnsi="Times New Roman" w:cs="Times New Roman"/>
        </w:rPr>
        <w:t>cm-es</w:t>
      </w:r>
      <w:r>
        <w:rPr>
          <w:rFonts w:ascii="Times New Roman" w:eastAsia="Calibri" w:hAnsi="Times New Roman" w:cs="Times New Roman"/>
        </w:rPr>
        <w:t xml:space="preserve"> </w:t>
      </w:r>
      <w:r w:rsidRPr="000B2BE4">
        <w:rPr>
          <w:rFonts w:ascii="Times New Roman" w:eastAsia="Calibri" w:hAnsi="Times New Roman" w:cs="Times New Roman"/>
        </w:rPr>
        <w:t>elváltozást jelentett</w:t>
      </w:r>
      <w:r>
        <w:rPr>
          <w:rFonts w:ascii="Times New Roman" w:eastAsia="Calibri" w:hAnsi="Times New Roman" w:cs="Times New Roman"/>
        </w:rPr>
        <w:t>.</w:t>
      </w:r>
    </w:p>
    <w:p w14:paraId="2067A71F" w14:textId="77777777" w:rsidR="000B2BE4" w:rsidRPr="00956F16" w:rsidRDefault="000B2BE4" w:rsidP="000B2BE4">
      <w:pPr>
        <w:spacing w:after="0" w:line="240" w:lineRule="auto"/>
        <w:rPr>
          <w:rFonts w:ascii="Times New Roman" w:eastAsia="Calibri" w:hAnsi="Times New Roman" w:cs="Times New Roman"/>
        </w:rPr>
      </w:pPr>
    </w:p>
    <w:p w14:paraId="309EEB87" w14:textId="1E985E25"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Allergiás reakciók</w:t>
      </w:r>
      <w:r w:rsidR="001C6743">
        <w:rPr>
          <w:rFonts w:ascii="Times New Roman" w:eastAsia="Calibri" w:hAnsi="Times New Roman" w:cs="Times New Roman"/>
          <w:i/>
          <w:u w:val="single"/>
        </w:rPr>
        <w:t xml:space="preserve"> és súlyos bőrreakciók</w:t>
      </w:r>
    </w:p>
    <w:p w14:paraId="1D554131" w14:textId="19577C27" w:rsidR="00956F16" w:rsidRPr="00956F16" w:rsidRDefault="00956F16" w:rsidP="00745949">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lenalidomiddal kezelt betegeknél beszámoltak allergiás reakciók előfordulásáról</w:t>
      </w:r>
      <w:r w:rsidR="001C6743">
        <w:rPr>
          <w:rFonts w:ascii="Times New Roman" w:eastAsia="Calibri" w:hAnsi="Times New Roman" w:cs="Times New Roman"/>
        </w:rPr>
        <w:t xml:space="preserve">, </w:t>
      </w:r>
      <w:r w:rsidR="001C6743" w:rsidRPr="001C6743">
        <w:rPr>
          <w:rFonts w:ascii="Times New Roman" w:eastAsia="Calibri" w:hAnsi="Times New Roman" w:cs="Times New Roman"/>
        </w:rPr>
        <w:t>beleértve az</w:t>
      </w:r>
      <w:r w:rsidR="001C6743">
        <w:rPr>
          <w:rFonts w:ascii="Times New Roman" w:eastAsia="Calibri" w:hAnsi="Times New Roman" w:cs="Times New Roman"/>
        </w:rPr>
        <w:t xml:space="preserve"> </w:t>
      </w:r>
      <w:r w:rsidR="001C6743" w:rsidRPr="001C6743">
        <w:rPr>
          <w:rFonts w:ascii="Times New Roman" w:eastAsia="Calibri" w:hAnsi="Times New Roman" w:cs="Times New Roman"/>
        </w:rPr>
        <w:t>angiooedemát, anaphylaxiás reakciót és súlyos bőrreakciókat (pl. SJS, TEN és DRESS)</w:t>
      </w:r>
      <w:r w:rsidR="001C6743">
        <w:rPr>
          <w:rFonts w:ascii="Times New Roman" w:eastAsia="Calibri" w:hAnsi="Times New Roman" w:cs="Times New Roman"/>
        </w:rPr>
        <w:t xml:space="preserve"> is</w:t>
      </w:r>
      <w:r w:rsidRPr="00956F16">
        <w:rPr>
          <w:rFonts w:ascii="Times New Roman" w:eastAsia="Calibri" w:hAnsi="Times New Roman" w:cs="Times New Roman"/>
        </w:rPr>
        <w:t xml:space="preserve"> (lásd 4.8 pont).</w:t>
      </w:r>
      <w:r w:rsidR="00745949">
        <w:rPr>
          <w:rFonts w:ascii="Times New Roman" w:eastAsia="Calibri" w:hAnsi="Times New Roman" w:cs="Times New Roman"/>
        </w:rPr>
        <w:t xml:space="preserve"> </w:t>
      </w:r>
      <w:r w:rsidRPr="00956F16">
        <w:rPr>
          <w:rFonts w:ascii="Times New Roman" w:eastAsia="Calibri" w:hAnsi="Times New Roman" w:cs="Times New Roman"/>
        </w:rPr>
        <w:t>A gyógyszert felíró orvosoknak tájékoztatnuk kell a betegeket azokról a jelekről és tünetekről, amelyeket ezek a bőrreakciók okoznak, és el kell mondaniuk, hogy ha ilyen jelentkezik náluk, hadéktalanul forduljanak orvoshoz.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kezelést </w:t>
      </w:r>
      <w:r w:rsidR="00745949" w:rsidRPr="00745949">
        <w:rPr>
          <w:rFonts w:ascii="Times New Roman" w:eastAsia="Calibri" w:hAnsi="Times New Roman" w:cs="Times New Roman"/>
        </w:rPr>
        <w:t>angiooedema, anaphylaxiás reakció</w:t>
      </w:r>
      <w:r w:rsidR="00745949">
        <w:rPr>
          <w:rFonts w:ascii="Times New Roman" w:eastAsia="Calibri" w:hAnsi="Times New Roman" w:cs="Times New Roman"/>
        </w:rPr>
        <w:t xml:space="preserve">, </w:t>
      </w:r>
      <w:r w:rsidRPr="00956F16">
        <w:rPr>
          <w:rFonts w:ascii="Times New Roman" w:eastAsia="Calibri" w:hAnsi="Times New Roman" w:cs="Times New Roman"/>
        </w:rPr>
        <w:t>hámló vagy hólyagos kiütések jelentkezése, illetve SJS, TEN vagy DRESS gyanújának fennállása esetén abba kell hagyni, és ha a terápia felfüggesztésének ez volt az oka, a kezelést nem is szabad újrakezdeni. Egyéb bőrreakciók esetén – azok súlyosságától függően – mérlegelni kell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 felfüggesztését, illetve abbahagyását. </w:t>
      </w:r>
      <w:r w:rsidR="00745949" w:rsidRPr="00956F16">
        <w:rPr>
          <w:rFonts w:ascii="Times New Roman" w:eastAsia="Calibri" w:hAnsi="Times New Roman" w:cs="Times New Roman"/>
        </w:rPr>
        <w:t>Azokat a betegeket, akiknél a korábbi talidomid</w:t>
      </w:r>
      <w:r w:rsidR="00104634">
        <w:rPr>
          <w:rFonts w:ascii="Times New Roman" w:eastAsia="Calibri" w:hAnsi="Times New Roman" w:cs="Times New Roman"/>
        </w:rPr>
        <w:t>-</w:t>
      </w:r>
      <w:r w:rsidR="00745949" w:rsidRPr="00956F16">
        <w:rPr>
          <w:rFonts w:ascii="Times New Roman" w:eastAsia="Calibri" w:hAnsi="Times New Roman" w:cs="Times New Roman"/>
        </w:rPr>
        <w:t>kezelés allergiás reakciót váltott ki, szoros megfigyelés alatt kell tartani, mert az irodalmi adatok szerint a lenalidomid és a talidomid között fennállhat keresztallergia.</w:t>
      </w:r>
      <w:r w:rsidR="00745949">
        <w:rPr>
          <w:rFonts w:ascii="Times New Roman" w:eastAsia="Calibri" w:hAnsi="Times New Roman" w:cs="Times New Roman"/>
        </w:rPr>
        <w:t xml:space="preserve"> </w:t>
      </w:r>
      <w:r w:rsidRPr="00956F16">
        <w:rPr>
          <w:rFonts w:ascii="Times New Roman" w:eastAsia="Calibri" w:hAnsi="Times New Roman" w:cs="Times New Roman"/>
        </w:rPr>
        <w:t>Olyan betegek, akiknek a kórtörténetében talidomid</w:t>
      </w:r>
      <w:r w:rsidR="00104634">
        <w:rPr>
          <w:rFonts w:ascii="Times New Roman" w:eastAsia="Calibri" w:hAnsi="Times New Roman" w:cs="Times New Roman"/>
        </w:rPr>
        <w:t>-</w:t>
      </w:r>
      <w:r w:rsidRPr="00956F16">
        <w:rPr>
          <w:rFonts w:ascii="Times New Roman" w:eastAsia="Calibri" w:hAnsi="Times New Roman" w:cs="Times New Roman"/>
        </w:rPr>
        <w:t>kezeléssel összefüggő súlyos bőrkiütés szerepel, nem részesülhetnek lenalidomid</w:t>
      </w:r>
      <w:r w:rsidR="00104634">
        <w:rPr>
          <w:rFonts w:ascii="Times New Roman" w:eastAsia="Calibri" w:hAnsi="Times New Roman" w:cs="Times New Roman"/>
        </w:rPr>
        <w:t>-</w:t>
      </w:r>
      <w:r w:rsidRPr="00956F16">
        <w:rPr>
          <w:rFonts w:ascii="Times New Roman" w:eastAsia="Calibri" w:hAnsi="Times New Roman" w:cs="Times New Roman"/>
        </w:rPr>
        <w:t>kezelésben.</w:t>
      </w:r>
    </w:p>
    <w:p w14:paraId="0C1464BC" w14:textId="77777777" w:rsidR="00956F16" w:rsidRPr="00441247" w:rsidRDefault="00956F16" w:rsidP="00956F16">
      <w:pPr>
        <w:autoSpaceDE w:val="0"/>
        <w:autoSpaceDN w:val="0"/>
        <w:adjustRightInd w:val="0"/>
        <w:spacing w:after="0" w:line="240" w:lineRule="auto"/>
        <w:rPr>
          <w:rFonts w:ascii="Times New Roman" w:eastAsia="Times New Roman" w:hAnsi="Times New Roman" w:cs="Times New Roman"/>
          <w:szCs w:val="20"/>
        </w:rPr>
      </w:pPr>
    </w:p>
    <w:p w14:paraId="056925FD"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Második primer maligmitások</w:t>
      </w:r>
    </w:p>
    <w:p w14:paraId="2DE31C66" w14:textId="344A0963"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Klinikai vizsgálatokban a második primer malignitások (SPM/s</w:t>
      </w:r>
      <w:r w:rsidRPr="00956F16">
        <w:rPr>
          <w:rFonts w:ascii="Times New Roman" w:eastAsia="Calibri" w:hAnsi="Times New Roman" w:cs="Times New Roman"/>
          <w:spacing w:val="-2"/>
        </w:rPr>
        <w:t>e</w:t>
      </w:r>
      <w:r w:rsidRPr="00956F16">
        <w:rPr>
          <w:rFonts w:ascii="Times New Roman" w:eastAsia="Calibri" w:hAnsi="Times New Roman" w:cs="Times New Roman"/>
        </w:rPr>
        <w:t xml:space="preserve">cond </w:t>
      </w:r>
      <w:r w:rsidRPr="00956F16">
        <w:rPr>
          <w:rFonts w:ascii="Times New Roman" w:eastAsia="Calibri" w:hAnsi="Times New Roman" w:cs="Times New Roman"/>
          <w:spacing w:val="-2"/>
        </w:rPr>
        <w:t>p</w:t>
      </w:r>
      <w:r w:rsidRPr="00956F16">
        <w:rPr>
          <w:rFonts w:ascii="Times New Roman" w:eastAsia="Calibri" w:hAnsi="Times New Roman" w:cs="Times New Roman"/>
          <w:spacing w:val="1"/>
        </w:rPr>
        <w:t>ri</w:t>
      </w:r>
      <w:r w:rsidRPr="00956F16">
        <w:rPr>
          <w:rFonts w:ascii="Times New Roman" w:eastAsia="Calibri" w:hAnsi="Times New Roman" w:cs="Times New Roman"/>
          <w:spacing w:val="-4"/>
        </w:rPr>
        <w:t>m</w:t>
      </w:r>
      <w:r w:rsidRPr="00956F16">
        <w:rPr>
          <w:rFonts w:ascii="Times New Roman" w:eastAsia="Calibri" w:hAnsi="Times New Roman" w:cs="Times New Roman"/>
          <w:spacing w:val="1"/>
        </w:rPr>
        <w:t>ar</w:t>
      </w:r>
      <w:r w:rsidRPr="00956F16">
        <w:rPr>
          <w:rFonts w:ascii="Times New Roman" w:eastAsia="Calibri" w:hAnsi="Times New Roman" w:cs="Times New Roman"/>
        </w:rPr>
        <w:t>y</w:t>
      </w:r>
      <w:r w:rsidRPr="00956F16">
        <w:rPr>
          <w:rFonts w:ascii="Times New Roman" w:eastAsia="Calibri" w:hAnsi="Times New Roman" w:cs="Times New Roman"/>
          <w:spacing w:val="-2"/>
        </w:rPr>
        <w:t xml:space="preserve"> </w:t>
      </w:r>
      <w:r w:rsidRPr="00956F16">
        <w:rPr>
          <w:rFonts w:ascii="Times New Roman" w:eastAsia="Calibri" w:hAnsi="Times New Roman" w:cs="Times New Roman"/>
          <w:spacing w:val="-4"/>
        </w:rPr>
        <w:t>m</w:t>
      </w:r>
      <w:r w:rsidRPr="00956F16">
        <w:rPr>
          <w:rFonts w:ascii="Times New Roman" w:eastAsia="Calibri" w:hAnsi="Times New Roman" w:cs="Times New Roman"/>
          <w:spacing w:val="1"/>
        </w:rPr>
        <w:t>ali</w:t>
      </w:r>
      <w:r w:rsidRPr="00956F16">
        <w:rPr>
          <w:rFonts w:ascii="Times New Roman" w:eastAsia="Calibri" w:hAnsi="Times New Roman" w:cs="Times New Roman"/>
          <w:spacing w:val="-2"/>
        </w:rPr>
        <w:t>g</w:t>
      </w:r>
      <w:r w:rsidRPr="00956F16">
        <w:rPr>
          <w:rFonts w:ascii="Times New Roman" w:eastAsia="Calibri" w:hAnsi="Times New Roman" w:cs="Times New Roman"/>
        </w:rPr>
        <w:t>nanc</w:t>
      </w:r>
      <w:r w:rsidRPr="00956F16">
        <w:rPr>
          <w:rFonts w:ascii="Times New Roman" w:eastAsia="Calibri" w:hAnsi="Times New Roman" w:cs="Times New Roman"/>
          <w:spacing w:val="1"/>
        </w:rPr>
        <w:t>i</w:t>
      </w:r>
      <w:r w:rsidRPr="00956F16">
        <w:rPr>
          <w:rFonts w:ascii="Times New Roman" w:eastAsia="Calibri" w:hAnsi="Times New Roman" w:cs="Times New Roman"/>
        </w:rPr>
        <w:t>es) gyakoriságának növekedését figyelték meg a korábban lenalidomiddal/dexametazonnal kezelt myelomás betegeknél (3,98/100 személyév), a kontrollcsoporthoz viszonyítva (1,38/100 személyév). A nem invazív SPM</w:t>
      </w:r>
      <w:r w:rsidR="00795B36">
        <w:rPr>
          <w:rFonts w:ascii="Times New Roman" w:eastAsia="Calibri" w:hAnsi="Times New Roman" w:cs="Times New Roman"/>
        </w:rPr>
        <w:t>-</w:t>
      </w:r>
      <w:r w:rsidRPr="00956F16">
        <w:rPr>
          <w:rFonts w:ascii="Times New Roman" w:eastAsia="Calibri" w:hAnsi="Times New Roman" w:cs="Times New Roman"/>
        </w:rPr>
        <w:t>esetek bazálsejtes és laphámsejtes bőrrákos betegek voltak. Az invazív SPM</w:t>
      </w:r>
      <w:r w:rsidR="00795B36">
        <w:rPr>
          <w:rFonts w:ascii="Times New Roman" w:eastAsia="Calibri" w:hAnsi="Times New Roman" w:cs="Times New Roman"/>
        </w:rPr>
        <w:t>-</w:t>
      </w:r>
      <w:r w:rsidRPr="00956F16">
        <w:rPr>
          <w:rFonts w:ascii="Times New Roman" w:eastAsia="Calibri" w:hAnsi="Times New Roman" w:cs="Times New Roman"/>
        </w:rPr>
        <w:t>esetek főként szolid tumoroknak bizonyultak.</w:t>
      </w:r>
    </w:p>
    <w:p w14:paraId="7CC54573" w14:textId="77777777" w:rsidR="00956F16" w:rsidRPr="00956F16" w:rsidRDefault="00956F16" w:rsidP="00956F16">
      <w:pPr>
        <w:spacing w:after="0" w:line="240" w:lineRule="auto"/>
        <w:rPr>
          <w:rFonts w:ascii="Times New Roman" w:eastAsia="Calibri" w:hAnsi="Times New Roman" w:cs="Times New Roman"/>
        </w:rPr>
      </w:pPr>
    </w:p>
    <w:p w14:paraId="37064929" w14:textId="26976A24"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újonnan diagnosztizált myeloma multiplexes, transzplantációra nem alkalmas betegek bevonásával végzett klinikai vizsgálatokban a progresszióig melfalánnal és prednizonnal kombinációban adott lenalidomid</w:t>
      </w:r>
      <w:r w:rsidR="00104634">
        <w:rPr>
          <w:rFonts w:ascii="Times New Roman" w:eastAsia="Calibri" w:hAnsi="Times New Roman" w:cs="Times New Roman"/>
        </w:rPr>
        <w:t>-</w:t>
      </w:r>
      <w:r w:rsidRPr="00956F16">
        <w:rPr>
          <w:rFonts w:ascii="Times New Roman" w:eastAsia="Calibri" w:hAnsi="Times New Roman" w:cs="Times New Roman"/>
        </w:rPr>
        <w:t>kezelésben részesülő betegeknél 4,9-szeres növekedést figyeltek meg hematológiai SPM-</w:t>
      </w:r>
      <w:r w:rsidR="00795B36">
        <w:rPr>
          <w:rFonts w:ascii="Times New Roman" w:eastAsia="Calibri" w:hAnsi="Times New Roman" w:cs="Times New Roman"/>
        </w:rPr>
        <w:t>e</w:t>
      </w:r>
      <w:r w:rsidRPr="00956F16">
        <w:rPr>
          <w:rFonts w:ascii="Times New Roman" w:eastAsia="Calibri" w:hAnsi="Times New Roman" w:cs="Times New Roman"/>
        </w:rPr>
        <w:t>k (AML és MDS esetei) incidenciájában (1,75/100 személyév) a prednizonnal kombinációban adott melfalánnal kezeltekhez képest (0,36/100 személyév).</w:t>
      </w:r>
    </w:p>
    <w:p w14:paraId="07317174" w14:textId="77777777" w:rsidR="00956F16" w:rsidRPr="00956F16" w:rsidRDefault="00956F16" w:rsidP="00956F16">
      <w:pPr>
        <w:spacing w:after="0" w:line="240" w:lineRule="auto"/>
        <w:rPr>
          <w:rFonts w:ascii="Times New Roman" w:eastAsia="Calibri" w:hAnsi="Times New Roman" w:cs="Times New Roman"/>
        </w:rPr>
      </w:pPr>
    </w:p>
    <w:p w14:paraId="0EDA3487" w14:textId="4C8B89B5"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szolid tumor SPM-</w:t>
      </w:r>
      <w:r w:rsidR="00795B36">
        <w:rPr>
          <w:rFonts w:ascii="Times New Roman" w:eastAsia="Calibri" w:hAnsi="Times New Roman" w:cs="Times New Roman"/>
        </w:rPr>
        <w:t>e</w:t>
      </w:r>
      <w:r w:rsidRPr="00956F16">
        <w:rPr>
          <w:rFonts w:ascii="Times New Roman" w:eastAsia="Calibri" w:hAnsi="Times New Roman" w:cs="Times New Roman"/>
        </w:rPr>
        <w:t>k incidenciájában 2,12-szeres növekedést figyeltek meg a melfalánnal és prednizonnal kombinációban adott lenalidomid</w:t>
      </w:r>
      <w:r w:rsidR="00104634">
        <w:rPr>
          <w:rFonts w:ascii="Times New Roman" w:eastAsia="Calibri" w:hAnsi="Times New Roman" w:cs="Times New Roman"/>
        </w:rPr>
        <w:t>-</w:t>
      </w:r>
      <w:r w:rsidRPr="00956F16">
        <w:rPr>
          <w:rFonts w:ascii="Times New Roman" w:eastAsia="Calibri" w:hAnsi="Times New Roman" w:cs="Times New Roman"/>
        </w:rPr>
        <w:t>kezelésben (9 ciklus) részesülő betegeknél (1,57/100 személyév) a prednizonnal kombinációban adott melfalánnal kezeltekhez képest (0,74/100 személyév).</w:t>
      </w:r>
    </w:p>
    <w:p w14:paraId="641DDA29" w14:textId="77777777" w:rsidR="00956F16" w:rsidRPr="00956F16" w:rsidRDefault="00956F16" w:rsidP="00956F16">
      <w:pPr>
        <w:spacing w:after="0" w:line="240" w:lineRule="auto"/>
        <w:rPr>
          <w:rFonts w:ascii="Times New Roman" w:eastAsia="Calibri" w:hAnsi="Times New Roman" w:cs="Times New Roman"/>
        </w:rPr>
      </w:pPr>
    </w:p>
    <w:p w14:paraId="68473CCB" w14:textId="3A97F2CF"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progresszióig vagy 18 hónapon át dexametazonnal kombinált lenalidomid</w:t>
      </w:r>
      <w:r w:rsidR="00104634">
        <w:rPr>
          <w:rFonts w:ascii="Times New Roman" w:eastAsia="Calibri" w:hAnsi="Times New Roman" w:cs="Times New Roman"/>
        </w:rPr>
        <w:t>-</w:t>
      </w:r>
      <w:r w:rsidRPr="00956F16">
        <w:rPr>
          <w:rFonts w:ascii="Times New Roman" w:eastAsia="Calibri" w:hAnsi="Times New Roman" w:cs="Times New Roman"/>
        </w:rPr>
        <w:t>kezelésben részesülő betegeknél nem volt magasabb a hematológiai SPM-</w:t>
      </w:r>
      <w:r w:rsidR="00795B36">
        <w:rPr>
          <w:rFonts w:ascii="Times New Roman" w:eastAsia="Calibri" w:hAnsi="Times New Roman" w:cs="Times New Roman"/>
        </w:rPr>
        <w:t>e</w:t>
      </w:r>
      <w:r w:rsidRPr="00956F16">
        <w:rPr>
          <w:rFonts w:ascii="Times New Roman" w:eastAsia="Calibri" w:hAnsi="Times New Roman" w:cs="Times New Roman"/>
        </w:rPr>
        <w:t>k incidenciája (0,16/100 személyév) a melfalánnal és prednizonnal kombinációban adott talidomiddal kezeltekhez képest (0,79/100 személyév).</w:t>
      </w:r>
    </w:p>
    <w:p w14:paraId="0FF43927" w14:textId="77777777" w:rsidR="00956F16" w:rsidRPr="00956F16" w:rsidRDefault="00956F16" w:rsidP="00956F16">
      <w:pPr>
        <w:spacing w:after="0" w:line="240" w:lineRule="auto"/>
        <w:rPr>
          <w:rFonts w:ascii="Times New Roman" w:eastAsia="Calibri" w:hAnsi="Times New Roman" w:cs="Times New Roman"/>
        </w:rPr>
      </w:pPr>
    </w:p>
    <w:p w14:paraId="274134E2" w14:textId="375D7558"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progresszióig vagy 18 hónapon át dexametazonnal kombinált lenalidomid</w:t>
      </w:r>
      <w:r w:rsidR="00104634">
        <w:rPr>
          <w:rFonts w:ascii="Times New Roman" w:eastAsia="Calibri" w:hAnsi="Times New Roman" w:cs="Times New Roman"/>
        </w:rPr>
        <w:t>-</w:t>
      </w:r>
      <w:r w:rsidRPr="00956F16">
        <w:rPr>
          <w:rFonts w:ascii="Times New Roman" w:eastAsia="Calibri" w:hAnsi="Times New Roman" w:cs="Times New Roman"/>
        </w:rPr>
        <w:t>kezelésben</w:t>
      </w:r>
      <w:r w:rsidRPr="00956F16" w:rsidDel="00CC4B6B">
        <w:rPr>
          <w:rFonts w:ascii="Times New Roman" w:eastAsia="Calibri" w:hAnsi="Times New Roman" w:cs="Times New Roman"/>
        </w:rPr>
        <w:t xml:space="preserve"> </w:t>
      </w:r>
      <w:r w:rsidRPr="00956F16">
        <w:rPr>
          <w:rFonts w:ascii="Times New Roman" w:eastAsia="Calibri" w:hAnsi="Times New Roman" w:cs="Times New Roman"/>
        </w:rPr>
        <w:t>részesülő betegeknél 1,3-szoros növekedést figyeltek meg a szolid tumor SPM-</w:t>
      </w:r>
      <w:r w:rsidR="00795B36">
        <w:rPr>
          <w:rFonts w:ascii="Times New Roman" w:eastAsia="Calibri" w:hAnsi="Times New Roman" w:cs="Times New Roman"/>
        </w:rPr>
        <w:t>e</w:t>
      </w:r>
      <w:r w:rsidRPr="00956F16">
        <w:rPr>
          <w:rFonts w:ascii="Times New Roman" w:eastAsia="Calibri" w:hAnsi="Times New Roman" w:cs="Times New Roman"/>
        </w:rPr>
        <w:t>k incidenciájában (1,58/100 személyév) a melfalánnal és prednizonnal kombinációban adott talidomiddal kezeltekhez képest (1,19/100 személyév).</w:t>
      </w:r>
    </w:p>
    <w:p w14:paraId="0B967FEC" w14:textId="77777777" w:rsidR="00956F16" w:rsidRDefault="00956F16" w:rsidP="00956F16">
      <w:pPr>
        <w:spacing w:after="0" w:line="240" w:lineRule="auto"/>
        <w:rPr>
          <w:rFonts w:ascii="Times New Roman" w:eastAsia="Calibri" w:hAnsi="Times New Roman" w:cs="Times New Roman"/>
        </w:rPr>
      </w:pPr>
    </w:p>
    <w:p w14:paraId="60BB315E" w14:textId="42486116" w:rsidR="00220447" w:rsidRPr="00441247" w:rsidRDefault="00220447" w:rsidP="00956F16">
      <w:pPr>
        <w:spacing w:after="0" w:line="240" w:lineRule="auto"/>
        <w:rPr>
          <w:rFonts w:ascii="Times New Roman" w:eastAsia="Calibri" w:hAnsi="Times New Roman" w:cs="Times New Roman"/>
        </w:rPr>
      </w:pPr>
      <w:r w:rsidRPr="00441247">
        <w:rPr>
          <w:rFonts w:ascii="Times New Roman" w:eastAsia="Calibri" w:hAnsi="Times New Roman" w:cs="Times New Roman"/>
        </w:rPr>
        <w:t xml:space="preserve">Bortezomibbal és dexametazonnal </w:t>
      </w:r>
      <w:r>
        <w:rPr>
          <w:rFonts w:ascii="Times New Roman" w:eastAsia="Calibri" w:hAnsi="Times New Roman" w:cs="Times New Roman"/>
        </w:rPr>
        <w:t>kombinációban adott lenalidomid</w:t>
      </w:r>
      <w:r w:rsidR="00104634">
        <w:rPr>
          <w:rFonts w:ascii="Times New Roman" w:eastAsia="Calibri" w:hAnsi="Times New Roman" w:cs="Times New Roman"/>
        </w:rPr>
        <w:t>-</w:t>
      </w:r>
      <w:r w:rsidRPr="00441247">
        <w:rPr>
          <w:rFonts w:ascii="Times New Roman" w:eastAsia="Calibri" w:hAnsi="Times New Roman" w:cs="Times New Roman"/>
        </w:rPr>
        <w:t>kezelésben részesülő, újonnan diagnosztizált myeloma multiplexben szenvedő</w:t>
      </w:r>
      <w:r>
        <w:rPr>
          <w:rFonts w:ascii="Times New Roman" w:eastAsia="Calibri" w:hAnsi="Times New Roman" w:cs="Times New Roman"/>
        </w:rPr>
        <w:t xml:space="preserve"> betegeknél a hematológiai SPM-</w:t>
      </w:r>
      <w:r w:rsidR="00795B36">
        <w:rPr>
          <w:rFonts w:ascii="Times New Roman" w:eastAsia="Calibri" w:hAnsi="Times New Roman" w:cs="Times New Roman"/>
        </w:rPr>
        <w:t>e</w:t>
      </w:r>
      <w:r w:rsidRPr="00441247">
        <w:rPr>
          <w:rFonts w:ascii="Times New Roman" w:eastAsia="Calibri" w:hAnsi="Times New Roman" w:cs="Times New Roman"/>
        </w:rPr>
        <w:t xml:space="preserve">k incidenciája </w:t>
      </w:r>
      <w:r>
        <w:rPr>
          <w:rFonts w:ascii="Times New Roman" w:eastAsia="Calibri" w:hAnsi="Times New Roman" w:cs="Times New Roman"/>
        </w:rPr>
        <w:t>0,00</w:t>
      </w:r>
      <w:r w:rsidR="00795B36">
        <w:rPr>
          <w:rFonts w:ascii="Times New Roman" w:eastAsia="Calibri" w:hAnsi="Times New Roman" w:cs="Times New Roman"/>
        </w:rPr>
        <w:noBreakHyphen/>
      </w:r>
      <w:r>
        <w:rPr>
          <w:rFonts w:ascii="Times New Roman" w:eastAsia="Calibri" w:hAnsi="Times New Roman" w:cs="Times New Roman"/>
        </w:rPr>
        <w:t>0,16/100 </w:t>
      </w:r>
      <w:r w:rsidRPr="00441247">
        <w:rPr>
          <w:rFonts w:ascii="Times New Roman" w:eastAsia="Calibri" w:hAnsi="Times New Roman" w:cs="Times New Roman"/>
        </w:rPr>
        <w:t>személyév, míg a solid tumorok incidenciája 0,21</w:t>
      </w:r>
      <w:r w:rsidR="00795B36">
        <w:rPr>
          <w:rFonts w:ascii="Times New Roman" w:eastAsia="Calibri" w:hAnsi="Times New Roman" w:cs="Times New Roman"/>
        </w:rPr>
        <w:t>–</w:t>
      </w:r>
      <w:r>
        <w:rPr>
          <w:rFonts w:ascii="Times New Roman" w:eastAsia="Calibri" w:hAnsi="Times New Roman" w:cs="Times New Roman"/>
        </w:rPr>
        <w:t>1,04/100 </w:t>
      </w:r>
      <w:r w:rsidRPr="00441247">
        <w:rPr>
          <w:rFonts w:ascii="Times New Roman" w:eastAsia="Calibri" w:hAnsi="Times New Roman" w:cs="Times New Roman"/>
        </w:rPr>
        <w:t>személyév volt.</w:t>
      </w:r>
    </w:p>
    <w:p w14:paraId="2A3ECD84" w14:textId="77777777" w:rsidR="00220447" w:rsidRPr="00956F16" w:rsidRDefault="00220447" w:rsidP="00956F16">
      <w:pPr>
        <w:spacing w:after="0" w:line="240" w:lineRule="auto"/>
        <w:rPr>
          <w:rFonts w:ascii="Times New Roman" w:eastAsia="Calibri" w:hAnsi="Times New Roman" w:cs="Times New Roman"/>
        </w:rPr>
      </w:pPr>
    </w:p>
    <w:p w14:paraId="27B62E98" w14:textId="6DC1521F"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lenalidomiddal összefüggő második primer tumorok fokozott kockázata az őssejt-transplantáció utáni NDMM esetében is jelen van. Noha ezt a kockázatot még nem írták le teljes mértékben, ilyen körülmények fennállása esetén a lenalidomid</w:t>
      </w:r>
      <w:r w:rsidR="00104634">
        <w:rPr>
          <w:rFonts w:ascii="Times New Roman" w:eastAsia="Calibri" w:hAnsi="Times New Roman" w:cs="Times New Roman"/>
        </w:rPr>
        <w:t>-</w:t>
      </w:r>
      <w:r w:rsidRPr="00956F16">
        <w:rPr>
          <w:rFonts w:ascii="Times New Roman" w:eastAsia="Calibri" w:hAnsi="Times New Roman" w:cs="Times New Roman"/>
        </w:rPr>
        <w:t>kezelés mérlegelése és alkalmazása során ezt</w:t>
      </w:r>
      <w:r w:rsidRPr="00956F16" w:rsidDel="00CC4B6B">
        <w:rPr>
          <w:rFonts w:ascii="Times New Roman" w:eastAsia="Calibri" w:hAnsi="Times New Roman" w:cs="Times New Roman"/>
        </w:rPr>
        <w:t xml:space="preserve"> </w:t>
      </w:r>
      <w:r w:rsidRPr="00956F16">
        <w:rPr>
          <w:rFonts w:ascii="Times New Roman" w:eastAsia="Calibri" w:hAnsi="Times New Roman" w:cs="Times New Roman"/>
        </w:rPr>
        <w:t>figyelembe kell venni.</w:t>
      </w:r>
    </w:p>
    <w:p w14:paraId="132636FE" w14:textId="77777777" w:rsidR="00956F16" w:rsidRPr="00956F16" w:rsidRDefault="00956F16" w:rsidP="00956F16">
      <w:pPr>
        <w:spacing w:after="0" w:line="240" w:lineRule="auto"/>
        <w:rPr>
          <w:rFonts w:ascii="Times New Roman" w:eastAsia="Calibri" w:hAnsi="Times New Roman" w:cs="Times New Roman"/>
        </w:rPr>
      </w:pPr>
    </w:p>
    <w:p w14:paraId="1BB7901D" w14:textId="6F448032"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lastRenderedPageBreak/>
        <w:t>A hematológiai malignitások, leginkább az AML, az MDS és a B</w:t>
      </w:r>
      <w:r w:rsidR="00104634">
        <w:rPr>
          <w:rFonts w:ascii="Times New Roman" w:eastAsia="Calibri" w:hAnsi="Times New Roman" w:cs="Times New Roman"/>
        </w:rPr>
        <w:t>-</w:t>
      </w:r>
      <w:r w:rsidRPr="00956F16">
        <w:rPr>
          <w:rFonts w:ascii="Times New Roman" w:eastAsia="Calibri" w:hAnsi="Times New Roman" w:cs="Times New Roman"/>
        </w:rPr>
        <w:t>sejtes malignitások (beleértve a Hodgkin-lymphomát is) incidencia-aránya a lenalidomid</w:t>
      </w:r>
      <w:r w:rsidR="00104634">
        <w:rPr>
          <w:rFonts w:ascii="Times New Roman" w:eastAsia="Calibri" w:hAnsi="Times New Roman" w:cs="Times New Roman"/>
        </w:rPr>
        <w:t>-</w:t>
      </w:r>
      <w:r w:rsidRPr="00956F16">
        <w:rPr>
          <w:rFonts w:ascii="Times New Roman" w:eastAsia="Calibri" w:hAnsi="Times New Roman" w:cs="Times New Roman"/>
        </w:rPr>
        <w:t>karokon 100 személyévenként 1,31, a placebokarokon pedig 100 személyévenként 0,58 volt (az ASCT után lenalidomidot kapott betegek esetén 100 személévenként 1,02 és az ASCT után lenalidomidot nem kapott betegek esetén 100 személyévenként 0,60).</w:t>
      </w:r>
      <w:r w:rsidR="00220447">
        <w:rPr>
          <w:rFonts w:ascii="Times New Roman" w:eastAsia="Calibri" w:hAnsi="Times New Roman" w:cs="Times New Roman"/>
        </w:rPr>
        <w:t xml:space="preserve"> </w:t>
      </w:r>
      <w:r w:rsidRPr="00956F16">
        <w:rPr>
          <w:rFonts w:ascii="Times New Roman" w:eastAsia="Calibri" w:hAnsi="Times New Roman" w:cs="Times New Roman"/>
        </w:rPr>
        <w:t>A szolid tumor SPM-</w:t>
      </w:r>
      <w:r w:rsidR="00795B36">
        <w:rPr>
          <w:rFonts w:ascii="Times New Roman" w:eastAsia="Calibri" w:hAnsi="Times New Roman" w:cs="Times New Roman"/>
        </w:rPr>
        <w:t>e</w:t>
      </w:r>
      <w:r w:rsidRPr="00956F16">
        <w:rPr>
          <w:rFonts w:ascii="Times New Roman" w:eastAsia="Calibri" w:hAnsi="Times New Roman" w:cs="Times New Roman"/>
        </w:rPr>
        <w:t>k incidencia-aránya a lenalidomid</w:t>
      </w:r>
      <w:r w:rsidR="00104634">
        <w:rPr>
          <w:rFonts w:ascii="Times New Roman" w:eastAsia="Calibri" w:hAnsi="Times New Roman" w:cs="Times New Roman"/>
        </w:rPr>
        <w:t>-</w:t>
      </w:r>
      <w:r w:rsidRPr="00956F16">
        <w:rPr>
          <w:rFonts w:ascii="Times New Roman" w:eastAsia="Calibri" w:hAnsi="Times New Roman" w:cs="Times New Roman"/>
        </w:rPr>
        <w:t>karokon 100 személyévenként 1,36, a placebokarokon pedig 100 személyévenként 1,05 volt (az ASCT után lenalidomidot kapott betegek esetén 100 személyévenként 1,26</w:t>
      </w:r>
      <w:r w:rsidR="00795B36">
        <w:rPr>
          <w:rFonts w:ascii="Times New Roman" w:eastAsia="Calibri" w:hAnsi="Times New Roman" w:cs="Times New Roman"/>
        </w:rPr>
        <w:t>,</w:t>
      </w:r>
      <w:r w:rsidRPr="00956F16">
        <w:rPr>
          <w:rFonts w:ascii="Times New Roman" w:eastAsia="Calibri" w:hAnsi="Times New Roman" w:cs="Times New Roman"/>
        </w:rPr>
        <w:t xml:space="preserve"> és az ASCT után lenalidomidot nem kapott betegek esetén 100 személyévenként 0,60).</w:t>
      </w:r>
    </w:p>
    <w:p w14:paraId="6C205903" w14:textId="77777777" w:rsidR="00956F16" w:rsidRPr="00956F16" w:rsidRDefault="00956F16" w:rsidP="00956F16">
      <w:pPr>
        <w:spacing w:after="0" w:line="240" w:lineRule="auto"/>
        <w:rPr>
          <w:rFonts w:ascii="Times New Roman" w:eastAsia="Calibri" w:hAnsi="Times New Roman" w:cs="Times New Roman"/>
        </w:rPr>
      </w:pPr>
    </w:p>
    <w:p w14:paraId="3003B5F0" w14:textId="31F6E844"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második primer hematológiai tumorok kockázatát mind a melfalánnal kombinációban, mind a nagy dózisú melfalán-kezelést vagy ASCT-t követően közvetlenül alkalmazott lenalidomid</w:t>
      </w:r>
      <w:r w:rsidR="00104634">
        <w:rPr>
          <w:rFonts w:ascii="Times New Roman" w:eastAsia="Calibri" w:hAnsi="Times New Roman" w:cs="Times New Roman"/>
        </w:rPr>
        <w:t>-</w:t>
      </w:r>
      <w:r w:rsidRPr="00956F16">
        <w:rPr>
          <w:rFonts w:ascii="Times New Roman" w:eastAsia="Calibri" w:hAnsi="Times New Roman" w:cs="Times New Roman"/>
        </w:rPr>
        <w:t>kezelés megkezdése előtt figyelembe kell venni. A kezelőorvosnak a második primer tumorok diagnosztizálására, a standard rákszűrési módszereket alkalmazva, gondosan fel kell mérnie a beteg állapotát a kezelés előtt és közben és a szükség szerinti kezelést kell megkezdenie.</w:t>
      </w:r>
    </w:p>
    <w:p w14:paraId="196776C1" w14:textId="11B514D7" w:rsidR="00956F16" w:rsidRDefault="00956F16" w:rsidP="00956F16">
      <w:pPr>
        <w:spacing w:after="0" w:line="240" w:lineRule="auto"/>
        <w:rPr>
          <w:rFonts w:ascii="Times New Roman" w:eastAsia="Calibri" w:hAnsi="Times New Roman" w:cs="Times New Roman"/>
        </w:rPr>
      </w:pPr>
    </w:p>
    <w:p w14:paraId="44423E9D" w14:textId="13D2E96C" w:rsidR="000B2BE4" w:rsidRPr="00934095" w:rsidRDefault="000B2BE4" w:rsidP="00934095">
      <w:pPr>
        <w:keepNext/>
        <w:spacing w:after="0" w:line="240" w:lineRule="auto"/>
        <w:rPr>
          <w:rFonts w:ascii="Times New Roman" w:eastAsia="Calibri" w:hAnsi="Times New Roman" w:cs="Times New Roman"/>
          <w:i/>
          <w:iCs/>
          <w:u w:val="single"/>
        </w:rPr>
      </w:pPr>
      <w:r w:rsidRPr="00934095">
        <w:rPr>
          <w:rFonts w:ascii="Times New Roman" w:eastAsia="Calibri" w:hAnsi="Times New Roman" w:cs="Times New Roman"/>
          <w:i/>
          <w:iCs/>
          <w:u w:val="single"/>
        </w:rPr>
        <w:t>Akut myeloid leukemiává történő progresszió alacsony, illetve közepes-1.</w:t>
      </w:r>
      <w:r>
        <w:rPr>
          <w:rFonts w:ascii="Times New Roman" w:eastAsia="Calibri" w:hAnsi="Times New Roman" w:cs="Times New Roman"/>
          <w:i/>
          <w:iCs/>
          <w:u w:val="single"/>
        </w:rPr>
        <w:t> </w:t>
      </w:r>
      <w:r w:rsidRPr="00934095">
        <w:rPr>
          <w:rFonts w:ascii="Times New Roman" w:eastAsia="Calibri" w:hAnsi="Times New Roman" w:cs="Times New Roman"/>
          <w:i/>
          <w:iCs/>
          <w:u w:val="single"/>
        </w:rPr>
        <w:t>kockázatú MDS-ben</w:t>
      </w:r>
    </w:p>
    <w:p w14:paraId="3C68D3C5" w14:textId="683933F8" w:rsidR="000B2BE4" w:rsidRPr="00934095" w:rsidRDefault="000B2BE4" w:rsidP="00934095">
      <w:pPr>
        <w:keepNext/>
        <w:numPr>
          <w:ilvl w:val="0"/>
          <w:numId w:val="14"/>
        </w:numPr>
        <w:tabs>
          <w:tab w:val="left" w:pos="567"/>
        </w:tabs>
        <w:spacing w:after="0" w:line="240" w:lineRule="auto"/>
        <w:ind w:hanging="720"/>
        <w:rPr>
          <w:rFonts w:ascii="Times New Roman" w:eastAsia="Calibri" w:hAnsi="Times New Roman" w:cs="Times New Roman"/>
          <w:u w:val="single"/>
        </w:rPr>
      </w:pPr>
      <w:r w:rsidRPr="00934095">
        <w:rPr>
          <w:rFonts w:ascii="Times New Roman" w:eastAsia="Calibri" w:hAnsi="Times New Roman" w:cs="Times New Roman"/>
          <w:u w:val="single"/>
        </w:rPr>
        <w:t>Kar</w:t>
      </w:r>
      <w:r w:rsidR="00D66EF9">
        <w:rPr>
          <w:rFonts w:ascii="Times New Roman" w:eastAsia="Calibri" w:hAnsi="Times New Roman" w:cs="Times New Roman"/>
          <w:u w:val="single"/>
        </w:rPr>
        <w:t>i</w:t>
      </w:r>
      <w:r w:rsidRPr="00934095">
        <w:rPr>
          <w:rFonts w:ascii="Times New Roman" w:eastAsia="Calibri" w:hAnsi="Times New Roman" w:cs="Times New Roman"/>
          <w:u w:val="single"/>
        </w:rPr>
        <w:t>otípus</w:t>
      </w:r>
    </w:p>
    <w:p w14:paraId="18154F6E" w14:textId="018AAB14" w:rsidR="000B2BE4" w:rsidRPr="000B2BE4" w:rsidRDefault="000B2BE4" w:rsidP="000B2BE4">
      <w:pPr>
        <w:spacing w:after="0" w:line="240" w:lineRule="auto"/>
        <w:rPr>
          <w:rFonts w:ascii="Times New Roman" w:eastAsia="Calibri" w:hAnsi="Times New Roman" w:cs="Times New Roman"/>
        </w:rPr>
      </w:pPr>
      <w:r w:rsidRPr="000B2BE4">
        <w:rPr>
          <w:rFonts w:ascii="Times New Roman" w:eastAsia="Calibri" w:hAnsi="Times New Roman" w:cs="Times New Roman"/>
        </w:rPr>
        <w:t>A kiindulási változók, köztük a komplex citogenetikai rendellenességek AML-</w:t>
      </w:r>
      <w:r>
        <w:rPr>
          <w:rFonts w:ascii="Times New Roman" w:eastAsia="Calibri" w:hAnsi="Times New Roman" w:cs="Times New Roman"/>
        </w:rPr>
        <w:t>lé</w:t>
      </w:r>
      <w:r w:rsidRPr="000B2BE4">
        <w:rPr>
          <w:rFonts w:ascii="Times New Roman" w:eastAsia="Calibri" w:hAnsi="Times New Roman" w:cs="Times New Roman"/>
        </w:rPr>
        <w:t xml:space="preserve"> történő progresszióval</w:t>
      </w:r>
      <w:r>
        <w:rPr>
          <w:rFonts w:ascii="Times New Roman" w:eastAsia="Calibri" w:hAnsi="Times New Roman" w:cs="Times New Roman"/>
        </w:rPr>
        <w:t xml:space="preserve"> </w:t>
      </w:r>
      <w:r w:rsidRPr="000B2BE4">
        <w:rPr>
          <w:rFonts w:ascii="Times New Roman" w:eastAsia="Calibri" w:hAnsi="Times New Roman" w:cs="Times New Roman"/>
        </w:rPr>
        <w:t xml:space="preserve">járnak együtt azoknál a betegeknél, akik transzfúzió-dependensek és </w:t>
      </w:r>
      <w:r w:rsidR="00BD03D8">
        <w:rPr>
          <w:rFonts w:ascii="Times New Roman" w:eastAsia="Calibri" w:hAnsi="Times New Roman" w:cs="Times New Roman"/>
        </w:rPr>
        <w:t>Del</w:t>
      </w:r>
      <w:r w:rsidRPr="000B2BE4">
        <w:rPr>
          <w:rFonts w:ascii="Times New Roman" w:eastAsia="Calibri" w:hAnsi="Times New Roman" w:cs="Times New Roman"/>
        </w:rPr>
        <w:t xml:space="preserve"> (5q) mutációval rendelkeznek.</w:t>
      </w:r>
      <w:r>
        <w:rPr>
          <w:rFonts w:ascii="Times New Roman" w:eastAsia="Calibri" w:hAnsi="Times New Roman" w:cs="Times New Roman"/>
        </w:rPr>
        <w:t xml:space="preserve"> </w:t>
      </w:r>
      <w:r w:rsidRPr="000B2BE4">
        <w:rPr>
          <w:rFonts w:ascii="Times New Roman" w:eastAsia="Calibri" w:hAnsi="Times New Roman" w:cs="Times New Roman"/>
        </w:rPr>
        <w:t>A lenalidomiddal alacsony, illetve közepes-1.</w:t>
      </w:r>
      <w:r>
        <w:rPr>
          <w:rFonts w:ascii="Times New Roman" w:eastAsia="Calibri" w:hAnsi="Times New Roman" w:cs="Times New Roman"/>
        </w:rPr>
        <w:t> </w:t>
      </w:r>
      <w:r w:rsidRPr="000B2BE4">
        <w:rPr>
          <w:rFonts w:ascii="Times New Roman" w:eastAsia="Calibri" w:hAnsi="Times New Roman" w:cs="Times New Roman"/>
        </w:rPr>
        <w:t>kockázatú myelodysplasiás szindrómákban végzett két</w:t>
      </w:r>
      <w:r>
        <w:rPr>
          <w:rFonts w:ascii="Times New Roman" w:eastAsia="Calibri" w:hAnsi="Times New Roman" w:cs="Times New Roman"/>
        </w:rPr>
        <w:t xml:space="preserve"> </w:t>
      </w:r>
      <w:r w:rsidRPr="000B2BE4">
        <w:rPr>
          <w:rFonts w:ascii="Times New Roman" w:eastAsia="Calibri" w:hAnsi="Times New Roman" w:cs="Times New Roman"/>
        </w:rPr>
        <w:t>klinikai vizsgálat összevont elemzése során a komplex citogenetikai rendellenességekkel rendelkező</w:t>
      </w:r>
      <w:r>
        <w:rPr>
          <w:rFonts w:ascii="Times New Roman" w:eastAsia="Calibri" w:hAnsi="Times New Roman" w:cs="Times New Roman"/>
        </w:rPr>
        <w:t xml:space="preserve"> </w:t>
      </w:r>
      <w:r w:rsidRPr="000B2BE4">
        <w:rPr>
          <w:rFonts w:ascii="Times New Roman" w:eastAsia="Calibri" w:hAnsi="Times New Roman" w:cs="Times New Roman"/>
        </w:rPr>
        <w:t>vizsgálati alanyok esetében volt a legmagasabb (38,6%) az AML-</w:t>
      </w:r>
      <w:r>
        <w:rPr>
          <w:rFonts w:ascii="Times New Roman" w:eastAsia="Calibri" w:hAnsi="Times New Roman" w:cs="Times New Roman"/>
        </w:rPr>
        <w:t>lé</w:t>
      </w:r>
      <w:r w:rsidRPr="000B2BE4">
        <w:rPr>
          <w:rFonts w:ascii="Times New Roman" w:eastAsia="Calibri" w:hAnsi="Times New Roman" w:cs="Times New Roman"/>
        </w:rPr>
        <w:t xml:space="preserve"> történő progresszió becsült 2</w:t>
      </w:r>
      <w:r>
        <w:rPr>
          <w:rFonts w:ascii="Times New Roman" w:eastAsia="Calibri" w:hAnsi="Times New Roman" w:cs="Times New Roman"/>
        </w:rPr>
        <w:t> </w:t>
      </w:r>
      <w:r w:rsidRPr="000B2BE4">
        <w:rPr>
          <w:rFonts w:ascii="Times New Roman" w:eastAsia="Calibri" w:hAnsi="Times New Roman" w:cs="Times New Roman"/>
        </w:rPr>
        <w:t>éves</w:t>
      </w:r>
      <w:r>
        <w:rPr>
          <w:rFonts w:ascii="Times New Roman" w:eastAsia="Calibri" w:hAnsi="Times New Roman" w:cs="Times New Roman"/>
        </w:rPr>
        <w:t xml:space="preserve"> </w:t>
      </w:r>
      <w:r w:rsidRPr="000B2BE4">
        <w:rPr>
          <w:rFonts w:ascii="Times New Roman" w:eastAsia="Calibri" w:hAnsi="Times New Roman" w:cs="Times New Roman"/>
        </w:rPr>
        <w:t>kumulatív kockázata (38,6%). Az AML-</w:t>
      </w:r>
      <w:r>
        <w:rPr>
          <w:rFonts w:ascii="Times New Roman" w:eastAsia="Calibri" w:hAnsi="Times New Roman" w:cs="Times New Roman"/>
        </w:rPr>
        <w:t>lé</w:t>
      </w:r>
      <w:r w:rsidRPr="000B2BE4">
        <w:rPr>
          <w:rFonts w:ascii="Times New Roman" w:eastAsia="Calibri" w:hAnsi="Times New Roman" w:cs="Times New Roman"/>
        </w:rPr>
        <w:t xml:space="preserve"> történő progresszió becsült 2</w:t>
      </w:r>
      <w:r>
        <w:rPr>
          <w:rFonts w:ascii="Times New Roman" w:eastAsia="Calibri" w:hAnsi="Times New Roman" w:cs="Times New Roman"/>
        </w:rPr>
        <w:t> </w:t>
      </w:r>
      <w:r w:rsidRPr="000B2BE4">
        <w:rPr>
          <w:rFonts w:ascii="Times New Roman" w:eastAsia="Calibri" w:hAnsi="Times New Roman" w:cs="Times New Roman"/>
        </w:rPr>
        <w:t xml:space="preserve">éves gyakorisága izolált </w:t>
      </w:r>
      <w:r w:rsidR="00BD03D8">
        <w:rPr>
          <w:rFonts w:ascii="Times New Roman" w:eastAsia="Calibri" w:hAnsi="Times New Roman" w:cs="Times New Roman"/>
        </w:rPr>
        <w:t>Del</w:t>
      </w:r>
      <w:r w:rsidRPr="000B2BE4">
        <w:rPr>
          <w:rFonts w:ascii="Times New Roman" w:eastAsia="Calibri" w:hAnsi="Times New Roman" w:cs="Times New Roman"/>
        </w:rPr>
        <w:t xml:space="preserve"> (5q)</w:t>
      </w:r>
      <w:r>
        <w:rPr>
          <w:rFonts w:ascii="Times New Roman" w:eastAsia="Calibri" w:hAnsi="Times New Roman" w:cs="Times New Roman"/>
        </w:rPr>
        <w:t xml:space="preserve"> </w:t>
      </w:r>
      <w:r w:rsidRPr="000B2BE4">
        <w:rPr>
          <w:rFonts w:ascii="Times New Roman" w:eastAsia="Calibri" w:hAnsi="Times New Roman" w:cs="Times New Roman"/>
        </w:rPr>
        <w:t xml:space="preserve">mutációval rendelkező betegek esetében 13,8% volt, szemben a </w:t>
      </w:r>
      <w:r w:rsidR="00BD03D8">
        <w:rPr>
          <w:rFonts w:ascii="Times New Roman" w:eastAsia="Calibri" w:hAnsi="Times New Roman" w:cs="Times New Roman"/>
        </w:rPr>
        <w:t>Del</w:t>
      </w:r>
      <w:r w:rsidRPr="000B2BE4">
        <w:rPr>
          <w:rFonts w:ascii="Times New Roman" w:eastAsia="Calibri" w:hAnsi="Times New Roman" w:cs="Times New Roman"/>
        </w:rPr>
        <w:t xml:space="preserve"> (5q) mutációval és egy további</w:t>
      </w:r>
      <w:r>
        <w:rPr>
          <w:rFonts w:ascii="Times New Roman" w:eastAsia="Calibri" w:hAnsi="Times New Roman" w:cs="Times New Roman"/>
        </w:rPr>
        <w:t xml:space="preserve"> </w:t>
      </w:r>
      <w:r w:rsidRPr="000B2BE4">
        <w:rPr>
          <w:rFonts w:ascii="Times New Roman" w:eastAsia="Calibri" w:hAnsi="Times New Roman" w:cs="Times New Roman"/>
        </w:rPr>
        <w:t>citogenetikai rendellenességgel rendelkező betegek 17,3%-os gyakoriságával.</w:t>
      </w:r>
    </w:p>
    <w:p w14:paraId="6196F3A3" w14:textId="13846852" w:rsidR="000B2BE4" w:rsidRDefault="000B2BE4" w:rsidP="000B2BE4">
      <w:pPr>
        <w:spacing w:after="0" w:line="240" w:lineRule="auto"/>
        <w:rPr>
          <w:rFonts w:ascii="Times New Roman" w:eastAsia="Calibri" w:hAnsi="Times New Roman" w:cs="Times New Roman"/>
        </w:rPr>
      </w:pPr>
      <w:r w:rsidRPr="000B2BE4">
        <w:rPr>
          <w:rFonts w:ascii="Times New Roman" w:eastAsia="Calibri" w:hAnsi="Times New Roman" w:cs="Times New Roman"/>
        </w:rPr>
        <w:t xml:space="preserve">Következésképp a lenalidomid előny/kockázat aránya </w:t>
      </w:r>
      <w:r w:rsidR="00BD03D8">
        <w:rPr>
          <w:rFonts w:ascii="Times New Roman" w:eastAsia="Calibri" w:hAnsi="Times New Roman" w:cs="Times New Roman"/>
        </w:rPr>
        <w:t>Del</w:t>
      </w:r>
      <w:r w:rsidRPr="000B2BE4">
        <w:rPr>
          <w:rFonts w:ascii="Times New Roman" w:eastAsia="Calibri" w:hAnsi="Times New Roman" w:cs="Times New Roman"/>
        </w:rPr>
        <w:t xml:space="preserve"> (5q) mutációval és komplex citogenetikai</w:t>
      </w:r>
      <w:r>
        <w:rPr>
          <w:rFonts w:ascii="Times New Roman" w:eastAsia="Calibri" w:hAnsi="Times New Roman" w:cs="Times New Roman"/>
        </w:rPr>
        <w:t xml:space="preserve"> </w:t>
      </w:r>
      <w:r w:rsidRPr="000B2BE4">
        <w:rPr>
          <w:rFonts w:ascii="Times New Roman" w:eastAsia="Calibri" w:hAnsi="Times New Roman" w:cs="Times New Roman"/>
        </w:rPr>
        <w:t>rendellenességekkel járó MDS esetén nem ismert.</w:t>
      </w:r>
    </w:p>
    <w:p w14:paraId="751CD09A" w14:textId="77777777" w:rsidR="000B2BE4" w:rsidRPr="000B2BE4" w:rsidRDefault="000B2BE4" w:rsidP="000B2BE4">
      <w:pPr>
        <w:spacing w:after="0" w:line="240" w:lineRule="auto"/>
        <w:rPr>
          <w:rFonts w:ascii="Times New Roman" w:eastAsia="Calibri" w:hAnsi="Times New Roman" w:cs="Times New Roman"/>
        </w:rPr>
      </w:pPr>
    </w:p>
    <w:p w14:paraId="770DAD25" w14:textId="77777777" w:rsidR="000B2BE4" w:rsidRPr="00934095" w:rsidRDefault="000B2BE4" w:rsidP="00934095">
      <w:pPr>
        <w:keepNext/>
        <w:numPr>
          <w:ilvl w:val="0"/>
          <w:numId w:val="14"/>
        </w:numPr>
        <w:tabs>
          <w:tab w:val="left" w:pos="567"/>
        </w:tabs>
        <w:spacing w:after="0" w:line="240" w:lineRule="auto"/>
        <w:ind w:hanging="720"/>
        <w:rPr>
          <w:rFonts w:ascii="Times New Roman" w:eastAsia="Calibri" w:hAnsi="Times New Roman" w:cs="Times New Roman"/>
          <w:u w:val="single"/>
        </w:rPr>
      </w:pPr>
      <w:r w:rsidRPr="00934095">
        <w:rPr>
          <w:rFonts w:ascii="Times New Roman" w:eastAsia="Calibri" w:hAnsi="Times New Roman" w:cs="Times New Roman"/>
          <w:u w:val="single"/>
        </w:rPr>
        <w:t>TP53-státusz</w:t>
      </w:r>
    </w:p>
    <w:p w14:paraId="6AED3E44" w14:textId="65C66A8E" w:rsidR="000B2BE4" w:rsidRDefault="000B2BE4" w:rsidP="000B2BE4">
      <w:pPr>
        <w:spacing w:after="0" w:line="240" w:lineRule="auto"/>
        <w:rPr>
          <w:rFonts w:ascii="Times New Roman" w:eastAsia="Calibri" w:hAnsi="Times New Roman" w:cs="Times New Roman"/>
        </w:rPr>
      </w:pPr>
      <w:r w:rsidRPr="000B2BE4">
        <w:rPr>
          <w:rFonts w:ascii="Times New Roman" w:eastAsia="Calibri" w:hAnsi="Times New Roman" w:cs="Times New Roman"/>
        </w:rPr>
        <w:t xml:space="preserve">TP53-mutáció a </w:t>
      </w:r>
      <w:r w:rsidR="00BD03D8">
        <w:rPr>
          <w:rFonts w:ascii="Times New Roman" w:eastAsia="Calibri" w:hAnsi="Times New Roman" w:cs="Times New Roman"/>
        </w:rPr>
        <w:t xml:space="preserve">Del </w:t>
      </w:r>
      <w:r w:rsidRPr="000B2BE4">
        <w:rPr>
          <w:rFonts w:ascii="Times New Roman" w:eastAsia="Calibri" w:hAnsi="Times New Roman" w:cs="Times New Roman"/>
        </w:rPr>
        <w:t>5q</w:t>
      </w:r>
      <w:r w:rsidR="00ED13B9">
        <w:rPr>
          <w:rFonts w:ascii="Times New Roman" w:eastAsia="Calibri" w:hAnsi="Times New Roman" w:cs="Times New Roman"/>
        </w:rPr>
        <w:t xml:space="preserve"> </w:t>
      </w:r>
      <w:r w:rsidRPr="000B2BE4">
        <w:rPr>
          <w:rFonts w:ascii="Times New Roman" w:eastAsia="Calibri" w:hAnsi="Times New Roman" w:cs="Times New Roman"/>
        </w:rPr>
        <w:t>típusú mutációval rendelkező, alacsonyabb kockázatú MDS-ben szenvedő</w:t>
      </w:r>
      <w:r>
        <w:rPr>
          <w:rFonts w:ascii="Times New Roman" w:eastAsia="Calibri" w:hAnsi="Times New Roman" w:cs="Times New Roman"/>
        </w:rPr>
        <w:t xml:space="preserve"> </w:t>
      </w:r>
      <w:r w:rsidRPr="000B2BE4">
        <w:rPr>
          <w:rFonts w:ascii="Times New Roman" w:eastAsia="Calibri" w:hAnsi="Times New Roman" w:cs="Times New Roman"/>
        </w:rPr>
        <w:t>betegek 20</w:t>
      </w:r>
      <w:r>
        <w:rPr>
          <w:rFonts w:ascii="Times New Roman" w:eastAsia="Calibri" w:hAnsi="Times New Roman" w:cs="Times New Roman"/>
        </w:rPr>
        <w:t>–</w:t>
      </w:r>
      <w:r w:rsidRPr="000B2BE4">
        <w:rPr>
          <w:rFonts w:ascii="Times New Roman" w:eastAsia="Calibri" w:hAnsi="Times New Roman" w:cs="Times New Roman"/>
        </w:rPr>
        <w:t>25%-ánál található meg, és az akut myeloid leukemiává (AML) történő progresszió fokozott</w:t>
      </w:r>
      <w:r>
        <w:rPr>
          <w:rFonts w:ascii="Times New Roman" w:eastAsia="Calibri" w:hAnsi="Times New Roman" w:cs="Times New Roman"/>
        </w:rPr>
        <w:t xml:space="preserve"> </w:t>
      </w:r>
      <w:r w:rsidRPr="000B2BE4">
        <w:rPr>
          <w:rFonts w:ascii="Times New Roman" w:eastAsia="Calibri" w:hAnsi="Times New Roman" w:cs="Times New Roman"/>
        </w:rPr>
        <w:t>kockázatával jár. A lenalidomiddal alacsony vagy közepes-1.</w:t>
      </w:r>
      <w:r>
        <w:rPr>
          <w:rFonts w:ascii="Times New Roman" w:eastAsia="Calibri" w:hAnsi="Times New Roman" w:cs="Times New Roman"/>
        </w:rPr>
        <w:t> </w:t>
      </w:r>
      <w:r w:rsidRPr="000B2BE4">
        <w:rPr>
          <w:rFonts w:ascii="Times New Roman" w:eastAsia="Calibri" w:hAnsi="Times New Roman" w:cs="Times New Roman"/>
        </w:rPr>
        <w:t>kockázatú myelodysplasiás szindrómákban</w:t>
      </w:r>
      <w:r>
        <w:rPr>
          <w:rFonts w:ascii="Times New Roman" w:eastAsia="Calibri" w:hAnsi="Times New Roman" w:cs="Times New Roman"/>
        </w:rPr>
        <w:t xml:space="preserve"> </w:t>
      </w:r>
      <w:r w:rsidRPr="000B2BE4">
        <w:rPr>
          <w:rFonts w:ascii="Times New Roman" w:eastAsia="Calibri" w:hAnsi="Times New Roman" w:cs="Times New Roman"/>
        </w:rPr>
        <w:t xml:space="preserve">végzett klinikai vizsgálat (MDS-004) </w:t>
      </w:r>
      <w:r w:rsidRPr="00934095">
        <w:rPr>
          <w:rFonts w:ascii="Times New Roman" w:eastAsia="Calibri" w:hAnsi="Times New Roman" w:cs="Times New Roman"/>
          <w:i/>
          <w:iCs/>
        </w:rPr>
        <w:t>post-hoc</w:t>
      </w:r>
      <w:r w:rsidRPr="000B2BE4">
        <w:rPr>
          <w:rFonts w:ascii="Times New Roman" w:eastAsia="Calibri" w:hAnsi="Times New Roman" w:cs="Times New Roman"/>
        </w:rPr>
        <w:t xml:space="preserve"> elemzése során az AML-</w:t>
      </w:r>
      <w:r>
        <w:rPr>
          <w:rFonts w:ascii="Times New Roman" w:eastAsia="Calibri" w:hAnsi="Times New Roman" w:cs="Times New Roman"/>
        </w:rPr>
        <w:t>lé</w:t>
      </w:r>
      <w:r w:rsidRPr="000B2BE4">
        <w:rPr>
          <w:rFonts w:ascii="Times New Roman" w:eastAsia="Calibri" w:hAnsi="Times New Roman" w:cs="Times New Roman"/>
        </w:rPr>
        <w:t xml:space="preserve"> történő progresszió becsült</w:t>
      </w:r>
      <w:r>
        <w:rPr>
          <w:rFonts w:ascii="Times New Roman" w:eastAsia="Calibri" w:hAnsi="Times New Roman" w:cs="Times New Roman"/>
        </w:rPr>
        <w:t xml:space="preserve"> </w:t>
      </w:r>
      <w:r w:rsidRPr="000B2BE4">
        <w:rPr>
          <w:rFonts w:ascii="Times New Roman" w:eastAsia="Calibri" w:hAnsi="Times New Roman" w:cs="Times New Roman"/>
        </w:rPr>
        <w:t>2</w:t>
      </w:r>
      <w:r>
        <w:rPr>
          <w:rFonts w:ascii="Times New Roman" w:eastAsia="Calibri" w:hAnsi="Times New Roman" w:cs="Times New Roman"/>
        </w:rPr>
        <w:t> </w:t>
      </w:r>
      <w:r w:rsidRPr="000B2BE4">
        <w:rPr>
          <w:rFonts w:ascii="Times New Roman" w:eastAsia="Calibri" w:hAnsi="Times New Roman" w:cs="Times New Roman"/>
        </w:rPr>
        <w:t>éves gyakorisága 27,5% volt az IHC-p53</w:t>
      </w:r>
      <w:r>
        <w:rPr>
          <w:rFonts w:ascii="Times New Roman" w:eastAsia="Calibri" w:hAnsi="Times New Roman" w:cs="Times New Roman"/>
        </w:rPr>
        <w:t>-</w:t>
      </w:r>
      <w:r w:rsidRPr="000B2BE4">
        <w:rPr>
          <w:rFonts w:ascii="Times New Roman" w:eastAsia="Calibri" w:hAnsi="Times New Roman" w:cs="Times New Roman"/>
        </w:rPr>
        <w:t>pozitív (a TP53-mutációs státusz helyettesítő paramétereként</w:t>
      </w:r>
      <w:r>
        <w:rPr>
          <w:rFonts w:ascii="Times New Roman" w:eastAsia="Calibri" w:hAnsi="Times New Roman" w:cs="Times New Roman"/>
        </w:rPr>
        <w:t xml:space="preserve"> </w:t>
      </w:r>
      <w:r w:rsidRPr="000B2BE4">
        <w:rPr>
          <w:rFonts w:ascii="Times New Roman" w:eastAsia="Calibri" w:hAnsi="Times New Roman" w:cs="Times New Roman"/>
        </w:rPr>
        <w:t>a p53-protein immunhisztokémiai meghatározásával az erős nuclearis festődés 1%-os határértéke) és</w:t>
      </w:r>
      <w:r>
        <w:rPr>
          <w:rFonts w:ascii="Times New Roman" w:eastAsia="Calibri" w:hAnsi="Times New Roman" w:cs="Times New Roman"/>
        </w:rPr>
        <w:t xml:space="preserve"> </w:t>
      </w:r>
      <w:r w:rsidRPr="000B2BE4">
        <w:rPr>
          <w:rFonts w:ascii="Times New Roman" w:eastAsia="Calibri" w:hAnsi="Times New Roman" w:cs="Times New Roman"/>
        </w:rPr>
        <w:t>3,6% az IHC-p53</w:t>
      </w:r>
      <w:r>
        <w:rPr>
          <w:rFonts w:ascii="Times New Roman" w:eastAsia="Calibri" w:hAnsi="Times New Roman" w:cs="Times New Roman"/>
        </w:rPr>
        <w:t>-</w:t>
      </w:r>
      <w:r w:rsidRPr="000B2BE4">
        <w:rPr>
          <w:rFonts w:ascii="Times New Roman" w:eastAsia="Calibri" w:hAnsi="Times New Roman" w:cs="Times New Roman"/>
        </w:rPr>
        <w:t>negatív betegeknél (p</w:t>
      </w:r>
      <w:r>
        <w:rPr>
          <w:rFonts w:ascii="Times New Roman" w:eastAsia="Calibri" w:hAnsi="Times New Roman" w:cs="Times New Roman"/>
        </w:rPr>
        <w:t> </w:t>
      </w:r>
      <w:r w:rsidRPr="000B2BE4">
        <w:rPr>
          <w:rFonts w:ascii="Times New Roman" w:eastAsia="Calibri" w:hAnsi="Times New Roman" w:cs="Times New Roman"/>
        </w:rPr>
        <w:t>=</w:t>
      </w:r>
      <w:r>
        <w:rPr>
          <w:rFonts w:ascii="Times New Roman" w:eastAsia="Calibri" w:hAnsi="Times New Roman" w:cs="Times New Roman"/>
        </w:rPr>
        <w:t> </w:t>
      </w:r>
      <w:r w:rsidRPr="000B2BE4">
        <w:rPr>
          <w:rFonts w:ascii="Times New Roman" w:eastAsia="Calibri" w:hAnsi="Times New Roman" w:cs="Times New Roman"/>
        </w:rPr>
        <w:t>0,0038) (lásd 4.8</w:t>
      </w:r>
      <w:r>
        <w:rPr>
          <w:rFonts w:ascii="Times New Roman" w:eastAsia="Calibri" w:hAnsi="Times New Roman" w:cs="Times New Roman"/>
        </w:rPr>
        <w:t> </w:t>
      </w:r>
      <w:r w:rsidRPr="000B2BE4">
        <w:rPr>
          <w:rFonts w:ascii="Times New Roman" w:eastAsia="Calibri" w:hAnsi="Times New Roman" w:cs="Times New Roman"/>
        </w:rPr>
        <w:t>pont)</w:t>
      </w:r>
      <w:r>
        <w:rPr>
          <w:rFonts w:ascii="Times New Roman" w:eastAsia="Calibri" w:hAnsi="Times New Roman" w:cs="Times New Roman"/>
        </w:rPr>
        <w:t>.</w:t>
      </w:r>
    </w:p>
    <w:p w14:paraId="5C62463C" w14:textId="1F1E3810" w:rsidR="000B2BE4" w:rsidRDefault="000B2BE4" w:rsidP="000B2BE4">
      <w:pPr>
        <w:spacing w:after="0" w:line="240" w:lineRule="auto"/>
        <w:rPr>
          <w:rFonts w:ascii="Times New Roman" w:eastAsia="Calibri" w:hAnsi="Times New Roman" w:cs="Times New Roman"/>
        </w:rPr>
      </w:pPr>
    </w:p>
    <w:p w14:paraId="655982F8" w14:textId="548775E4" w:rsidR="000B2BE4" w:rsidRPr="00934095" w:rsidRDefault="000B2BE4" w:rsidP="000B2BE4">
      <w:pPr>
        <w:spacing w:after="0" w:line="240" w:lineRule="auto"/>
        <w:rPr>
          <w:rFonts w:ascii="Times New Roman" w:eastAsia="Calibri" w:hAnsi="Times New Roman" w:cs="Times New Roman"/>
          <w:i/>
          <w:iCs/>
          <w:u w:val="single"/>
        </w:rPr>
      </w:pPr>
      <w:r w:rsidRPr="00934095">
        <w:rPr>
          <w:rFonts w:ascii="Times New Roman" w:eastAsia="Calibri" w:hAnsi="Times New Roman" w:cs="Times New Roman"/>
          <w:i/>
          <w:iCs/>
          <w:u w:val="single"/>
        </w:rPr>
        <w:t>Más malignus betegség kialakulásával járó progresszió köpenysejtes lymphomában</w:t>
      </w:r>
    </w:p>
    <w:p w14:paraId="6BC29C4B" w14:textId="1C455835" w:rsidR="000B2BE4" w:rsidRDefault="000B2BE4" w:rsidP="000B2BE4">
      <w:pPr>
        <w:spacing w:after="0" w:line="240" w:lineRule="auto"/>
        <w:rPr>
          <w:rFonts w:ascii="Times New Roman" w:eastAsia="Calibri" w:hAnsi="Times New Roman" w:cs="Times New Roman"/>
        </w:rPr>
      </w:pPr>
      <w:r w:rsidRPr="000B2BE4">
        <w:rPr>
          <w:rFonts w:ascii="Times New Roman" w:eastAsia="Calibri" w:hAnsi="Times New Roman" w:cs="Times New Roman"/>
        </w:rPr>
        <w:t>Köpenysejtes lymphomában az AML, a B-sejtes malignus betegségek, valamint a nem melanoma</w:t>
      </w:r>
      <w:r>
        <w:rPr>
          <w:rFonts w:ascii="Times New Roman" w:eastAsia="Calibri" w:hAnsi="Times New Roman" w:cs="Times New Roman"/>
        </w:rPr>
        <w:t xml:space="preserve"> </w:t>
      </w:r>
      <w:r w:rsidRPr="000B2BE4">
        <w:rPr>
          <w:rFonts w:ascii="Times New Roman" w:eastAsia="Calibri" w:hAnsi="Times New Roman" w:cs="Times New Roman"/>
        </w:rPr>
        <w:t>típusú bőrrák (non-melanoma skin cancer, NMSC) kialakulás</w:t>
      </w:r>
      <w:r w:rsidR="005B0C3D">
        <w:rPr>
          <w:rFonts w:ascii="Times New Roman" w:eastAsia="Calibri" w:hAnsi="Times New Roman" w:cs="Times New Roman"/>
        </w:rPr>
        <w:t>a</w:t>
      </w:r>
      <w:r w:rsidRPr="000B2BE4">
        <w:rPr>
          <w:rFonts w:ascii="Times New Roman" w:eastAsia="Calibri" w:hAnsi="Times New Roman" w:cs="Times New Roman"/>
        </w:rPr>
        <w:t xml:space="preserve"> </w:t>
      </w:r>
      <w:r w:rsidR="005B0C3D">
        <w:rPr>
          <w:rFonts w:ascii="Times New Roman" w:eastAsia="Calibri" w:hAnsi="Times New Roman" w:cs="Times New Roman"/>
        </w:rPr>
        <w:t xml:space="preserve">azonosított </w:t>
      </w:r>
      <w:r w:rsidRPr="000B2BE4">
        <w:rPr>
          <w:rFonts w:ascii="Times New Roman" w:eastAsia="Calibri" w:hAnsi="Times New Roman" w:cs="Times New Roman"/>
        </w:rPr>
        <w:t>kockázat</w:t>
      </w:r>
      <w:r w:rsidR="005B0C3D">
        <w:rPr>
          <w:rFonts w:ascii="Times New Roman" w:eastAsia="Calibri" w:hAnsi="Times New Roman" w:cs="Times New Roman"/>
        </w:rPr>
        <w:t>ok</w:t>
      </w:r>
      <w:r w:rsidRPr="000B2BE4">
        <w:rPr>
          <w:rFonts w:ascii="Times New Roman" w:eastAsia="Calibri" w:hAnsi="Times New Roman" w:cs="Times New Roman"/>
        </w:rPr>
        <w:t>.</w:t>
      </w:r>
    </w:p>
    <w:p w14:paraId="5D916684" w14:textId="77777777" w:rsidR="000B2BE4" w:rsidRDefault="000B2BE4" w:rsidP="000B2BE4">
      <w:pPr>
        <w:spacing w:after="0" w:line="240" w:lineRule="auto"/>
        <w:rPr>
          <w:rFonts w:ascii="Times New Roman" w:eastAsia="Calibri" w:hAnsi="Times New Roman" w:cs="Times New Roman"/>
        </w:rPr>
      </w:pPr>
    </w:p>
    <w:p w14:paraId="44682FA2" w14:textId="77777777" w:rsidR="00745949" w:rsidRPr="00E83289" w:rsidRDefault="00745949" w:rsidP="007E5A32">
      <w:pPr>
        <w:keepNext/>
        <w:spacing w:after="0" w:line="240" w:lineRule="auto"/>
        <w:rPr>
          <w:rFonts w:ascii="Times New Roman" w:eastAsia="Calibri" w:hAnsi="Times New Roman" w:cs="Times New Roman"/>
          <w:i/>
          <w:iCs/>
          <w:u w:val="single"/>
        </w:rPr>
      </w:pPr>
      <w:r w:rsidRPr="00E83289">
        <w:rPr>
          <w:rFonts w:ascii="Times New Roman" w:eastAsia="Calibri" w:hAnsi="Times New Roman" w:cs="Times New Roman"/>
          <w:i/>
          <w:iCs/>
          <w:u w:val="single"/>
        </w:rPr>
        <w:t>Második primer malignitás follicularis lymphomában</w:t>
      </w:r>
    </w:p>
    <w:p w14:paraId="59036A56" w14:textId="55E2407F" w:rsidR="00745949" w:rsidRDefault="00745949" w:rsidP="00745949">
      <w:pPr>
        <w:spacing w:after="0" w:line="240" w:lineRule="auto"/>
        <w:rPr>
          <w:rFonts w:ascii="Times New Roman" w:eastAsia="Calibri" w:hAnsi="Times New Roman" w:cs="Times New Roman"/>
        </w:rPr>
      </w:pPr>
      <w:r w:rsidRPr="00745949">
        <w:rPr>
          <w:rFonts w:ascii="Times New Roman" w:eastAsia="Calibri" w:hAnsi="Times New Roman" w:cs="Times New Roman"/>
        </w:rPr>
        <w:t>Follicularis lymphomában szenvedő betegek részvételével végzett relapszáló/refrakter iNHL klinikai</w:t>
      </w:r>
      <w:r>
        <w:rPr>
          <w:rFonts w:ascii="Times New Roman" w:eastAsia="Calibri" w:hAnsi="Times New Roman" w:cs="Times New Roman"/>
        </w:rPr>
        <w:t xml:space="preserve"> </w:t>
      </w:r>
      <w:r w:rsidRPr="00745949">
        <w:rPr>
          <w:rFonts w:ascii="Times New Roman" w:eastAsia="Calibri" w:hAnsi="Times New Roman" w:cs="Times New Roman"/>
        </w:rPr>
        <w:t>vizsgálatban nem volt megfigyelhető a második primer malignitások (SPM) fokozott kockázata a</w:t>
      </w:r>
      <w:r>
        <w:rPr>
          <w:rFonts w:ascii="Times New Roman" w:eastAsia="Calibri" w:hAnsi="Times New Roman" w:cs="Times New Roman"/>
        </w:rPr>
        <w:t xml:space="preserve"> </w:t>
      </w:r>
      <w:r w:rsidRPr="00745949">
        <w:rPr>
          <w:rFonts w:ascii="Times New Roman" w:eastAsia="Calibri" w:hAnsi="Times New Roman" w:cs="Times New Roman"/>
        </w:rPr>
        <w:t>lenalidomid/rituximab</w:t>
      </w:r>
      <w:r w:rsidR="00795B36">
        <w:rPr>
          <w:rFonts w:ascii="Times New Roman" w:eastAsia="Calibri" w:hAnsi="Times New Roman" w:cs="Times New Roman"/>
        </w:rPr>
        <w:t>-</w:t>
      </w:r>
      <w:r w:rsidRPr="00745949">
        <w:rPr>
          <w:rFonts w:ascii="Times New Roman" w:eastAsia="Calibri" w:hAnsi="Times New Roman" w:cs="Times New Roman"/>
        </w:rPr>
        <w:t>karon a placebo/rituximab</w:t>
      </w:r>
      <w:r w:rsidR="00795B36">
        <w:rPr>
          <w:rFonts w:ascii="Times New Roman" w:eastAsia="Calibri" w:hAnsi="Times New Roman" w:cs="Times New Roman"/>
        </w:rPr>
        <w:t>-</w:t>
      </w:r>
      <w:r w:rsidRPr="00745949">
        <w:rPr>
          <w:rFonts w:ascii="Times New Roman" w:eastAsia="Calibri" w:hAnsi="Times New Roman" w:cs="Times New Roman"/>
        </w:rPr>
        <w:t>karral összehasonlítva. AML-ben a hematológiai</w:t>
      </w:r>
      <w:r>
        <w:rPr>
          <w:rFonts w:ascii="Times New Roman" w:eastAsia="Calibri" w:hAnsi="Times New Roman" w:cs="Times New Roman"/>
        </w:rPr>
        <w:t xml:space="preserve"> </w:t>
      </w:r>
      <w:r w:rsidRPr="00745949">
        <w:rPr>
          <w:rFonts w:ascii="Times New Roman" w:eastAsia="Calibri" w:hAnsi="Times New Roman" w:cs="Times New Roman"/>
        </w:rPr>
        <w:t>SPM gyakorisága a lenalidomid/rituximab</w:t>
      </w:r>
      <w:r w:rsidR="00792496">
        <w:rPr>
          <w:rFonts w:ascii="Times New Roman" w:eastAsia="Calibri" w:hAnsi="Times New Roman" w:cs="Times New Roman"/>
        </w:rPr>
        <w:t>-</w:t>
      </w:r>
      <w:r w:rsidRPr="00745949">
        <w:rPr>
          <w:rFonts w:ascii="Times New Roman" w:eastAsia="Calibri" w:hAnsi="Times New Roman" w:cs="Times New Roman"/>
        </w:rPr>
        <w:t>karon 0,29/100</w:t>
      </w:r>
      <w:r>
        <w:rPr>
          <w:rFonts w:ascii="Times New Roman" w:eastAsia="Calibri" w:hAnsi="Times New Roman" w:cs="Times New Roman"/>
        </w:rPr>
        <w:t> </w:t>
      </w:r>
      <w:r w:rsidRPr="00745949">
        <w:rPr>
          <w:rFonts w:ascii="Times New Roman" w:eastAsia="Calibri" w:hAnsi="Times New Roman" w:cs="Times New Roman"/>
        </w:rPr>
        <w:t>személyév volt, összehasonlítva a</w:t>
      </w:r>
      <w:r>
        <w:rPr>
          <w:rFonts w:ascii="Times New Roman" w:eastAsia="Calibri" w:hAnsi="Times New Roman" w:cs="Times New Roman"/>
        </w:rPr>
        <w:t xml:space="preserve"> </w:t>
      </w:r>
      <w:r w:rsidRPr="00745949">
        <w:rPr>
          <w:rFonts w:ascii="Times New Roman" w:eastAsia="Calibri" w:hAnsi="Times New Roman" w:cs="Times New Roman"/>
        </w:rPr>
        <w:t>placebo/rituximab kezelést kapó betegeknél észlelt 0,29/100</w:t>
      </w:r>
      <w:r>
        <w:rPr>
          <w:rFonts w:ascii="Times New Roman" w:eastAsia="Calibri" w:hAnsi="Times New Roman" w:cs="Times New Roman"/>
        </w:rPr>
        <w:t> </w:t>
      </w:r>
      <w:r w:rsidRPr="00745949">
        <w:rPr>
          <w:rFonts w:ascii="Times New Roman" w:eastAsia="Calibri" w:hAnsi="Times New Roman" w:cs="Times New Roman"/>
        </w:rPr>
        <w:t>személyévvel. A hematológiai és szolid</w:t>
      </w:r>
      <w:r>
        <w:rPr>
          <w:rFonts w:ascii="Times New Roman" w:eastAsia="Calibri" w:hAnsi="Times New Roman" w:cs="Times New Roman"/>
        </w:rPr>
        <w:t xml:space="preserve"> </w:t>
      </w:r>
      <w:r w:rsidRPr="00745949">
        <w:rPr>
          <w:rFonts w:ascii="Times New Roman" w:eastAsia="Calibri" w:hAnsi="Times New Roman" w:cs="Times New Roman"/>
        </w:rPr>
        <w:t>tumor SPM-ek gyakorisága (a nem-melanoma bőrrákok kivételével) 0,87/100</w:t>
      </w:r>
      <w:r>
        <w:rPr>
          <w:rFonts w:ascii="Times New Roman" w:eastAsia="Calibri" w:hAnsi="Times New Roman" w:cs="Times New Roman"/>
        </w:rPr>
        <w:t> </w:t>
      </w:r>
      <w:r w:rsidRPr="00745949">
        <w:rPr>
          <w:rFonts w:ascii="Times New Roman" w:eastAsia="Calibri" w:hAnsi="Times New Roman" w:cs="Times New Roman"/>
        </w:rPr>
        <w:t>személyév volt a</w:t>
      </w:r>
      <w:r>
        <w:rPr>
          <w:rFonts w:ascii="Times New Roman" w:eastAsia="Calibri" w:hAnsi="Times New Roman" w:cs="Times New Roman"/>
        </w:rPr>
        <w:t xml:space="preserve"> </w:t>
      </w:r>
      <w:r w:rsidRPr="00745949">
        <w:rPr>
          <w:rFonts w:ascii="Times New Roman" w:eastAsia="Calibri" w:hAnsi="Times New Roman" w:cs="Times New Roman"/>
        </w:rPr>
        <w:t>lenalidomid/rituximab</w:t>
      </w:r>
      <w:r w:rsidR="00792496">
        <w:rPr>
          <w:rFonts w:ascii="Times New Roman" w:eastAsia="Calibri" w:hAnsi="Times New Roman" w:cs="Times New Roman"/>
        </w:rPr>
        <w:t>-</w:t>
      </w:r>
      <w:r w:rsidRPr="00745949">
        <w:rPr>
          <w:rFonts w:ascii="Times New Roman" w:eastAsia="Calibri" w:hAnsi="Times New Roman" w:cs="Times New Roman"/>
        </w:rPr>
        <w:t>karon, összehasonlítva a placebo/rituximab kezelést kapó betegeknél észlelt</w:t>
      </w:r>
      <w:r>
        <w:rPr>
          <w:rFonts w:ascii="Times New Roman" w:eastAsia="Calibri" w:hAnsi="Times New Roman" w:cs="Times New Roman"/>
        </w:rPr>
        <w:t xml:space="preserve"> </w:t>
      </w:r>
      <w:r w:rsidRPr="00745949">
        <w:rPr>
          <w:rFonts w:ascii="Times New Roman" w:eastAsia="Calibri" w:hAnsi="Times New Roman" w:cs="Times New Roman"/>
        </w:rPr>
        <w:t>1,17/100</w:t>
      </w:r>
      <w:r>
        <w:rPr>
          <w:rFonts w:ascii="Times New Roman" w:eastAsia="Calibri" w:hAnsi="Times New Roman" w:cs="Times New Roman"/>
        </w:rPr>
        <w:t> </w:t>
      </w:r>
      <w:r w:rsidRPr="00745949">
        <w:rPr>
          <w:rFonts w:ascii="Times New Roman" w:eastAsia="Calibri" w:hAnsi="Times New Roman" w:cs="Times New Roman"/>
        </w:rPr>
        <w:t>személyévvel, a 30,59</w:t>
      </w:r>
      <w:r>
        <w:rPr>
          <w:rFonts w:ascii="Times New Roman" w:eastAsia="Calibri" w:hAnsi="Times New Roman" w:cs="Times New Roman"/>
        </w:rPr>
        <w:t> </w:t>
      </w:r>
      <w:r w:rsidRPr="00745949">
        <w:rPr>
          <w:rFonts w:ascii="Times New Roman" w:eastAsia="Calibri" w:hAnsi="Times New Roman" w:cs="Times New Roman"/>
        </w:rPr>
        <w:t>hónapos (tartomány: 0,6</w:t>
      </w:r>
      <w:r>
        <w:rPr>
          <w:rFonts w:ascii="Times New Roman" w:eastAsia="Calibri" w:hAnsi="Times New Roman" w:cs="Times New Roman"/>
        </w:rPr>
        <w:t>–</w:t>
      </w:r>
      <w:r w:rsidRPr="00745949">
        <w:rPr>
          <w:rFonts w:ascii="Times New Roman" w:eastAsia="Calibri" w:hAnsi="Times New Roman" w:cs="Times New Roman"/>
        </w:rPr>
        <w:t>50,9</w:t>
      </w:r>
      <w:r>
        <w:rPr>
          <w:rFonts w:ascii="Times New Roman" w:eastAsia="Calibri" w:hAnsi="Times New Roman" w:cs="Times New Roman"/>
        </w:rPr>
        <w:t> </w:t>
      </w:r>
      <w:r w:rsidRPr="00745949">
        <w:rPr>
          <w:rFonts w:ascii="Times New Roman" w:eastAsia="Calibri" w:hAnsi="Times New Roman" w:cs="Times New Roman"/>
        </w:rPr>
        <w:t>hónap) medián utánkövetési időtartam</w:t>
      </w:r>
      <w:r>
        <w:rPr>
          <w:rFonts w:ascii="Times New Roman" w:eastAsia="Calibri" w:hAnsi="Times New Roman" w:cs="Times New Roman"/>
        </w:rPr>
        <w:t xml:space="preserve"> </w:t>
      </w:r>
      <w:r w:rsidRPr="00745949">
        <w:rPr>
          <w:rFonts w:ascii="Times New Roman" w:eastAsia="Calibri" w:hAnsi="Times New Roman" w:cs="Times New Roman"/>
        </w:rPr>
        <w:t>mellett.</w:t>
      </w:r>
    </w:p>
    <w:p w14:paraId="2F8EDC85" w14:textId="77777777" w:rsidR="00745949" w:rsidRPr="00745949" w:rsidRDefault="00745949" w:rsidP="00745949">
      <w:pPr>
        <w:spacing w:after="0" w:line="240" w:lineRule="auto"/>
        <w:rPr>
          <w:rFonts w:ascii="Times New Roman" w:eastAsia="Calibri" w:hAnsi="Times New Roman" w:cs="Times New Roman"/>
        </w:rPr>
      </w:pPr>
    </w:p>
    <w:p w14:paraId="45003372" w14:textId="72D8E441" w:rsidR="00745949" w:rsidRDefault="00745949" w:rsidP="00745949">
      <w:pPr>
        <w:spacing w:after="0" w:line="240" w:lineRule="auto"/>
        <w:rPr>
          <w:rFonts w:ascii="Times New Roman" w:eastAsia="Calibri" w:hAnsi="Times New Roman" w:cs="Times New Roman"/>
        </w:rPr>
      </w:pPr>
      <w:r w:rsidRPr="00745949">
        <w:rPr>
          <w:rFonts w:ascii="Times New Roman" w:eastAsia="Calibri" w:hAnsi="Times New Roman" w:cs="Times New Roman"/>
        </w:rPr>
        <w:t>A nem melanoma típusú bőrrákok (laphámsejtes vagy ba</w:t>
      </w:r>
      <w:r w:rsidR="00761422">
        <w:rPr>
          <w:rFonts w:ascii="Times New Roman" w:eastAsia="Calibri" w:hAnsi="Times New Roman" w:cs="Times New Roman"/>
        </w:rPr>
        <w:t>zá</w:t>
      </w:r>
      <w:r w:rsidRPr="00745949">
        <w:rPr>
          <w:rFonts w:ascii="Times New Roman" w:eastAsia="Calibri" w:hAnsi="Times New Roman" w:cs="Times New Roman"/>
        </w:rPr>
        <w:t>lsejtes bőrrákok) felismert kockázatot</w:t>
      </w:r>
      <w:r>
        <w:rPr>
          <w:rFonts w:ascii="Times New Roman" w:eastAsia="Calibri" w:hAnsi="Times New Roman" w:cs="Times New Roman"/>
        </w:rPr>
        <w:t xml:space="preserve"> </w:t>
      </w:r>
      <w:r w:rsidRPr="00745949">
        <w:rPr>
          <w:rFonts w:ascii="Times New Roman" w:eastAsia="Calibri" w:hAnsi="Times New Roman" w:cs="Times New Roman"/>
        </w:rPr>
        <w:t>jelentenek.</w:t>
      </w:r>
    </w:p>
    <w:p w14:paraId="274668E2" w14:textId="77777777" w:rsidR="00745949" w:rsidRPr="00745949" w:rsidRDefault="00745949" w:rsidP="00745949">
      <w:pPr>
        <w:spacing w:after="0" w:line="240" w:lineRule="auto"/>
        <w:rPr>
          <w:rFonts w:ascii="Times New Roman" w:eastAsia="Calibri" w:hAnsi="Times New Roman" w:cs="Times New Roman"/>
        </w:rPr>
      </w:pPr>
    </w:p>
    <w:p w14:paraId="46E140E0" w14:textId="11577E9F" w:rsidR="00745949" w:rsidRDefault="00745949" w:rsidP="00745949">
      <w:pPr>
        <w:spacing w:after="0" w:line="240" w:lineRule="auto"/>
        <w:rPr>
          <w:rFonts w:ascii="Times New Roman" w:eastAsia="Calibri" w:hAnsi="Times New Roman" w:cs="Times New Roman"/>
        </w:rPr>
      </w:pPr>
      <w:r w:rsidRPr="00745949">
        <w:rPr>
          <w:rFonts w:ascii="Times New Roman" w:eastAsia="Calibri" w:hAnsi="Times New Roman" w:cs="Times New Roman"/>
        </w:rPr>
        <w:lastRenderedPageBreak/>
        <w:t>A kezelőorvosoknak monitorozniuk kell a betegeknél az SPM-ek kialakulását. A lenalidomid-kezelés</w:t>
      </w:r>
      <w:r>
        <w:rPr>
          <w:rFonts w:ascii="Times New Roman" w:eastAsia="Calibri" w:hAnsi="Times New Roman" w:cs="Times New Roman"/>
        </w:rPr>
        <w:t xml:space="preserve"> </w:t>
      </w:r>
      <w:r w:rsidRPr="00745949">
        <w:rPr>
          <w:rFonts w:ascii="Times New Roman" w:eastAsia="Calibri" w:hAnsi="Times New Roman" w:cs="Times New Roman"/>
        </w:rPr>
        <w:t>megkezdése előtt mérlegelni kell a lenalidomid potenciális előnyét és az SPM kialakulásának</w:t>
      </w:r>
      <w:r>
        <w:rPr>
          <w:rFonts w:ascii="Times New Roman" w:eastAsia="Calibri" w:hAnsi="Times New Roman" w:cs="Times New Roman"/>
        </w:rPr>
        <w:t xml:space="preserve"> </w:t>
      </w:r>
      <w:r w:rsidRPr="00745949">
        <w:rPr>
          <w:rFonts w:ascii="Times New Roman" w:eastAsia="Calibri" w:hAnsi="Times New Roman" w:cs="Times New Roman"/>
        </w:rPr>
        <w:t>kockázatát</w:t>
      </w:r>
      <w:r>
        <w:rPr>
          <w:rFonts w:ascii="Times New Roman" w:eastAsia="Calibri" w:hAnsi="Times New Roman" w:cs="Times New Roman"/>
        </w:rPr>
        <w:t>.</w:t>
      </w:r>
    </w:p>
    <w:p w14:paraId="64A14A03" w14:textId="77777777" w:rsidR="00745949" w:rsidRPr="00956F16" w:rsidRDefault="00745949" w:rsidP="00745949">
      <w:pPr>
        <w:spacing w:after="0" w:line="240" w:lineRule="auto"/>
        <w:rPr>
          <w:rFonts w:ascii="Times New Roman" w:eastAsia="Calibri" w:hAnsi="Times New Roman" w:cs="Times New Roman"/>
        </w:rPr>
      </w:pPr>
    </w:p>
    <w:p w14:paraId="3143974A"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Májbetegségek</w:t>
      </w:r>
    </w:p>
    <w:p w14:paraId="090FCF2C" w14:textId="0927230B"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Kombinációs terápiában adott lenalidomiddal kezelt betegeknél májelégtelenségről, többek között halálos kimenetelű esetekről számoltak be: akut májelégtelenségről, toxicus hepatitisről, cytolyticus hepatitisről, cholestaticus hepatitisről és kevert cytolyticus/cholestaticus hepatitisről. A gyógyszerek által okozott súlyos hepatotoxicitás mechanizmusa továbbra is ismeretlen, bár néhány esetben a már fennálló vírusos májbetegség, az emelkedett kiindulási májenzimszintek</w:t>
      </w:r>
      <w:r w:rsidR="00792496">
        <w:rPr>
          <w:rFonts w:ascii="Times New Roman" w:eastAsia="Calibri" w:hAnsi="Times New Roman" w:cs="Times New Roman"/>
        </w:rPr>
        <w:t>,</w:t>
      </w:r>
      <w:r w:rsidRPr="00956F16">
        <w:rPr>
          <w:rFonts w:ascii="Times New Roman" w:eastAsia="Calibri" w:hAnsi="Times New Roman" w:cs="Times New Roman"/>
        </w:rPr>
        <w:t xml:space="preserve"> és az esetleges antibiotikumos kezelés kockázati tényezőként szerepelhet.</w:t>
      </w:r>
    </w:p>
    <w:p w14:paraId="3E8B83EE" w14:textId="77777777" w:rsidR="00956F16" w:rsidRPr="00956F16" w:rsidRDefault="00956F16" w:rsidP="00956F16">
      <w:pPr>
        <w:spacing w:after="0" w:line="240" w:lineRule="auto"/>
        <w:rPr>
          <w:rFonts w:ascii="Times New Roman" w:eastAsia="Calibri" w:hAnsi="Times New Roman" w:cs="Times New Roman"/>
        </w:rPr>
      </w:pPr>
    </w:p>
    <w:p w14:paraId="09511D1A"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Gyakran számoltak be kóros májfunkciós vizsgálati eredményekről, amelyek általában nem jártak tünetekkel, és az adagolás megszakításakor rendeződtek. Amint a paraméterek visszatértek a kiindulási értékre, az alacsonyabb dózissal történő kezelés mérlegelhető.</w:t>
      </w:r>
    </w:p>
    <w:p w14:paraId="07D6278B" w14:textId="77777777" w:rsidR="00956F16" w:rsidRPr="00956F16" w:rsidRDefault="00956F16" w:rsidP="00956F16">
      <w:pPr>
        <w:spacing w:after="0" w:line="240" w:lineRule="auto"/>
        <w:rPr>
          <w:rFonts w:ascii="Times New Roman" w:eastAsia="Calibri" w:hAnsi="Times New Roman" w:cs="Times New Roman"/>
        </w:rPr>
      </w:pPr>
    </w:p>
    <w:p w14:paraId="3DB7C2B5" w14:textId="59A55C39"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a vesén keresztül választódik ki. Vesekárosodásban szenvedő betegeknél a hematológiai mellékhatások és a hepatotoxicitás kockázatát fokozó plazmaszintek elkerülése érdekében fontos a dózismódosítás. Javasolt </w:t>
      </w:r>
      <w:r w:rsidR="0079537F">
        <w:rPr>
          <w:rFonts w:ascii="Times New Roman" w:eastAsia="Calibri" w:hAnsi="Times New Roman" w:cs="Times New Roman"/>
        </w:rPr>
        <w:t xml:space="preserve">a </w:t>
      </w:r>
      <w:r w:rsidRPr="00956F16">
        <w:rPr>
          <w:rFonts w:ascii="Times New Roman" w:eastAsia="Calibri" w:hAnsi="Times New Roman" w:cs="Times New Roman"/>
        </w:rPr>
        <w:t>májműködés ellenőrzése, különösen akkor, ha korábban fennállt vagy egyidejűleg fennáll a máj vírusfertőzése, vagy ha a lenalidomidot olyan gyógyszerekkel adják együtt, amelyekről ismert, hogy alkalmazásuk a máj működészavarával jár.</w:t>
      </w:r>
    </w:p>
    <w:p w14:paraId="4DB570F8" w14:textId="77777777" w:rsidR="00956F16" w:rsidRPr="00956F16" w:rsidRDefault="00956F16" w:rsidP="00956F16">
      <w:pPr>
        <w:spacing w:after="0" w:line="240" w:lineRule="auto"/>
        <w:rPr>
          <w:rFonts w:ascii="Times New Roman" w:eastAsia="Calibri" w:hAnsi="Times New Roman" w:cs="Times New Roman"/>
        </w:rPr>
      </w:pPr>
    </w:p>
    <w:p w14:paraId="44BBC46B"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Fertőzés neutropeniával vagy anélkül</w:t>
      </w:r>
    </w:p>
    <w:p w14:paraId="726B0D0B" w14:textId="63D13BC0"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myeloma multiplexes betegek hajlamosak a fertőzésekre, köztük a pneumoniára. A fertőzések magasabb előfordulási gyakoriságát figyelték meg a dexametazonnal kombinációban adott lenalidomid alkalmazásakor, mint az NDMM-ben szenvedő, transzplantációra nem alkalmas betegek melfalán/prednizon/talidomid</w:t>
      </w:r>
      <w:r w:rsidR="00104634">
        <w:rPr>
          <w:rFonts w:ascii="Times New Roman" w:eastAsia="Calibri" w:hAnsi="Times New Roman" w:cs="Times New Roman"/>
        </w:rPr>
        <w:t>-</w:t>
      </w:r>
      <w:r w:rsidR="0079537F">
        <w:rPr>
          <w:rFonts w:ascii="Times New Roman" w:eastAsia="Calibri" w:hAnsi="Times New Roman" w:cs="Times New Roman"/>
        </w:rPr>
        <w:t>k</w:t>
      </w:r>
      <w:r w:rsidRPr="00956F16">
        <w:rPr>
          <w:rFonts w:ascii="Times New Roman" w:eastAsia="Calibri" w:hAnsi="Times New Roman" w:cs="Times New Roman"/>
        </w:rPr>
        <w:t>ezelése esetén, valamint a lenalidomid fenntartó kezelés során a placebóhoz képest az NDMM-ben szenvedő, ASCT-n átesett betegek esetén. Neutropeniával összefüggésben kialakult, legalább 3-as fokozatú fertőzések a betegek kevesebb</w:t>
      </w:r>
      <w:r w:rsidR="0079537F">
        <w:rPr>
          <w:rFonts w:ascii="Times New Roman" w:eastAsia="Calibri" w:hAnsi="Times New Roman" w:cs="Times New Roman"/>
        </w:rPr>
        <w:t>,</w:t>
      </w:r>
      <w:r w:rsidRPr="00956F16">
        <w:rPr>
          <w:rFonts w:ascii="Times New Roman" w:eastAsia="Calibri" w:hAnsi="Times New Roman" w:cs="Times New Roman"/>
        </w:rPr>
        <w:t xml:space="preserve"> mint harmadánál jelentkeztek. Azokat a betegeket, akiknél a fertőzések kockázati tényezői ismerten fennállnak, szorosan monitorozni kell. Minden beteg figyelmét fel kell hívni arra, hogy a fertőzés első jeleinek (például köhögés, láz stb.) észlelésekor azonnal forduljanak orvoshoz, lehetővé téve ezzel a kezelés korai megkezdését a súlyosság mérséklése érdekében.</w:t>
      </w:r>
    </w:p>
    <w:p w14:paraId="0FE0467A" w14:textId="77777777" w:rsidR="00956F16" w:rsidRPr="00956F16" w:rsidRDefault="00956F16" w:rsidP="00956F16">
      <w:pPr>
        <w:spacing w:after="0" w:line="240" w:lineRule="auto"/>
        <w:rPr>
          <w:rFonts w:ascii="Times New Roman" w:eastAsia="Calibri" w:hAnsi="Times New Roman" w:cs="Times New Roman"/>
        </w:rPr>
      </w:pPr>
    </w:p>
    <w:p w14:paraId="29FC63F4" w14:textId="6CEE1900"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Vírus</w:t>
      </w:r>
      <w:r w:rsidR="00792496">
        <w:rPr>
          <w:rFonts w:ascii="Times New Roman" w:eastAsia="Calibri" w:hAnsi="Times New Roman" w:cs="Times New Roman"/>
          <w:i/>
          <w:u w:val="single"/>
        </w:rPr>
        <w:t>-</w:t>
      </w:r>
      <w:r w:rsidRPr="00956F16">
        <w:rPr>
          <w:rFonts w:ascii="Times New Roman" w:eastAsia="Calibri" w:hAnsi="Times New Roman" w:cs="Times New Roman"/>
          <w:i/>
          <w:u w:val="single"/>
        </w:rPr>
        <w:t>reaktiváció</w:t>
      </w:r>
    </w:p>
    <w:p w14:paraId="529352DE" w14:textId="0542168E"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Lenalidomiddal kezelt betegeknél vírus reaktiváció eseteiről számoltak be, köztük herpes zoster vagy hepatitis B</w:t>
      </w:r>
      <w:r w:rsidR="00792496">
        <w:rPr>
          <w:rFonts w:ascii="Times New Roman" w:eastAsia="Calibri" w:hAnsi="Times New Roman" w:cs="Times New Roman"/>
        </w:rPr>
        <w:t>-</w:t>
      </w:r>
      <w:r w:rsidRPr="00956F16">
        <w:rPr>
          <w:rFonts w:ascii="Times New Roman" w:eastAsia="Calibri" w:hAnsi="Times New Roman" w:cs="Times New Roman"/>
        </w:rPr>
        <w:t>vírus (HBV) reaktiváció súlyos eseteiről.</w:t>
      </w:r>
    </w:p>
    <w:p w14:paraId="78DEF692" w14:textId="77777777" w:rsidR="00956F16" w:rsidRPr="00956F16" w:rsidRDefault="00956F16" w:rsidP="00956F16">
      <w:pPr>
        <w:spacing w:after="0" w:line="240" w:lineRule="auto"/>
        <w:rPr>
          <w:rFonts w:ascii="Times New Roman" w:eastAsia="Calibri" w:hAnsi="Times New Roman" w:cs="Times New Roman"/>
        </w:rPr>
      </w:pPr>
    </w:p>
    <w:p w14:paraId="1CA63CC5" w14:textId="5367FB4F"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vírus</w:t>
      </w:r>
      <w:r w:rsidR="00792496">
        <w:rPr>
          <w:rFonts w:ascii="Times New Roman" w:eastAsia="Calibri" w:hAnsi="Times New Roman" w:cs="Times New Roman"/>
        </w:rPr>
        <w:t>-</w:t>
      </w:r>
      <w:r w:rsidRPr="00956F16">
        <w:rPr>
          <w:rFonts w:ascii="Times New Roman" w:eastAsia="Calibri" w:hAnsi="Times New Roman" w:cs="Times New Roman"/>
        </w:rPr>
        <w:t>reaktiváció néhány esetben halálos kimenetelű volt.</w:t>
      </w:r>
    </w:p>
    <w:p w14:paraId="3076239D" w14:textId="77777777" w:rsidR="00956F16" w:rsidRPr="00956F16" w:rsidRDefault="00956F16" w:rsidP="00956F16">
      <w:pPr>
        <w:spacing w:after="0" w:line="240" w:lineRule="auto"/>
        <w:rPr>
          <w:rFonts w:ascii="Times New Roman" w:eastAsia="Calibri" w:hAnsi="Times New Roman" w:cs="Times New Roman"/>
        </w:rPr>
      </w:pPr>
    </w:p>
    <w:p w14:paraId="3F4113E7" w14:textId="5720E89A"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herpes zoster reaktiváció néhány esete disszeminált herpes zostert, herpes zoster meningitist, illetve ophtalmicus herpes zostert eredményezett, ami a lenalidomid</w:t>
      </w:r>
      <w:r w:rsidR="00104634">
        <w:rPr>
          <w:rFonts w:ascii="Times New Roman" w:eastAsia="Calibri" w:hAnsi="Times New Roman" w:cs="Times New Roman"/>
        </w:rPr>
        <w:t>-</w:t>
      </w:r>
      <w:r w:rsidRPr="00956F16">
        <w:rPr>
          <w:rFonts w:ascii="Times New Roman" w:eastAsia="Calibri" w:hAnsi="Times New Roman" w:cs="Times New Roman"/>
        </w:rPr>
        <w:t>kezelés átmeneti felfüggesztését vagy végleges leállítását, illetve megfelelő antivirális kezelést tett szükségessé.</w:t>
      </w:r>
    </w:p>
    <w:p w14:paraId="3EA564E7" w14:textId="77777777" w:rsidR="00956F16" w:rsidRPr="00956F16" w:rsidRDefault="00956F16" w:rsidP="00956F16">
      <w:pPr>
        <w:spacing w:after="0" w:line="240" w:lineRule="auto"/>
        <w:rPr>
          <w:rFonts w:ascii="Times New Roman" w:eastAsia="Calibri" w:hAnsi="Times New Roman" w:cs="Times New Roman"/>
        </w:rPr>
      </w:pPr>
    </w:p>
    <w:p w14:paraId="6A1CBF8B" w14:textId="0ED478C6" w:rsid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Ritka esetekben hepatitis B reaktiválódásáról számoltak be lenalidomid</w:t>
      </w:r>
      <w:r w:rsidR="00104634">
        <w:rPr>
          <w:rFonts w:ascii="Times New Roman" w:eastAsia="Calibri" w:hAnsi="Times New Roman" w:cs="Times New Roman"/>
        </w:rPr>
        <w:t>-</w:t>
      </w:r>
      <w:r w:rsidRPr="00956F16">
        <w:rPr>
          <w:rFonts w:ascii="Times New Roman" w:eastAsia="Calibri" w:hAnsi="Times New Roman" w:cs="Times New Roman"/>
        </w:rPr>
        <w:t>kezelésben részesülő olyan betegeknél, akik korábban hepatitis B</w:t>
      </w:r>
      <w:r w:rsidR="00792496">
        <w:rPr>
          <w:rFonts w:ascii="Times New Roman" w:eastAsia="Calibri" w:hAnsi="Times New Roman" w:cs="Times New Roman"/>
        </w:rPr>
        <w:t>-</w:t>
      </w:r>
      <w:r w:rsidRPr="00956F16">
        <w:rPr>
          <w:rFonts w:ascii="Times New Roman" w:eastAsia="Calibri" w:hAnsi="Times New Roman" w:cs="Times New Roman"/>
        </w:rPr>
        <w:t>vírussal fertőződtek meg. Ezek közül néhány eset akut májelégtelenségig progrediált, ami a lenalidomid alkalmazásának abbahagyását, és megfelelő antivirális kezelést tett szükségessé. A lenalidomid</w:t>
      </w:r>
      <w:r w:rsidR="00104634">
        <w:rPr>
          <w:rFonts w:ascii="Times New Roman" w:eastAsia="Calibri" w:hAnsi="Times New Roman" w:cs="Times New Roman"/>
        </w:rPr>
        <w:t>-</w:t>
      </w:r>
      <w:r w:rsidRPr="00956F16">
        <w:rPr>
          <w:rFonts w:ascii="Times New Roman" w:eastAsia="Calibri" w:hAnsi="Times New Roman" w:cs="Times New Roman"/>
        </w:rPr>
        <w:t>kezelés megkezdése előtt meg kell határozni a beteg hepatitis B</w:t>
      </w:r>
      <w:r w:rsidR="00792496">
        <w:rPr>
          <w:rFonts w:ascii="Times New Roman" w:eastAsia="Calibri" w:hAnsi="Times New Roman" w:cs="Times New Roman"/>
        </w:rPr>
        <w:t>-</w:t>
      </w:r>
      <w:r w:rsidRPr="00956F16">
        <w:rPr>
          <w:rFonts w:ascii="Times New Roman" w:eastAsia="Calibri" w:hAnsi="Times New Roman" w:cs="Times New Roman"/>
        </w:rPr>
        <w:t>vírus státuszát. Azoknál a betegeknél, akiknél pozitív a HBV-fertőzés kimutatására irányuló vizsgálat, javasolt a hepatitis B kezelésére szakosodott orvossal konzultálni. Elővigyázatosság szükséges, amennyiben a lenalidomidot olyan betegeknél alkalmazzák, akik korábban HBV-vel fertőződtek, beleértve az anti-HBc</w:t>
      </w:r>
      <w:r w:rsidR="00792496">
        <w:rPr>
          <w:rFonts w:ascii="Times New Roman" w:eastAsia="Calibri" w:hAnsi="Times New Roman" w:cs="Times New Roman"/>
        </w:rPr>
        <w:t>-</w:t>
      </w:r>
      <w:r w:rsidRPr="00956F16">
        <w:rPr>
          <w:rFonts w:ascii="Times New Roman" w:eastAsia="Calibri" w:hAnsi="Times New Roman" w:cs="Times New Roman"/>
        </w:rPr>
        <w:t>pozitív, de HBsAg</w:t>
      </w:r>
      <w:r w:rsidR="00792496">
        <w:rPr>
          <w:rFonts w:ascii="Times New Roman" w:eastAsia="Calibri" w:hAnsi="Times New Roman" w:cs="Times New Roman"/>
        </w:rPr>
        <w:t>-</w:t>
      </w:r>
      <w:r w:rsidRPr="00956F16">
        <w:rPr>
          <w:rFonts w:ascii="Times New Roman" w:eastAsia="Calibri" w:hAnsi="Times New Roman" w:cs="Times New Roman"/>
        </w:rPr>
        <w:t>negatív betegeket is. Eze</w:t>
      </w:r>
      <w:r w:rsidR="00792496">
        <w:rPr>
          <w:rFonts w:ascii="Times New Roman" w:eastAsia="Calibri" w:hAnsi="Times New Roman" w:cs="Times New Roman"/>
        </w:rPr>
        <w:t>knél</w:t>
      </w:r>
      <w:r w:rsidRPr="00956F16">
        <w:rPr>
          <w:rFonts w:ascii="Times New Roman" w:eastAsia="Calibri" w:hAnsi="Times New Roman" w:cs="Times New Roman"/>
        </w:rPr>
        <w:t xml:space="preserve"> a betegek</w:t>
      </w:r>
      <w:r w:rsidR="00792496">
        <w:rPr>
          <w:rFonts w:ascii="Times New Roman" w:eastAsia="Calibri" w:hAnsi="Times New Roman" w:cs="Times New Roman"/>
        </w:rPr>
        <w:t>nél</w:t>
      </w:r>
      <w:r w:rsidRPr="00956F16">
        <w:rPr>
          <w:rFonts w:ascii="Times New Roman" w:eastAsia="Calibri" w:hAnsi="Times New Roman" w:cs="Times New Roman"/>
        </w:rPr>
        <w:t xml:space="preserve"> a terápia során mindvégig szoros</w:t>
      </w:r>
      <w:r w:rsidR="00792496">
        <w:rPr>
          <w:rFonts w:ascii="Times New Roman" w:eastAsia="Calibri" w:hAnsi="Times New Roman" w:cs="Times New Roman"/>
        </w:rPr>
        <w:t>an</w:t>
      </w:r>
      <w:r w:rsidRPr="00956F16">
        <w:rPr>
          <w:rFonts w:ascii="Times New Roman" w:eastAsia="Calibri" w:hAnsi="Times New Roman" w:cs="Times New Roman"/>
        </w:rPr>
        <w:t xml:space="preserve"> monitoroz</w:t>
      </w:r>
      <w:r w:rsidR="00792496">
        <w:rPr>
          <w:rFonts w:ascii="Times New Roman" w:eastAsia="Calibri" w:hAnsi="Times New Roman" w:cs="Times New Roman"/>
        </w:rPr>
        <w:t>ni</w:t>
      </w:r>
      <w:r w:rsidRPr="00956F16">
        <w:rPr>
          <w:rFonts w:ascii="Times New Roman" w:eastAsia="Calibri" w:hAnsi="Times New Roman" w:cs="Times New Roman"/>
        </w:rPr>
        <w:t xml:space="preserve"> kell </w:t>
      </w:r>
      <w:r w:rsidR="00792496">
        <w:rPr>
          <w:rFonts w:ascii="Times New Roman" w:eastAsia="Calibri" w:hAnsi="Times New Roman" w:cs="Times New Roman"/>
        </w:rPr>
        <w:t>a</w:t>
      </w:r>
      <w:r w:rsidRPr="00956F16">
        <w:rPr>
          <w:rFonts w:ascii="Times New Roman" w:eastAsia="Calibri" w:hAnsi="Times New Roman" w:cs="Times New Roman"/>
        </w:rPr>
        <w:t xml:space="preserve">z aktív HBV-fertőzés okozta jelek és tünetek </w:t>
      </w:r>
      <w:r w:rsidR="00792496">
        <w:rPr>
          <w:rFonts w:ascii="Times New Roman" w:eastAsia="Calibri" w:hAnsi="Times New Roman" w:cs="Times New Roman"/>
        </w:rPr>
        <w:t>előfordulását</w:t>
      </w:r>
      <w:r w:rsidRPr="00956F16">
        <w:rPr>
          <w:rFonts w:ascii="Times New Roman" w:eastAsia="Calibri" w:hAnsi="Times New Roman" w:cs="Times New Roman"/>
        </w:rPr>
        <w:t>.</w:t>
      </w:r>
    </w:p>
    <w:p w14:paraId="18CF1CA1" w14:textId="77777777" w:rsidR="00220447" w:rsidRPr="00956F16" w:rsidRDefault="00220447" w:rsidP="00956F16">
      <w:pPr>
        <w:spacing w:after="0" w:line="240" w:lineRule="auto"/>
        <w:rPr>
          <w:rFonts w:ascii="Times New Roman" w:eastAsia="Calibri" w:hAnsi="Times New Roman" w:cs="Times New Roman"/>
        </w:rPr>
      </w:pPr>
    </w:p>
    <w:p w14:paraId="7A3D30A8" w14:textId="77777777" w:rsidR="00220447" w:rsidRPr="00441247" w:rsidRDefault="00220447" w:rsidP="00220447">
      <w:pPr>
        <w:keepNext/>
        <w:spacing w:after="0" w:line="240" w:lineRule="auto"/>
        <w:rPr>
          <w:rFonts w:ascii="Times New Roman" w:eastAsia="Calibri" w:hAnsi="Times New Roman" w:cs="Times New Roman"/>
          <w:i/>
          <w:u w:val="single"/>
        </w:rPr>
      </w:pPr>
      <w:r w:rsidRPr="00441247">
        <w:rPr>
          <w:rFonts w:ascii="Times New Roman" w:eastAsia="Calibri" w:hAnsi="Times New Roman" w:cs="Times New Roman"/>
          <w:i/>
          <w:u w:val="single"/>
        </w:rPr>
        <w:lastRenderedPageBreak/>
        <w:t>Progresszív multifocalis leukoencephalopathia</w:t>
      </w:r>
    </w:p>
    <w:p w14:paraId="18808A34" w14:textId="082A0280" w:rsidR="00220447" w:rsidRDefault="00220447" w:rsidP="00220447">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alkalmazásával kapcsolatban beszámoltak progresszív multifokális leukoenkephalopathia (PML) előfordulásáról, köztük halálos kimenetelű esetekről is. A lenalidomid</w:t>
      </w:r>
      <w:r w:rsidR="00104634">
        <w:rPr>
          <w:rFonts w:ascii="Times New Roman" w:eastAsia="Calibri" w:hAnsi="Times New Roman" w:cs="Times New Roman"/>
        </w:rPr>
        <w:t>-</w:t>
      </w:r>
      <w:r w:rsidRPr="00956F16">
        <w:rPr>
          <w:rFonts w:ascii="Times New Roman" w:eastAsia="Calibri" w:hAnsi="Times New Roman" w:cs="Times New Roman"/>
        </w:rPr>
        <w:t>kezelés kezdetét követően több hónaptól több évig terjedő időszakban számoltak be PML előfordulásáról. Általában olyan betegekről számoltak be, akik egyidejűleg dexametazont vagy előzetesen más immunszupresszív kemoterápiás kezelést kaptak. Az orvosoknak rendszeres időközönként ellenőrizniük kell a betegeket, és figyelembe kell venniük a PML lehetőségét az újjonnan kialakuló vagy romló neurológiai, kognitív vagy viselkedésbeli jeleket vagy tüneteket mutató betegek differenciáldiagnózisa során. A betegeknek azt is javasolni kell, hogy tájékoztassák partnerüket vagy gondozóikat a kezelésükről, mivel ők észrevehetik azokat a tüneteket, amelyeknek a beteg nincs tudatában.</w:t>
      </w:r>
    </w:p>
    <w:p w14:paraId="68981493" w14:textId="77777777" w:rsidR="0015309B" w:rsidRPr="00956F16" w:rsidRDefault="0015309B" w:rsidP="00220447">
      <w:pPr>
        <w:spacing w:after="0" w:line="240" w:lineRule="auto"/>
        <w:rPr>
          <w:rFonts w:ascii="Times New Roman" w:eastAsia="Calibri" w:hAnsi="Times New Roman" w:cs="Times New Roman"/>
        </w:rPr>
      </w:pPr>
    </w:p>
    <w:p w14:paraId="2D5A2A9A" w14:textId="7B1EAEA3" w:rsidR="0015309B" w:rsidRDefault="00220447" w:rsidP="00220447">
      <w:pPr>
        <w:spacing w:after="0" w:line="240" w:lineRule="auto"/>
        <w:rPr>
          <w:rFonts w:ascii="Times New Roman" w:eastAsia="Calibri" w:hAnsi="Times New Roman" w:cs="Times New Roman"/>
        </w:rPr>
      </w:pPr>
      <w:r w:rsidRPr="00956F16">
        <w:rPr>
          <w:rFonts w:ascii="Times New Roman" w:eastAsia="Calibri" w:hAnsi="Times New Roman" w:cs="Times New Roman"/>
        </w:rPr>
        <w:t>A PML</w:t>
      </w:r>
      <w:r w:rsidR="00792496">
        <w:rPr>
          <w:rFonts w:ascii="Times New Roman" w:eastAsia="Calibri" w:hAnsi="Times New Roman" w:cs="Times New Roman"/>
        </w:rPr>
        <w:t>-</w:t>
      </w:r>
      <w:r w:rsidRPr="00956F16">
        <w:rPr>
          <w:rFonts w:ascii="Times New Roman" w:eastAsia="Calibri" w:hAnsi="Times New Roman" w:cs="Times New Roman"/>
        </w:rPr>
        <w:t>értékelésnek a következő vizsgálatokon kell alapulnia: neurológiai konzultáció, az agy MR</w:t>
      </w:r>
      <w:r w:rsidR="00104634">
        <w:rPr>
          <w:rFonts w:ascii="Times New Roman" w:eastAsia="Calibri" w:hAnsi="Times New Roman" w:cs="Times New Roman"/>
        </w:rPr>
        <w:t>-</w:t>
      </w:r>
      <w:r w:rsidRPr="00956F16">
        <w:rPr>
          <w:rFonts w:ascii="Times New Roman" w:eastAsia="Calibri" w:hAnsi="Times New Roman" w:cs="Times New Roman"/>
        </w:rPr>
        <w:t>vizsgálata, valamint az cerebrospinalis folyadék DNS polimeráz-láncreakcióval (PCR) történő elemzése JC-vírusra (JCV) vagy agybiopsia JCV</w:t>
      </w:r>
      <w:r w:rsidR="00384E3B">
        <w:rPr>
          <w:rFonts w:ascii="Times New Roman" w:eastAsia="Calibri" w:hAnsi="Times New Roman" w:cs="Times New Roman"/>
        </w:rPr>
        <w:t>-</w:t>
      </w:r>
      <w:r w:rsidRPr="00956F16">
        <w:rPr>
          <w:rFonts w:ascii="Times New Roman" w:eastAsia="Calibri" w:hAnsi="Times New Roman" w:cs="Times New Roman"/>
        </w:rPr>
        <w:t>kimutatás céljából. A JCV-re végzett negatív PCR nem zárja ki a PML lehetőségét. További utánkövetés és értékelés válhat szükségessé, amennyiben nem sikerül alternatív diagnózist felállítani.</w:t>
      </w:r>
    </w:p>
    <w:p w14:paraId="4B0893AC" w14:textId="77777777" w:rsidR="0015309B" w:rsidRDefault="0015309B" w:rsidP="00220447">
      <w:pPr>
        <w:spacing w:after="0" w:line="240" w:lineRule="auto"/>
        <w:rPr>
          <w:rFonts w:ascii="Times New Roman" w:eastAsia="Calibri" w:hAnsi="Times New Roman" w:cs="Times New Roman"/>
        </w:rPr>
      </w:pPr>
    </w:p>
    <w:p w14:paraId="1642B965" w14:textId="7CDE4A6E" w:rsidR="00220447" w:rsidRPr="00956F16" w:rsidRDefault="00220447" w:rsidP="00220447">
      <w:pPr>
        <w:spacing w:after="0" w:line="240" w:lineRule="auto"/>
        <w:rPr>
          <w:rFonts w:ascii="Times New Roman" w:eastAsia="Calibri" w:hAnsi="Times New Roman" w:cs="Times New Roman"/>
        </w:rPr>
      </w:pPr>
      <w:r w:rsidRPr="00956F16">
        <w:rPr>
          <w:rFonts w:ascii="Times New Roman" w:eastAsia="Calibri" w:hAnsi="Times New Roman" w:cs="Times New Roman"/>
        </w:rPr>
        <w:t>Ha PML gyanúja áll fenn, a további adagolást fel kell függeszteni addig, amíg a PML-t ki nem zárják. Ha a PML-t megerősítik, a lenalidomid alkalmazását végleg</w:t>
      </w:r>
      <w:r w:rsidR="00514E22">
        <w:rPr>
          <w:rFonts w:ascii="Times New Roman" w:eastAsia="Calibri" w:hAnsi="Times New Roman" w:cs="Times New Roman"/>
        </w:rPr>
        <w:t>esen fel kell függeszteni.</w:t>
      </w:r>
    </w:p>
    <w:p w14:paraId="6BED183A" w14:textId="77777777" w:rsidR="00956F16" w:rsidRPr="00956F16" w:rsidRDefault="00956F16" w:rsidP="00956F16">
      <w:pPr>
        <w:spacing w:after="0" w:line="240" w:lineRule="auto"/>
        <w:rPr>
          <w:rFonts w:ascii="Times New Roman" w:eastAsia="Calibri" w:hAnsi="Times New Roman" w:cs="Times New Roman"/>
        </w:rPr>
      </w:pPr>
    </w:p>
    <w:p w14:paraId="01C75605" w14:textId="77777777" w:rsidR="00956F16" w:rsidRPr="00956F16" w:rsidRDefault="00956F16" w:rsidP="00441247">
      <w:pPr>
        <w:keepNext/>
        <w:tabs>
          <w:tab w:val="left" w:pos="567"/>
        </w:tabs>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Újonnan diagnosztizált myeloma multiplexes betegek</w:t>
      </w:r>
    </w:p>
    <w:p w14:paraId="573BB57D" w14:textId="2810F373"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Magasabb volt az intolerancia (3-as vagy 4-es fokozatú mellékhatások, súlyos mellékhatások, a kezelés abbahagyása) előfordulási gyakorisága a 75 évesnél idősebb, III-as ISS</w:t>
      </w:r>
      <w:r w:rsidR="00384E3B">
        <w:rPr>
          <w:rFonts w:ascii="Times New Roman" w:eastAsia="Calibri" w:hAnsi="Times New Roman" w:cs="Times New Roman"/>
        </w:rPr>
        <w:t>-</w:t>
      </w:r>
      <w:r w:rsidRPr="00956F16">
        <w:rPr>
          <w:rFonts w:ascii="Times New Roman" w:eastAsia="Calibri" w:hAnsi="Times New Roman" w:cs="Times New Roman"/>
        </w:rPr>
        <w:t xml:space="preserve">stádiumú, 2-es vagy </w:t>
      </w:r>
      <w:r w:rsidR="005C1B79">
        <w:rPr>
          <w:rFonts w:ascii="Times New Roman" w:eastAsia="Calibri" w:hAnsi="Times New Roman" w:cs="Times New Roman"/>
        </w:rPr>
        <w:t>magasabb</w:t>
      </w:r>
      <w:r w:rsidR="005C1B79" w:rsidRPr="00956F16">
        <w:rPr>
          <w:rFonts w:ascii="Times New Roman" w:eastAsia="Calibri" w:hAnsi="Times New Roman" w:cs="Times New Roman"/>
        </w:rPr>
        <w:t xml:space="preserve"> </w:t>
      </w:r>
      <w:r w:rsidRPr="00956F16">
        <w:rPr>
          <w:rFonts w:ascii="Times New Roman" w:eastAsia="Calibri" w:hAnsi="Times New Roman" w:cs="Times New Roman"/>
        </w:rPr>
        <w:t>ECOG PS</w:t>
      </w:r>
      <w:r w:rsidR="00384E3B">
        <w:rPr>
          <w:rFonts w:ascii="Times New Roman" w:eastAsia="Calibri" w:hAnsi="Times New Roman" w:cs="Times New Roman"/>
        </w:rPr>
        <w:t>-</w:t>
      </w:r>
      <w:r w:rsidRPr="00956F16">
        <w:rPr>
          <w:rFonts w:ascii="Times New Roman" w:eastAsia="Calibri" w:hAnsi="Times New Roman" w:cs="Times New Roman"/>
        </w:rPr>
        <w:t>pontszámú, illetve 60 ml/perc alatti kreatinin-clearance-szel rendelkező betegeknél, amikor a lenalidomidot kombinációban adták. A betegeknél gondosan mérlegelni kell, hogy képesek-e tolerálni a lenalidomid kombinációs kezelést, figyelembe véve az életkorukat, a III-as ISS</w:t>
      </w:r>
      <w:r w:rsidR="00384E3B">
        <w:rPr>
          <w:rFonts w:ascii="Times New Roman" w:eastAsia="Calibri" w:hAnsi="Times New Roman" w:cs="Times New Roman"/>
        </w:rPr>
        <w:t>-</w:t>
      </w:r>
      <w:r w:rsidRPr="00956F16">
        <w:rPr>
          <w:rFonts w:ascii="Times New Roman" w:eastAsia="Calibri" w:hAnsi="Times New Roman" w:cs="Times New Roman"/>
        </w:rPr>
        <w:t xml:space="preserve">stádiumot, a 2-es vagy </w:t>
      </w:r>
      <w:r w:rsidR="005C1B79">
        <w:rPr>
          <w:rFonts w:ascii="Times New Roman" w:eastAsia="Calibri" w:hAnsi="Times New Roman" w:cs="Times New Roman"/>
        </w:rPr>
        <w:t>magasabb</w:t>
      </w:r>
      <w:r w:rsidR="005C1B79" w:rsidRPr="00956F16">
        <w:rPr>
          <w:rFonts w:ascii="Times New Roman" w:eastAsia="Calibri" w:hAnsi="Times New Roman" w:cs="Times New Roman"/>
        </w:rPr>
        <w:t xml:space="preserve"> </w:t>
      </w:r>
      <w:r w:rsidRPr="00956F16">
        <w:rPr>
          <w:rFonts w:ascii="Times New Roman" w:eastAsia="Calibri" w:hAnsi="Times New Roman" w:cs="Times New Roman"/>
        </w:rPr>
        <w:t>ECOG PS</w:t>
      </w:r>
      <w:r w:rsidR="00384E3B">
        <w:rPr>
          <w:rFonts w:ascii="Times New Roman" w:eastAsia="Calibri" w:hAnsi="Times New Roman" w:cs="Times New Roman"/>
        </w:rPr>
        <w:t>-</w:t>
      </w:r>
      <w:r w:rsidRPr="00956F16">
        <w:rPr>
          <w:rFonts w:ascii="Times New Roman" w:eastAsia="Calibri" w:hAnsi="Times New Roman" w:cs="Times New Roman"/>
        </w:rPr>
        <w:t>pontszámot, illetve a 60 ml/perc alatti kreatinin-clearance-t (lásd 4.2 és 4.8 pont).</w:t>
      </w:r>
    </w:p>
    <w:p w14:paraId="28AE54AE" w14:textId="77777777" w:rsidR="00956F16" w:rsidRPr="00956F16" w:rsidRDefault="00956F16" w:rsidP="00956F16">
      <w:pPr>
        <w:spacing w:after="0" w:line="240" w:lineRule="auto"/>
        <w:rPr>
          <w:rFonts w:ascii="Times New Roman" w:eastAsia="Calibri" w:hAnsi="Times New Roman" w:cs="Times New Roman"/>
        </w:rPr>
      </w:pPr>
    </w:p>
    <w:p w14:paraId="42F360A4"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Cataracta</w:t>
      </w:r>
    </w:p>
    <w:p w14:paraId="0DCF4DB8" w14:textId="2D58471D"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Nagyobb gyakorisággal számoltak be cataracta előfordulásáról a dexametazonnal kombinációban adott lenalidomid</w:t>
      </w:r>
      <w:r w:rsidR="00104634">
        <w:rPr>
          <w:rFonts w:ascii="Times New Roman" w:eastAsia="Calibri" w:hAnsi="Times New Roman" w:cs="Times New Roman"/>
        </w:rPr>
        <w:t>-</w:t>
      </w:r>
      <w:r w:rsidRPr="00956F16">
        <w:rPr>
          <w:rFonts w:ascii="Times New Roman" w:eastAsia="Calibri" w:hAnsi="Times New Roman" w:cs="Times New Roman"/>
        </w:rPr>
        <w:t>kezelésben részesülő betegeknél, különösen hosszú ideig tartó alkalmazás esetén. A látásélesség rendszeres ellenőrzése javasolt.</w:t>
      </w:r>
    </w:p>
    <w:p w14:paraId="300C51F4" w14:textId="77777777" w:rsidR="00745949" w:rsidRPr="00956F16" w:rsidRDefault="00745949" w:rsidP="00745949">
      <w:pPr>
        <w:spacing w:after="0" w:line="240" w:lineRule="auto"/>
        <w:rPr>
          <w:rFonts w:ascii="Times New Roman" w:eastAsia="Calibri" w:hAnsi="Times New Roman" w:cs="Times New Roman"/>
        </w:rPr>
      </w:pPr>
    </w:p>
    <w:p w14:paraId="63B0CE90" w14:textId="77777777" w:rsidR="00745949" w:rsidRPr="00956F16" w:rsidRDefault="00745949" w:rsidP="00745949">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Laktóz-intolerancia</w:t>
      </w:r>
    </w:p>
    <w:p w14:paraId="10F14AC0" w14:textId="51CEED65" w:rsidR="00745949" w:rsidRDefault="00745949" w:rsidP="00745949">
      <w:pPr>
        <w:spacing w:after="0" w:line="240" w:lineRule="auto"/>
        <w:rPr>
          <w:rFonts w:ascii="Times New Roman" w:eastAsia="Calibri" w:hAnsi="Times New Roman" w:cs="Times New Roman"/>
        </w:rPr>
      </w:pPr>
      <w:r w:rsidRPr="00956F16">
        <w:rPr>
          <w:rFonts w:ascii="Times New Roman" w:eastAsia="Calibri" w:hAnsi="Times New Roman" w:cs="Times New Roman"/>
        </w:rPr>
        <w:t>Ritkán előforduló, örökletes galaktózintoleranciában, teljes laktáz-hiányban vagy glükóz galaktóz malabszorpcióban a készítmény nem szedhető.</w:t>
      </w:r>
    </w:p>
    <w:p w14:paraId="0A7610F7" w14:textId="4E124938" w:rsidR="005C1B79" w:rsidRDefault="005C1B79" w:rsidP="00745949">
      <w:pPr>
        <w:spacing w:after="0" w:line="240" w:lineRule="auto"/>
        <w:rPr>
          <w:rFonts w:ascii="Times New Roman" w:eastAsia="Calibri" w:hAnsi="Times New Roman" w:cs="Times New Roman"/>
        </w:rPr>
      </w:pPr>
    </w:p>
    <w:p w14:paraId="2E8FD29F" w14:textId="5E5DD44D" w:rsidR="005C1B79" w:rsidRPr="00E83289" w:rsidRDefault="005C1B79" w:rsidP="00745949">
      <w:pPr>
        <w:spacing w:after="0" w:line="240" w:lineRule="auto"/>
        <w:rPr>
          <w:rFonts w:ascii="Times New Roman" w:eastAsia="Calibri" w:hAnsi="Times New Roman" w:cs="Times New Roman"/>
          <w:i/>
          <w:iCs/>
          <w:u w:val="single"/>
        </w:rPr>
      </w:pPr>
      <w:r w:rsidRPr="00E83289">
        <w:rPr>
          <w:rFonts w:ascii="Times New Roman" w:eastAsia="Calibri" w:hAnsi="Times New Roman" w:cs="Times New Roman"/>
          <w:i/>
          <w:iCs/>
          <w:u w:val="single"/>
        </w:rPr>
        <w:t>Nátrium</w:t>
      </w:r>
    </w:p>
    <w:p w14:paraId="4E7440C3" w14:textId="1CDD802E" w:rsidR="00956F16" w:rsidRDefault="005C1B79" w:rsidP="005C1B79">
      <w:pPr>
        <w:spacing w:after="0" w:line="240" w:lineRule="auto"/>
        <w:rPr>
          <w:rFonts w:ascii="Times New Roman" w:eastAsia="Calibri" w:hAnsi="Times New Roman" w:cs="Times New Roman"/>
        </w:rPr>
      </w:pPr>
      <w:r>
        <w:rPr>
          <w:rFonts w:ascii="Times New Roman" w:eastAsia="Calibri" w:hAnsi="Times New Roman" w:cs="Times New Roman"/>
        </w:rPr>
        <w:t xml:space="preserve">A </w:t>
      </w:r>
      <w:r w:rsidRPr="005C1B79">
        <w:rPr>
          <w:rFonts w:ascii="Times New Roman" w:eastAsia="Calibri" w:hAnsi="Times New Roman" w:cs="Times New Roman"/>
        </w:rPr>
        <w:t>készítmény kevesebb mint 1</w:t>
      </w:r>
      <w:r>
        <w:rPr>
          <w:rFonts w:ascii="Times New Roman" w:eastAsia="Calibri" w:hAnsi="Times New Roman" w:cs="Times New Roman"/>
        </w:rPr>
        <w:t> </w:t>
      </w:r>
      <w:r w:rsidRPr="005C1B79">
        <w:rPr>
          <w:rFonts w:ascii="Times New Roman" w:eastAsia="Calibri" w:hAnsi="Times New Roman" w:cs="Times New Roman"/>
        </w:rPr>
        <w:t>mmol (23</w:t>
      </w:r>
      <w:r>
        <w:rPr>
          <w:rFonts w:ascii="Times New Roman" w:eastAsia="Calibri" w:hAnsi="Times New Roman" w:cs="Times New Roman"/>
        </w:rPr>
        <w:t> </w:t>
      </w:r>
      <w:r w:rsidRPr="005C1B79">
        <w:rPr>
          <w:rFonts w:ascii="Times New Roman" w:eastAsia="Calibri" w:hAnsi="Times New Roman" w:cs="Times New Roman"/>
        </w:rPr>
        <w:t>mg)</w:t>
      </w:r>
      <w:r>
        <w:rPr>
          <w:rFonts w:ascii="Times New Roman" w:eastAsia="Calibri" w:hAnsi="Times New Roman" w:cs="Times New Roman"/>
        </w:rPr>
        <w:t xml:space="preserve"> </w:t>
      </w:r>
      <w:r w:rsidRPr="005C1B79">
        <w:rPr>
          <w:rFonts w:ascii="Times New Roman" w:eastAsia="Calibri" w:hAnsi="Times New Roman" w:cs="Times New Roman"/>
        </w:rPr>
        <w:t xml:space="preserve">nátriumot tartalmaz </w:t>
      </w:r>
      <w:r>
        <w:rPr>
          <w:rFonts w:ascii="Times New Roman" w:eastAsia="Calibri" w:hAnsi="Times New Roman" w:cs="Times New Roman"/>
        </w:rPr>
        <w:t>kapszulánként</w:t>
      </w:r>
      <w:r w:rsidRPr="005C1B79">
        <w:rPr>
          <w:rFonts w:ascii="Times New Roman" w:eastAsia="Calibri" w:hAnsi="Times New Roman" w:cs="Times New Roman"/>
        </w:rPr>
        <w:t>, azaz gyakorlatilag</w:t>
      </w:r>
      <w:r>
        <w:rPr>
          <w:rFonts w:ascii="Times New Roman" w:eastAsia="Calibri" w:hAnsi="Times New Roman" w:cs="Times New Roman"/>
        </w:rPr>
        <w:t xml:space="preserve"> </w:t>
      </w:r>
      <w:r w:rsidRPr="005C1B79">
        <w:rPr>
          <w:rFonts w:ascii="Times New Roman" w:eastAsia="Calibri" w:hAnsi="Times New Roman" w:cs="Times New Roman"/>
        </w:rPr>
        <w:t>„nátriummentes”.</w:t>
      </w:r>
    </w:p>
    <w:p w14:paraId="788B290B" w14:textId="77777777" w:rsidR="005C1B79" w:rsidRPr="00956F16" w:rsidRDefault="005C1B79" w:rsidP="005C1B79">
      <w:pPr>
        <w:spacing w:after="0" w:line="240" w:lineRule="auto"/>
        <w:rPr>
          <w:rFonts w:ascii="Times New Roman" w:eastAsia="Calibri" w:hAnsi="Times New Roman" w:cs="Times New Roman"/>
        </w:rPr>
      </w:pPr>
    </w:p>
    <w:p w14:paraId="5CE5682F"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4.5</w:t>
      </w:r>
      <w:r w:rsidRPr="00956F16">
        <w:rPr>
          <w:rFonts w:ascii="Times New Roman" w:eastAsia="Calibri" w:hAnsi="Times New Roman" w:cs="Times New Roman"/>
          <w:b/>
        </w:rPr>
        <w:tab/>
        <w:t>Gyógyszerkölcsönhatások és egyéb interakciók</w:t>
      </w:r>
    </w:p>
    <w:p w14:paraId="67DAA9C4" w14:textId="77777777" w:rsidR="00956F16" w:rsidRPr="00956F16" w:rsidRDefault="00956F16" w:rsidP="00956F16">
      <w:pPr>
        <w:keepNext/>
        <w:spacing w:after="0" w:line="240" w:lineRule="auto"/>
        <w:rPr>
          <w:rFonts w:ascii="Times New Roman" w:eastAsia="Calibri" w:hAnsi="Times New Roman" w:cs="Times New Roman"/>
        </w:rPr>
      </w:pPr>
    </w:p>
    <w:p w14:paraId="4AAFA41C"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Eritropoetikus vagy egyéb olyan gyógyszereket, amelyek növelhetik a thrombosis kockázatát (pl. hormonpótló terápia) körültekintéssel kell alkalmazni a dexametazonnal kombinációban adott lenalidomiddal kezelt myeloma multiplexes betegeknél (lásd 4.4 és 4.8 pont).</w:t>
      </w:r>
    </w:p>
    <w:p w14:paraId="4F37B331" w14:textId="77777777" w:rsidR="00956F16" w:rsidRPr="00956F16" w:rsidRDefault="00956F16" w:rsidP="00956F16">
      <w:pPr>
        <w:spacing w:after="0" w:line="240" w:lineRule="auto"/>
        <w:rPr>
          <w:rFonts w:ascii="Times New Roman" w:eastAsia="Calibri" w:hAnsi="Times New Roman" w:cs="Times New Roman"/>
        </w:rPr>
      </w:pPr>
    </w:p>
    <w:p w14:paraId="26E243A8"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Orális fogamzásgátlók</w:t>
      </w:r>
    </w:p>
    <w:p w14:paraId="514A4A3D"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Orális fogamzásgátlókkal nem végeztek interakciós vizsgálatot. A lenalidomid nem enziminduktor. Egy humán hepatocitákkal végzett </w:t>
      </w:r>
      <w:r w:rsidRPr="00956F16">
        <w:rPr>
          <w:rFonts w:ascii="Times New Roman" w:eastAsia="Calibri" w:hAnsi="Times New Roman" w:cs="Times New Roman"/>
          <w:i/>
        </w:rPr>
        <w:t>in vitro</w:t>
      </w:r>
      <w:r w:rsidRPr="00956F16">
        <w:rPr>
          <w:rFonts w:ascii="Times New Roman" w:eastAsia="Calibri" w:hAnsi="Times New Roman" w:cs="Times New Roman"/>
        </w:rPr>
        <w:t xml:space="preserve"> vizsgálatban a lenalidomid a különböző vizsgált koncentrációknál nem indukálta a CYP1A2, CYP2B6, CYP2C9, CYP2C19 és CYP3A4/5 enzimeket. A monoterápiában alkalmazott lenalidomid mellett ezért nem várható a gyógyszerek – a hormonális fogamzásgátlókat is ideértve – hatásosságának csökkenését eredményező indukció. A dexametazon azonban a CYP3A4 enzim ismert enyhe-, közepes fokú induktora, és valószínűleg egyéb enzimekre és szállítófehérjékre is hatással van. Nem zárható ki, hogy a kezelés során csökkenhet az orális </w:t>
      </w:r>
      <w:r w:rsidRPr="00956F16">
        <w:rPr>
          <w:rFonts w:ascii="Times New Roman" w:eastAsia="Calibri" w:hAnsi="Times New Roman" w:cs="Times New Roman"/>
        </w:rPr>
        <w:lastRenderedPageBreak/>
        <w:t>fogamzásgátlók hatásossága. Hatékony terhességmegelőző intézkedések alkalmazása szükséges (lásd 4.4 és 4.6 pont).</w:t>
      </w:r>
    </w:p>
    <w:p w14:paraId="2A0EE792" w14:textId="77777777" w:rsidR="00956F16" w:rsidRPr="00956F16" w:rsidRDefault="00956F16" w:rsidP="00956F16">
      <w:pPr>
        <w:spacing w:after="0" w:line="240" w:lineRule="auto"/>
        <w:rPr>
          <w:rFonts w:ascii="Times New Roman" w:eastAsia="Calibri" w:hAnsi="Times New Roman" w:cs="Times New Roman"/>
        </w:rPr>
      </w:pPr>
    </w:p>
    <w:p w14:paraId="18D6849D"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Warfarin</w:t>
      </w:r>
    </w:p>
    <w:p w14:paraId="78AA33D4" w14:textId="37CFDB09"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10 mg-os ismételt dózisainak együttes alkalmazása nem volt hatással az egyszeri adagolású R- és S-warfarin farmakokinetikájára. Egyszeri adagolású 25 mg warfarin együttes alkalmazása nem volt hatással a lenalidomid farmakokinetikájára. Nem ismert azonban, hogy a dexametazonnal történő együttadás esetén a klinikai alkalmazás során fellép-e kölcsönhatás. A dexametazon enyhe-közepes fokú enziminduktor, és a warfarinra gyakorolt hatása nem ismert. A kezelés alatt a warfarin-koncentráció szoros monitorozása javasolt.</w:t>
      </w:r>
    </w:p>
    <w:p w14:paraId="34934015" w14:textId="77777777" w:rsidR="00956F16" w:rsidRPr="00956F16" w:rsidRDefault="00956F16" w:rsidP="00956F16">
      <w:pPr>
        <w:spacing w:after="0" w:line="240" w:lineRule="auto"/>
        <w:rPr>
          <w:rFonts w:ascii="Times New Roman" w:eastAsia="Calibri" w:hAnsi="Times New Roman" w:cs="Times New Roman"/>
        </w:rPr>
      </w:pPr>
    </w:p>
    <w:p w14:paraId="100E270B"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Digoxin</w:t>
      </w:r>
    </w:p>
    <w:p w14:paraId="09FC9A6E" w14:textId="6E87076B" w:rsidR="00956F16" w:rsidRPr="00956F16" w:rsidRDefault="00956F16" w:rsidP="00956F16">
      <w:pPr>
        <w:widowControl w:val="0"/>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Naponta egyszer 10 mg lenalidomiddal történő együttes alkalmazás 14%-kal növeli a plazma digoxin-expozícióját (0,5 mg, egyszeri </w:t>
      </w:r>
      <w:r w:rsidR="00426AD5">
        <w:rPr>
          <w:rFonts w:ascii="Times New Roman" w:eastAsia="Calibri" w:hAnsi="Times New Roman" w:cs="Times New Roman"/>
        </w:rPr>
        <w:t>dózis</w:t>
      </w:r>
      <w:r w:rsidRPr="00956F16">
        <w:rPr>
          <w:rFonts w:ascii="Times New Roman" w:eastAsia="Calibri" w:hAnsi="Times New Roman" w:cs="Times New Roman"/>
        </w:rPr>
        <w:t>) 90%-os CI (konfidenciaintervallum) mellett [0,52%</w:t>
      </w:r>
      <w:r w:rsidR="00384E3B">
        <w:rPr>
          <w:rFonts w:ascii="Times New Roman" w:eastAsia="Calibri" w:hAnsi="Times New Roman" w:cs="Times New Roman"/>
        </w:rPr>
        <w:t>–</w:t>
      </w:r>
      <w:r w:rsidRPr="00956F16">
        <w:rPr>
          <w:rFonts w:ascii="Times New Roman" w:eastAsia="Calibri" w:hAnsi="Times New Roman" w:cs="Times New Roman"/>
        </w:rPr>
        <w:t xml:space="preserve">28,2%]. Nem ismert </w:t>
      </w:r>
      <w:r w:rsidR="00B20D30">
        <w:rPr>
          <w:rFonts w:ascii="Times New Roman" w:eastAsia="Calibri" w:hAnsi="Times New Roman" w:cs="Times New Roman"/>
        </w:rPr>
        <w:t>a</w:t>
      </w:r>
      <w:r w:rsidRPr="00956F16">
        <w:rPr>
          <w:rFonts w:ascii="Times New Roman" w:eastAsia="Calibri" w:hAnsi="Times New Roman" w:cs="Times New Roman"/>
        </w:rPr>
        <w:t>zonban, hogy a hatás ettől eltér-e klinikai alkalmazás során (nagyobb lenalidomid</w:t>
      </w:r>
      <w:r w:rsidR="00384E3B">
        <w:rPr>
          <w:rFonts w:ascii="Times New Roman" w:eastAsia="Calibri" w:hAnsi="Times New Roman" w:cs="Times New Roman"/>
        </w:rPr>
        <w:t>-</w:t>
      </w:r>
      <w:r w:rsidRPr="00956F16">
        <w:rPr>
          <w:rFonts w:ascii="Times New Roman" w:eastAsia="Calibri" w:hAnsi="Times New Roman" w:cs="Times New Roman"/>
        </w:rPr>
        <w:t>dózis és egyidejű dexametazon</w:t>
      </w:r>
      <w:r w:rsidR="00104634">
        <w:rPr>
          <w:rFonts w:ascii="Times New Roman" w:eastAsia="Calibri" w:hAnsi="Times New Roman" w:cs="Times New Roman"/>
        </w:rPr>
        <w:t>-</w:t>
      </w:r>
      <w:r w:rsidRPr="00956F16">
        <w:rPr>
          <w:rFonts w:ascii="Times New Roman" w:eastAsia="Calibri" w:hAnsi="Times New Roman" w:cs="Times New Roman"/>
        </w:rPr>
        <w:t>kezelés esetén). Ezért a lenalidomid</w:t>
      </w:r>
      <w:r w:rsidR="00104634">
        <w:rPr>
          <w:rFonts w:ascii="Times New Roman" w:eastAsia="Calibri" w:hAnsi="Times New Roman" w:cs="Times New Roman"/>
        </w:rPr>
        <w:t>-</w:t>
      </w:r>
      <w:r w:rsidRPr="00956F16">
        <w:rPr>
          <w:rFonts w:ascii="Times New Roman" w:eastAsia="Calibri" w:hAnsi="Times New Roman" w:cs="Times New Roman"/>
        </w:rPr>
        <w:t>kezelés alatt javasolt a digoxin koncentrációjának monitorozása.</w:t>
      </w:r>
    </w:p>
    <w:p w14:paraId="3ABD21BD" w14:textId="77777777" w:rsidR="00956F16" w:rsidRPr="00956F16" w:rsidRDefault="00956F16" w:rsidP="00956F16">
      <w:pPr>
        <w:spacing w:after="0" w:line="240" w:lineRule="auto"/>
        <w:rPr>
          <w:rFonts w:ascii="Times New Roman" w:eastAsia="Calibri" w:hAnsi="Times New Roman" w:cs="Times New Roman"/>
        </w:rPr>
      </w:pPr>
    </w:p>
    <w:p w14:paraId="04C416D9"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Sztatinok</w:t>
      </w:r>
    </w:p>
    <w:p w14:paraId="71AD255F"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Sztatinok lenalidomiddal történő alkalmazása esetén magasabb a rhabdomyolysis kockázata, ami egyszerű additív hatás lehet. Fokozottabb klinikai és laboratóriumi ellenőrzésre van szükség, különösen a kezelés első heteiben.</w:t>
      </w:r>
    </w:p>
    <w:p w14:paraId="1A7FA39A" w14:textId="77777777" w:rsidR="00956F16" w:rsidRPr="00956F16" w:rsidRDefault="00956F16" w:rsidP="00956F16">
      <w:pPr>
        <w:spacing w:after="0" w:line="240" w:lineRule="auto"/>
        <w:rPr>
          <w:rFonts w:ascii="Times New Roman" w:eastAsia="Calibri" w:hAnsi="Times New Roman" w:cs="Times New Roman"/>
        </w:rPr>
      </w:pPr>
    </w:p>
    <w:p w14:paraId="2DB4089D"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Dexametazon</w:t>
      </w:r>
    </w:p>
    <w:p w14:paraId="6EBB3551"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Dexametazon egyszeri vagy ismételt dózisainak (40 mg naponta egyszer) együttadása nem gyakorolt klinikailag jelentős hatást az ismételt dózisú (25 mg naponta egyszer) lenalidomid farmakokinetikájára.</w:t>
      </w:r>
    </w:p>
    <w:p w14:paraId="1EF94CCE" w14:textId="77777777" w:rsidR="00956F16" w:rsidRPr="00956F16" w:rsidRDefault="00956F16" w:rsidP="00956F16">
      <w:pPr>
        <w:spacing w:after="0" w:line="240" w:lineRule="auto"/>
        <w:rPr>
          <w:rFonts w:ascii="Times New Roman" w:eastAsia="Calibri" w:hAnsi="Times New Roman" w:cs="Times New Roman"/>
        </w:rPr>
      </w:pPr>
    </w:p>
    <w:p w14:paraId="5D042F5C" w14:textId="73D11DDA"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Kölcsönhatások P</w:t>
      </w:r>
      <w:r w:rsidR="00104634">
        <w:rPr>
          <w:rFonts w:ascii="Times New Roman" w:eastAsia="Calibri" w:hAnsi="Times New Roman" w:cs="Times New Roman"/>
          <w:u w:val="single"/>
        </w:rPr>
        <w:t>-</w:t>
      </w:r>
      <w:r w:rsidRPr="00956F16">
        <w:rPr>
          <w:rFonts w:ascii="Times New Roman" w:eastAsia="Calibri" w:hAnsi="Times New Roman" w:cs="Times New Roman"/>
          <w:u w:val="single"/>
        </w:rPr>
        <w:t>glikoprotein (P</w:t>
      </w:r>
      <w:r w:rsidR="00104634">
        <w:rPr>
          <w:rFonts w:ascii="Times New Roman" w:eastAsia="Calibri" w:hAnsi="Times New Roman" w:cs="Times New Roman"/>
          <w:u w:val="single"/>
        </w:rPr>
        <w:t>-</w:t>
      </w:r>
      <w:r w:rsidRPr="00956F16">
        <w:rPr>
          <w:rFonts w:ascii="Times New Roman" w:eastAsia="Calibri" w:hAnsi="Times New Roman" w:cs="Times New Roman"/>
          <w:u w:val="single"/>
        </w:rPr>
        <w:t>gp) inhibitorokkal</w:t>
      </w:r>
    </w:p>
    <w:p w14:paraId="0499C2ED" w14:textId="3EC2ED10"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w:t>
      </w:r>
      <w:r w:rsidRPr="00956F16">
        <w:rPr>
          <w:rFonts w:ascii="Times New Roman" w:eastAsia="Calibri" w:hAnsi="Times New Roman" w:cs="Times New Roman"/>
          <w:i/>
        </w:rPr>
        <w:t>in vitro</w:t>
      </w:r>
      <w:r w:rsidRPr="00956F16">
        <w:rPr>
          <w:rFonts w:ascii="Times New Roman" w:eastAsia="Calibri" w:hAnsi="Times New Roman" w:cs="Times New Roman"/>
        </w:rPr>
        <w:t xml:space="preserve"> a P</w:t>
      </w:r>
      <w:r w:rsidR="00104634">
        <w:rPr>
          <w:rFonts w:ascii="Times New Roman" w:eastAsia="Calibri" w:hAnsi="Times New Roman" w:cs="Times New Roman"/>
        </w:rPr>
        <w:t>-</w:t>
      </w:r>
      <w:r w:rsidRPr="00956F16">
        <w:rPr>
          <w:rFonts w:ascii="Times New Roman" w:eastAsia="Calibri" w:hAnsi="Times New Roman" w:cs="Times New Roman"/>
        </w:rPr>
        <w:t>gp szubsztrátja, de nem P</w:t>
      </w:r>
      <w:r w:rsidR="00104634">
        <w:rPr>
          <w:rFonts w:ascii="Times New Roman" w:eastAsia="Calibri" w:hAnsi="Times New Roman" w:cs="Times New Roman"/>
        </w:rPr>
        <w:t>-</w:t>
      </w:r>
      <w:r w:rsidRPr="00956F16">
        <w:rPr>
          <w:rFonts w:ascii="Times New Roman" w:eastAsia="Calibri" w:hAnsi="Times New Roman" w:cs="Times New Roman"/>
        </w:rPr>
        <w:t>gp-inhibitor. Az erős P</w:t>
      </w:r>
      <w:r w:rsidR="00104634">
        <w:rPr>
          <w:rFonts w:ascii="Times New Roman" w:eastAsia="Calibri" w:hAnsi="Times New Roman" w:cs="Times New Roman"/>
        </w:rPr>
        <w:t>-</w:t>
      </w:r>
      <w:r w:rsidRPr="00956F16">
        <w:rPr>
          <w:rFonts w:ascii="Times New Roman" w:eastAsia="Calibri" w:hAnsi="Times New Roman" w:cs="Times New Roman"/>
        </w:rPr>
        <w:t>gp-inhibitor kinidin (napi kétszer 600 mg) vagy a közepesen erős P</w:t>
      </w:r>
      <w:r w:rsidR="00104634">
        <w:rPr>
          <w:rFonts w:ascii="Times New Roman" w:eastAsia="Calibri" w:hAnsi="Times New Roman" w:cs="Times New Roman"/>
        </w:rPr>
        <w:t>-</w:t>
      </w:r>
      <w:r w:rsidRPr="00956F16">
        <w:rPr>
          <w:rFonts w:ascii="Times New Roman" w:eastAsia="Calibri" w:hAnsi="Times New Roman" w:cs="Times New Roman"/>
        </w:rPr>
        <w:t>gp-inhibitor/-szubsztrát temszirolimusz (25 mg) ismételt dózisainak együttadása nem gyakorolt klinikailag jelentős hatást az ismételt dózisú lenalidomid (napi 25 mg) farmakokinetikájára. Az egyidejűleg adott lenalidomid nem változtatja meg a temszirolimusz farmakokinetikáját.</w:t>
      </w:r>
    </w:p>
    <w:p w14:paraId="19D7C429" w14:textId="77777777" w:rsidR="00956F16" w:rsidRPr="00956F16" w:rsidRDefault="00956F16" w:rsidP="00956F16">
      <w:pPr>
        <w:spacing w:after="0" w:line="240" w:lineRule="auto"/>
        <w:rPr>
          <w:rFonts w:ascii="Times New Roman" w:eastAsia="Calibri" w:hAnsi="Times New Roman" w:cs="Times New Roman"/>
        </w:rPr>
      </w:pPr>
    </w:p>
    <w:p w14:paraId="058D0601"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4.6</w:t>
      </w:r>
      <w:r w:rsidRPr="00956F16">
        <w:rPr>
          <w:rFonts w:ascii="Times New Roman" w:eastAsia="Calibri" w:hAnsi="Times New Roman" w:cs="Times New Roman"/>
          <w:b/>
        </w:rPr>
        <w:tab/>
        <w:t>Termékenység, terhesség és szoptatás</w:t>
      </w:r>
    </w:p>
    <w:p w14:paraId="0E2C152E" w14:textId="77777777" w:rsidR="00956F16" w:rsidRPr="00956F16" w:rsidRDefault="00956F16" w:rsidP="00956F16">
      <w:pPr>
        <w:keepNext/>
        <w:spacing w:after="0" w:line="240" w:lineRule="auto"/>
        <w:rPr>
          <w:rFonts w:ascii="Times New Roman" w:eastAsia="Calibri" w:hAnsi="Times New Roman" w:cs="Times New Roman"/>
        </w:rPr>
      </w:pPr>
    </w:p>
    <w:p w14:paraId="4C353DC2"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lenalidomidot teratogén hatása miatt egy terhességmegelőző program keretében kell felírni (lásd 4.4 pont), hacsak nincs megbízható bizonyíték arra, hogy a beteg nem fogamzóképes.</w:t>
      </w:r>
    </w:p>
    <w:p w14:paraId="318F1039" w14:textId="77777777" w:rsidR="00956F16" w:rsidRPr="00956F16" w:rsidRDefault="00956F16" w:rsidP="00956F16">
      <w:pPr>
        <w:spacing w:after="0" w:line="240" w:lineRule="auto"/>
        <w:rPr>
          <w:rFonts w:ascii="Times New Roman" w:eastAsia="Calibri" w:hAnsi="Times New Roman" w:cs="Times New Roman"/>
        </w:rPr>
      </w:pPr>
    </w:p>
    <w:p w14:paraId="586E1EE4"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Fogamzóképes nők / Fogamzásgátlás férfiaknál és nőknél</w:t>
      </w:r>
    </w:p>
    <w:p w14:paraId="13A3F5E9"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Fogamzóképes nőknek hatékony fogamzásgátló módszert kell alkalmazniuk. Ha egy lenalidomiddal kezelt nő teherbe esik, a kezelést le kell állítani, és a betegeket vizsgálat és tanácsadás céljából egy a teratológiában szakképesítéssel vagy tapasztalattal rendelkező szakorvoshoz kell utalni. Ha egy lenalidomidot szedő férfi beteg partnere teherbe esik, akkor javasolt a női partnert vizsgálat és tanácsadás céljából egy a teratológiából szakképesítéssel rendelkező vagy abban tapasztalattal rendelkező szakorvoshoz utalni.</w:t>
      </w:r>
    </w:p>
    <w:p w14:paraId="141DA066" w14:textId="77777777" w:rsidR="00956F16" w:rsidRPr="00956F16" w:rsidRDefault="00956F16" w:rsidP="00956F16">
      <w:pPr>
        <w:spacing w:after="0" w:line="240" w:lineRule="auto"/>
        <w:rPr>
          <w:rFonts w:ascii="Times New Roman" w:eastAsia="Calibri" w:hAnsi="Times New Roman" w:cs="Times New Roman"/>
        </w:rPr>
      </w:pPr>
    </w:p>
    <w:p w14:paraId="4F9F17BC"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a kezelés során rendkívül alacsony koncentrációban van jelen a humán spermában, a kezelés abbahagyása után 3 nappal pedig már nem mutatható ki egészséges alanyok spermájából (lásd 5.2 pont). Óvintézkedésként – valamint azokat a különleges betegcsoportokat figyelembe véve, akiknél az elimináció elhúzódóbb, például vesekárosodásban szenvedőknél – minden lenalidomidot szedő férfi betegnek óvszert kell használnia a kezelés teljes időtartama alatt, az adagolás felfüggesztése során és a kezelés befejezése után 1 hétig, ha partnere terhes vagy fogamzóképes és nem alkalmaz fogamzásgátlást.</w:t>
      </w:r>
    </w:p>
    <w:p w14:paraId="255E675B" w14:textId="77777777" w:rsidR="00956F16" w:rsidRPr="00956F16" w:rsidRDefault="00956F16" w:rsidP="00956F16">
      <w:pPr>
        <w:spacing w:after="0" w:line="240" w:lineRule="auto"/>
        <w:rPr>
          <w:rFonts w:ascii="Times New Roman" w:eastAsia="Calibri" w:hAnsi="Times New Roman" w:cs="Times New Roman"/>
        </w:rPr>
      </w:pPr>
    </w:p>
    <w:p w14:paraId="31AFE2A7"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lastRenderedPageBreak/>
        <w:t>Terhesség</w:t>
      </w:r>
    </w:p>
    <w:p w14:paraId="4396FD48"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szerkezetileg hasonló a talidomidhoz. A talidomid ismert teratogén hatóanyag, amely súlyos, életet veszélyeztető születési rendellenességeket okoz.</w:t>
      </w:r>
    </w:p>
    <w:p w14:paraId="127F7A1E" w14:textId="77777777" w:rsidR="00956F16" w:rsidRPr="00956F16" w:rsidRDefault="00956F16" w:rsidP="00956F16">
      <w:pPr>
        <w:spacing w:after="0" w:line="240" w:lineRule="auto"/>
        <w:rPr>
          <w:rFonts w:ascii="Times New Roman" w:eastAsia="Calibri" w:hAnsi="Times New Roman" w:cs="Times New Roman"/>
        </w:rPr>
      </w:pPr>
    </w:p>
    <w:p w14:paraId="3F7C84E6"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majmoknál a talidomidnál leírtakhoz hasonló malformációkat okozott (lásd 5.3 pont). A lenalidomid ezért várhatóan teratogén hatással rendelkezik és alkalmazása ellenjavallt terhesség alatt (lásd 4.3 pont).</w:t>
      </w:r>
    </w:p>
    <w:p w14:paraId="270347A5" w14:textId="77777777" w:rsidR="00956F16" w:rsidRPr="00956F16" w:rsidRDefault="00956F16" w:rsidP="00956F16">
      <w:pPr>
        <w:spacing w:after="0" w:line="240" w:lineRule="auto"/>
        <w:rPr>
          <w:rFonts w:ascii="Times New Roman" w:eastAsia="Calibri" w:hAnsi="Times New Roman" w:cs="Times New Roman"/>
        </w:rPr>
      </w:pPr>
    </w:p>
    <w:p w14:paraId="43E0417C"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Szoptatás</w:t>
      </w:r>
    </w:p>
    <w:p w14:paraId="0D3D02E6" w14:textId="570D423F" w:rsidR="00956F16" w:rsidRPr="00956F16" w:rsidRDefault="00956F16" w:rsidP="00956F16">
      <w:pPr>
        <w:tabs>
          <w:tab w:val="left" w:pos="567"/>
        </w:tabs>
        <w:spacing w:after="0" w:line="240" w:lineRule="auto"/>
        <w:rPr>
          <w:rFonts w:ascii="Times New Roman" w:eastAsia="Calibri" w:hAnsi="Times New Roman" w:cs="Times New Roman"/>
        </w:rPr>
      </w:pPr>
      <w:r w:rsidRPr="00956F16">
        <w:rPr>
          <w:rFonts w:ascii="Times New Roman" w:eastAsia="Calibri" w:hAnsi="Times New Roman" w:cs="Times New Roman"/>
        </w:rPr>
        <w:t>Nem ismert, hogy a lenalidomid kiválasztódik-e a humán anyatejbe, ezért a lenalidomid</w:t>
      </w:r>
      <w:r w:rsidR="00104634">
        <w:rPr>
          <w:rFonts w:ascii="Times New Roman" w:eastAsia="Calibri" w:hAnsi="Times New Roman" w:cs="Times New Roman"/>
        </w:rPr>
        <w:t>-</w:t>
      </w:r>
      <w:r w:rsidRPr="00956F16">
        <w:rPr>
          <w:rFonts w:ascii="Times New Roman" w:eastAsia="Calibri" w:hAnsi="Times New Roman" w:cs="Times New Roman"/>
        </w:rPr>
        <w:t>kezelés alatt a szoptatást fel kell függeszteni.</w:t>
      </w:r>
    </w:p>
    <w:p w14:paraId="78A4E4A7" w14:textId="77777777" w:rsidR="00956F16" w:rsidRPr="00956F16" w:rsidRDefault="00956F16" w:rsidP="00956F16">
      <w:pPr>
        <w:spacing w:after="0" w:line="240" w:lineRule="auto"/>
        <w:rPr>
          <w:rFonts w:ascii="Times New Roman" w:eastAsia="Calibri" w:hAnsi="Times New Roman" w:cs="Times New Roman"/>
        </w:rPr>
      </w:pPr>
    </w:p>
    <w:p w14:paraId="68E4D639"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Termékenység</w:t>
      </w:r>
    </w:p>
    <w:p w14:paraId="2DFB36C7" w14:textId="251DC5B0" w:rsidR="00956F16" w:rsidRPr="00956F16" w:rsidRDefault="00956F16" w:rsidP="00956F16">
      <w:pPr>
        <w:widowControl w:val="0"/>
        <w:spacing w:after="0" w:line="240" w:lineRule="auto"/>
        <w:rPr>
          <w:rFonts w:ascii="Times New Roman" w:eastAsia="Calibri" w:hAnsi="Times New Roman" w:cs="Times New Roman"/>
        </w:rPr>
      </w:pPr>
      <w:r w:rsidRPr="00956F16">
        <w:rPr>
          <w:rFonts w:ascii="Times New Roman" w:eastAsia="Calibri" w:hAnsi="Times New Roman" w:cs="Times New Roman"/>
        </w:rPr>
        <w:t>A lenalidomiddal patkányoknál, legfeljebb 500 mg/ttkg-os dózisokkal (a testfelületre számított 25 mg</w:t>
      </w:r>
      <w:r w:rsidR="00104634">
        <w:rPr>
          <w:rFonts w:ascii="Times New Roman" w:eastAsia="Calibri" w:hAnsi="Times New Roman" w:cs="Times New Roman"/>
        </w:rPr>
        <w:t>-</w:t>
      </w:r>
      <w:r w:rsidRPr="00956F16">
        <w:rPr>
          <w:rFonts w:ascii="Times New Roman" w:eastAsia="Calibri" w:hAnsi="Times New Roman" w:cs="Times New Roman"/>
        </w:rPr>
        <w:t>os humán dózisnak körülbelül 200-szorosa</w:t>
      </w:r>
      <w:r w:rsidR="00F1363A">
        <w:rPr>
          <w:rFonts w:ascii="Times New Roman" w:eastAsia="Calibri" w:hAnsi="Times New Roman" w:cs="Times New Roman"/>
        </w:rPr>
        <w:t>,</w:t>
      </w:r>
      <w:r w:rsidRPr="00956F16">
        <w:rPr>
          <w:rFonts w:ascii="Times New Roman" w:eastAsia="Calibri" w:hAnsi="Times New Roman" w:cs="Times New Roman"/>
        </w:rPr>
        <w:t xml:space="preserve"> a 10 mg-os humán dózisnak pedig körölbelül 500-szorosa) végzett termékenységi vizsgálat során nem figyeltek meg a termékenységre gyakorolt káros hatásokat vagy a szülőállatokra kifejtett toxikus hatást.</w:t>
      </w:r>
    </w:p>
    <w:p w14:paraId="1971439E" w14:textId="77777777" w:rsidR="00956F16" w:rsidRPr="00956F16" w:rsidRDefault="00956F16" w:rsidP="00956F16">
      <w:pPr>
        <w:spacing w:after="0" w:line="240" w:lineRule="auto"/>
        <w:rPr>
          <w:rFonts w:ascii="Times New Roman" w:eastAsia="Calibri" w:hAnsi="Times New Roman" w:cs="Times New Roman"/>
        </w:rPr>
      </w:pPr>
    </w:p>
    <w:p w14:paraId="293BB747"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4.7</w:t>
      </w:r>
      <w:r w:rsidRPr="00956F16">
        <w:rPr>
          <w:rFonts w:ascii="Times New Roman" w:eastAsia="Calibri" w:hAnsi="Times New Roman" w:cs="Times New Roman"/>
          <w:b/>
        </w:rPr>
        <w:tab/>
        <w:t>A készítmény hatásai a gépjárművezetéshez és a gépek kezeléséhez szükséges képességekre</w:t>
      </w:r>
    </w:p>
    <w:p w14:paraId="72F2DF14" w14:textId="77777777" w:rsidR="00956F16" w:rsidRPr="00956F16" w:rsidRDefault="00956F16" w:rsidP="00956F16">
      <w:pPr>
        <w:keepNext/>
        <w:spacing w:after="0" w:line="240" w:lineRule="auto"/>
        <w:rPr>
          <w:rFonts w:ascii="Times New Roman" w:eastAsia="Calibri" w:hAnsi="Times New Roman" w:cs="Times New Roman"/>
        </w:rPr>
      </w:pPr>
    </w:p>
    <w:p w14:paraId="6A64FC9F" w14:textId="09498ABA"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A lenalidomid kismértékben vagy közepes mértékben befolyásolja a gépjárművezetéshez és a gépek kezeléséhez szükséges képességeket. A lenalidomid alkalmazása során fáradtságról, szédülésről, álmosságról, vertigóról és homályos látásról számoltak be, ezért gépjárművezetés vagy gépek kezelése során</w:t>
      </w:r>
      <w:r w:rsidR="001D741F" w:rsidRPr="001D741F">
        <w:rPr>
          <w:rFonts w:ascii="Times New Roman" w:eastAsia="Calibri" w:hAnsi="Times New Roman" w:cs="Times New Roman"/>
        </w:rPr>
        <w:t xml:space="preserve"> </w:t>
      </w:r>
      <w:r w:rsidR="001D741F" w:rsidRPr="00956F16">
        <w:rPr>
          <w:rFonts w:ascii="Times New Roman" w:eastAsia="Calibri" w:hAnsi="Times New Roman" w:cs="Times New Roman"/>
        </w:rPr>
        <w:t>óvatosság javasolt</w:t>
      </w:r>
      <w:r w:rsidRPr="00956F16">
        <w:rPr>
          <w:rFonts w:ascii="Times New Roman" w:eastAsia="Calibri" w:hAnsi="Times New Roman" w:cs="Times New Roman"/>
        </w:rPr>
        <w:t>.</w:t>
      </w:r>
    </w:p>
    <w:p w14:paraId="3F3C516E" w14:textId="77777777" w:rsidR="00956F16" w:rsidRPr="00956F16" w:rsidRDefault="00956F16" w:rsidP="00956F16">
      <w:pPr>
        <w:spacing w:after="0" w:line="240" w:lineRule="auto"/>
        <w:rPr>
          <w:rFonts w:ascii="Times New Roman" w:eastAsia="Calibri" w:hAnsi="Times New Roman" w:cs="Times New Roman"/>
        </w:rPr>
      </w:pPr>
    </w:p>
    <w:p w14:paraId="080CB17F" w14:textId="77777777" w:rsidR="00956F16" w:rsidRPr="00956F16" w:rsidRDefault="00956F16" w:rsidP="00956F16">
      <w:pPr>
        <w:keepNext/>
        <w:spacing w:after="0" w:line="240" w:lineRule="auto"/>
        <w:rPr>
          <w:rFonts w:ascii="Times New Roman" w:eastAsia="Calibri" w:hAnsi="Times New Roman" w:cs="Times New Roman"/>
          <w:b/>
        </w:rPr>
      </w:pPr>
      <w:r w:rsidRPr="00956F16">
        <w:rPr>
          <w:rFonts w:ascii="Times New Roman" w:eastAsia="Calibri" w:hAnsi="Times New Roman" w:cs="Times New Roman"/>
          <w:b/>
        </w:rPr>
        <w:t>4.8</w:t>
      </w:r>
      <w:r w:rsidRPr="00956F16">
        <w:rPr>
          <w:rFonts w:ascii="Times New Roman" w:eastAsia="Calibri" w:hAnsi="Times New Roman" w:cs="Times New Roman"/>
          <w:b/>
        </w:rPr>
        <w:tab/>
        <w:t>Nemkívánatos hatások, mellékhatások</w:t>
      </w:r>
    </w:p>
    <w:p w14:paraId="6A020204" w14:textId="77777777" w:rsidR="00956F16" w:rsidRPr="00956F16" w:rsidRDefault="00956F16" w:rsidP="00956F16">
      <w:pPr>
        <w:keepNext/>
        <w:spacing w:after="0" w:line="240" w:lineRule="auto"/>
        <w:rPr>
          <w:rFonts w:ascii="Times New Roman" w:eastAsia="Calibri" w:hAnsi="Times New Roman" w:cs="Times New Roman"/>
        </w:rPr>
      </w:pPr>
    </w:p>
    <w:p w14:paraId="6A144C16"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A biztonságossági profil összefoglalása</w:t>
      </w:r>
    </w:p>
    <w:p w14:paraId="27B7D2C4" w14:textId="77777777" w:rsidR="00956F16" w:rsidRPr="00956F16" w:rsidRDefault="00956F16" w:rsidP="00956F16">
      <w:pPr>
        <w:keepNext/>
        <w:spacing w:after="0" w:line="240" w:lineRule="auto"/>
        <w:rPr>
          <w:rFonts w:ascii="Times New Roman" w:eastAsia="Calibri" w:hAnsi="Times New Roman" w:cs="Times New Roman"/>
        </w:rPr>
      </w:pPr>
    </w:p>
    <w:p w14:paraId="521D7CD3"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Újonnan diagnosztizált myeloma multiplex: ASCT-n átesett, lenalidomid fenntartó kezelésben részesülő betegek</w:t>
      </w:r>
    </w:p>
    <w:p w14:paraId="504A7967"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CALGB 100104 vizsgálatban bekövetkezett mellékhatások meghatározására konzervatív megközelítést alkalmaztak. Az 1. táblázatban ismertetett mellékhatások között voltak HDM/ASCT utáni események és a fenntartó kezelés időszakában fellépő események is. Egy újabb, a fenntartó kezelés kezdete utáni mellékhatásokat azonosító elemzés eredményei arra utalnak, hogy a mellékhatások 1. táblázatban ismertetett gyakorisága nagyobb lehet, mint a fenntartó kezelés során ténylegesen megfigyelt gyakoriságok. Az IFM 2005-02 vizsgálatban csak a fenntartó kezelés időszakában történt nemkívánatos eseményeket tanulmányozták.</w:t>
      </w:r>
    </w:p>
    <w:p w14:paraId="54203A96" w14:textId="77777777" w:rsidR="00956F16" w:rsidRPr="00956F16" w:rsidRDefault="00956F16" w:rsidP="00956F16">
      <w:pPr>
        <w:spacing w:after="0" w:line="240" w:lineRule="auto"/>
        <w:rPr>
          <w:rFonts w:ascii="Times New Roman" w:eastAsia="Calibri" w:hAnsi="Times New Roman" w:cs="Times New Roman"/>
        </w:rPr>
      </w:pPr>
    </w:p>
    <w:p w14:paraId="737461FC"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A lenalidomiddal végzett fenntartó kezelés mellett a placebo alkalmazásához képest gyakrabban (≥ 5%) megfigyelt súlyos mellékhatások az alábbiak voltak:</w:t>
      </w:r>
    </w:p>
    <w:p w14:paraId="52DFE40D"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pneumonia (10,6%; gyűjtőkifejezés) az IFM 2005-02 vizsgálat alapján,</w:t>
      </w:r>
    </w:p>
    <w:p w14:paraId="723CA8F3"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tüdőfertőzés (9,4% [9,4% a fenntartó kezelés kezdete után]) CALGB 100104 vizsgálat alapján.</w:t>
      </w:r>
    </w:p>
    <w:p w14:paraId="1C2A7781" w14:textId="77777777" w:rsidR="00956F16" w:rsidRPr="00956F16" w:rsidRDefault="00956F16" w:rsidP="00956F16">
      <w:pPr>
        <w:spacing w:after="0" w:line="240" w:lineRule="auto"/>
        <w:rPr>
          <w:rFonts w:ascii="Times New Roman" w:eastAsia="Calibri" w:hAnsi="Times New Roman" w:cs="Times New Roman"/>
        </w:rPr>
      </w:pPr>
    </w:p>
    <w:p w14:paraId="243741D8"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IFM 2005-02 vizsgálat során a lenalidomiddal végzett fenntartó kezelés mellett a placebo alkalmazásához képest gyakrabban megfigyelt mellékhatások az alábbiak voltak: neutropenia (60,8%), bronchitis (47,4%), hasmenés (38,9%), nasopharyngitis (34,8%), izomgörcsök (33,4%), leukopenia (31,7%), gyengeség (29,7%), köhögés (27,3%), thrombocytopenia (23,5%), gastroenteritis (22,5%) és láz (20,5%).</w:t>
      </w:r>
    </w:p>
    <w:p w14:paraId="76E5B4DC" w14:textId="77777777" w:rsidR="00956F16" w:rsidRPr="00956F16" w:rsidRDefault="00956F16" w:rsidP="00956F16">
      <w:pPr>
        <w:spacing w:after="0" w:line="240" w:lineRule="auto"/>
        <w:rPr>
          <w:rFonts w:ascii="Times New Roman" w:eastAsia="Calibri" w:hAnsi="Times New Roman" w:cs="Times New Roman"/>
        </w:rPr>
      </w:pPr>
    </w:p>
    <w:p w14:paraId="6558615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CALGB 100104 vizsgálatban a lenalidomiddal végzett fenntartó kezelés mellett a placebo alkalmazásához képest gyakrabban megfigyelt mellékhatások az alábbiak voltak: neutropenia [79,0% (71,9% a fenntartó kezelés kezdete után)], thrombocytopenia [72,3% (61,6% a fenntartó kezelés kezdete után)], hasmenés [54,5% (46,4% a fenntartó kezelés kezdete után)], bőrkiütés [31,7% (25,0% a fenntartó kezelés kezdete után)], felső légúti fertőzés [26,8% (26,8% a fenntartó kezelés kezdete után)], fáradékonyság [22,8% (17,9% a fenntartó kezelés kezdete után)], leukopenia [22,8% (18,8% a fenntartó kezelés kezdete után)] és anaemia [21,0% (13,8% a fenntartó kezelés kezdete után)].</w:t>
      </w:r>
    </w:p>
    <w:p w14:paraId="0A9C4053" w14:textId="77777777" w:rsidR="00956F16" w:rsidRDefault="00956F16" w:rsidP="00956F16">
      <w:pPr>
        <w:spacing w:after="0" w:line="240" w:lineRule="auto"/>
        <w:rPr>
          <w:rFonts w:ascii="Times New Roman" w:eastAsia="Calibri" w:hAnsi="Times New Roman" w:cs="Times New Roman"/>
        </w:rPr>
      </w:pPr>
    </w:p>
    <w:p w14:paraId="05F33005" w14:textId="77777777" w:rsidR="0015309B" w:rsidRPr="00441247" w:rsidRDefault="0015309B" w:rsidP="00441247">
      <w:pPr>
        <w:keepNext/>
        <w:spacing w:after="0" w:line="240" w:lineRule="auto"/>
        <w:rPr>
          <w:rFonts w:ascii="Times New Roman" w:eastAsia="Calibri" w:hAnsi="Times New Roman" w:cs="Times New Roman"/>
          <w:i/>
          <w:u w:val="single"/>
        </w:rPr>
      </w:pPr>
      <w:r w:rsidRPr="00441247">
        <w:rPr>
          <w:rFonts w:ascii="Times New Roman" w:eastAsia="Calibri" w:hAnsi="Times New Roman" w:cs="Times New Roman"/>
          <w:i/>
          <w:u w:val="single"/>
        </w:rPr>
        <w:t>Újonnan diagnosztizált myeloma multiplexben szenvedő, transzplantációra nem alkalmas betegek, akik bortezomibbal és dexametazonnal kombinációban adott lenalidomid-kezelésben részesülnek</w:t>
      </w:r>
    </w:p>
    <w:p w14:paraId="6A89E9FE" w14:textId="636954B5" w:rsidR="0015309B" w:rsidRDefault="0015309B" w:rsidP="00956F16">
      <w:pPr>
        <w:spacing w:after="0" w:line="240" w:lineRule="auto"/>
        <w:rPr>
          <w:rFonts w:ascii="Times New Roman" w:eastAsia="Calibri" w:hAnsi="Times New Roman" w:cs="Times New Roman"/>
        </w:rPr>
      </w:pPr>
      <w:r w:rsidRPr="00441247">
        <w:rPr>
          <w:rFonts w:ascii="Times New Roman" w:eastAsia="Calibri" w:hAnsi="Times New Roman" w:cs="Times New Roman"/>
        </w:rPr>
        <w:t xml:space="preserve">A SWOG S0777 vizsgálatban a dexametazonnal </w:t>
      </w:r>
      <w:r>
        <w:rPr>
          <w:rFonts w:ascii="Times New Roman" w:eastAsia="Calibri" w:hAnsi="Times New Roman" w:cs="Times New Roman"/>
        </w:rPr>
        <w:t>kombinációban adott lenalidomid</w:t>
      </w:r>
      <w:r w:rsidR="00104634">
        <w:rPr>
          <w:rFonts w:ascii="Times New Roman" w:eastAsia="Calibri" w:hAnsi="Times New Roman" w:cs="Times New Roman"/>
        </w:rPr>
        <w:t>-</w:t>
      </w:r>
      <w:r w:rsidRPr="00441247">
        <w:rPr>
          <w:rFonts w:ascii="Times New Roman" w:eastAsia="Calibri" w:hAnsi="Times New Roman" w:cs="Times New Roman"/>
        </w:rPr>
        <w:t xml:space="preserve">kezeléshez képest az intravénás bortezomibbal és dexametazonnal </w:t>
      </w:r>
      <w:r>
        <w:rPr>
          <w:rFonts w:ascii="Times New Roman" w:eastAsia="Calibri" w:hAnsi="Times New Roman" w:cs="Times New Roman"/>
        </w:rPr>
        <w:t>kombinációban adott lenalidomid</w:t>
      </w:r>
      <w:r w:rsidR="00104634">
        <w:rPr>
          <w:rFonts w:ascii="Times New Roman" w:eastAsia="Calibri" w:hAnsi="Times New Roman" w:cs="Times New Roman"/>
        </w:rPr>
        <w:t>-</w:t>
      </w:r>
      <w:r w:rsidRPr="00441247">
        <w:rPr>
          <w:rFonts w:ascii="Times New Roman" w:eastAsia="Calibri" w:hAnsi="Times New Roman" w:cs="Times New Roman"/>
        </w:rPr>
        <w:t xml:space="preserve">kezelés mellett </w:t>
      </w:r>
      <w:r>
        <w:rPr>
          <w:rFonts w:ascii="Times New Roman" w:eastAsia="Calibri" w:hAnsi="Times New Roman" w:cs="Times New Roman"/>
        </w:rPr>
        <w:t>gyakrabban (≥ </w:t>
      </w:r>
      <w:r w:rsidRPr="00441247">
        <w:rPr>
          <w:rFonts w:ascii="Times New Roman" w:eastAsia="Calibri" w:hAnsi="Times New Roman" w:cs="Times New Roman"/>
        </w:rPr>
        <w:t xml:space="preserve">5%) megfigyelt súlyos mellékhatások a következők voltak: </w:t>
      </w:r>
    </w:p>
    <w:p w14:paraId="77834453" w14:textId="27CBDC57" w:rsidR="0015309B" w:rsidRDefault="0015309B" w:rsidP="00441247">
      <w:pPr>
        <w:numPr>
          <w:ilvl w:val="0"/>
          <w:numId w:val="6"/>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h</w:t>
      </w:r>
      <w:r w:rsidRPr="00441247">
        <w:rPr>
          <w:rFonts w:ascii="Times New Roman" w:eastAsia="Calibri" w:hAnsi="Times New Roman" w:cs="Times New Roman"/>
        </w:rPr>
        <w:t>ypotonia (6,5%), tüdőfertőzés (5,7%), dehydratio (5,0%)</w:t>
      </w:r>
      <w:r>
        <w:rPr>
          <w:rFonts w:ascii="Times New Roman" w:eastAsia="Calibri" w:hAnsi="Times New Roman" w:cs="Times New Roman"/>
        </w:rPr>
        <w:t>.</w:t>
      </w:r>
    </w:p>
    <w:p w14:paraId="35AF83A2" w14:textId="77777777" w:rsidR="0015309B" w:rsidRDefault="0015309B" w:rsidP="00956F16">
      <w:pPr>
        <w:spacing w:after="0" w:line="240" w:lineRule="auto"/>
        <w:rPr>
          <w:rFonts w:ascii="Times New Roman" w:eastAsia="Calibri" w:hAnsi="Times New Roman" w:cs="Times New Roman"/>
        </w:rPr>
      </w:pPr>
    </w:p>
    <w:p w14:paraId="1E3DD72C" w14:textId="65AF095F" w:rsidR="0015309B" w:rsidRPr="00441247" w:rsidRDefault="0015309B" w:rsidP="00956F16">
      <w:pPr>
        <w:spacing w:after="0" w:line="240" w:lineRule="auto"/>
        <w:rPr>
          <w:rFonts w:ascii="Times New Roman" w:eastAsia="Calibri" w:hAnsi="Times New Roman" w:cs="Times New Roman"/>
        </w:rPr>
      </w:pPr>
      <w:r w:rsidRPr="00441247">
        <w:rPr>
          <w:rFonts w:ascii="Times New Roman" w:eastAsia="Calibri" w:hAnsi="Times New Roman" w:cs="Times New Roman"/>
        </w:rPr>
        <w:t xml:space="preserve">A dexametazonnal </w:t>
      </w:r>
      <w:r>
        <w:rPr>
          <w:rFonts w:ascii="Times New Roman" w:eastAsia="Calibri" w:hAnsi="Times New Roman" w:cs="Times New Roman"/>
        </w:rPr>
        <w:t>kombinációban adott lenalidomid</w:t>
      </w:r>
      <w:r w:rsidR="00104634">
        <w:rPr>
          <w:rFonts w:ascii="Times New Roman" w:eastAsia="Calibri" w:hAnsi="Times New Roman" w:cs="Times New Roman"/>
        </w:rPr>
        <w:t>-</w:t>
      </w:r>
      <w:r w:rsidRPr="00441247">
        <w:rPr>
          <w:rFonts w:ascii="Times New Roman" w:eastAsia="Calibri" w:hAnsi="Times New Roman" w:cs="Times New Roman"/>
        </w:rPr>
        <w:t xml:space="preserve">kezeléshez képest a bortezomibbal és dexametazonnal </w:t>
      </w:r>
      <w:r>
        <w:rPr>
          <w:rFonts w:ascii="Times New Roman" w:eastAsia="Calibri" w:hAnsi="Times New Roman" w:cs="Times New Roman"/>
        </w:rPr>
        <w:t>kombinációban adott lenalidomid</w:t>
      </w:r>
      <w:r w:rsidR="00104634">
        <w:rPr>
          <w:rFonts w:ascii="Times New Roman" w:eastAsia="Calibri" w:hAnsi="Times New Roman" w:cs="Times New Roman"/>
        </w:rPr>
        <w:t>-</w:t>
      </w:r>
      <w:r w:rsidRPr="00441247">
        <w:rPr>
          <w:rFonts w:ascii="Times New Roman" w:eastAsia="Calibri" w:hAnsi="Times New Roman" w:cs="Times New Roman"/>
        </w:rPr>
        <w:t>kezelés mellett gyakrabban megfigyelt mellékhatások a következők voltak: fáradékonyság (73,7%), perifériás neuropathia (71,8%), thrombocytopenia (57,6%), obstipatio (56,1%), hypocalcaemia (50,0%).</w:t>
      </w:r>
    </w:p>
    <w:p w14:paraId="67A393EE" w14:textId="77777777" w:rsidR="0015309B" w:rsidRPr="00956F16" w:rsidRDefault="0015309B" w:rsidP="00956F16">
      <w:pPr>
        <w:spacing w:after="0" w:line="240" w:lineRule="auto"/>
        <w:rPr>
          <w:rFonts w:ascii="Times New Roman" w:eastAsia="Calibri" w:hAnsi="Times New Roman" w:cs="Times New Roman"/>
        </w:rPr>
      </w:pPr>
    </w:p>
    <w:p w14:paraId="275C5638"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Újonnan diagnosztizált myeloma multiplex: transzplantációra nem alkalmas, kis dózisú dexametazonnal kombinációban adott lenalidomiddal kezelt betegek</w:t>
      </w:r>
    </w:p>
    <w:p w14:paraId="1C646050"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kis dózisú dexametazonnal kombinációban adott lenalidomid (Rd és Rd18) alkalmazása mellett a melfalán, prednizon és talidomid (MPT) kombinációhoz képest gyakrabban (≥ 5%) megfigyelt mellékhatások az alábbiak voltak:</w:t>
      </w:r>
    </w:p>
    <w:p w14:paraId="51CF98DB"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pneumonia (9,8%);</w:t>
      </w:r>
    </w:p>
    <w:p w14:paraId="2427E174"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veseelégtelenség (az akut eseteket is beleszámítva) (6,3%).</w:t>
      </w:r>
    </w:p>
    <w:p w14:paraId="2900D517" w14:textId="77777777" w:rsidR="00956F16" w:rsidRPr="00956F16" w:rsidRDefault="00956F16" w:rsidP="00956F16">
      <w:pPr>
        <w:spacing w:after="0" w:line="240" w:lineRule="auto"/>
        <w:rPr>
          <w:rFonts w:ascii="Times New Roman" w:eastAsia="Calibri" w:hAnsi="Times New Roman" w:cs="Times New Roman"/>
        </w:rPr>
      </w:pPr>
    </w:p>
    <w:p w14:paraId="1FFBA4C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Rd- vagy Rd18-karon az MPT-karhoz képest gyakrabban megfigyelt mellékhatások az alábbiak voltak: hasmenés (45,5%), fáradtság (32,8%), hátfájás (32,0%), gyengeség (28,2%), insomnia (27,6%), bőrkiütés (24,3%), csökkent étvágy (23,1%), köhögés (22,7%), láz (21,4%) és izomgörcsök (20,5%).</w:t>
      </w:r>
    </w:p>
    <w:p w14:paraId="13EE3753" w14:textId="77777777" w:rsidR="00956F16" w:rsidRPr="00956F16" w:rsidRDefault="00956F16" w:rsidP="00956F16">
      <w:pPr>
        <w:spacing w:after="0" w:line="240" w:lineRule="auto"/>
        <w:rPr>
          <w:rFonts w:ascii="Times New Roman" w:eastAsia="Calibri" w:hAnsi="Times New Roman" w:cs="Times New Roman"/>
        </w:rPr>
      </w:pPr>
    </w:p>
    <w:p w14:paraId="34CD1F61"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Újonnan diagnosztizált myeloma multiplex: transzplantációra nem alkalmas, melfalánnal és prednizonnal kombinációban adott lenalidomiddal kezelt betegek</w:t>
      </w:r>
    </w:p>
    <w:p w14:paraId="3C3996D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melfalán, prednizon és lenalidomid kombinációval, majd lenalidomid fenntartó terápiával (MPR+R), illetve melfalán, prednizon és lenalidomid kombinációval, majd placebóval (MPR+p) kezelt betegeknél a melfalán, prednizon és placebo kombinációval, majd placebóval (MPp+p) kezelt betegekhez képest nagyobb gyakorisággal (≥ 5%) megfigyelt mellékhatások az alábbiak voltak:</w:t>
      </w:r>
    </w:p>
    <w:p w14:paraId="085D9932"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lázas neutropenia (6,0%);</w:t>
      </w:r>
    </w:p>
    <w:p w14:paraId="09CABEC7"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anaemia (5,3%).</w:t>
      </w:r>
    </w:p>
    <w:p w14:paraId="420580D4" w14:textId="77777777" w:rsidR="00956F16" w:rsidRPr="00956F16" w:rsidRDefault="00956F16" w:rsidP="00956F16">
      <w:pPr>
        <w:spacing w:after="0" w:line="240" w:lineRule="auto"/>
        <w:rPr>
          <w:rFonts w:ascii="Times New Roman" w:eastAsia="Calibri" w:hAnsi="Times New Roman" w:cs="Times New Roman"/>
        </w:rPr>
      </w:pPr>
    </w:p>
    <w:p w14:paraId="682C291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MPR+R- vagy MPR+p-karon az MPp+p-karhoz képest nagyobb gyakorisággal megfigyelt mellékhatások az alábbiak voltak: neutropenia (83,3%), anaemia (70,7%), thrombocytopenia (70,0%), leukopenia (38,8%), székrekedés (34,0%), hasmenés (33.3%), bőrkiütés (28,9%), láz (27,0%), perifériás oedema (25,0%), köhögés (24,0%), csökkent étvágy (23,7%) és gyengeség (22,0%).</w:t>
      </w:r>
    </w:p>
    <w:p w14:paraId="01325784" w14:textId="77777777" w:rsidR="00956F16" w:rsidRPr="00956F16" w:rsidRDefault="00956F16" w:rsidP="00956F16">
      <w:pPr>
        <w:spacing w:after="0" w:line="240" w:lineRule="auto"/>
        <w:rPr>
          <w:rFonts w:ascii="Times New Roman" w:eastAsia="Calibri" w:hAnsi="Times New Roman" w:cs="Times New Roman"/>
        </w:rPr>
      </w:pPr>
    </w:p>
    <w:p w14:paraId="035420D9"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Myeloma multiplex: legalább egy korábbi terápiával már kezelt betegek</w:t>
      </w:r>
    </w:p>
    <w:p w14:paraId="4D7CD9A8" w14:textId="2D5DFB85"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Két, </w:t>
      </w:r>
      <w:r w:rsidR="0015309B">
        <w:rPr>
          <w:rFonts w:ascii="Times New Roman" w:eastAsia="Calibri" w:hAnsi="Times New Roman" w:cs="Times New Roman"/>
        </w:rPr>
        <w:t>3</w:t>
      </w:r>
      <w:r w:rsidRPr="00956F16">
        <w:rPr>
          <w:rFonts w:ascii="Times New Roman" w:eastAsia="Calibri" w:hAnsi="Times New Roman" w:cs="Times New Roman"/>
        </w:rPr>
        <w:t>.</w:t>
      </w:r>
      <w:r w:rsidR="0015309B">
        <w:rPr>
          <w:rFonts w:ascii="Times New Roman" w:eastAsia="Calibri" w:hAnsi="Times New Roman" w:cs="Times New Roman"/>
        </w:rPr>
        <w:t> </w:t>
      </w:r>
      <w:r w:rsidRPr="00956F16">
        <w:rPr>
          <w:rFonts w:ascii="Times New Roman" w:eastAsia="Calibri" w:hAnsi="Times New Roman" w:cs="Times New Roman"/>
        </w:rPr>
        <w:t>fázisú, placebokontrollos vizsgálatban 353 myeloma multiplexes beteget kezeltek lenalidomid/dexametazon és 351 beteget placebo/dexametazon kombinációval.</w:t>
      </w:r>
    </w:p>
    <w:p w14:paraId="49B6E98B" w14:textId="77777777" w:rsidR="00956F16" w:rsidRPr="00956F16" w:rsidRDefault="00956F16" w:rsidP="00956F16">
      <w:pPr>
        <w:spacing w:after="0" w:line="240" w:lineRule="auto"/>
        <w:rPr>
          <w:rFonts w:ascii="Times New Roman" w:eastAsia="Calibri" w:hAnsi="Times New Roman" w:cs="Times New Roman"/>
        </w:rPr>
      </w:pPr>
    </w:p>
    <w:p w14:paraId="092A4D1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lenalidomid/dexametazon kombináció mellett a placebo/dexametazon kombinációhoz képest gyakrabban megfigyelt, legsúlyosabb mellékhatások a következők voltak:</w:t>
      </w:r>
    </w:p>
    <w:p w14:paraId="36DD46A6"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vénás thromboembolia (mélyvénás thrombosis, tüdőembólia) (lásd 4.4 pont),</w:t>
      </w:r>
    </w:p>
    <w:p w14:paraId="61EC2478"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4-es fokozatú neutropenia (lásd 4.4 pont).</w:t>
      </w:r>
    </w:p>
    <w:p w14:paraId="3B400B73" w14:textId="77777777" w:rsidR="00956F16" w:rsidRPr="00956F16" w:rsidRDefault="00956F16" w:rsidP="00956F16">
      <w:pPr>
        <w:spacing w:after="0" w:line="240" w:lineRule="auto"/>
        <w:rPr>
          <w:rFonts w:ascii="Times New Roman" w:eastAsia="Calibri" w:hAnsi="Times New Roman" w:cs="Times New Roman"/>
        </w:rPr>
      </w:pPr>
    </w:p>
    <w:p w14:paraId="23041E49"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myeloma multiplexben végzett klinikai vizsgálatok (MM-009 és MM-010) összevont adatai alapján a lenalidomid és dexametazon alkalmazásakor a placebo és dexametazon kombinációhoz képest gyakrabban megfigyelt mellékhatások az alábbiak voltak: fáradtság (43,9%), neutropenia (42,2%), székrekedés (40,5%), hasmenés (38,5%), izomgörcsök (33,4%), anaemia (31,4%), thrombocytopenia (21,5%) és bőrkiütés (21,2%).</w:t>
      </w:r>
    </w:p>
    <w:p w14:paraId="700A9262" w14:textId="77777777" w:rsidR="00956F16" w:rsidRPr="00956F16" w:rsidRDefault="00956F16" w:rsidP="00956F16">
      <w:pPr>
        <w:spacing w:after="0" w:line="240" w:lineRule="auto"/>
        <w:rPr>
          <w:rFonts w:ascii="Times New Roman" w:eastAsia="Calibri" w:hAnsi="Times New Roman" w:cs="Times New Roman"/>
        </w:rPr>
      </w:pPr>
    </w:p>
    <w:p w14:paraId="609EBED3"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lastRenderedPageBreak/>
        <w:t>Myelodysplasiás szindrómák</w:t>
      </w:r>
    </w:p>
    <w:p w14:paraId="450B7CFE" w14:textId="7B18578D"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Myelodysplasiás szindrómákban szenvedő betegeknél a lenalidomid összesített biztonságossági profilja összesen 286 beteg adatain alapul, akik egy </w:t>
      </w:r>
      <w:r w:rsidR="001968CA">
        <w:rPr>
          <w:rFonts w:ascii="Times New Roman" w:eastAsia="Calibri" w:hAnsi="Times New Roman" w:cs="Times New Roman"/>
        </w:rPr>
        <w:t>2</w:t>
      </w:r>
      <w:r w:rsidRPr="00956F16">
        <w:rPr>
          <w:rFonts w:ascii="Times New Roman" w:eastAsia="Calibri" w:hAnsi="Times New Roman" w:cs="Times New Roman"/>
        </w:rPr>
        <w:t xml:space="preserve">. fázisú és egy </w:t>
      </w:r>
      <w:r w:rsidR="001968CA">
        <w:rPr>
          <w:rFonts w:ascii="Times New Roman" w:eastAsia="Calibri" w:hAnsi="Times New Roman" w:cs="Times New Roman"/>
        </w:rPr>
        <w:t>3</w:t>
      </w:r>
      <w:r w:rsidRPr="00956F16">
        <w:rPr>
          <w:rFonts w:ascii="Times New Roman" w:eastAsia="Calibri" w:hAnsi="Times New Roman" w:cs="Times New Roman"/>
        </w:rPr>
        <w:t xml:space="preserve">. fázisú vizsgálatban vettek részt. A </w:t>
      </w:r>
      <w:r w:rsidR="001968CA">
        <w:rPr>
          <w:rFonts w:ascii="Times New Roman" w:eastAsia="Calibri" w:hAnsi="Times New Roman" w:cs="Times New Roman"/>
        </w:rPr>
        <w:t>2</w:t>
      </w:r>
      <w:r w:rsidRPr="00956F16">
        <w:rPr>
          <w:rFonts w:ascii="Times New Roman" w:eastAsia="Calibri" w:hAnsi="Times New Roman" w:cs="Times New Roman"/>
        </w:rPr>
        <w:t>. fázisú vizsgálatban mind a 148 beteg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kezelésben részesült. A </w:t>
      </w:r>
      <w:r w:rsidR="001968CA">
        <w:rPr>
          <w:rFonts w:ascii="Times New Roman" w:eastAsia="Calibri" w:hAnsi="Times New Roman" w:cs="Times New Roman"/>
        </w:rPr>
        <w:t>3</w:t>
      </w:r>
      <w:r w:rsidRPr="00956F16">
        <w:rPr>
          <w:rFonts w:ascii="Times New Roman" w:eastAsia="Calibri" w:hAnsi="Times New Roman" w:cs="Times New Roman"/>
        </w:rPr>
        <w:t>. fázisú vizsgálatban a vizsgálat kettős vak fázisában 69 beteg kapott 5 mg lenalidomidot, 69 beteg 10 mg lenalidomidot, 67 beteg pedig placebót.</w:t>
      </w:r>
    </w:p>
    <w:p w14:paraId="64C6FC08" w14:textId="77777777" w:rsidR="00956F16" w:rsidRPr="00956F16" w:rsidRDefault="00956F16" w:rsidP="00956F16">
      <w:pPr>
        <w:spacing w:after="0" w:line="240" w:lineRule="auto"/>
        <w:rPr>
          <w:rFonts w:ascii="Times New Roman" w:eastAsia="Calibri" w:hAnsi="Times New Roman" w:cs="Times New Roman"/>
        </w:rPr>
      </w:pPr>
    </w:p>
    <w:p w14:paraId="40BF9DFE" w14:textId="466A1AE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legtöbb mellékhatás inkább a lenalidomid</w:t>
      </w:r>
      <w:r w:rsidR="00104634">
        <w:rPr>
          <w:rFonts w:ascii="Times New Roman" w:eastAsia="Calibri" w:hAnsi="Times New Roman" w:cs="Times New Roman"/>
        </w:rPr>
        <w:t>-</w:t>
      </w:r>
      <w:r w:rsidRPr="00956F16">
        <w:rPr>
          <w:rFonts w:ascii="Times New Roman" w:eastAsia="Calibri" w:hAnsi="Times New Roman" w:cs="Times New Roman"/>
        </w:rPr>
        <w:t>kezelés első 16 hetében fordult elő.</w:t>
      </w:r>
    </w:p>
    <w:p w14:paraId="121CE002" w14:textId="77777777" w:rsidR="00956F16" w:rsidRPr="00956F16" w:rsidRDefault="00956F16" w:rsidP="00956F16">
      <w:pPr>
        <w:spacing w:after="0" w:line="240" w:lineRule="auto"/>
        <w:rPr>
          <w:rFonts w:ascii="Times New Roman" w:eastAsia="Calibri" w:hAnsi="Times New Roman" w:cs="Times New Roman"/>
        </w:rPr>
      </w:pPr>
    </w:p>
    <w:p w14:paraId="78CA722F"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A súlyos mellékhatások közé a következők tartoznak:</w:t>
      </w:r>
    </w:p>
    <w:p w14:paraId="098B5D87"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vénás thromboembolia (mélyvénás thrombosis, tüdőembólia) (lásd 4.4 pont),</w:t>
      </w:r>
    </w:p>
    <w:p w14:paraId="428FBF9C" w14:textId="77777777" w:rsidR="00956F16" w:rsidRPr="00956F16" w:rsidRDefault="00956F16" w:rsidP="00956F16">
      <w:pPr>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3-as vagy 4-es fokozatú neutropenia, lázas neutropenia és 3-as vagy 4-es fokozatú thrombocytopenia (lásd 4.4 pont).</w:t>
      </w:r>
    </w:p>
    <w:p w14:paraId="1FB6AD06" w14:textId="77777777" w:rsidR="00956F16" w:rsidRPr="00956F16" w:rsidRDefault="00956F16" w:rsidP="00956F16">
      <w:pPr>
        <w:spacing w:after="0" w:line="240" w:lineRule="auto"/>
        <w:rPr>
          <w:rFonts w:ascii="Times New Roman" w:eastAsia="Calibri" w:hAnsi="Times New Roman" w:cs="Times New Roman"/>
        </w:rPr>
      </w:pPr>
    </w:p>
    <w:p w14:paraId="3E18817E" w14:textId="295236D0"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w:t>
      </w:r>
      <w:r w:rsidR="001968CA">
        <w:rPr>
          <w:rFonts w:ascii="Times New Roman" w:eastAsia="Calibri" w:hAnsi="Times New Roman" w:cs="Times New Roman"/>
        </w:rPr>
        <w:t>3</w:t>
      </w:r>
      <w:r w:rsidRPr="00956F16">
        <w:rPr>
          <w:rFonts w:ascii="Times New Roman" w:eastAsia="Calibri" w:hAnsi="Times New Roman" w:cs="Times New Roman"/>
        </w:rPr>
        <w:t>. fázisú vizsgálatban leggyakrabban észlelt mellékhatások, amelyek a kontrollkarhoz képest nagyobb gyakorisággal fordultak elő a lenalidomid csoportokban, a következők voltak: neutropenia (76,8%), thrombocytopenia (46,4%), hasmenés (34,8%), székrekedés (19,6%), hányinger (19,6%), pruritus (25,4%), bőrkiütés (18,1%), fáradtság (18,1%) és izomgörcsök (16,7%).</w:t>
      </w:r>
    </w:p>
    <w:p w14:paraId="4D2C8F19" w14:textId="77777777" w:rsidR="00956F16" w:rsidRPr="00956F16" w:rsidRDefault="00956F16" w:rsidP="00956F16">
      <w:pPr>
        <w:spacing w:after="0" w:line="240" w:lineRule="auto"/>
        <w:rPr>
          <w:rFonts w:ascii="Times New Roman" w:eastAsia="Calibri" w:hAnsi="Times New Roman" w:cs="Times New Roman"/>
        </w:rPr>
      </w:pPr>
    </w:p>
    <w:p w14:paraId="417A8122" w14:textId="77777777" w:rsidR="00956F16" w:rsidRPr="00625BB2" w:rsidRDefault="00956F16" w:rsidP="00956F16">
      <w:pPr>
        <w:keepNext/>
        <w:spacing w:after="0" w:line="240" w:lineRule="auto"/>
        <w:rPr>
          <w:rFonts w:ascii="Times New Roman" w:eastAsia="Calibri" w:hAnsi="Times New Roman" w:cs="Times New Roman"/>
          <w:i/>
        </w:rPr>
      </w:pPr>
      <w:r w:rsidRPr="00625BB2">
        <w:rPr>
          <w:rFonts w:ascii="Times New Roman" w:eastAsia="Calibri" w:hAnsi="Times New Roman" w:cs="Times New Roman"/>
          <w:i/>
        </w:rPr>
        <w:t>Köpenysejtes lymphoma</w:t>
      </w:r>
    </w:p>
    <w:p w14:paraId="008E4D6B" w14:textId="6F96E110" w:rsidR="00D1318C"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Köpenysejtes lymphomában szenvedő betegeknél a lenalidomid összesített biztonságossági profilja az MCL-002 számú, </w:t>
      </w:r>
      <w:r w:rsidR="001968CA">
        <w:rPr>
          <w:rFonts w:ascii="Times New Roman" w:eastAsia="Calibri" w:hAnsi="Times New Roman" w:cs="Times New Roman"/>
        </w:rPr>
        <w:t>2</w:t>
      </w:r>
      <w:r w:rsidRPr="00956F16">
        <w:rPr>
          <w:rFonts w:ascii="Times New Roman" w:eastAsia="Calibri" w:hAnsi="Times New Roman" w:cs="Times New Roman"/>
        </w:rPr>
        <w:t>.</w:t>
      </w:r>
      <w:r w:rsidR="001968CA">
        <w:rPr>
          <w:rFonts w:ascii="Times New Roman" w:eastAsia="Calibri" w:hAnsi="Times New Roman" w:cs="Times New Roman"/>
        </w:rPr>
        <w:t> </w:t>
      </w:r>
      <w:r w:rsidRPr="00956F16">
        <w:rPr>
          <w:rFonts w:ascii="Times New Roman" w:eastAsia="Calibri" w:hAnsi="Times New Roman" w:cs="Times New Roman"/>
        </w:rPr>
        <w:t>fázisú, randomizált, kontrollos vizsgálatban részt vevő 254 betegtől származó adatokon alapul</w:t>
      </w:r>
      <w:r w:rsidR="00D1318C">
        <w:rPr>
          <w:rFonts w:ascii="Times New Roman" w:eastAsia="Calibri" w:hAnsi="Times New Roman" w:cs="Times New Roman"/>
        </w:rPr>
        <w:t xml:space="preserve"> (lásd 5.1 pont)</w:t>
      </w:r>
      <w:r w:rsidRPr="00956F16">
        <w:rPr>
          <w:rFonts w:ascii="Times New Roman" w:eastAsia="Calibri" w:hAnsi="Times New Roman" w:cs="Times New Roman"/>
        </w:rPr>
        <w:t>.</w:t>
      </w:r>
    </w:p>
    <w:p w14:paraId="13B8C108" w14:textId="04FF91A2"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Ezen kívül, az MCL-001 számú kiegészítő vizsgálatból származó gyógyszermellékhatások a </w:t>
      </w:r>
      <w:r w:rsidR="00C044CB">
        <w:rPr>
          <w:rFonts w:ascii="Times New Roman" w:eastAsia="Calibri" w:hAnsi="Times New Roman" w:cs="Times New Roman"/>
        </w:rPr>
        <w:t>4</w:t>
      </w:r>
      <w:r w:rsidRPr="00956F16">
        <w:rPr>
          <w:rFonts w:ascii="Times New Roman" w:eastAsia="Calibri" w:hAnsi="Times New Roman" w:cs="Times New Roman"/>
        </w:rPr>
        <w:t>. táblázatban szerepelnek.</w:t>
      </w:r>
    </w:p>
    <w:p w14:paraId="31D214EB" w14:textId="77777777" w:rsidR="00956F16" w:rsidRPr="00956F16" w:rsidRDefault="00956F16" w:rsidP="00956F16">
      <w:pPr>
        <w:spacing w:after="0" w:line="240" w:lineRule="auto"/>
        <w:rPr>
          <w:rFonts w:ascii="Times New Roman" w:eastAsia="Calibri" w:hAnsi="Times New Roman" w:cs="Times New Roman"/>
        </w:rPr>
      </w:pPr>
    </w:p>
    <w:p w14:paraId="63793A02" w14:textId="0A45182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Az MCL-002 számú vizsgálatban a lenalidomid</w:t>
      </w:r>
      <w:r w:rsidR="00104634">
        <w:rPr>
          <w:rFonts w:ascii="Times New Roman" w:eastAsia="Calibri" w:hAnsi="Times New Roman" w:cs="Times New Roman"/>
        </w:rPr>
        <w:t>-</w:t>
      </w:r>
      <w:r w:rsidRPr="00956F16">
        <w:rPr>
          <w:rFonts w:ascii="Times New Roman" w:eastAsia="Calibri" w:hAnsi="Times New Roman" w:cs="Times New Roman"/>
        </w:rPr>
        <w:t>karon a kontrollkarhoz képest gyakrabban (legalább 2</w:t>
      </w:r>
      <w:r w:rsidR="00076A39">
        <w:rPr>
          <w:rFonts w:ascii="Times New Roman" w:eastAsia="Calibri" w:hAnsi="Times New Roman" w:cs="Times New Roman"/>
        </w:rPr>
        <w:t> </w:t>
      </w:r>
      <w:r w:rsidRPr="00956F16">
        <w:rPr>
          <w:rFonts w:ascii="Times New Roman" w:eastAsia="Calibri" w:hAnsi="Times New Roman" w:cs="Times New Roman"/>
        </w:rPr>
        <w:t>százalékpontos különbséggel) megfigyelt súlyos mellékhatások a következők voltak:</w:t>
      </w:r>
    </w:p>
    <w:p w14:paraId="3CB3593C" w14:textId="77777777" w:rsidR="00956F16" w:rsidRPr="00956F16" w:rsidRDefault="00956F16" w:rsidP="00956F16">
      <w:pPr>
        <w:keepNext/>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neutropenia (3,6%),</w:t>
      </w:r>
    </w:p>
    <w:p w14:paraId="47732BF6" w14:textId="77777777" w:rsidR="00956F16" w:rsidRPr="00956F16" w:rsidRDefault="00956F16" w:rsidP="00956F16">
      <w:pPr>
        <w:widowControl w:val="0"/>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tüdőembólia (3,6%),</w:t>
      </w:r>
    </w:p>
    <w:p w14:paraId="286A5C0D" w14:textId="77777777" w:rsidR="00956F16" w:rsidRPr="00956F16" w:rsidRDefault="00956F16" w:rsidP="00956F16">
      <w:pPr>
        <w:widowControl w:val="0"/>
        <w:numPr>
          <w:ilvl w:val="0"/>
          <w:numId w:val="6"/>
        </w:numPr>
        <w:tabs>
          <w:tab w:val="left" w:pos="567"/>
        </w:tabs>
        <w:spacing w:after="0" w:line="240" w:lineRule="auto"/>
        <w:ind w:left="567" w:hanging="567"/>
        <w:rPr>
          <w:rFonts w:ascii="Times New Roman" w:eastAsia="Calibri" w:hAnsi="Times New Roman" w:cs="Times New Roman"/>
        </w:rPr>
      </w:pPr>
      <w:r w:rsidRPr="00956F16">
        <w:rPr>
          <w:rFonts w:ascii="Times New Roman" w:eastAsia="Calibri" w:hAnsi="Times New Roman" w:cs="Times New Roman"/>
        </w:rPr>
        <w:t>hasmenés (3,6%).</w:t>
      </w:r>
    </w:p>
    <w:p w14:paraId="135A36D7" w14:textId="77777777" w:rsidR="00956F16" w:rsidRPr="00956F16" w:rsidRDefault="00956F16" w:rsidP="00956F16">
      <w:pPr>
        <w:spacing w:after="0" w:line="240" w:lineRule="auto"/>
        <w:rPr>
          <w:rFonts w:ascii="Times New Roman" w:eastAsia="Calibri" w:hAnsi="Times New Roman" w:cs="Times New Roman"/>
        </w:rPr>
      </w:pPr>
    </w:p>
    <w:p w14:paraId="06F6A0F6" w14:textId="17BC5508"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MCL-002 számú vizsgálatban leggyakrabban észlelt mellékhatások, amelyek a kontrollkarhoz képest nagyobb gyakorisággal fordultak elő a lenalidomid</w:t>
      </w:r>
      <w:r w:rsidR="00104634">
        <w:rPr>
          <w:rFonts w:ascii="Times New Roman" w:eastAsia="Calibri" w:hAnsi="Times New Roman" w:cs="Times New Roman"/>
        </w:rPr>
        <w:t>-</w:t>
      </w:r>
      <w:r w:rsidRPr="00956F16">
        <w:rPr>
          <w:rFonts w:ascii="Times New Roman" w:eastAsia="Calibri" w:hAnsi="Times New Roman" w:cs="Times New Roman"/>
        </w:rPr>
        <w:t>karon, a következők voltak: neutropenia (50,9%), anaemia (28,7%), hasmenés (22,8%), fáradtság (21,0%), székrekedés (17,4%), láz (16,8%) és bőrkiütés (köztük allergiás dermatitis) (16,2%).</w:t>
      </w:r>
    </w:p>
    <w:p w14:paraId="3E89C274" w14:textId="77777777" w:rsidR="00956F16" w:rsidRPr="00956F16" w:rsidRDefault="00956F16" w:rsidP="00956F16">
      <w:pPr>
        <w:spacing w:after="0" w:line="240" w:lineRule="auto"/>
        <w:rPr>
          <w:rFonts w:ascii="Times New Roman" w:eastAsia="Calibri" w:hAnsi="Times New Roman" w:cs="Times New Roman"/>
        </w:rPr>
      </w:pPr>
    </w:p>
    <w:p w14:paraId="45F5A1C0" w14:textId="2F16C49C"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MCL-002 számú vizsgálatban összességében a korai (20 héten belül bekövetkező) halálozás előfordulásának kétségtelen növekedését tapasztalták. A vizsgálat kezdetén nagy tumormérettel rendelkező betegeknél fokozott a korai elhalálozás kockázata, a lenalidomid</w:t>
      </w:r>
      <w:r w:rsidR="00104634">
        <w:rPr>
          <w:rFonts w:ascii="Times New Roman" w:eastAsia="Calibri" w:hAnsi="Times New Roman" w:cs="Times New Roman"/>
        </w:rPr>
        <w:t>-</w:t>
      </w:r>
      <w:r w:rsidRPr="00956F16">
        <w:rPr>
          <w:rFonts w:ascii="Times New Roman" w:eastAsia="Calibri" w:hAnsi="Times New Roman" w:cs="Times New Roman"/>
        </w:rPr>
        <w:t>karon 16/81 (20%), a kontrollkaron pedig 2/28 (7%) korai haláleset történt. Az 52 hétre vonatkozóan ugyanezek a számok a következőképpen alakultak: 32/81 (39,5%) és 6/28 (21%) (lásd 5.1 pont).</w:t>
      </w:r>
    </w:p>
    <w:p w14:paraId="7B4B12C5" w14:textId="5BDB24DD"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1. kezelési ciklus során 11/81 (14%), nagy tumormérettel rendelkező betegnél állították le a terápiát a lenalidomid</w:t>
      </w:r>
      <w:r w:rsidR="00104634">
        <w:rPr>
          <w:rFonts w:ascii="Times New Roman" w:eastAsia="Calibri" w:hAnsi="Times New Roman" w:cs="Times New Roman"/>
        </w:rPr>
        <w:t>-</w:t>
      </w:r>
      <w:r w:rsidRPr="00956F16">
        <w:rPr>
          <w:rFonts w:ascii="Times New Roman" w:eastAsia="Calibri" w:hAnsi="Times New Roman" w:cs="Times New Roman"/>
        </w:rPr>
        <w:t>karon, míg a kontrollcsoportban 1/28 (4%) betegnél. A lenalidomid</w:t>
      </w:r>
      <w:r w:rsidR="00104634">
        <w:rPr>
          <w:rFonts w:ascii="Times New Roman" w:eastAsia="Calibri" w:hAnsi="Times New Roman" w:cs="Times New Roman"/>
        </w:rPr>
        <w:t>-</w:t>
      </w:r>
      <w:r w:rsidRPr="00956F16">
        <w:rPr>
          <w:rFonts w:ascii="Times New Roman" w:eastAsia="Calibri" w:hAnsi="Times New Roman" w:cs="Times New Roman"/>
        </w:rPr>
        <w:t>karon a nagy tumormérettel rendelkező betegeknél a kezelés 1. kezelési ciklus alatti leállításának fő oka a mellékhatások fellépése volt, ez 7/11 (64%) betegnél fordult elő.</w:t>
      </w:r>
    </w:p>
    <w:p w14:paraId="0A1C0F79" w14:textId="1426630E"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nagy tumorméret a meghatározás szerint legalább egy, ≥ 5 cm átmérőjű elváltozást vagy három, ≥ 3 cm-es elváltozást jelentett.</w:t>
      </w:r>
    </w:p>
    <w:p w14:paraId="718A4AD4" w14:textId="672F0AF5" w:rsidR="00956F16" w:rsidRDefault="00956F16" w:rsidP="00956F16">
      <w:pPr>
        <w:spacing w:after="0" w:line="240" w:lineRule="auto"/>
        <w:rPr>
          <w:rFonts w:ascii="Times New Roman" w:eastAsia="Calibri" w:hAnsi="Times New Roman" w:cs="Times New Roman"/>
        </w:rPr>
      </w:pPr>
    </w:p>
    <w:p w14:paraId="41BDDAC5" w14:textId="77777777" w:rsidR="00C044CB" w:rsidRPr="00E83289" w:rsidRDefault="00C044CB" w:rsidP="00C044CB">
      <w:pPr>
        <w:spacing w:after="0" w:line="240" w:lineRule="auto"/>
        <w:rPr>
          <w:rFonts w:ascii="Times New Roman" w:eastAsia="Calibri" w:hAnsi="Times New Roman" w:cs="Times New Roman"/>
          <w:i/>
          <w:iCs/>
          <w:u w:val="single"/>
        </w:rPr>
      </w:pPr>
      <w:r w:rsidRPr="00E83289">
        <w:rPr>
          <w:rFonts w:ascii="Times New Roman" w:eastAsia="Calibri" w:hAnsi="Times New Roman" w:cs="Times New Roman"/>
          <w:i/>
          <w:iCs/>
          <w:u w:val="single"/>
        </w:rPr>
        <w:t>Follicularis lymphoma</w:t>
      </w:r>
    </w:p>
    <w:p w14:paraId="784EEE21" w14:textId="1FB2D732" w:rsidR="00C044CB" w:rsidRPr="00C044CB" w:rsidRDefault="00C044CB" w:rsidP="00C044CB">
      <w:pPr>
        <w:spacing w:after="0" w:line="240" w:lineRule="auto"/>
        <w:rPr>
          <w:rFonts w:ascii="Times New Roman" w:eastAsia="Calibri" w:hAnsi="Times New Roman" w:cs="Times New Roman"/>
        </w:rPr>
      </w:pPr>
      <w:r w:rsidRPr="00C044CB">
        <w:rPr>
          <w:rFonts w:ascii="Times New Roman" w:eastAsia="Calibri" w:hAnsi="Times New Roman" w:cs="Times New Roman"/>
        </w:rPr>
        <w:t>A rituximabbal kombinációban alkalmazott lenalidomid általános biztonságossági profilja korábban</w:t>
      </w:r>
      <w:r>
        <w:rPr>
          <w:rFonts w:ascii="Times New Roman" w:eastAsia="Calibri" w:hAnsi="Times New Roman" w:cs="Times New Roman"/>
        </w:rPr>
        <w:t xml:space="preserve"> </w:t>
      </w:r>
      <w:r w:rsidRPr="00C044CB">
        <w:rPr>
          <w:rFonts w:ascii="Times New Roman" w:eastAsia="Calibri" w:hAnsi="Times New Roman" w:cs="Times New Roman"/>
        </w:rPr>
        <w:t>már kezelt indolens non-Hodgkin (többek között follicularis) lymphomában szenvedő betegeknél a</w:t>
      </w:r>
      <w:r>
        <w:rPr>
          <w:rFonts w:ascii="Times New Roman" w:eastAsia="Calibri" w:hAnsi="Times New Roman" w:cs="Times New Roman"/>
        </w:rPr>
        <w:t xml:space="preserve"> </w:t>
      </w:r>
      <w:r w:rsidR="00270C16">
        <w:rPr>
          <w:rFonts w:ascii="Times New Roman" w:eastAsia="Calibri" w:hAnsi="Times New Roman" w:cs="Times New Roman"/>
        </w:rPr>
        <w:t>3</w:t>
      </w:r>
      <w:r w:rsidRPr="00C044CB">
        <w:rPr>
          <w:rFonts w:ascii="Times New Roman" w:eastAsia="Calibri" w:hAnsi="Times New Roman" w:cs="Times New Roman"/>
        </w:rPr>
        <w:t>.</w:t>
      </w:r>
      <w:r>
        <w:rPr>
          <w:rFonts w:ascii="Times New Roman" w:eastAsia="Calibri" w:hAnsi="Times New Roman" w:cs="Times New Roman"/>
        </w:rPr>
        <w:t> </w:t>
      </w:r>
      <w:r w:rsidRPr="00C044CB">
        <w:rPr>
          <w:rFonts w:ascii="Times New Roman" w:eastAsia="Calibri" w:hAnsi="Times New Roman" w:cs="Times New Roman"/>
        </w:rPr>
        <w:t>fázisú, kontrollos NHL-007</w:t>
      </w:r>
      <w:r>
        <w:rPr>
          <w:rFonts w:ascii="Times New Roman" w:eastAsia="Calibri" w:hAnsi="Times New Roman" w:cs="Times New Roman"/>
        </w:rPr>
        <w:t> </w:t>
      </w:r>
      <w:r w:rsidRPr="00C044CB">
        <w:rPr>
          <w:rFonts w:ascii="Times New Roman" w:eastAsia="Calibri" w:hAnsi="Times New Roman" w:cs="Times New Roman"/>
        </w:rPr>
        <w:t>vizsgálat 294</w:t>
      </w:r>
      <w:r>
        <w:rPr>
          <w:rFonts w:ascii="Times New Roman" w:eastAsia="Calibri" w:hAnsi="Times New Roman" w:cs="Times New Roman"/>
        </w:rPr>
        <w:t> </w:t>
      </w:r>
      <w:r w:rsidRPr="00C044CB">
        <w:rPr>
          <w:rFonts w:ascii="Times New Roman" w:eastAsia="Calibri" w:hAnsi="Times New Roman" w:cs="Times New Roman"/>
        </w:rPr>
        <w:t>betegének adatain alapul. Emellett a kiegészítő</w:t>
      </w:r>
      <w:r>
        <w:rPr>
          <w:rFonts w:ascii="Times New Roman" w:eastAsia="Calibri" w:hAnsi="Times New Roman" w:cs="Times New Roman"/>
        </w:rPr>
        <w:t xml:space="preserve"> </w:t>
      </w:r>
      <w:r w:rsidRPr="00C044CB">
        <w:rPr>
          <w:rFonts w:ascii="Times New Roman" w:eastAsia="Calibri" w:hAnsi="Times New Roman" w:cs="Times New Roman"/>
        </w:rPr>
        <w:t>NHL</w:t>
      </w:r>
      <w:r w:rsidR="00104634">
        <w:rPr>
          <w:rFonts w:ascii="Times New Roman" w:eastAsia="Calibri" w:hAnsi="Times New Roman" w:cs="Times New Roman"/>
        </w:rPr>
        <w:t>-</w:t>
      </w:r>
      <w:r w:rsidRPr="00C044CB">
        <w:rPr>
          <w:rFonts w:ascii="Times New Roman" w:eastAsia="Calibri" w:hAnsi="Times New Roman" w:cs="Times New Roman"/>
        </w:rPr>
        <w:t>008</w:t>
      </w:r>
      <w:r>
        <w:rPr>
          <w:rFonts w:ascii="Times New Roman" w:eastAsia="Calibri" w:hAnsi="Times New Roman" w:cs="Times New Roman"/>
        </w:rPr>
        <w:t> </w:t>
      </w:r>
      <w:r w:rsidRPr="00C044CB">
        <w:rPr>
          <w:rFonts w:ascii="Times New Roman" w:eastAsia="Calibri" w:hAnsi="Times New Roman" w:cs="Times New Roman"/>
        </w:rPr>
        <w:t>vizsgálatban észlelt mellékhatásokat az 5.</w:t>
      </w:r>
      <w:r>
        <w:rPr>
          <w:rFonts w:ascii="Times New Roman" w:eastAsia="Calibri" w:hAnsi="Times New Roman" w:cs="Times New Roman"/>
        </w:rPr>
        <w:t> </w:t>
      </w:r>
      <w:r w:rsidRPr="00C044CB">
        <w:rPr>
          <w:rFonts w:ascii="Times New Roman" w:eastAsia="Calibri" w:hAnsi="Times New Roman" w:cs="Times New Roman"/>
        </w:rPr>
        <w:t>táblázat tartalmazza.</w:t>
      </w:r>
    </w:p>
    <w:p w14:paraId="369871A0" w14:textId="77777777" w:rsidR="00C044CB" w:rsidRDefault="00C044CB" w:rsidP="00C044CB">
      <w:pPr>
        <w:spacing w:after="0" w:line="240" w:lineRule="auto"/>
        <w:rPr>
          <w:rFonts w:ascii="Times New Roman" w:eastAsia="Calibri" w:hAnsi="Times New Roman" w:cs="Times New Roman"/>
        </w:rPr>
      </w:pPr>
    </w:p>
    <w:p w14:paraId="21C77F79" w14:textId="2AF6669B" w:rsidR="00C044CB" w:rsidRPr="00C044CB" w:rsidRDefault="00C044CB" w:rsidP="00C044CB">
      <w:pPr>
        <w:spacing w:after="0" w:line="240" w:lineRule="auto"/>
        <w:rPr>
          <w:rFonts w:ascii="Times New Roman" w:eastAsia="Calibri" w:hAnsi="Times New Roman" w:cs="Times New Roman"/>
        </w:rPr>
      </w:pPr>
      <w:r w:rsidRPr="00C044CB">
        <w:rPr>
          <w:rFonts w:ascii="Times New Roman" w:eastAsia="Calibri" w:hAnsi="Times New Roman" w:cs="Times New Roman"/>
        </w:rPr>
        <w:lastRenderedPageBreak/>
        <w:t>Az NHL-007 vizsgálatban a lenalidomid/rituximab karon a leggyakrabban (legalább 1</w:t>
      </w:r>
      <w:r>
        <w:rPr>
          <w:rFonts w:ascii="Times New Roman" w:eastAsia="Calibri" w:hAnsi="Times New Roman" w:cs="Times New Roman"/>
        </w:rPr>
        <w:t> </w:t>
      </w:r>
      <w:r w:rsidRPr="00C044CB">
        <w:rPr>
          <w:rFonts w:ascii="Times New Roman" w:eastAsia="Calibri" w:hAnsi="Times New Roman" w:cs="Times New Roman"/>
        </w:rPr>
        <w:t>százalékpontos</w:t>
      </w:r>
      <w:r>
        <w:rPr>
          <w:rFonts w:ascii="Times New Roman" w:eastAsia="Calibri" w:hAnsi="Times New Roman" w:cs="Times New Roman"/>
        </w:rPr>
        <w:t xml:space="preserve"> </w:t>
      </w:r>
      <w:r w:rsidRPr="00C044CB">
        <w:rPr>
          <w:rFonts w:ascii="Times New Roman" w:eastAsia="Calibri" w:hAnsi="Times New Roman" w:cs="Times New Roman"/>
        </w:rPr>
        <w:t>különbséggel) megfigyelt súlyos mellékhatások – a placebo/rituximab</w:t>
      </w:r>
      <w:r w:rsidR="00D34ABC">
        <w:rPr>
          <w:rFonts w:ascii="Times New Roman" w:eastAsia="Calibri" w:hAnsi="Times New Roman" w:cs="Times New Roman"/>
        </w:rPr>
        <w:t>-</w:t>
      </w:r>
      <w:r w:rsidRPr="00C044CB">
        <w:rPr>
          <w:rFonts w:ascii="Times New Roman" w:eastAsia="Calibri" w:hAnsi="Times New Roman" w:cs="Times New Roman"/>
        </w:rPr>
        <w:t>karral összehasonlítva – az</w:t>
      </w:r>
      <w:r>
        <w:rPr>
          <w:rFonts w:ascii="Times New Roman" w:eastAsia="Calibri" w:hAnsi="Times New Roman" w:cs="Times New Roman"/>
        </w:rPr>
        <w:t xml:space="preserve"> </w:t>
      </w:r>
      <w:r w:rsidRPr="00C044CB">
        <w:rPr>
          <w:rFonts w:ascii="Times New Roman" w:eastAsia="Calibri" w:hAnsi="Times New Roman" w:cs="Times New Roman"/>
        </w:rPr>
        <w:t>alábbiak voltak:</w:t>
      </w:r>
    </w:p>
    <w:p w14:paraId="7D7206AA" w14:textId="0A44D7C7" w:rsidR="00C044CB" w:rsidRPr="00C044CB" w:rsidRDefault="00C044CB" w:rsidP="00E83289">
      <w:pPr>
        <w:keepNext/>
        <w:numPr>
          <w:ilvl w:val="0"/>
          <w:numId w:val="6"/>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l</w:t>
      </w:r>
      <w:r w:rsidRPr="00C044CB">
        <w:rPr>
          <w:rFonts w:ascii="Times New Roman" w:eastAsia="Calibri" w:hAnsi="Times New Roman" w:cs="Times New Roman"/>
        </w:rPr>
        <w:t>ázas neutropenia (2,7%)</w:t>
      </w:r>
      <w:r>
        <w:rPr>
          <w:rFonts w:ascii="Times New Roman" w:eastAsia="Calibri" w:hAnsi="Times New Roman" w:cs="Times New Roman"/>
        </w:rPr>
        <w:t>,</w:t>
      </w:r>
    </w:p>
    <w:p w14:paraId="1A76B36D" w14:textId="0E16B05B" w:rsidR="00C044CB" w:rsidRPr="00C044CB" w:rsidRDefault="00C044CB" w:rsidP="00E83289">
      <w:pPr>
        <w:keepNext/>
        <w:numPr>
          <w:ilvl w:val="0"/>
          <w:numId w:val="6"/>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t</w:t>
      </w:r>
      <w:r w:rsidRPr="00C044CB">
        <w:rPr>
          <w:rFonts w:ascii="Times New Roman" w:eastAsia="Calibri" w:hAnsi="Times New Roman" w:cs="Times New Roman"/>
        </w:rPr>
        <w:t>üdőembolia (2,7%)</w:t>
      </w:r>
      <w:r>
        <w:rPr>
          <w:rFonts w:ascii="Times New Roman" w:eastAsia="Calibri" w:hAnsi="Times New Roman" w:cs="Times New Roman"/>
        </w:rPr>
        <w:t>,</w:t>
      </w:r>
    </w:p>
    <w:p w14:paraId="12C449D9" w14:textId="17785C57" w:rsidR="00C044CB" w:rsidRDefault="00C044CB" w:rsidP="00E83289">
      <w:pPr>
        <w:keepNext/>
        <w:numPr>
          <w:ilvl w:val="0"/>
          <w:numId w:val="6"/>
        </w:numPr>
        <w:tabs>
          <w:tab w:val="left" w:pos="567"/>
        </w:tabs>
        <w:spacing w:after="0" w:line="240" w:lineRule="auto"/>
        <w:ind w:left="567" w:hanging="567"/>
        <w:rPr>
          <w:rFonts w:ascii="Times New Roman" w:eastAsia="Calibri" w:hAnsi="Times New Roman" w:cs="Times New Roman"/>
        </w:rPr>
      </w:pPr>
      <w:r>
        <w:rPr>
          <w:rFonts w:ascii="Times New Roman" w:eastAsia="Calibri" w:hAnsi="Times New Roman" w:cs="Times New Roman"/>
        </w:rPr>
        <w:t>p</w:t>
      </w:r>
      <w:r w:rsidRPr="00C044CB">
        <w:rPr>
          <w:rFonts w:ascii="Times New Roman" w:eastAsia="Calibri" w:hAnsi="Times New Roman" w:cs="Times New Roman"/>
        </w:rPr>
        <w:t>neumonia (2,7%)</w:t>
      </w:r>
      <w:r>
        <w:rPr>
          <w:rFonts w:ascii="Times New Roman" w:eastAsia="Calibri" w:hAnsi="Times New Roman" w:cs="Times New Roman"/>
        </w:rPr>
        <w:t>.</w:t>
      </w:r>
    </w:p>
    <w:p w14:paraId="7E14A26D" w14:textId="78A81FFD" w:rsidR="00C044CB" w:rsidRDefault="00C044CB" w:rsidP="00C044CB">
      <w:pPr>
        <w:spacing w:after="0" w:line="240" w:lineRule="auto"/>
        <w:rPr>
          <w:rFonts w:ascii="Times New Roman" w:eastAsia="Calibri" w:hAnsi="Times New Roman" w:cs="Times New Roman"/>
        </w:rPr>
      </w:pPr>
    </w:p>
    <w:p w14:paraId="64E0186E" w14:textId="0C7620C2" w:rsidR="00C044CB" w:rsidRDefault="00C044CB" w:rsidP="00C044CB">
      <w:pPr>
        <w:spacing w:after="0" w:line="240" w:lineRule="auto"/>
        <w:rPr>
          <w:rFonts w:ascii="Times New Roman" w:eastAsia="Calibri" w:hAnsi="Times New Roman" w:cs="Times New Roman"/>
        </w:rPr>
      </w:pPr>
      <w:r w:rsidRPr="00C044CB">
        <w:rPr>
          <w:rFonts w:ascii="Times New Roman" w:eastAsia="Calibri" w:hAnsi="Times New Roman" w:cs="Times New Roman"/>
        </w:rPr>
        <w:t>Az NHL-007 vizsgálatban a lenalidomid/rituximab</w:t>
      </w:r>
      <w:r w:rsidR="00D34ABC">
        <w:rPr>
          <w:rFonts w:ascii="Times New Roman" w:eastAsia="Calibri" w:hAnsi="Times New Roman" w:cs="Times New Roman"/>
        </w:rPr>
        <w:t>-</w:t>
      </w:r>
      <w:r w:rsidRPr="00C044CB">
        <w:rPr>
          <w:rFonts w:ascii="Times New Roman" w:eastAsia="Calibri" w:hAnsi="Times New Roman" w:cs="Times New Roman"/>
        </w:rPr>
        <w:t>karon gyakrabban megfigyelt mellékhatások a</w:t>
      </w:r>
      <w:r>
        <w:rPr>
          <w:rFonts w:ascii="Times New Roman" w:eastAsia="Calibri" w:hAnsi="Times New Roman" w:cs="Times New Roman"/>
        </w:rPr>
        <w:t xml:space="preserve"> </w:t>
      </w:r>
      <w:r w:rsidRPr="00C044CB">
        <w:rPr>
          <w:rFonts w:ascii="Times New Roman" w:eastAsia="Calibri" w:hAnsi="Times New Roman" w:cs="Times New Roman"/>
        </w:rPr>
        <w:t>placebo/rituximab</w:t>
      </w:r>
      <w:r w:rsidR="00D34ABC">
        <w:rPr>
          <w:rFonts w:ascii="Times New Roman" w:eastAsia="Calibri" w:hAnsi="Times New Roman" w:cs="Times New Roman"/>
        </w:rPr>
        <w:t>-</w:t>
      </w:r>
      <w:r w:rsidRPr="00C044CB">
        <w:rPr>
          <w:rFonts w:ascii="Times New Roman" w:eastAsia="Calibri" w:hAnsi="Times New Roman" w:cs="Times New Roman"/>
        </w:rPr>
        <w:t>karral összehasonlítva (legalább 2%-kal nagyobb gyakorisággal a két kar között) a</w:t>
      </w:r>
      <w:r>
        <w:rPr>
          <w:rFonts w:ascii="Times New Roman" w:eastAsia="Calibri" w:hAnsi="Times New Roman" w:cs="Times New Roman"/>
        </w:rPr>
        <w:t xml:space="preserve"> </w:t>
      </w:r>
      <w:r w:rsidRPr="00C044CB">
        <w:rPr>
          <w:rFonts w:ascii="Times New Roman" w:eastAsia="Calibri" w:hAnsi="Times New Roman" w:cs="Times New Roman"/>
        </w:rPr>
        <w:t>neutropenia (58,2%), a hasmenés (30,8%), a leukopenia (28,8%), az obstipatio (21,9%), a köhögés</w:t>
      </w:r>
      <w:r>
        <w:rPr>
          <w:rFonts w:ascii="Times New Roman" w:eastAsia="Calibri" w:hAnsi="Times New Roman" w:cs="Times New Roman"/>
        </w:rPr>
        <w:t xml:space="preserve"> </w:t>
      </w:r>
      <w:r w:rsidRPr="00C044CB">
        <w:rPr>
          <w:rFonts w:ascii="Times New Roman" w:eastAsia="Calibri" w:hAnsi="Times New Roman" w:cs="Times New Roman"/>
        </w:rPr>
        <w:t>(21,9%) és a fáradékonyság (21,9%) voltak.</w:t>
      </w:r>
    </w:p>
    <w:p w14:paraId="48F2BEFB" w14:textId="77777777" w:rsidR="00C044CB" w:rsidRPr="00956F16" w:rsidRDefault="00C044CB" w:rsidP="00C044CB">
      <w:pPr>
        <w:spacing w:after="0" w:line="240" w:lineRule="auto"/>
        <w:rPr>
          <w:rFonts w:ascii="Times New Roman" w:eastAsia="Calibri" w:hAnsi="Times New Roman" w:cs="Times New Roman"/>
        </w:rPr>
      </w:pPr>
    </w:p>
    <w:p w14:paraId="616597DB"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A mellékhatások táblázatos felsorolása</w:t>
      </w:r>
    </w:p>
    <w:p w14:paraId="117F9BA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lenalidomiddal kezelt betegeknél megfigyelt mellékhatások az alábbiakban szervrendszerek és gyakoriság szerint rendszerezve kerülnek felsorolásra. Az egyes gyakorisági kategóriákon belül a mellékhatások csökkenő súlyosság szerint kerülnek megadásra. A gyakoriságok meghatározása: nagyon gyakori (≥ 1/10); gyakori (≥ 1/100 – &lt; 1/10); nem gyakori (≥ 1/1000 – &lt; 1/100); ritka (≥ 1/10 000 – &lt; 1/1000); nagyon ritka (&lt; 1/10 000); nem ismert (a gyakoriság a rendelkezésre álló adatokból nem állapítható meg).</w:t>
      </w:r>
    </w:p>
    <w:p w14:paraId="678423FF" w14:textId="77777777" w:rsidR="00956F16" w:rsidRPr="00956F16" w:rsidRDefault="00956F16" w:rsidP="00956F16">
      <w:pPr>
        <w:spacing w:after="0" w:line="240" w:lineRule="auto"/>
        <w:rPr>
          <w:rFonts w:ascii="Times New Roman" w:eastAsia="Calibri" w:hAnsi="Times New Roman" w:cs="Times New Roman"/>
        </w:rPr>
      </w:pPr>
    </w:p>
    <w:p w14:paraId="5365D9E8"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alábbi táblázatban szereplő mellékhatásoknak a megfelelő kategóriákba történő besorolása azon legnagyobb előfordulási gyakoriságon alapul, amelyet a főbb klinikai vizsgálatok bármelyikében megfigyeltek.</w:t>
      </w:r>
    </w:p>
    <w:p w14:paraId="0565852F" w14:textId="77777777" w:rsidR="00956F16" w:rsidRPr="00956F16" w:rsidRDefault="00956F16" w:rsidP="00956F16">
      <w:pPr>
        <w:spacing w:after="0" w:line="240" w:lineRule="auto"/>
        <w:rPr>
          <w:rFonts w:ascii="Times New Roman" w:eastAsia="Calibri" w:hAnsi="Times New Roman" w:cs="Times New Roman"/>
        </w:rPr>
      </w:pPr>
    </w:p>
    <w:p w14:paraId="22B2FEC5" w14:textId="2AD3690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A</w:t>
      </w:r>
      <w:r w:rsidR="00D34ABC">
        <w:rPr>
          <w:rFonts w:ascii="Times New Roman" w:eastAsia="Calibri" w:hAnsi="Times New Roman" w:cs="Times New Roman"/>
          <w:i/>
          <w:u w:val="single"/>
        </w:rPr>
        <w:t>z</w:t>
      </w:r>
      <w:r w:rsidRPr="00956F16">
        <w:rPr>
          <w:rFonts w:ascii="Times New Roman" w:eastAsia="Calibri" w:hAnsi="Times New Roman" w:cs="Times New Roman"/>
          <w:i/>
          <w:u w:val="single"/>
        </w:rPr>
        <w:t xml:space="preserve"> MM-ben alkalmazott monoterápiából származó adatok táblázatos összefoglalása</w:t>
      </w:r>
    </w:p>
    <w:p w14:paraId="47E482DD"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alábbi táblázat a lenalidomid fenntartó terápiában részesülő, ASCT-n átesett betegek bevonásával végzett NDMM vizsgálatok során összegyűjtött adatok alapján készült. Az adatokat nem korrigálták a myeloma multiplexben végzett pivotális klinikai vizsgálatok során a betegség progressziójáig folytatott, lenalidomidot tartalmazó karokon a placebokarhoz viszonyítva alkalmazott hosszabb kezelési időtartam szerint (lásd 5.1 pont).</w:t>
      </w:r>
    </w:p>
    <w:p w14:paraId="247D3413" w14:textId="77777777" w:rsidR="00956F16" w:rsidRPr="00956F16" w:rsidRDefault="00956F16" w:rsidP="00956F16">
      <w:pPr>
        <w:spacing w:after="0" w:line="240" w:lineRule="auto"/>
        <w:rPr>
          <w:rFonts w:ascii="Times New Roman" w:eastAsia="Calibri" w:hAnsi="Times New Roman" w:cs="Times New Roman"/>
        </w:rPr>
      </w:pPr>
    </w:p>
    <w:p w14:paraId="724383EE" w14:textId="77777777" w:rsidR="00956F16" w:rsidRPr="00956F16" w:rsidRDefault="00956F16" w:rsidP="00956F16">
      <w:pPr>
        <w:keepNext/>
        <w:tabs>
          <w:tab w:val="left" w:pos="284"/>
        </w:tabs>
        <w:spacing w:after="0" w:line="240" w:lineRule="auto"/>
        <w:rPr>
          <w:rFonts w:ascii="Times New Roman" w:eastAsia="Calibri" w:hAnsi="Times New Roman" w:cs="Times New Roman"/>
          <w:b/>
        </w:rPr>
      </w:pPr>
      <w:r w:rsidRPr="00956F16">
        <w:rPr>
          <w:rFonts w:ascii="Times New Roman" w:eastAsia="Calibri" w:hAnsi="Times New Roman" w:cs="Times New Roman"/>
          <w:b/>
        </w:rPr>
        <w:t>1. táblázat: Lenalidomid fenntartó terápiában részesülő myeloma multiplexes betegek részvételével végzett klinikai vizsgálatokban jelentett mellékhatások</w:t>
      </w:r>
    </w:p>
    <w:tbl>
      <w:tblPr>
        <w:tblW w:w="9204" w:type="dxa"/>
        <w:tblInd w:w="5" w:type="dxa"/>
        <w:tblLayout w:type="fixed"/>
        <w:tblCellMar>
          <w:left w:w="0" w:type="dxa"/>
          <w:right w:w="0" w:type="dxa"/>
        </w:tblCellMar>
        <w:tblLook w:val="0000" w:firstRow="0" w:lastRow="0" w:firstColumn="0" w:lastColumn="0" w:noHBand="0" w:noVBand="0"/>
      </w:tblPr>
      <w:tblGrid>
        <w:gridCol w:w="2400"/>
        <w:gridCol w:w="3362"/>
        <w:gridCol w:w="3442"/>
      </w:tblGrid>
      <w:tr w:rsidR="00956F16" w:rsidRPr="00956F16" w14:paraId="107C1218" w14:textId="77777777" w:rsidTr="00694E9C">
        <w:trPr>
          <w:trHeight w:hRule="exact" w:val="955"/>
          <w:tblHeader/>
        </w:trPr>
        <w:tc>
          <w:tcPr>
            <w:tcW w:w="2400" w:type="dxa"/>
            <w:tcBorders>
              <w:top w:val="single" w:sz="4" w:space="0" w:color="000000"/>
              <w:left w:val="single" w:sz="4" w:space="0" w:color="000000"/>
              <w:bottom w:val="single" w:sz="4" w:space="0" w:color="000000"/>
              <w:right w:val="single" w:sz="4" w:space="0" w:color="000000"/>
            </w:tcBorders>
          </w:tcPr>
          <w:p w14:paraId="23294928" w14:textId="0B70EE03"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Szervrendszer</w:t>
            </w:r>
            <w:r w:rsidR="005C44EF">
              <w:rPr>
                <w:rFonts w:ascii="Times New Roman" w:eastAsia="Times New Roman" w:hAnsi="Times New Roman" w:cs="Times New Roman"/>
                <w:b/>
                <w:bCs/>
                <w:szCs w:val="20"/>
              </w:rPr>
              <w:t>i kategória/ megnevezés</w:t>
            </w:r>
          </w:p>
        </w:tc>
        <w:tc>
          <w:tcPr>
            <w:tcW w:w="3362" w:type="dxa"/>
            <w:tcBorders>
              <w:top w:val="single" w:sz="4" w:space="0" w:color="000000"/>
              <w:left w:val="single" w:sz="4" w:space="0" w:color="000000"/>
              <w:bottom w:val="single" w:sz="4" w:space="0" w:color="000000"/>
              <w:right w:val="single" w:sz="4" w:space="0" w:color="000000"/>
            </w:tcBorders>
          </w:tcPr>
          <w:p w14:paraId="01E85B93"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Minden mellékhatás/gyakoriság</w:t>
            </w:r>
          </w:p>
        </w:tc>
        <w:tc>
          <w:tcPr>
            <w:tcW w:w="3442" w:type="dxa"/>
            <w:tcBorders>
              <w:top w:val="single" w:sz="4" w:space="0" w:color="000000"/>
              <w:left w:val="single" w:sz="4" w:space="0" w:color="000000"/>
              <w:bottom w:val="single" w:sz="4" w:space="0" w:color="000000"/>
              <w:right w:val="single" w:sz="4" w:space="0" w:color="000000"/>
            </w:tcBorders>
          </w:tcPr>
          <w:p w14:paraId="4A0DDA49"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3−4-es súlyossági fokú mellékhatás/ gyakoriság</w:t>
            </w:r>
          </w:p>
        </w:tc>
      </w:tr>
      <w:tr w:rsidR="00956F16" w:rsidRPr="00956F16" w14:paraId="050C6CF2" w14:textId="77777777" w:rsidTr="00694E9C">
        <w:trPr>
          <w:trHeight w:val="2525"/>
        </w:trPr>
        <w:tc>
          <w:tcPr>
            <w:tcW w:w="2400" w:type="dxa"/>
            <w:tcBorders>
              <w:top w:val="single" w:sz="4" w:space="0" w:color="000000"/>
              <w:left w:val="single" w:sz="4" w:space="0" w:color="000000"/>
              <w:bottom w:val="single" w:sz="4" w:space="0" w:color="000000"/>
              <w:right w:val="single" w:sz="4" w:space="0" w:color="000000"/>
            </w:tcBorders>
          </w:tcPr>
          <w:p w14:paraId="02CED899" w14:textId="77777777" w:rsidR="00956F16" w:rsidRPr="00956F16" w:rsidRDefault="00956F16" w:rsidP="00956F16">
            <w:pPr>
              <w:spacing w:after="0" w:line="240" w:lineRule="auto"/>
              <w:rPr>
                <w:rFonts w:ascii="Times New Roman" w:eastAsia="Calibri" w:hAnsi="Times New Roman" w:cs="Times New Roman"/>
                <w:b/>
                <w:sz w:val="24"/>
                <w:szCs w:val="24"/>
              </w:rPr>
            </w:pPr>
            <w:r w:rsidRPr="00956F16">
              <w:rPr>
                <w:rFonts w:ascii="Times New Roman" w:eastAsia="Calibri" w:hAnsi="Times New Roman" w:cs="Times New Roman"/>
                <w:b/>
              </w:rPr>
              <w:t>Fertőző betegségek és parazitafertőzések</w:t>
            </w:r>
          </w:p>
        </w:tc>
        <w:tc>
          <w:tcPr>
            <w:tcW w:w="3362" w:type="dxa"/>
            <w:tcBorders>
              <w:top w:val="single" w:sz="4" w:space="0" w:color="000000"/>
              <w:left w:val="single" w:sz="4" w:space="0" w:color="000000"/>
              <w:bottom w:val="single" w:sz="4" w:space="0" w:color="000000"/>
              <w:right w:val="single" w:sz="4" w:space="0" w:color="000000"/>
            </w:tcBorders>
          </w:tcPr>
          <w:p w14:paraId="545809B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5078E0A2" w14:textId="18F993DE"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zCs w:val="20"/>
              </w:rPr>
              <w:t>pneu</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zCs w:val="20"/>
              </w:rPr>
              <w:t>on</w:t>
            </w:r>
            <w:r w:rsidRPr="00956F16">
              <w:rPr>
                <w:rFonts w:ascii="Times New Roman" w:eastAsia="Times New Roman" w:hAnsi="Times New Roman" w:cs="Times New Roman"/>
                <w:spacing w:val="1"/>
                <w:szCs w:val="20"/>
              </w:rPr>
              <w:t>i</w:t>
            </w:r>
            <w:r w:rsidR="00C044CB">
              <w:rPr>
                <w:rFonts w:ascii="Times New Roman" w:eastAsia="Times New Roman" w:hAnsi="Times New Roman" w:cs="Times New Roman"/>
                <w:spacing w:val="1"/>
                <w:szCs w:val="20"/>
              </w:rPr>
              <w:t>a</w:t>
            </w:r>
            <w:r w:rsidRPr="00956F16">
              <w:rPr>
                <w:rFonts w:ascii="Times New Roman" w:eastAsia="Times New Roman" w:hAnsi="Times New Roman" w:cs="Times New Roman"/>
                <w:szCs w:val="20"/>
                <w:vertAlign w:val="superscript"/>
              </w:rPr>
              <w:t>◊,a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felső légúti fertőzés</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1"/>
                <w:szCs w:val="20"/>
              </w:rPr>
              <w:t>n</w:t>
            </w:r>
            <w:r w:rsidRPr="00956F16">
              <w:rPr>
                <w:rFonts w:ascii="Times New Roman" w:eastAsia="Times New Roman" w:hAnsi="Times New Roman" w:cs="Times New Roman"/>
                <w:szCs w:val="20"/>
              </w:rPr>
              <w:t>eu</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op</w:t>
            </w:r>
            <w:r w:rsidRPr="00956F16">
              <w:rPr>
                <w:rFonts w:ascii="Times New Roman" w:eastAsia="Times New Roman" w:hAnsi="Times New Roman" w:cs="Times New Roman"/>
                <w:spacing w:val="-2"/>
                <w:szCs w:val="20"/>
              </w:rPr>
              <w:t>e</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iát kísérő fertőzés</w:t>
            </w:r>
            <w:r w:rsidRPr="00956F16">
              <w:rPr>
                <w:rFonts w:ascii="Times New Roman" w:eastAsia="Times New Roman" w:hAnsi="Times New Roman" w:cs="Times New Roman"/>
                <w:szCs w:val="20"/>
              </w:rPr>
              <w:t>, b</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on</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pacing w:val="-2"/>
                <w:szCs w:val="20"/>
              </w:rPr>
              <w:t>h</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ti</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4"/>
                <w:szCs w:val="20"/>
              </w:rPr>
              <w:t>i</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fl</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2"/>
                <w:szCs w:val="20"/>
              </w:rPr>
              <w:t>z</w:t>
            </w:r>
            <w:r w:rsidRPr="00956F16">
              <w:rPr>
                <w:rFonts w:ascii="Times New Roman" w:eastAsia="Times New Roman" w:hAnsi="Times New Roman" w:cs="Times New Roman"/>
                <w:szCs w:val="20"/>
              </w:rPr>
              <w:t>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g</w:t>
            </w:r>
            <w:r w:rsidRPr="00956F16">
              <w:rPr>
                <w:rFonts w:ascii="Times New Roman" w:eastAsia="Times New Roman" w:hAnsi="Times New Roman" w:cs="Times New Roman"/>
                <w:spacing w:val="1"/>
                <w:szCs w:val="20"/>
              </w:rPr>
              <w:t>ast</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oe</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is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zCs w:val="20"/>
              </w:rPr>
              <w:t>s</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zCs w:val="20"/>
              </w:rPr>
              <w:t>u</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n</w:t>
            </w:r>
            <w:r w:rsidRPr="00956F16">
              <w:rPr>
                <w:rFonts w:ascii="Times New Roman" w:eastAsia="Times New Roman" w:hAnsi="Times New Roman" w:cs="Times New Roman"/>
                <w:spacing w:val="1"/>
                <w:szCs w:val="20"/>
              </w:rPr>
              <w:t>as</w:t>
            </w:r>
            <w:r w:rsidRPr="00956F16">
              <w:rPr>
                <w:rFonts w:ascii="Times New Roman" w:eastAsia="Times New Roman" w:hAnsi="Times New Roman" w:cs="Times New Roman"/>
                <w:szCs w:val="20"/>
              </w:rPr>
              <w:t>oph</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2"/>
                <w:szCs w:val="20"/>
              </w:rPr>
              <w:t>g</w:t>
            </w:r>
            <w:r w:rsidRPr="00956F16">
              <w:rPr>
                <w:rFonts w:ascii="Times New Roman" w:eastAsia="Times New Roman" w:hAnsi="Times New Roman" w:cs="Times New Roman"/>
                <w:spacing w:val="1"/>
                <w:szCs w:val="20"/>
              </w:rPr>
              <w:t>itis</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h</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s</w:t>
            </w:r>
          </w:p>
          <w:p w14:paraId="484E981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highlight w:val="yellow"/>
              </w:rPr>
            </w:pPr>
          </w:p>
          <w:p w14:paraId="0A2CAFA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6F5A52B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4"/>
                <w:szCs w:val="20"/>
              </w:rPr>
              <w:t>fertőzés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3"/>
                <w:szCs w:val="20"/>
              </w:rPr>
              <w:t>húgyúti fertőzés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alsó légúti fertőzés, tüdőfertőzés</w:t>
            </w:r>
            <w:r w:rsidRPr="00956F16">
              <w:rPr>
                <w:rFonts w:ascii="Times New Roman" w:eastAsia="Times New Roman" w:hAnsi="Times New Roman" w:cs="Times New Roman"/>
                <w:szCs w:val="20"/>
                <w:vertAlign w:val="superscript"/>
              </w:rPr>
              <w:t>◊</w:t>
            </w:r>
          </w:p>
        </w:tc>
        <w:tc>
          <w:tcPr>
            <w:tcW w:w="3442" w:type="dxa"/>
            <w:tcBorders>
              <w:top w:val="single" w:sz="4" w:space="0" w:color="000000"/>
              <w:left w:val="single" w:sz="4" w:space="0" w:color="000000"/>
              <w:bottom w:val="single" w:sz="4" w:space="0" w:color="auto"/>
              <w:right w:val="single" w:sz="4" w:space="0" w:color="000000"/>
            </w:tcBorders>
          </w:tcPr>
          <w:p w14:paraId="7724C65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58D91154" w14:textId="39AA6D36" w:rsidR="00956F16" w:rsidRPr="00956F16" w:rsidRDefault="00956F16" w:rsidP="00956F16">
            <w:pPr>
              <w:widowControl w:val="0"/>
              <w:tabs>
                <w:tab w:val="left" w:pos="567"/>
              </w:tabs>
              <w:autoSpaceDE w:val="0"/>
              <w:autoSpaceDN w:val="0"/>
              <w:adjustRightInd w:val="0"/>
              <w:spacing w:after="0" w:line="240" w:lineRule="auto"/>
              <w:ind w:left="142" w:right="647"/>
              <w:rPr>
                <w:rFonts w:ascii="Times New Roman" w:eastAsia="Times New Roman" w:hAnsi="Times New Roman" w:cs="Times New Roman"/>
                <w:szCs w:val="20"/>
              </w:rPr>
            </w:pPr>
            <w:r w:rsidRPr="00956F16">
              <w:rPr>
                <w:rFonts w:ascii="Times New Roman" w:eastAsia="Times New Roman" w:hAnsi="Times New Roman" w:cs="Times New Roman"/>
                <w:szCs w:val="20"/>
              </w:rPr>
              <w:t>pneu</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zCs w:val="20"/>
              </w:rPr>
              <w:t>on</w:t>
            </w:r>
            <w:r w:rsidRPr="00956F16">
              <w:rPr>
                <w:rFonts w:ascii="Times New Roman" w:eastAsia="Times New Roman" w:hAnsi="Times New Roman" w:cs="Times New Roman"/>
                <w:spacing w:val="1"/>
                <w:szCs w:val="20"/>
              </w:rPr>
              <w:t>i</w:t>
            </w:r>
            <w:r w:rsidR="00C044CB">
              <w:rPr>
                <w:rFonts w:ascii="Times New Roman" w:eastAsia="Times New Roman" w:hAnsi="Times New Roman" w:cs="Times New Roman"/>
                <w:szCs w:val="20"/>
              </w:rPr>
              <w:t>a</w:t>
            </w:r>
            <w:r w:rsidRPr="00956F16">
              <w:rPr>
                <w:rFonts w:ascii="Times New Roman" w:eastAsia="Times New Roman" w:hAnsi="Times New Roman" w:cs="Times New Roman"/>
                <w:szCs w:val="20"/>
                <w:vertAlign w:val="superscript"/>
              </w:rPr>
              <w:t>◊,a</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n</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ope</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iát kísérő fertőzés</w:t>
            </w:r>
          </w:p>
          <w:p w14:paraId="1A7A9FC1"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rPr>
            </w:pPr>
          </w:p>
          <w:p w14:paraId="6D4F799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CF884D4" w14:textId="4DEA0E20" w:rsidR="00956F16" w:rsidRPr="00956F16" w:rsidRDefault="00956F16" w:rsidP="00956F16">
            <w:pPr>
              <w:widowControl w:val="0"/>
              <w:tabs>
                <w:tab w:val="left" w:pos="567"/>
              </w:tabs>
              <w:autoSpaceDE w:val="0"/>
              <w:autoSpaceDN w:val="0"/>
              <w:adjustRightInd w:val="0"/>
              <w:spacing w:after="0" w:line="240" w:lineRule="auto"/>
              <w:ind w:left="142" w:right="41"/>
              <w:rPr>
                <w:rFonts w:ascii="Times New Roman" w:eastAsia="Times New Roman" w:hAnsi="Times New Roman" w:cs="Times New Roman"/>
                <w:szCs w:val="20"/>
              </w:rPr>
            </w:pPr>
            <w:r w:rsidRPr="00956F16">
              <w:rPr>
                <w:rFonts w:ascii="Times New Roman" w:eastAsia="Times New Roman" w:hAnsi="Times New Roman" w:cs="Times New Roman"/>
                <w:szCs w:val="20"/>
              </w:rPr>
              <w:t>se</w:t>
            </w:r>
            <w:r w:rsidRPr="00956F16">
              <w:rPr>
                <w:rFonts w:ascii="Times New Roman" w:eastAsia="Times New Roman" w:hAnsi="Times New Roman" w:cs="Times New Roman"/>
                <w:spacing w:val="1"/>
                <w:szCs w:val="20"/>
              </w:rPr>
              <w:t>ps</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s</w:t>
            </w:r>
            <w:r w:rsidRPr="00956F16">
              <w:rPr>
                <w:rFonts w:ascii="Times New Roman" w:eastAsia="Times New Roman" w:hAnsi="Times New Roman" w:cs="Times New Roman"/>
                <w:szCs w:val="20"/>
                <w:vertAlign w:val="superscript"/>
              </w:rPr>
              <w:t>◊,b</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b</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2"/>
                <w:szCs w:val="20"/>
              </w:rPr>
              <w:t>c</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tüdőfertőzés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3"/>
                <w:szCs w:val="20"/>
              </w:rPr>
              <w:t xml:space="preserve"> bakteriális </w:t>
            </w:r>
            <w:r w:rsidRPr="00956F16">
              <w:rPr>
                <w:rFonts w:ascii="Times New Roman" w:eastAsia="Times New Roman" w:hAnsi="Times New Roman" w:cs="Times New Roman"/>
                <w:szCs w:val="20"/>
              </w:rPr>
              <w:t>alsó légúti fertőzés, bronchitis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4"/>
                <w:szCs w:val="20"/>
              </w:rPr>
              <w:t>i</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fl</w:t>
            </w:r>
            <w:r w:rsidRPr="00956F16">
              <w:rPr>
                <w:rFonts w:ascii="Times New Roman" w:eastAsia="Times New Roman" w:hAnsi="Times New Roman" w:cs="Times New Roman"/>
                <w:szCs w:val="20"/>
              </w:rPr>
              <w:t>u</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2"/>
                <w:szCs w:val="20"/>
              </w:rPr>
              <w:t>z</w:t>
            </w:r>
            <w:r w:rsidRPr="00956F16">
              <w:rPr>
                <w:rFonts w:ascii="Times New Roman" w:eastAsia="Times New Roman" w:hAnsi="Times New Roman" w:cs="Times New Roman"/>
                <w:szCs w:val="20"/>
              </w:rPr>
              <w:t>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g</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oe</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2"/>
                <w:szCs w:val="20"/>
              </w:rPr>
              <w:t>e</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2"/>
                <w:szCs w:val="20"/>
              </w:rPr>
              <w:t>z</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2"/>
                <w:szCs w:val="20"/>
              </w:rPr>
              <w:t>e</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4"/>
                <w:szCs w:val="20"/>
              </w:rPr>
              <w:t>fertőzés</w:t>
            </w:r>
            <w:r w:rsidRPr="00956F16">
              <w:rPr>
                <w:rFonts w:ascii="Times New Roman" w:eastAsia="Times New Roman" w:hAnsi="Times New Roman" w:cs="Times New Roman"/>
                <w:szCs w:val="20"/>
                <w:vertAlign w:val="superscript"/>
              </w:rPr>
              <w:t xml:space="preserve">◊  </w:t>
            </w:r>
          </w:p>
        </w:tc>
      </w:tr>
      <w:tr w:rsidR="00956F16" w:rsidRPr="00956F16" w14:paraId="17983ED6" w14:textId="77777777" w:rsidTr="00694E9C">
        <w:trPr>
          <w:trHeight w:hRule="exact" w:val="1326"/>
        </w:trPr>
        <w:tc>
          <w:tcPr>
            <w:tcW w:w="2400" w:type="dxa"/>
            <w:tcBorders>
              <w:top w:val="single" w:sz="4" w:space="0" w:color="000000"/>
              <w:left w:val="single" w:sz="4" w:space="0" w:color="000000"/>
              <w:bottom w:val="single" w:sz="4" w:space="0" w:color="000000"/>
              <w:right w:val="single" w:sz="4" w:space="0" w:color="000000"/>
            </w:tcBorders>
          </w:tcPr>
          <w:p w14:paraId="48BC2EAB" w14:textId="77777777" w:rsidR="00956F16" w:rsidRPr="00956F16" w:rsidRDefault="00956F16" w:rsidP="00956F16">
            <w:pPr>
              <w:widowControl w:val="0"/>
              <w:tabs>
                <w:tab w:val="left" w:pos="567"/>
              </w:tabs>
              <w:autoSpaceDE w:val="0"/>
              <w:autoSpaceDN w:val="0"/>
              <w:adjustRightInd w:val="0"/>
              <w:spacing w:after="0" w:line="240" w:lineRule="auto"/>
              <w:ind w:left="142" w:right="193"/>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Jó-, rosszindulatú és nem meghatározott daganatok (beleértve a cisztákat és polipokat is)</w:t>
            </w:r>
          </w:p>
        </w:tc>
        <w:tc>
          <w:tcPr>
            <w:tcW w:w="3362" w:type="dxa"/>
            <w:tcBorders>
              <w:top w:val="single" w:sz="4" w:space="0" w:color="000000"/>
              <w:left w:val="single" w:sz="4" w:space="0" w:color="000000"/>
              <w:bottom w:val="single" w:sz="4" w:space="0" w:color="000000"/>
              <w:right w:val="single" w:sz="4" w:space="0" w:color="000000"/>
            </w:tcBorders>
          </w:tcPr>
          <w:p w14:paraId="76573D2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BD1AB4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el</w:t>
            </w:r>
            <w:r w:rsidRPr="00956F16">
              <w:rPr>
                <w:rFonts w:ascii="Times New Roman" w:eastAsia="Times New Roman" w:hAnsi="Times New Roman" w:cs="Times New Roman"/>
                <w:szCs w:val="20"/>
              </w:rPr>
              <w:t>od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pacing w:val="1"/>
                <w:szCs w:val="20"/>
              </w:rPr>
              <w:t>siás szindróma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p>
        </w:tc>
        <w:tc>
          <w:tcPr>
            <w:tcW w:w="3442" w:type="dxa"/>
            <w:tcBorders>
              <w:top w:val="single" w:sz="4" w:space="0" w:color="auto"/>
              <w:left w:val="single" w:sz="4" w:space="0" w:color="000000"/>
              <w:bottom w:val="single" w:sz="4" w:space="0" w:color="000000"/>
              <w:right w:val="single" w:sz="4" w:space="0" w:color="000000"/>
            </w:tcBorders>
          </w:tcPr>
          <w:p w14:paraId="05A49FEF"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r w:rsidR="00956F16" w:rsidRPr="00956F16" w14:paraId="78D89B8D" w14:textId="77777777" w:rsidTr="00694E9C">
        <w:trPr>
          <w:trHeight w:val="1965"/>
        </w:trPr>
        <w:tc>
          <w:tcPr>
            <w:tcW w:w="2400" w:type="dxa"/>
            <w:tcBorders>
              <w:top w:val="single" w:sz="4" w:space="0" w:color="000000"/>
              <w:left w:val="single" w:sz="4" w:space="0" w:color="000000"/>
              <w:bottom w:val="single" w:sz="4" w:space="0" w:color="000000"/>
              <w:right w:val="single" w:sz="4" w:space="0" w:color="000000"/>
            </w:tcBorders>
          </w:tcPr>
          <w:p w14:paraId="46AF554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lastRenderedPageBreak/>
              <w:t>Vérképzőszervi és nyirokrendszeri 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4F66A3A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2FA2613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n</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u</w:t>
            </w:r>
            <w:r w:rsidRPr="00956F16">
              <w:rPr>
                <w:rFonts w:ascii="Times New Roman" w:eastAsia="Times New Roman" w:hAnsi="Times New Roman" w:cs="Times New Roman"/>
                <w:spacing w:val="1"/>
                <w:szCs w:val="20"/>
              </w:rPr>
              <w:t>tr</w:t>
            </w:r>
            <w:r w:rsidRPr="00956F16">
              <w:rPr>
                <w:rFonts w:ascii="Times New Roman" w:eastAsia="Times New Roman" w:hAnsi="Times New Roman" w:cs="Times New Roman"/>
                <w:spacing w:val="-2"/>
                <w:szCs w:val="20"/>
              </w:rPr>
              <w:t>o</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zCs w:val="20"/>
              </w:rPr>
              <w:t>lázas neu</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op</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2"/>
                <w:szCs w:val="20"/>
              </w:rPr>
              <w:t>t</w:t>
            </w:r>
            <w:r w:rsidRPr="00956F16">
              <w:rPr>
                <w:rFonts w:ascii="Times New Roman" w:eastAsia="Times New Roman" w:hAnsi="Times New Roman" w:cs="Times New Roman"/>
                <w:spacing w:val="-2"/>
                <w:szCs w:val="20"/>
              </w:rPr>
              <w:t>h</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zCs w:val="20"/>
              </w:rPr>
              <w:t>bo</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op</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a</w:t>
            </w:r>
            <w:r w:rsidRPr="00625BB2">
              <w:rPr>
                <w:rFonts w:ascii="Times New Roman" w:eastAsia="Times New Roman" w:hAnsi="Times New Roman" w:cs="Times New Roman"/>
              </w:rPr>
              <w:t>n</w:t>
            </w:r>
            <w:r w:rsidRPr="00625BB2">
              <w:rPr>
                <w:rFonts w:ascii="Times New Roman" w:eastAsia="Times New Roman" w:hAnsi="Times New Roman" w:cs="Times New Roman"/>
                <w:spacing w:val="-1"/>
              </w:rPr>
              <w:t>e</w:t>
            </w:r>
            <w:r w:rsidRPr="00625BB2">
              <w:rPr>
                <w:rFonts w:ascii="Times New Roman" w:eastAsia="Times New Roman" w:hAnsi="Times New Roman" w:cs="Times New Roman"/>
              </w:rPr>
              <w:t>mi</w:t>
            </w:r>
            <w:r w:rsidRPr="00625BB2">
              <w:rPr>
                <w:rFonts w:ascii="Times New Roman" w:eastAsia="Times New Roman" w:hAnsi="Times New Roman" w:cs="Times New Roman"/>
                <w:spacing w:val="-1"/>
              </w:rPr>
              <w:t>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ukop</w:t>
            </w:r>
            <w:r w:rsidRPr="00956F16">
              <w:rPr>
                <w:rFonts w:ascii="Times New Roman" w:eastAsia="Times New Roman" w:hAnsi="Times New Roman" w:cs="Times New Roman"/>
                <w:spacing w:val="-2"/>
                <w:szCs w:val="20"/>
              </w:rPr>
              <w:t>e</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l</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zCs w:val="20"/>
              </w:rPr>
              <w:t>phop</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p>
        </w:tc>
        <w:tc>
          <w:tcPr>
            <w:tcW w:w="3442" w:type="dxa"/>
            <w:tcBorders>
              <w:top w:val="single" w:sz="4" w:space="0" w:color="000000"/>
              <w:left w:val="single" w:sz="4" w:space="0" w:color="000000"/>
              <w:bottom w:val="single" w:sz="4" w:space="0" w:color="000000"/>
              <w:right w:val="single" w:sz="4" w:space="0" w:color="000000"/>
            </w:tcBorders>
          </w:tcPr>
          <w:p w14:paraId="03776ED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17E4FAD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n</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utr</w:t>
            </w:r>
            <w:r w:rsidRPr="00956F16">
              <w:rPr>
                <w:rFonts w:ascii="Times New Roman" w:eastAsia="Times New Roman" w:hAnsi="Times New Roman" w:cs="Times New Roman"/>
                <w:spacing w:val="-2"/>
                <w:szCs w:val="20"/>
              </w:rPr>
              <w:t>o</w:t>
            </w:r>
            <w:r w:rsidRPr="00956F16">
              <w:rPr>
                <w:rFonts w:ascii="Times New Roman" w:eastAsia="Times New Roman" w:hAnsi="Times New Roman" w:cs="Times New Roman"/>
                <w:szCs w:val="20"/>
              </w:rPr>
              <w:t>pe</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zCs w:val="20"/>
              </w:rPr>
              <w:t>lázas neu</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op</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2"/>
                <w:szCs w:val="20"/>
              </w:rPr>
              <w:t>t</w:t>
            </w:r>
            <w:r w:rsidRPr="00956F16">
              <w:rPr>
                <w:rFonts w:ascii="Times New Roman" w:eastAsia="Times New Roman" w:hAnsi="Times New Roman" w:cs="Times New Roman"/>
                <w:spacing w:val="-2"/>
                <w:szCs w:val="20"/>
              </w:rPr>
              <w:t>h</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zCs w:val="20"/>
              </w:rPr>
              <w:t>boc</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op</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a</w:t>
            </w:r>
            <w:r w:rsidRPr="00625BB2">
              <w:rPr>
                <w:rFonts w:ascii="Times New Roman" w:eastAsia="Times New Roman" w:hAnsi="Times New Roman" w:cs="Times New Roman"/>
              </w:rPr>
              <w:t>n</w:t>
            </w:r>
            <w:r w:rsidRPr="00625BB2">
              <w:rPr>
                <w:rFonts w:ascii="Times New Roman" w:eastAsia="Times New Roman" w:hAnsi="Times New Roman" w:cs="Times New Roman"/>
                <w:spacing w:val="-3"/>
              </w:rPr>
              <w:t>e</w:t>
            </w:r>
            <w:r w:rsidRPr="00625BB2">
              <w:rPr>
                <w:rFonts w:ascii="Times New Roman" w:eastAsia="Times New Roman" w:hAnsi="Times New Roman" w:cs="Times New Roman"/>
              </w:rPr>
              <w:t>mi</w:t>
            </w:r>
            <w:r w:rsidRPr="00625BB2">
              <w:rPr>
                <w:rFonts w:ascii="Times New Roman" w:eastAsia="Times New Roman" w:hAnsi="Times New Roman" w:cs="Times New Roman"/>
                <w:spacing w:val="-1"/>
              </w:rPr>
              <w:t>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ukop</w:t>
            </w:r>
            <w:r w:rsidRPr="00956F16">
              <w:rPr>
                <w:rFonts w:ascii="Times New Roman" w:eastAsia="Times New Roman" w:hAnsi="Times New Roman" w:cs="Times New Roman"/>
                <w:spacing w:val="-2"/>
                <w:szCs w:val="20"/>
              </w:rPr>
              <w:t>e</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l</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zCs w:val="20"/>
              </w:rPr>
              <w:t>phopen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p>
          <w:p w14:paraId="4678BD50"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2103756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CBC24B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pa</w:t>
            </w:r>
            <w:r w:rsidRPr="00956F16">
              <w:rPr>
                <w:rFonts w:ascii="Times New Roman" w:eastAsia="Times New Roman" w:hAnsi="Times New Roman" w:cs="Times New Roman"/>
                <w:spacing w:val="1"/>
                <w:szCs w:val="20"/>
              </w:rPr>
              <w:t>nc</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op</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r w:rsidRPr="00956F16">
              <w:rPr>
                <w:rFonts w:ascii="Times New Roman" w:eastAsia="Times New Roman" w:hAnsi="Times New Roman" w:cs="Times New Roman"/>
                <w:szCs w:val="20"/>
                <w:vertAlign w:val="superscript"/>
              </w:rPr>
              <w:t>◊</w:t>
            </w:r>
          </w:p>
        </w:tc>
      </w:tr>
      <w:tr w:rsidR="00956F16" w:rsidRPr="00956F16" w14:paraId="1F3A24BC" w14:textId="77777777" w:rsidTr="00694E9C">
        <w:trPr>
          <w:trHeight w:hRule="exact" w:val="989"/>
        </w:trPr>
        <w:tc>
          <w:tcPr>
            <w:tcW w:w="2400" w:type="dxa"/>
            <w:tcBorders>
              <w:top w:val="single" w:sz="4" w:space="0" w:color="000000"/>
              <w:left w:val="single" w:sz="4" w:space="0" w:color="000000"/>
              <w:bottom w:val="single" w:sz="4" w:space="0" w:color="000000"/>
              <w:right w:val="single" w:sz="4" w:space="0" w:color="000000"/>
            </w:tcBorders>
          </w:tcPr>
          <w:p w14:paraId="28D456B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Anyagcsere- és táplálkozási 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750FE3A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7D9C6AF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3"/>
                <w:szCs w:val="20"/>
              </w:rPr>
              <w:t>o</w:t>
            </w:r>
            <w:r w:rsidRPr="00956F16">
              <w:rPr>
                <w:rFonts w:ascii="Times New Roman" w:eastAsia="Times New Roman" w:hAnsi="Times New Roman" w:cs="Times New Roman"/>
                <w:spacing w:val="-2"/>
                <w:szCs w:val="20"/>
              </w:rPr>
              <w:t>k</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la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p>
        </w:tc>
        <w:tc>
          <w:tcPr>
            <w:tcW w:w="3442" w:type="dxa"/>
            <w:tcBorders>
              <w:top w:val="single" w:sz="4" w:space="0" w:color="000000"/>
              <w:left w:val="single" w:sz="4" w:space="0" w:color="000000"/>
              <w:bottom w:val="single" w:sz="4" w:space="0" w:color="000000"/>
              <w:right w:val="single" w:sz="4" w:space="0" w:color="000000"/>
            </w:tcBorders>
          </w:tcPr>
          <w:p w14:paraId="74C0205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9A522F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2"/>
                <w:szCs w:val="20"/>
              </w:rPr>
              <w:t>o</w:t>
            </w:r>
            <w:r w:rsidRPr="00956F16">
              <w:rPr>
                <w:rFonts w:ascii="Times New Roman" w:eastAsia="Times New Roman" w:hAnsi="Times New Roman" w:cs="Times New Roman"/>
                <w:spacing w:val="-2"/>
                <w:szCs w:val="20"/>
              </w:rPr>
              <w:t>k</w:t>
            </w:r>
            <w:r w:rsidRPr="00956F16">
              <w:rPr>
                <w:rFonts w:ascii="Times New Roman" w:eastAsia="Times New Roman" w:hAnsi="Times New Roman" w:cs="Times New Roman"/>
                <w:spacing w:val="1"/>
                <w:szCs w:val="20"/>
              </w:rPr>
              <w:t>al</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 xml:space="preserve">a, </w:t>
            </w: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zCs w:val="20"/>
              </w:rPr>
              <w:t>ehidráció</w:t>
            </w:r>
          </w:p>
        </w:tc>
      </w:tr>
      <w:tr w:rsidR="00956F16" w:rsidRPr="00956F16" w14:paraId="607F6728" w14:textId="77777777" w:rsidTr="00694E9C">
        <w:trPr>
          <w:trHeight w:val="1387"/>
        </w:trPr>
        <w:tc>
          <w:tcPr>
            <w:tcW w:w="2400" w:type="dxa"/>
            <w:tcBorders>
              <w:top w:val="single" w:sz="4" w:space="0" w:color="000000"/>
              <w:left w:val="single" w:sz="4" w:space="0" w:color="000000"/>
              <w:bottom w:val="single" w:sz="4" w:space="0" w:color="000000"/>
              <w:right w:val="single" w:sz="4" w:space="0" w:color="000000"/>
            </w:tcBorders>
          </w:tcPr>
          <w:p w14:paraId="14A0081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Idegrendszeri 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5A62C18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19A839B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ara</w:t>
            </w:r>
            <w:r w:rsidRPr="00956F16">
              <w:rPr>
                <w:rFonts w:ascii="Times New Roman" w:eastAsia="Times New Roman" w:hAnsi="Times New Roman" w:cs="Times New Roman"/>
                <w:spacing w:val="-2"/>
                <w:szCs w:val="20"/>
              </w:rPr>
              <w:t>e</w:t>
            </w:r>
            <w:r w:rsidRPr="00956F16">
              <w:rPr>
                <w:rFonts w:ascii="Times New Roman" w:eastAsia="Times New Roman" w:hAnsi="Times New Roman" w:cs="Times New Roman"/>
                <w:spacing w:val="1"/>
                <w:szCs w:val="20"/>
              </w:rPr>
              <w:t>st</w:t>
            </w:r>
            <w:r w:rsidRPr="00956F16">
              <w:rPr>
                <w:rFonts w:ascii="Times New Roman" w:eastAsia="Times New Roman" w:hAnsi="Times New Roman" w:cs="Times New Roman"/>
                <w:spacing w:val="-2"/>
                <w:szCs w:val="20"/>
              </w:rPr>
              <w:t>h</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p>
          <w:p w14:paraId="65BA956A"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4202FA5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74ADEF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erifériás</w:t>
            </w:r>
            <w:r w:rsidRPr="00956F16">
              <w:rPr>
                <w:rFonts w:ascii="Times New Roman" w:eastAsia="Times New Roman" w:hAnsi="Times New Roman" w:cs="Times New Roman"/>
                <w:szCs w:val="20"/>
              </w:rPr>
              <w:t xml:space="preserve"> neu</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op</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hia</w:t>
            </w:r>
            <w:r w:rsidRPr="00956F16">
              <w:rPr>
                <w:rFonts w:ascii="Times New Roman" w:eastAsia="Times New Roman" w:hAnsi="Times New Roman" w:cs="Times New Roman"/>
                <w:szCs w:val="20"/>
                <w:vertAlign w:val="superscript"/>
              </w:rPr>
              <w:t>c</w:t>
            </w:r>
          </w:p>
        </w:tc>
        <w:tc>
          <w:tcPr>
            <w:tcW w:w="3442" w:type="dxa"/>
            <w:tcBorders>
              <w:top w:val="single" w:sz="4" w:space="0" w:color="000000"/>
              <w:left w:val="single" w:sz="4" w:space="0" w:color="000000"/>
              <w:bottom w:val="single" w:sz="4" w:space="0" w:color="000000"/>
              <w:right w:val="single" w:sz="4" w:space="0" w:color="000000"/>
            </w:tcBorders>
          </w:tcPr>
          <w:p w14:paraId="5E58207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5E154C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fejfájás</w:t>
            </w:r>
          </w:p>
        </w:tc>
      </w:tr>
      <w:tr w:rsidR="00956F16" w:rsidRPr="00956F16" w14:paraId="75760C6B" w14:textId="77777777" w:rsidTr="00694E9C">
        <w:trPr>
          <w:trHeight w:val="605"/>
        </w:trPr>
        <w:tc>
          <w:tcPr>
            <w:tcW w:w="2400" w:type="dxa"/>
            <w:tcBorders>
              <w:top w:val="single" w:sz="4" w:space="0" w:color="000000"/>
              <w:left w:val="single" w:sz="4" w:space="0" w:color="000000"/>
              <w:bottom w:val="single" w:sz="4" w:space="0" w:color="000000"/>
              <w:right w:val="single" w:sz="4" w:space="0" w:color="000000"/>
            </w:tcBorders>
          </w:tcPr>
          <w:p w14:paraId="12A5615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Érbetegségek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6D94317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693A09B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pu</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zCs w:val="20"/>
              </w:rPr>
              <w:t>onalis</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zCs w:val="20"/>
              </w:rPr>
              <w:t>bo</w:t>
            </w:r>
            <w:r w:rsidRPr="00956F16">
              <w:rPr>
                <w:rFonts w:ascii="Times New Roman" w:eastAsia="Times New Roman" w:hAnsi="Times New Roman" w:cs="Times New Roman"/>
                <w:spacing w:val="1"/>
                <w:szCs w:val="20"/>
              </w:rPr>
              <w:t>lia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p>
        </w:tc>
        <w:tc>
          <w:tcPr>
            <w:tcW w:w="3442" w:type="dxa"/>
            <w:tcBorders>
              <w:top w:val="single" w:sz="4" w:space="0" w:color="000000"/>
              <w:left w:val="single" w:sz="4" w:space="0" w:color="000000"/>
              <w:bottom w:val="single" w:sz="4" w:space="0" w:color="000000"/>
              <w:right w:val="single" w:sz="4" w:space="0" w:color="000000"/>
            </w:tcBorders>
          </w:tcPr>
          <w:p w14:paraId="729415A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60EEBB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mélyvénás t</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zCs w:val="20"/>
              </w:rPr>
              <w:t>bo</w:t>
            </w:r>
            <w:r w:rsidRPr="00956F16">
              <w:rPr>
                <w:rFonts w:ascii="Times New Roman" w:eastAsia="Times New Roman" w:hAnsi="Times New Roman" w:cs="Times New Roman"/>
                <w:spacing w:val="1"/>
                <w:szCs w:val="20"/>
              </w:rPr>
              <w:t>sis</w:t>
            </w:r>
            <w:r w:rsidRPr="00956F16">
              <w:rPr>
                <w:rFonts w:ascii="Times New Roman" w:eastAsia="Times New Roman" w:hAnsi="Times New Roman" w:cs="Times New Roman"/>
                <w:szCs w:val="20"/>
              </w:rPr>
              <w:t>^</w:t>
            </w:r>
            <w:r w:rsidRPr="00956F16">
              <w:rPr>
                <w:rFonts w:ascii="Times New Roman" w:eastAsia="Times New Roman" w:hAnsi="Times New Roman" w:cs="Times New Roman"/>
                <w:szCs w:val="20"/>
                <w:vertAlign w:val="superscript"/>
              </w:rPr>
              <w:t>,◊,d</w:t>
            </w:r>
          </w:p>
        </w:tc>
      </w:tr>
      <w:tr w:rsidR="00956F16" w:rsidRPr="00956F16" w14:paraId="104925BB" w14:textId="77777777" w:rsidTr="00694E9C">
        <w:trPr>
          <w:trHeight w:hRule="exact" w:val="1412"/>
        </w:trPr>
        <w:tc>
          <w:tcPr>
            <w:tcW w:w="2400" w:type="dxa"/>
            <w:tcBorders>
              <w:top w:val="single" w:sz="4" w:space="0" w:color="000000"/>
              <w:left w:val="single" w:sz="4" w:space="0" w:color="000000"/>
              <w:bottom w:val="single" w:sz="4" w:space="0" w:color="000000"/>
              <w:right w:val="single" w:sz="4" w:space="0" w:color="000000"/>
            </w:tcBorders>
          </w:tcPr>
          <w:p w14:paraId="4CC75A8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Légzőrendszeri, mellkasi és mediastinalis 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16E80DF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5F6C5CF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köhögés</w:t>
            </w:r>
          </w:p>
          <w:p w14:paraId="5B36B429"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5CAA799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307508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pnoe</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r</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a</w:t>
            </w:r>
          </w:p>
        </w:tc>
        <w:tc>
          <w:tcPr>
            <w:tcW w:w="3442" w:type="dxa"/>
            <w:tcBorders>
              <w:top w:val="single" w:sz="4" w:space="0" w:color="000000"/>
              <w:left w:val="single" w:sz="4" w:space="0" w:color="000000"/>
              <w:bottom w:val="single" w:sz="4" w:space="0" w:color="000000"/>
              <w:right w:val="single" w:sz="4" w:space="0" w:color="000000"/>
            </w:tcBorders>
          </w:tcPr>
          <w:p w14:paraId="1AA9072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6183971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pno</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vertAlign w:val="superscript"/>
              </w:rPr>
              <w:t>◊</w:t>
            </w:r>
          </w:p>
        </w:tc>
      </w:tr>
      <w:tr w:rsidR="00956F16" w:rsidRPr="00956F16" w14:paraId="5F7246D7" w14:textId="77777777" w:rsidTr="00694E9C">
        <w:trPr>
          <w:trHeight w:val="1667"/>
        </w:trPr>
        <w:tc>
          <w:tcPr>
            <w:tcW w:w="2400" w:type="dxa"/>
            <w:tcBorders>
              <w:top w:val="single" w:sz="4" w:space="0" w:color="000000"/>
              <w:left w:val="single" w:sz="4" w:space="0" w:color="000000"/>
              <w:bottom w:val="single" w:sz="4" w:space="0" w:color="000000"/>
              <w:right w:val="single" w:sz="4" w:space="0" w:color="000000"/>
            </w:tcBorders>
          </w:tcPr>
          <w:p w14:paraId="6139238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Emésztőrendszeri betegségek és tünetek</w:t>
            </w:r>
          </w:p>
        </w:tc>
        <w:tc>
          <w:tcPr>
            <w:tcW w:w="3362" w:type="dxa"/>
            <w:tcBorders>
              <w:top w:val="single" w:sz="4" w:space="0" w:color="000000"/>
              <w:left w:val="single" w:sz="4" w:space="0" w:color="000000"/>
              <w:bottom w:val="single" w:sz="4" w:space="0" w:color="000000"/>
              <w:right w:val="single" w:sz="4" w:space="0" w:color="000000"/>
            </w:tcBorders>
          </w:tcPr>
          <w:p w14:paraId="68145BB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700F505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hasmenés, székrekedés, hasi fájdalom, hányinger</w:t>
            </w:r>
          </w:p>
          <w:p w14:paraId="168B450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4"/>
              </w:rPr>
            </w:pPr>
          </w:p>
          <w:p w14:paraId="77E2C77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520B48D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2"/>
                <w:szCs w:val="20"/>
              </w:rPr>
              <w:t>hányás</w:t>
            </w:r>
            <w:r w:rsidRPr="00956F16">
              <w:rPr>
                <w:rFonts w:ascii="Times New Roman" w:eastAsia="Times New Roman" w:hAnsi="Times New Roman" w:cs="Times New Roman"/>
                <w:szCs w:val="20"/>
              </w:rPr>
              <w:t>, felső hasi fájdalom</w:t>
            </w:r>
          </w:p>
        </w:tc>
        <w:tc>
          <w:tcPr>
            <w:tcW w:w="3442" w:type="dxa"/>
            <w:tcBorders>
              <w:top w:val="single" w:sz="4" w:space="0" w:color="000000"/>
              <w:left w:val="single" w:sz="4" w:space="0" w:color="000000"/>
              <w:bottom w:val="single" w:sz="4" w:space="0" w:color="000000"/>
              <w:right w:val="single" w:sz="4" w:space="0" w:color="000000"/>
            </w:tcBorders>
          </w:tcPr>
          <w:p w14:paraId="15F56E7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39AA9D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hasmenés, hányás, hányinger</w:t>
            </w:r>
          </w:p>
        </w:tc>
      </w:tr>
      <w:tr w:rsidR="00956F16" w:rsidRPr="00956F16" w14:paraId="785562B7" w14:textId="77777777" w:rsidTr="00694E9C">
        <w:trPr>
          <w:trHeight w:hRule="exact" w:val="901"/>
        </w:trPr>
        <w:tc>
          <w:tcPr>
            <w:tcW w:w="2400" w:type="dxa"/>
            <w:tcBorders>
              <w:top w:val="single" w:sz="4" w:space="0" w:color="000000"/>
              <w:left w:val="single" w:sz="4" w:space="0" w:color="000000"/>
              <w:bottom w:val="single" w:sz="4" w:space="0" w:color="000000"/>
              <w:right w:val="single" w:sz="4" w:space="0" w:color="000000"/>
            </w:tcBorders>
          </w:tcPr>
          <w:p w14:paraId="3E14869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Máj- és epebetegségek, illetve tünetek</w:t>
            </w:r>
          </w:p>
        </w:tc>
        <w:tc>
          <w:tcPr>
            <w:tcW w:w="3362" w:type="dxa"/>
            <w:tcBorders>
              <w:top w:val="single" w:sz="4" w:space="0" w:color="000000"/>
              <w:left w:val="single" w:sz="4" w:space="0" w:color="000000"/>
              <w:bottom w:val="single" w:sz="4" w:space="0" w:color="000000"/>
              <w:right w:val="single" w:sz="4" w:space="0" w:color="000000"/>
            </w:tcBorders>
          </w:tcPr>
          <w:p w14:paraId="347D0D1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3C6B7C2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kóros májfunkciós vizsgálati eredmények</w:t>
            </w:r>
          </w:p>
        </w:tc>
        <w:tc>
          <w:tcPr>
            <w:tcW w:w="3442" w:type="dxa"/>
            <w:tcBorders>
              <w:top w:val="single" w:sz="4" w:space="0" w:color="000000"/>
              <w:left w:val="single" w:sz="4" w:space="0" w:color="000000"/>
              <w:bottom w:val="single" w:sz="4" w:space="0" w:color="000000"/>
              <w:right w:val="single" w:sz="4" w:space="0" w:color="000000"/>
            </w:tcBorders>
          </w:tcPr>
          <w:p w14:paraId="0286AD6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3B6011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kóros májfunkciós vizsgálati eredmények</w:t>
            </w:r>
          </w:p>
        </w:tc>
      </w:tr>
      <w:tr w:rsidR="00956F16" w:rsidRPr="00956F16" w14:paraId="7242F749" w14:textId="77777777" w:rsidTr="00694E9C">
        <w:trPr>
          <w:trHeight w:val="730"/>
        </w:trPr>
        <w:tc>
          <w:tcPr>
            <w:tcW w:w="2400" w:type="dxa"/>
            <w:tcBorders>
              <w:top w:val="single" w:sz="4" w:space="0" w:color="000000"/>
              <w:left w:val="single" w:sz="4" w:space="0" w:color="000000"/>
              <w:bottom w:val="single" w:sz="4" w:space="0" w:color="000000"/>
              <w:right w:val="single" w:sz="4" w:space="0" w:color="000000"/>
            </w:tcBorders>
          </w:tcPr>
          <w:p w14:paraId="7EB90B9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A bőr és a bőr alatti szövet betegségei és tünetei</w:t>
            </w:r>
          </w:p>
        </w:tc>
        <w:tc>
          <w:tcPr>
            <w:tcW w:w="3362" w:type="dxa"/>
            <w:tcBorders>
              <w:top w:val="single" w:sz="4" w:space="0" w:color="000000"/>
              <w:left w:val="single" w:sz="4" w:space="0" w:color="000000"/>
              <w:bottom w:val="single" w:sz="4" w:space="0" w:color="000000"/>
              <w:right w:val="single" w:sz="4" w:space="0" w:color="000000"/>
            </w:tcBorders>
          </w:tcPr>
          <w:p w14:paraId="1BFF94C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36FB4AD2" w14:textId="0667B2F9"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bőrkiütés, bőr</w:t>
            </w:r>
            <w:r w:rsidR="00BF6840" w:rsidRPr="00956F16">
              <w:rPr>
                <w:rFonts w:ascii="Times New Roman" w:eastAsia="Times New Roman" w:hAnsi="Times New Roman" w:cs="Times New Roman"/>
                <w:spacing w:val="-1"/>
                <w:szCs w:val="20"/>
              </w:rPr>
              <w:t>száraz</w:t>
            </w:r>
            <w:r w:rsidR="00BF6840">
              <w:rPr>
                <w:rFonts w:ascii="Times New Roman" w:eastAsia="Times New Roman" w:hAnsi="Times New Roman" w:cs="Times New Roman"/>
                <w:spacing w:val="-1"/>
                <w:szCs w:val="20"/>
              </w:rPr>
              <w:t>ság</w:t>
            </w:r>
          </w:p>
        </w:tc>
        <w:tc>
          <w:tcPr>
            <w:tcW w:w="3442" w:type="dxa"/>
            <w:tcBorders>
              <w:top w:val="single" w:sz="4" w:space="0" w:color="000000"/>
              <w:left w:val="single" w:sz="4" w:space="0" w:color="000000"/>
              <w:bottom w:val="single" w:sz="4" w:space="0" w:color="000000"/>
              <w:right w:val="single" w:sz="4" w:space="0" w:color="000000"/>
            </w:tcBorders>
          </w:tcPr>
          <w:p w14:paraId="61721A6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16CB40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bőrkiütés, p</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us</w:t>
            </w:r>
          </w:p>
        </w:tc>
      </w:tr>
      <w:tr w:rsidR="00956F16" w:rsidRPr="00956F16" w14:paraId="5F3A66E0" w14:textId="77777777" w:rsidTr="00694E9C">
        <w:trPr>
          <w:trHeight w:val="1346"/>
        </w:trPr>
        <w:tc>
          <w:tcPr>
            <w:tcW w:w="2400" w:type="dxa"/>
            <w:tcBorders>
              <w:top w:val="single" w:sz="4" w:space="0" w:color="000000"/>
              <w:left w:val="single" w:sz="4" w:space="0" w:color="000000"/>
              <w:bottom w:val="single" w:sz="4" w:space="0" w:color="000000"/>
              <w:right w:val="single" w:sz="4" w:space="0" w:color="000000"/>
            </w:tcBorders>
          </w:tcPr>
          <w:p w14:paraId="0E1592D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A csont- és izomrendszer, valamint a kötőszövet betegségei és tünetei</w:t>
            </w:r>
          </w:p>
        </w:tc>
        <w:tc>
          <w:tcPr>
            <w:tcW w:w="3362" w:type="dxa"/>
            <w:tcBorders>
              <w:top w:val="single" w:sz="4" w:space="0" w:color="000000"/>
              <w:left w:val="single" w:sz="4" w:space="0" w:color="000000"/>
              <w:bottom w:val="single" w:sz="4" w:space="0" w:color="000000"/>
              <w:right w:val="single" w:sz="4" w:space="0" w:color="000000"/>
            </w:tcBorders>
          </w:tcPr>
          <w:p w14:paraId="6CAF54E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1D58824D"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 xml:space="preserve">izomgörcsök </w:t>
            </w:r>
          </w:p>
          <w:p w14:paraId="678B84EF"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6E77B12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0D4B17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al</w:t>
            </w:r>
            <w:r w:rsidRPr="00956F16">
              <w:rPr>
                <w:rFonts w:ascii="Times New Roman" w:eastAsia="Times New Roman" w:hAnsi="Times New Roman" w:cs="Times New Roman"/>
                <w:spacing w:val="-2"/>
                <w:szCs w:val="20"/>
              </w:rPr>
              <w:t>g</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 mozgásszervi fájdalom</w:t>
            </w:r>
          </w:p>
        </w:tc>
        <w:tc>
          <w:tcPr>
            <w:tcW w:w="3442" w:type="dxa"/>
            <w:tcBorders>
              <w:top w:val="single" w:sz="4" w:space="0" w:color="000000"/>
              <w:left w:val="single" w:sz="4" w:space="0" w:color="000000"/>
              <w:bottom w:val="single" w:sz="4" w:space="0" w:color="000000"/>
              <w:right w:val="single" w:sz="4" w:space="0" w:color="000000"/>
            </w:tcBorders>
          </w:tcPr>
          <w:p w14:paraId="7AA9CD6A"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r w:rsidR="00956F16" w:rsidRPr="00956F16" w14:paraId="412FF3A0" w14:textId="77777777" w:rsidTr="00694E9C">
        <w:trPr>
          <w:trHeight w:val="857"/>
        </w:trPr>
        <w:tc>
          <w:tcPr>
            <w:tcW w:w="2400" w:type="dxa"/>
            <w:tcBorders>
              <w:top w:val="single" w:sz="4" w:space="0" w:color="000000"/>
              <w:left w:val="single" w:sz="4" w:space="0" w:color="000000"/>
              <w:bottom w:val="single" w:sz="4" w:space="0" w:color="000000"/>
              <w:right w:val="single" w:sz="4" w:space="0" w:color="000000"/>
            </w:tcBorders>
          </w:tcPr>
          <w:p w14:paraId="5E897F0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Általános tünetek, az alkalmazás helyén fellépő reakciók</w:t>
            </w:r>
          </w:p>
        </w:tc>
        <w:tc>
          <w:tcPr>
            <w:tcW w:w="3362" w:type="dxa"/>
            <w:tcBorders>
              <w:top w:val="single" w:sz="4" w:space="0" w:color="000000"/>
              <w:left w:val="single" w:sz="4" w:space="0" w:color="000000"/>
              <w:bottom w:val="single" w:sz="4" w:space="0" w:color="000000"/>
              <w:right w:val="single" w:sz="4" w:space="0" w:color="000000"/>
            </w:tcBorders>
          </w:tcPr>
          <w:p w14:paraId="5BDC3A9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2ABF9788" w14:textId="5349B1AE"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fárad</w:t>
            </w:r>
            <w:r w:rsidR="00D34ABC">
              <w:rPr>
                <w:rFonts w:ascii="Times New Roman" w:eastAsia="Times New Roman" w:hAnsi="Times New Roman" w:cs="Times New Roman"/>
                <w:szCs w:val="20"/>
              </w:rPr>
              <w:t>ékony</w:t>
            </w:r>
            <w:r w:rsidRPr="00956F16">
              <w:rPr>
                <w:rFonts w:ascii="Times New Roman" w:eastAsia="Times New Roman" w:hAnsi="Times New Roman" w:cs="Times New Roman"/>
                <w:szCs w:val="20"/>
              </w:rPr>
              <w:t>ság, gyengeség, láz</w:t>
            </w:r>
          </w:p>
        </w:tc>
        <w:tc>
          <w:tcPr>
            <w:tcW w:w="3442" w:type="dxa"/>
            <w:tcBorders>
              <w:top w:val="single" w:sz="4" w:space="0" w:color="000000"/>
              <w:left w:val="single" w:sz="4" w:space="0" w:color="000000"/>
              <w:bottom w:val="single" w:sz="4" w:space="0" w:color="000000"/>
              <w:right w:val="single" w:sz="4" w:space="0" w:color="000000"/>
            </w:tcBorders>
          </w:tcPr>
          <w:p w14:paraId="1325017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DB70463" w14:textId="4D32350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fárad</w:t>
            </w:r>
            <w:r w:rsidR="00D34ABC">
              <w:rPr>
                <w:rFonts w:ascii="Times New Roman" w:eastAsia="Times New Roman" w:hAnsi="Times New Roman" w:cs="Times New Roman"/>
                <w:szCs w:val="20"/>
              </w:rPr>
              <w:t>ékony</w:t>
            </w:r>
            <w:r w:rsidRPr="00956F16">
              <w:rPr>
                <w:rFonts w:ascii="Times New Roman" w:eastAsia="Times New Roman" w:hAnsi="Times New Roman" w:cs="Times New Roman"/>
                <w:szCs w:val="20"/>
              </w:rPr>
              <w:t>ság, gyengeség</w:t>
            </w:r>
          </w:p>
        </w:tc>
      </w:tr>
    </w:tbl>
    <w:p w14:paraId="67A21AAA"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w:t>
      </w:r>
      <w:r w:rsidRPr="00956F16">
        <w:rPr>
          <w:rFonts w:ascii="Times New Roman" w:eastAsia="Calibri" w:hAnsi="Times New Roman" w:cs="Times New Roman"/>
          <w:sz w:val="18"/>
          <w:szCs w:val="18"/>
        </w:rPr>
        <w:t xml:space="preserve"> Az ASCT-n átesett, NDMM-ben szenvedő betegek részvételével végzett klinikai vizsgálatokban súlyosként jelentett mellékhatások.</w:t>
      </w:r>
    </w:p>
    <w:p w14:paraId="50E5C7EB"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 Csak a súlyos mellékhatásokra vonatkozik.</w:t>
      </w:r>
    </w:p>
    <w:p w14:paraId="1A336C3F"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 Lásd 4.8 pont: Egyes kiválasztott mellékhatások leírása.</w:t>
      </w:r>
    </w:p>
    <w:p w14:paraId="41CC799D"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a</w:t>
      </w:r>
      <w:r w:rsidRPr="00956F16">
        <w:rPr>
          <w:rFonts w:ascii="Times New Roman" w:eastAsia="Calibri" w:hAnsi="Times New Roman" w:cs="Times New Roman"/>
          <w:sz w:val="18"/>
          <w:szCs w:val="18"/>
        </w:rPr>
        <w:t xml:space="preserve"> A „pneumonia” gyűjtőkifejezés a következő preferált kifejezéseket foglalja magában: bronchopneumonia, lobaris pneumonia, pneumocystis jiroveci pneumonia, pneumonia, klebsiella pneumonia, legionella pneumonia, mycoplasma pneumonia, pneumococcus pneumonia, streptococcus pneumonia, víruspneumonia, tüdőbetegség, pneumonitis.</w:t>
      </w:r>
    </w:p>
    <w:p w14:paraId="5C6255DF"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lastRenderedPageBreak/>
        <w:t>b</w:t>
      </w:r>
      <w:r w:rsidRPr="00956F16">
        <w:rPr>
          <w:rFonts w:ascii="Times New Roman" w:eastAsia="Calibri" w:hAnsi="Times New Roman" w:cs="Times New Roman"/>
          <w:sz w:val="18"/>
          <w:szCs w:val="18"/>
        </w:rPr>
        <w:t xml:space="preserve"> A „sepsis” gyűjtőkifejezés a következő preferált kifejezéseket foglalja magában: bakteriális sepsis, pneumococcus sepsis, septicus sokk, staphylococcus sepsis.</w:t>
      </w:r>
    </w:p>
    <w:p w14:paraId="4385440C"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c</w:t>
      </w:r>
      <w:r w:rsidRPr="00956F16">
        <w:rPr>
          <w:rFonts w:ascii="Times New Roman" w:eastAsia="Calibri" w:hAnsi="Times New Roman" w:cs="Times New Roman"/>
          <w:sz w:val="18"/>
          <w:szCs w:val="18"/>
        </w:rPr>
        <w:t xml:space="preserve"> A „perifériás neuropathia” gyűjtőkifejezés a következő preferált kifejezéseket foglalja magában: perifériás neuropathia, perifériás sensoros neuropathia, polyneuropathia.</w:t>
      </w:r>
    </w:p>
    <w:p w14:paraId="6A9059BF"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d</w:t>
      </w:r>
      <w:r w:rsidRPr="00956F16">
        <w:rPr>
          <w:rFonts w:ascii="Times New Roman" w:eastAsia="Calibri" w:hAnsi="Times New Roman" w:cs="Times New Roman"/>
          <w:sz w:val="18"/>
          <w:szCs w:val="18"/>
        </w:rPr>
        <w:t xml:space="preserve"> A „mélyvénás thrombosis” gyűjtőkifejezés a következő preferált kifejezéseket foglalja magában: mélyvénás thrombosis, thrombosis, vénás thrombosis.</w:t>
      </w:r>
    </w:p>
    <w:p w14:paraId="3ECFE8FA" w14:textId="77777777" w:rsidR="00956F16" w:rsidRPr="00956F16" w:rsidRDefault="00956F16" w:rsidP="00956F16">
      <w:pPr>
        <w:spacing w:after="0" w:line="240" w:lineRule="auto"/>
        <w:rPr>
          <w:rFonts w:ascii="Times New Roman" w:eastAsia="Calibri" w:hAnsi="Times New Roman" w:cs="Times New Roman"/>
        </w:rPr>
      </w:pPr>
    </w:p>
    <w:p w14:paraId="49298A93" w14:textId="1A293F10"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A</w:t>
      </w:r>
      <w:r w:rsidR="00D34ABC">
        <w:rPr>
          <w:rFonts w:ascii="Times New Roman" w:eastAsia="Calibri" w:hAnsi="Times New Roman" w:cs="Times New Roman"/>
          <w:i/>
          <w:u w:val="single"/>
        </w:rPr>
        <w:t>z</w:t>
      </w:r>
      <w:r w:rsidRPr="00956F16">
        <w:rPr>
          <w:rFonts w:ascii="Times New Roman" w:eastAsia="Calibri" w:hAnsi="Times New Roman" w:cs="Times New Roman"/>
          <w:i/>
          <w:u w:val="single"/>
        </w:rPr>
        <w:t xml:space="preserve"> MM-ben alkalmazott kombinációs terápiából származó adatok táblázatos összefoglalása</w:t>
      </w:r>
    </w:p>
    <w:p w14:paraId="59B5F561"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alábbi táblázat a myeloma multiplexben szenvedő, kombinációs kezelésben részesülő betegek bevonásával végzett klinikai vizsgálatok során összegyűjtött adatokból származik. Az adatokat nem korrigálták a myeloma multiplexben végzett pivotális klinikai vizsgálatok során a betegség progressziójáig folytatott, lenalidomidot tartalmazó karokon a komparátorkarhoz viszonyítva alkalmazott hosszabb kezelési időtartam szerint (lásd 5.1 pont).</w:t>
      </w:r>
    </w:p>
    <w:p w14:paraId="34936B1F" w14:textId="77777777" w:rsidR="00956F16" w:rsidRPr="00956F16" w:rsidRDefault="00956F16" w:rsidP="00956F16">
      <w:pPr>
        <w:spacing w:after="0" w:line="240" w:lineRule="auto"/>
        <w:rPr>
          <w:rFonts w:ascii="Times New Roman" w:eastAsia="Calibri" w:hAnsi="Times New Roman" w:cs="Times New Roman"/>
        </w:rPr>
      </w:pPr>
    </w:p>
    <w:p w14:paraId="168158C9" w14:textId="580681B5" w:rsidR="00956F16" w:rsidRPr="00956F16" w:rsidRDefault="00956F16" w:rsidP="00441247">
      <w:pPr>
        <w:keepNext/>
        <w:spacing w:after="0" w:line="240" w:lineRule="auto"/>
        <w:rPr>
          <w:rFonts w:ascii="Times New Roman" w:eastAsia="Calibri" w:hAnsi="Times New Roman" w:cs="Times New Roman"/>
          <w:b/>
        </w:rPr>
      </w:pPr>
      <w:r w:rsidRPr="00956F16">
        <w:rPr>
          <w:rFonts w:ascii="Times New Roman" w:eastAsia="Calibri" w:hAnsi="Times New Roman" w:cs="Times New Roman"/>
          <w:b/>
        </w:rPr>
        <w:t xml:space="preserve">2. táblázat. A klinikai vizsgálatok során </w:t>
      </w:r>
      <w:r w:rsidR="001968CA" w:rsidRPr="00441247">
        <w:rPr>
          <w:rFonts w:ascii="Times New Roman" w:eastAsia="Calibri" w:hAnsi="Times New Roman" w:cs="Times New Roman"/>
          <w:b/>
        </w:rPr>
        <w:t>bortezomibbal és dexametazonnal,</w:t>
      </w:r>
      <w:r w:rsidR="001968CA" w:rsidRPr="00956F16">
        <w:rPr>
          <w:rFonts w:ascii="Times New Roman" w:eastAsia="Calibri" w:hAnsi="Times New Roman" w:cs="Times New Roman"/>
          <w:b/>
        </w:rPr>
        <w:t xml:space="preserve"> </w:t>
      </w:r>
      <w:r w:rsidRPr="00956F16">
        <w:rPr>
          <w:rFonts w:ascii="Times New Roman" w:eastAsia="Calibri" w:hAnsi="Times New Roman" w:cs="Times New Roman"/>
          <w:b/>
        </w:rPr>
        <w:t>dexametazonnal vagy melfalánnal és prednizonnal kombinációban alkalmazott lenalidomiddal kezelt myeloma multiplexes betegeknél jelentett mellékhatások</w:t>
      </w:r>
    </w:p>
    <w:tbl>
      <w:tblPr>
        <w:tblW w:w="9204" w:type="dxa"/>
        <w:tblInd w:w="5" w:type="dxa"/>
        <w:tblLayout w:type="fixed"/>
        <w:tblCellMar>
          <w:left w:w="0" w:type="dxa"/>
          <w:right w:w="0" w:type="dxa"/>
        </w:tblCellMar>
        <w:tblLook w:val="0000" w:firstRow="0" w:lastRow="0" w:firstColumn="0" w:lastColumn="0" w:noHBand="0" w:noVBand="0"/>
      </w:tblPr>
      <w:tblGrid>
        <w:gridCol w:w="2400"/>
        <w:gridCol w:w="3402"/>
        <w:gridCol w:w="3402"/>
      </w:tblGrid>
      <w:tr w:rsidR="00956F16" w:rsidRPr="00956F16" w14:paraId="76789C77" w14:textId="77777777" w:rsidTr="00694E9C">
        <w:trPr>
          <w:trHeight w:hRule="exact" w:val="955"/>
          <w:tblHeader/>
        </w:trPr>
        <w:tc>
          <w:tcPr>
            <w:tcW w:w="2400" w:type="dxa"/>
            <w:tcBorders>
              <w:top w:val="single" w:sz="4" w:space="0" w:color="000000"/>
              <w:left w:val="single" w:sz="4" w:space="0" w:color="000000"/>
              <w:bottom w:val="single" w:sz="4" w:space="0" w:color="000000"/>
              <w:right w:val="single" w:sz="4" w:space="0" w:color="000000"/>
            </w:tcBorders>
          </w:tcPr>
          <w:p w14:paraId="7B37C64C" w14:textId="3B650368"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Szervrendszer</w:t>
            </w:r>
            <w:r w:rsidR="005C44EF">
              <w:rPr>
                <w:rFonts w:ascii="Times New Roman" w:eastAsia="Times New Roman" w:hAnsi="Times New Roman" w:cs="Times New Roman"/>
                <w:b/>
                <w:bCs/>
                <w:szCs w:val="20"/>
              </w:rPr>
              <w:t>i kategória/ megnevezés</w:t>
            </w:r>
          </w:p>
        </w:tc>
        <w:tc>
          <w:tcPr>
            <w:tcW w:w="3402" w:type="dxa"/>
            <w:tcBorders>
              <w:top w:val="single" w:sz="4" w:space="0" w:color="000000"/>
              <w:left w:val="single" w:sz="4" w:space="0" w:color="000000"/>
              <w:bottom w:val="single" w:sz="4" w:space="0" w:color="000000"/>
              <w:right w:val="single" w:sz="4" w:space="0" w:color="000000"/>
            </w:tcBorders>
          </w:tcPr>
          <w:p w14:paraId="25BF430E"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Minden mellékhatás/gyakoriság</w:t>
            </w:r>
          </w:p>
        </w:tc>
        <w:tc>
          <w:tcPr>
            <w:tcW w:w="3402" w:type="dxa"/>
            <w:tcBorders>
              <w:top w:val="single" w:sz="4" w:space="0" w:color="000000"/>
              <w:left w:val="single" w:sz="4" w:space="0" w:color="000000"/>
              <w:bottom w:val="single" w:sz="4" w:space="0" w:color="000000"/>
              <w:right w:val="single" w:sz="4" w:space="0" w:color="000000"/>
            </w:tcBorders>
          </w:tcPr>
          <w:p w14:paraId="357C23DD"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3−4-es súlyossági fokú mellékhatások/gyakoriság</w:t>
            </w:r>
          </w:p>
        </w:tc>
      </w:tr>
      <w:tr w:rsidR="00956F16" w:rsidRPr="00956F16" w14:paraId="05F30BBE" w14:textId="77777777" w:rsidTr="00694E9C">
        <w:trPr>
          <w:trHeight w:val="2525"/>
        </w:trPr>
        <w:tc>
          <w:tcPr>
            <w:tcW w:w="2400" w:type="dxa"/>
            <w:tcBorders>
              <w:top w:val="single" w:sz="4" w:space="0" w:color="000000"/>
              <w:left w:val="single" w:sz="4" w:space="0" w:color="000000"/>
              <w:bottom w:val="single" w:sz="4" w:space="0" w:color="000000"/>
              <w:right w:val="single" w:sz="4" w:space="0" w:color="000000"/>
            </w:tcBorders>
          </w:tcPr>
          <w:p w14:paraId="0C177081" w14:textId="77777777" w:rsidR="00956F16" w:rsidRPr="00956F16" w:rsidRDefault="00956F16" w:rsidP="00956F16">
            <w:pPr>
              <w:spacing w:after="0" w:line="240" w:lineRule="auto"/>
              <w:rPr>
                <w:rFonts w:ascii="Times New Roman" w:eastAsia="Calibri" w:hAnsi="Times New Roman" w:cs="Times New Roman"/>
                <w:b/>
                <w:sz w:val="24"/>
                <w:szCs w:val="24"/>
              </w:rPr>
            </w:pPr>
            <w:r w:rsidRPr="00956F16">
              <w:rPr>
                <w:rFonts w:ascii="Times New Roman" w:eastAsia="Calibri" w:hAnsi="Times New Roman" w:cs="Times New Roman"/>
                <w:b/>
              </w:rPr>
              <w:t>Fertőző betegségek és parazitafertőzések</w:t>
            </w:r>
          </w:p>
        </w:tc>
        <w:tc>
          <w:tcPr>
            <w:tcW w:w="3402" w:type="dxa"/>
            <w:tcBorders>
              <w:top w:val="single" w:sz="4" w:space="0" w:color="000000"/>
              <w:left w:val="single" w:sz="4" w:space="0" w:color="000000"/>
              <w:bottom w:val="single" w:sz="4" w:space="0" w:color="000000"/>
              <w:right w:val="single" w:sz="4" w:space="0" w:color="000000"/>
            </w:tcBorders>
          </w:tcPr>
          <w:p w14:paraId="7A43AE4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1182849C" w14:textId="7FD8062E"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zCs w:val="20"/>
              </w:rPr>
              <w:t>pneu</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zCs w:val="20"/>
              </w:rPr>
              <w:t>on</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vertAlign w:val="superscript"/>
              </w:rPr>
              <w:t>◊</w:t>
            </w:r>
            <w:r w:rsidR="001968CA">
              <w:rPr>
                <w:rFonts w:ascii="Times New Roman" w:eastAsia="Times New Roman" w:hAnsi="Times New Roman" w:cs="Times New Roman"/>
                <w:szCs w:val="20"/>
                <w:vertAlign w:val="superscript"/>
              </w:rPr>
              <w:t>,</w:t>
            </w:r>
            <w:r w:rsidR="001968CA"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felső légúti fertőzés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1"/>
                <w:szCs w:val="20"/>
              </w:rPr>
              <w:t>bakteriális, vírus- és gombafertőzések (beleértve az opportunista fertőzéseket is)</w:t>
            </w:r>
            <w:r w:rsidRPr="00956F16">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nasopharyngitis, pharyngitis, bronchitis</w:t>
            </w:r>
            <w:r w:rsidRPr="00956F16">
              <w:rPr>
                <w:rFonts w:ascii="Times New Roman" w:eastAsia="Times New Roman" w:hAnsi="Times New Roman" w:cs="Times New Roman"/>
                <w:spacing w:val="-1"/>
                <w:szCs w:val="20"/>
                <w:vertAlign w:val="superscript"/>
              </w:rPr>
              <w:t>◊</w:t>
            </w:r>
            <w:r w:rsidR="001968CA">
              <w:rPr>
                <w:rFonts w:ascii="Times New Roman" w:eastAsia="Times New Roman" w:hAnsi="Times New Roman" w:cs="Times New Roman"/>
                <w:spacing w:val="-1"/>
                <w:szCs w:val="20"/>
              </w:rPr>
              <w:t>, rhinitis</w:t>
            </w:r>
          </w:p>
          <w:p w14:paraId="572616D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highlight w:val="yellow"/>
              </w:rPr>
            </w:pPr>
          </w:p>
          <w:p w14:paraId="6B46D22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6F81348" w14:textId="41DEA8C9"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4"/>
                <w:szCs w:val="20"/>
              </w:rPr>
              <w:t>sepsis</w:t>
            </w:r>
            <w:r w:rsidRPr="00956F16">
              <w:rPr>
                <w:rFonts w:ascii="Times New Roman" w:eastAsia="Times New Roman" w:hAnsi="Times New Roman" w:cs="Times New Roman"/>
                <w:spacing w:val="-4"/>
                <w:szCs w:val="20"/>
                <w:vertAlign w:val="superscript"/>
              </w:rPr>
              <w:t>◊</w:t>
            </w:r>
            <w:r w:rsidR="001968CA">
              <w:rPr>
                <w:rFonts w:ascii="Times New Roman" w:eastAsia="Times New Roman" w:hAnsi="Times New Roman" w:cs="Times New Roman"/>
                <w:spacing w:val="-4"/>
                <w:szCs w:val="20"/>
                <w:vertAlign w:val="superscript"/>
              </w:rPr>
              <w:t>,</w:t>
            </w:r>
            <w:r w:rsidR="001968CA"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pacing w:val="-4"/>
                <w:szCs w:val="20"/>
              </w:rPr>
              <w:t xml:space="preserve">, </w:t>
            </w:r>
            <w:r w:rsidR="009756A1">
              <w:rPr>
                <w:rFonts w:ascii="Times New Roman" w:eastAsia="Times New Roman" w:hAnsi="Times New Roman" w:cs="Times New Roman"/>
                <w:spacing w:val="-4"/>
                <w:szCs w:val="20"/>
              </w:rPr>
              <w:t>tüdőfertőzés</w:t>
            </w:r>
            <w:r w:rsidR="009756A1" w:rsidRPr="00956F16">
              <w:rPr>
                <w:rFonts w:ascii="Times New Roman" w:eastAsia="Times New Roman" w:hAnsi="Times New Roman" w:cs="Times New Roman"/>
                <w:szCs w:val="20"/>
                <w:vertAlign w:val="superscript"/>
              </w:rPr>
              <w:t>◊◊</w:t>
            </w:r>
            <w:r w:rsidR="009756A1">
              <w:rPr>
                <w:rFonts w:ascii="Times New Roman" w:eastAsia="Times New Roman" w:hAnsi="Times New Roman" w:cs="Times New Roman"/>
                <w:spacing w:val="-4"/>
                <w:szCs w:val="20"/>
              </w:rPr>
              <w:t>, húgyúti fertőzés</w:t>
            </w:r>
            <w:r w:rsidR="009756A1" w:rsidRPr="00956F16">
              <w:rPr>
                <w:rFonts w:ascii="Times New Roman" w:eastAsia="Times New Roman" w:hAnsi="Times New Roman" w:cs="Times New Roman"/>
                <w:szCs w:val="20"/>
                <w:vertAlign w:val="superscript"/>
              </w:rPr>
              <w:t>◊◊</w:t>
            </w:r>
            <w:r w:rsidR="009756A1">
              <w:rPr>
                <w:rFonts w:ascii="Times New Roman" w:eastAsia="Times New Roman" w:hAnsi="Times New Roman" w:cs="Times New Roman"/>
                <w:spacing w:val="-4"/>
                <w:szCs w:val="20"/>
              </w:rPr>
              <w:t xml:space="preserve">, </w:t>
            </w:r>
            <w:r w:rsidRPr="00956F16">
              <w:rPr>
                <w:rFonts w:ascii="Times New Roman" w:eastAsia="Times New Roman" w:hAnsi="Times New Roman" w:cs="Times New Roman"/>
                <w:spacing w:val="-4"/>
                <w:szCs w:val="20"/>
              </w:rPr>
              <w:t>sinusitis</w:t>
            </w:r>
            <w:r w:rsidRPr="00956F16">
              <w:rPr>
                <w:rFonts w:ascii="Times New Roman" w:eastAsia="Times New Roman" w:hAnsi="Times New Roman" w:cs="Times New Roman"/>
                <w:spacing w:val="-4"/>
                <w:szCs w:val="20"/>
                <w:vertAlign w:val="superscript"/>
              </w:rPr>
              <w:t>◊</w:t>
            </w:r>
          </w:p>
        </w:tc>
        <w:tc>
          <w:tcPr>
            <w:tcW w:w="3402" w:type="dxa"/>
            <w:tcBorders>
              <w:top w:val="single" w:sz="4" w:space="0" w:color="000000"/>
              <w:left w:val="single" w:sz="4" w:space="0" w:color="000000"/>
              <w:bottom w:val="single" w:sz="4" w:space="0" w:color="auto"/>
              <w:right w:val="single" w:sz="4" w:space="0" w:color="000000"/>
            </w:tcBorders>
          </w:tcPr>
          <w:p w14:paraId="46087C2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4E9003EA" w14:textId="61F0AEF2" w:rsidR="00956F16" w:rsidRPr="00956F16" w:rsidRDefault="00956F16" w:rsidP="00956F16">
            <w:pPr>
              <w:widowControl w:val="0"/>
              <w:tabs>
                <w:tab w:val="left" w:pos="567"/>
              </w:tabs>
              <w:autoSpaceDE w:val="0"/>
              <w:autoSpaceDN w:val="0"/>
              <w:adjustRightInd w:val="0"/>
              <w:spacing w:after="0" w:line="240" w:lineRule="auto"/>
              <w:ind w:left="142" w:right="41"/>
              <w:rPr>
                <w:rFonts w:ascii="Times New Roman" w:eastAsia="Times New Roman" w:hAnsi="Times New Roman" w:cs="Times New Roman"/>
                <w:szCs w:val="20"/>
              </w:rPr>
            </w:pPr>
            <w:r w:rsidRPr="00956F16">
              <w:rPr>
                <w:rFonts w:ascii="Times New Roman" w:eastAsia="Times New Roman" w:hAnsi="Times New Roman" w:cs="Times New Roman"/>
                <w:szCs w:val="20"/>
              </w:rPr>
              <w:t>pneumonia</w:t>
            </w:r>
            <w:r w:rsidRPr="00956F16">
              <w:rPr>
                <w:rFonts w:ascii="Times New Roman" w:eastAsia="Times New Roman" w:hAnsi="Times New Roman" w:cs="Times New Roman"/>
                <w:szCs w:val="20"/>
                <w:vertAlign w:val="superscript"/>
              </w:rPr>
              <w:t>◊</w:t>
            </w:r>
            <w:r w:rsidR="009756A1">
              <w:rPr>
                <w:rFonts w:ascii="Times New Roman" w:eastAsia="Times New Roman" w:hAnsi="Times New Roman" w:cs="Times New Roman"/>
                <w:szCs w:val="20"/>
                <w:vertAlign w:val="superscript"/>
              </w:rPr>
              <w:t>,</w:t>
            </w:r>
            <w:r w:rsidR="009756A1"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bakteriális-, vírus- és gombafertőzések (beleértve az opportunista fertőzéseket is)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cellulitis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sepsis</w:t>
            </w:r>
            <w:r w:rsidRPr="00956F16">
              <w:rPr>
                <w:rFonts w:ascii="Times New Roman" w:eastAsia="Times New Roman" w:hAnsi="Times New Roman" w:cs="Times New Roman"/>
                <w:szCs w:val="20"/>
                <w:vertAlign w:val="superscript"/>
              </w:rPr>
              <w:t>◊</w:t>
            </w:r>
            <w:r w:rsidR="009756A1">
              <w:rPr>
                <w:rFonts w:ascii="Times New Roman" w:eastAsia="Times New Roman" w:hAnsi="Times New Roman" w:cs="Times New Roman"/>
                <w:szCs w:val="20"/>
                <w:vertAlign w:val="superscript"/>
              </w:rPr>
              <w:t>,</w:t>
            </w:r>
            <w:r w:rsidR="009756A1"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009756A1">
              <w:rPr>
                <w:rFonts w:ascii="Times New Roman" w:eastAsia="Times New Roman" w:hAnsi="Times New Roman" w:cs="Times New Roman"/>
                <w:szCs w:val="20"/>
              </w:rPr>
              <w:t>tüdőfertőzés</w:t>
            </w:r>
            <w:r w:rsidR="009756A1" w:rsidRPr="00956F16">
              <w:rPr>
                <w:rFonts w:ascii="Times New Roman" w:eastAsia="Times New Roman" w:hAnsi="Times New Roman" w:cs="Times New Roman"/>
                <w:szCs w:val="20"/>
                <w:vertAlign w:val="superscript"/>
              </w:rPr>
              <w:t>◊◊</w:t>
            </w:r>
            <w:r w:rsidR="009756A1" w:rsidRPr="00956F16">
              <w:rPr>
                <w:rFonts w:ascii="Times New Roman" w:eastAsia="Times New Roman" w:hAnsi="Times New Roman" w:cs="Times New Roman"/>
                <w:szCs w:val="20"/>
              </w:rPr>
              <w:t>,</w:t>
            </w:r>
            <w:r w:rsidR="009756A1">
              <w:rPr>
                <w:rFonts w:ascii="Times New Roman" w:eastAsia="Times New Roman" w:hAnsi="Times New Roman" w:cs="Times New Roman"/>
                <w:szCs w:val="20"/>
              </w:rPr>
              <w:t xml:space="preserve"> </w:t>
            </w:r>
            <w:r w:rsidRPr="00956F16">
              <w:rPr>
                <w:rFonts w:ascii="Times New Roman" w:eastAsia="Times New Roman" w:hAnsi="Times New Roman" w:cs="Times New Roman"/>
                <w:szCs w:val="20"/>
              </w:rPr>
              <w:t>bronchitis</w:t>
            </w:r>
            <w:r w:rsidRPr="00956F16">
              <w:rPr>
                <w:rFonts w:ascii="Times New Roman" w:eastAsia="Times New Roman" w:hAnsi="Times New Roman" w:cs="Times New Roman"/>
                <w:szCs w:val="20"/>
                <w:vertAlign w:val="superscript"/>
              </w:rPr>
              <w:t>◊</w:t>
            </w:r>
            <w:r w:rsidR="009756A1">
              <w:rPr>
                <w:rFonts w:ascii="Times New Roman" w:eastAsia="Times New Roman" w:hAnsi="Times New Roman" w:cs="Times New Roman"/>
                <w:szCs w:val="20"/>
              </w:rPr>
              <w:t>, l</w:t>
            </w:r>
            <w:r w:rsidR="009756A1" w:rsidRPr="00441247">
              <w:rPr>
                <w:rFonts w:ascii="Times New Roman" w:eastAsia="Times New Roman" w:hAnsi="Times New Roman" w:cs="Times New Roman"/>
                <w:szCs w:val="20"/>
              </w:rPr>
              <w:t>égúti fertőzés</w:t>
            </w:r>
            <w:r w:rsidR="009756A1" w:rsidRPr="00956F16">
              <w:rPr>
                <w:rFonts w:ascii="Times New Roman" w:eastAsia="Times New Roman" w:hAnsi="Times New Roman" w:cs="Times New Roman"/>
                <w:szCs w:val="20"/>
                <w:vertAlign w:val="superscript"/>
              </w:rPr>
              <w:t>◊◊</w:t>
            </w:r>
            <w:r w:rsidR="009756A1" w:rsidRPr="00441247">
              <w:rPr>
                <w:rFonts w:ascii="Times New Roman" w:eastAsia="Times New Roman" w:hAnsi="Times New Roman" w:cs="Times New Roman"/>
                <w:szCs w:val="20"/>
              </w:rPr>
              <w:t>, húgyúti fertőzés</w:t>
            </w:r>
            <w:r w:rsidR="009756A1" w:rsidRPr="00956F16">
              <w:rPr>
                <w:rFonts w:ascii="Times New Roman" w:eastAsia="Times New Roman" w:hAnsi="Times New Roman" w:cs="Times New Roman"/>
                <w:szCs w:val="20"/>
                <w:vertAlign w:val="superscript"/>
              </w:rPr>
              <w:t>◊◊</w:t>
            </w:r>
            <w:r w:rsidR="009756A1" w:rsidRPr="00441247">
              <w:rPr>
                <w:rFonts w:ascii="Times New Roman" w:eastAsia="Times New Roman" w:hAnsi="Times New Roman" w:cs="Times New Roman"/>
                <w:szCs w:val="20"/>
              </w:rPr>
              <w:t>, fertőző enterocolitis</w:t>
            </w:r>
          </w:p>
        </w:tc>
      </w:tr>
      <w:tr w:rsidR="00956F16" w:rsidRPr="00956F16" w14:paraId="24478264" w14:textId="77777777" w:rsidTr="00694E9C">
        <w:trPr>
          <w:trHeight w:hRule="exact" w:val="2461"/>
        </w:trPr>
        <w:tc>
          <w:tcPr>
            <w:tcW w:w="2400" w:type="dxa"/>
            <w:tcBorders>
              <w:top w:val="single" w:sz="4" w:space="0" w:color="000000"/>
              <w:left w:val="single" w:sz="4" w:space="0" w:color="000000"/>
              <w:bottom w:val="single" w:sz="4" w:space="0" w:color="000000"/>
              <w:right w:val="single" w:sz="4" w:space="0" w:color="000000"/>
            </w:tcBorders>
          </w:tcPr>
          <w:p w14:paraId="5816226F" w14:textId="77777777" w:rsidR="00956F16" w:rsidRPr="00956F16" w:rsidRDefault="00956F16" w:rsidP="00956F16">
            <w:pPr>
              <w:widowControl w:val="0"/>
              <w:tabs>
                <w:tab w:val="left" w:pos="567"/>
              </w:tabs>
              <w:autoSpaceDE w:val="0"/>
              <w:autoSpaceDN w:val="0"/>
              <w:adjustRightInd w:val="0"/>
              <w:spacing w:after="0" w:line="240" w:lineRule="auto"/>
              <w:ind w:left="142" w:right="193"/>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Jó-, rosszindulatú és nem meghatározott daganatok (beleértve a cisztákat és polipokat is)</w:t>
            </w:r>
          </w:p>
        </w:tc>
        <w:tc>
          <w:tcPr>
            <w:tcW w:w="3402" w:type="dxa"/>
            <w:tcBorders>
              <w:top w:val="single" w:sz="4" w:space="0" w:color="000000"/>
              <w:left w:val="single" w:sz="4" w:space="0" w:color="000000"/>
              <w:bottom w:val="single" w:sz="4" w:space="0" w:color="000000"/>
              <w:right w:val="single" w:sz="4" w:space="0" w:color="000000"/>
            </w:tcBorders>
          </w:tcPr>
          <w:p w14:paraId="6433CED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3292279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bazálsejtes karcinóma</w:t>
            </w:r>
            <w:r w:rsidRPr="00956F16">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laphámsejtes bőrrák</w:t>
            </w:r>
            <w:r w:rsidRPr="00956F16">
              <w:rPr>
                <w:rFonts w:ascii="Times New Roman" w:eastAsia="Times New Roman" w:hAnsi="Times New Roman" w:cs="Times New Roman"/>
                <w:spacing w:val="1"/>
                <w:szCs w:val="20"/>
                <w:vertAlign w:val="superscript"/>
              </w:rPr>
              <w:t>^,◊,*</w:t>
            </w:r>
          </w:p>
        </w:tc>
        <w:tc>
          <w:tcPr>
            <w:tcW w:w="3402" w:type="dxa"/>
            <w:tcBorders>
              <w:top w:val="single" w:sz="4" w:space="0" w:color="auto"/>
              <w:left w:val="single" w:sz="4" w:space="0" w:color="000000"/>
              <w:bottom w:val="single" w:sz="4" w:space="0" w:color="000000"/>
              <w:right w:val="single" w:sz="4" w:space="0" w:color="000000"/>
            </w:tcBorders>
          </w:tcPr>
          <w:p w14:paraId="2C062C91"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u w:val="single"/>
              </w:rPr>
            </w:pPr>
            <w:r w:rsidRPr="00956F16">
              <w:rPr>
                <w:rFonts w:ascii="Times New Roman" w:eastAsia="Times New Roman" w:hAnsi="Times New Roman" w:cs="Times New Roman"/>
                <w:u w:val="single"/>
              </w:rPr>
              <w:t>Gyakori</w:t>
            </w:r>
          </w:p>
          <w:p w14:paraId="03E8868E"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rPr>
            </w:pPr>
            <w:r w:rsidRPr="00956F16">
              <w:rPr>
                <w:rFonts w:ascii="Times New Roman" w:eastAsia="Times New Roman" w:hAnsi="Times New Roman" w:cs="Times New Roman"/>
              </w:rPr>
              <w:t>akut myeloid leukaemia</w:t>
            </w:r>
            <w:r w:rsidRPr="00956F16">
              <w:rPr>
                <w:rFonts w:ascii="Times New Roman" w:eastAsia="Times New Roman" w:hAnsi="Times New Roman" w:cs="Times New Roman"/>
                <w:sz w:val="20"/>
                <w:vertAlign w:val="superscript"/>
              </w:rPr>
              <w:t>◊</w:t>
            </w:r>
            <w:r w:rsidRPr="00956F16">
              <w:rPr>
                <w:rFonts w:ascii="Times New Roman" w:eastAsia="Times New Roman" w:hAnsi="Times New Roman" w:cs="Times New Roman"/>
              </w:rPr>
              <w:t>, myelodysplasiás szindróma</w:t>
            </w:r>
            <w:r w:rsidRPr="00956F16">
              <w:rPr>
                <w:rFonts w:ascii="Times New Roman" w:eastAsia="Times New Roman" w:hAnsi="Times New Roman" w:cs="Times New Roman"/>
                <w:vertAlign w:val="superscript"/>
              </w:rPr>
              <w:t>◊</w:t>
            </w:r>
            <w:r w:rsidRPr="00956F16">
              <w:rPr>
                <w:rFonts w:ascii="Times New Roman" w:eastAsia="Times New Roman" w:hAnsi="Times New Roman" w:cs="Times New Roman"/>
              </w:rPr>
              <w:t>, a bőr laphámsejtes karcinómája</w:t>
            </w:r>
            <w:r w:rsidRPr="00956F16">
              <w:rPr>
                <w:rFonts w:ascii="Times New Roman" w:eastAsia="Times New Roman" w:hAnsi="Times New Roman" w:cs="Times New Roman"/>
                <w:vertAlign w:val="superscript"/>
              </w:rPr>
              <w:t>^,◊,**</w:t>
            </w:r>
          </w:p>
          <w:p w14:paraId="0A7E9AD4"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rPr>
            </w:pPr>
          </w:p>
          <w:p w14:paraId="3606750F"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u w:val="single"/>
              </w:rPr>
            </w:pPr>
            <w:r w:rsidRPr="00956F16">
              <w:rPr>
                <w:rFonts w:ascii="Times New Roman" w:eastAsia="Times New Roman" w:hAnsi="Times New Roman" w:cs="Times New Roman"/>
                <w:u w:val="single"/>
              </w:rPr>
              <w:t xml:space="preserve">Nem gyakori </w:t>
            </w:r>
          </w:p>
          <w:p w14:paraId="30C58336"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r w:rsidRPr="00956F16">
              <w:rPr>
                <w:rFonts w:ascii="Times New Roman" w:eastAsia="Times New Roman" w:hAnsi="Times New Roman" w:cs="Times New Roman"/>
              </w:rPr>
              <w:t>T-sejtes típusú akut leukaemia</w:t>
            </w:r>
            <w:r w:rsidRPr="00956F16">
              <w:rPr>
                <w:rFonts w:ascii="Times New Roman" w:eastAsia="Times New Roman" w:hAnsi="Times New Roman" w:cs="Times New Roman"/>
                <w:vertAlign w:val="superscript"/>
              </w:rPr>
              <w:t>◊</w:t>
            </w:r>
            <w:r w:rsidRPr="00956F16">
              <w:rPr>
                <w:rFonts w:ascii="Times New Roman" w:eastAsia="Times New Roman" w:hAnsi="Times New Roman" w:cs="Times New Roman"/>
              </w:rPr>
              <w:t>, bazálsejtes karcinóma^</w:t>
            </w:r>
            <w:r w:rsidRPr="007E5A32">
              <w:rPr>
                <w:rFonts w:ascii="Times New Roman" w:hAnsi="Times New Roman"/>
                <w:vertAlign w:val="superscript"/>
              </w:rPr>
              <w:t>,◊</w:t>
            </w:r>
            <w:r w:rsidRPr="00956F16">
              <w:rPr>
                <w:rFonts w:ascii="Times New Roman" w:eastAsia="Times New Roman" w:hAnsi="Times New Roman" w:cs="Times New Roman"/>
              </w:rPr>
              <w:t>, tumorlízis-szindróma</w:t>
            </w:r>
          </w:p>
        </w:tc>
      </w:tr>
      <w:tr w:rsidR="00956F16" w:rsidRPr="00956F16" w14:paraId="02520B62" w14:textId="77777777" w:rsidTr="007E5A32">
        <w:trPr>
          <w:trHeight w:val="598"/>
        </w:trPr>
        <w:tc>
          <w:tcPr>
            <w:tcW w:w="2400" w:type="dxa"/>
            <w:tcBorders>
              <w:top w:val="single" w:sz="4" w:space="0" w:color="000000"/>
              <w:left w:val="single" w:sz="4" w:space="0" w:color="000000"/>
              <w:bottom w:val="single" w:sz="4" w:space="0" w:color="000000"/>
              <w:right w:val="single" w:sz="4" w:space="0" w:color="000000"/>
            </w:tcBorders>
          </w:tcPr>
          <w:p w14:paraId="6661ECA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Vérképzőszervi és nyirokrendszeri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55C0909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r w:rsidRPr="00956F16">
              <w:rPr>
                <w:rFonts w:ascii="Times New Roman" w:eastAsia="Times New Roman" w:hAnsi="Times New Roman" w:cs="Times New Roman"/>
                <w:spacing w:val="2"/>
                <w:szCs w:val="20"/>
                <w:u w:val="single"/>
              </w:rPr>
              <w:t>Nagyon gyakori</w:t>
            </w:r>
          </w:p>
          <w:p w14:paraId="5777ED76" w14:textId="7969A071"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rPr>
            </w:pPr>
            <w:r w:rsidRPr="00956F16">
              <w:rPr>
                <w:rFonts w:ascii="Times New Roman" w:eastAsia="Times New Roman" w:hAnsi="Times New Roman" w:cs="Times New Roman"/>
                <w:spacing w:val="2"/>
                <w:szCs w:val="20"/>
              </w:rPr>
              <w:t>neutropenia</w:t>
            </w:r>
            <w:r w:rsidRPr="00956F16">
              <w:rPr>
                <w:rFonts w:ascii="Times New Roman" w:eastAsia="Times New Roman" w:hAnsi="Times New Roman" w:cs="Times New Roman"/>
                <w:spacing w:val="2"/>
                <w:szCs w:val="20"/>
                <w:vertAlign w:val="superscript"/>
              </w:rPr>
              <w:t>^,◊</w:t>
            </w:r>
            <w:r w:rsidR="009756A1">
              <w:rPr>
                <w:rFonts w:ascii="Times New Roman" w:eastAsia="Times New Roman" w:hAnsi="Times New Roman" w:cs="Times New Roman"/>
                <w:spacing w:val="2"/>
                <w:szCs w:val="20"/>
                <w:vertAlign w:val="superscript"/>
              </w:rPr>
              <w:t>,</w:t>
            </w:r>
            <w:r w:rsidR="009756A1"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pacing w:val="2"/>
                <w:szCs w:val="20"/>
              </w:rPr>
              <w:t>, thrombocytopenia</w:t>
            </w:r>
            <w:r w:rsidRPr="00956F16">
              <w:rPr>
                <w:rFonts w:ascii="Times New Roman" w:eastAsia="Times New Roman" w:hAnsi="Times New Roman" w:cs="Times New Roman"/>
                <w:spacing w:val="2"/>
                <w:szCs w:val="20"/>
                <w:vertAlign w:val="superscript"/>
              </w:rPr>
              <w:t>^,◊</w:t>
            </w:r>
            <w:r w:rsidR="009756A1">
              <w:rPr>
                <w:rFonts w:ascii="Times New Roman" w:eastAsia="Times New Roman" w:hAnsi="Times New Roman" w:cs="Times New Roman"/>
                <w:spacing w:val="2"/>
                <w:szCs w:val="20"/>
                <w:vertAlign w:val="superscript"/>
              </w:rPr>
              <w:t>,</w:t>
            </w:r>
            <w:r w:rsidR="009756A1"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pacing w:val="2"/>
                <w:szCs w:val="20"/>
              </w:rPr>
              <w:t>, anaemia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vérzési zavar</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leukop</w:t>
            </w:r>
            <w:r w:rsidR="00761422">
              <w:rPr>
                <w:rFonts w:ascii="Times New Roman" w:eastAsia="Times New Roman" w:hAnsi="Times New Roman" w:cs="Times New Roman"/>
                <w:spacing w:val="2"/>
                <w:szCs w:val="20"/>
              </w:rPr>
              <w:t>e</w:t>
            </w:r>
            <w:r w:rsidRPr="00956F16">
              <w:rPr>
                <w:rFonts w:ascii="Times New Roman" w:eastAsia="Times New Roman" w:hAnsi="Times New Roman" w:cs="Times New Roman"/>
                <w:spacing w:val="2"/>
                <w:szCs w:val="20"/>
              </w:rPr>
              <w:t>ni</w:t>
            </w:r>
            <w:r w:rsidR="00A6122A">
              <w:rPr>
                <w:rFonts w:ascii="Times New Roman" w:eastAsia="Times New Roman" w:hAnsi="Times New Roman" w:cs="Times New Roman"/>
                <w:spacing w:val="2"/>
                <w:szCs w:val="20"/>
              </w:rPr>
              <w:t>a</w:t>
            </w:r>
            <w:r w:rsidR="009756A1">
              <w:rPr>
                <w:rFonts w:ascii="Times New Roman" w:eastAsia="Times New Roman" w:hAnsi="Times New Roman" w:cs="Times New Roman"/>
                <w:spacing w:val="2"/>
                <w:szCs w:val="20"/>
              </w:rPr>
              <w:t>, lymphopenia</w:t>
            </w:r>
          </w:p>
          <w:p w14:paraId="2EDDA45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p>
          <w:p w14:paraId="07F609E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r w:rsidRPr="00956F16">
              <w:rPr>
                <w:rFonts w:ascii="Times New Roman" w:eastAsia="Times New Roman" w:hAnsi="Times New Roman" w:cs="Times New Roman"/>
                <w:spacing w:val="2"/>
                <w:szCs w:val="20"/>
                <w:u w:val="single"/>
              </w:rPr>
              <w:t>Gyakori</w:t>
            </w:r>
          </w:p>
          <w:p w14:paraId="04E69F2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vertAlign w:val="superscript"/>
              </w:rPr>
            </w:pPr>
            <w:r w:rsidRPr="00956F16">
              <w:rPr>
                <w:rFonts w:ascii="Times New Roman" w:eastAsia="Times New Roman" w:hAnsi="Times New Roman" w:cs="Times New Roman"/>
                <w:spacing w:val="2"/>
                <w:szCs w:val="20"/>
              </w:rPr>
              <w:t>lázas neutropenia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pancytopenia</w:t>
            </w:r>
            <w:r w:rsidRPr="00956F16">
              <w:rPr>
                <w:rFonts w:ascii="Times New Roman" w:eastAsia="Times New Roman" w:hAnsi="Times New Roman" w:cs="Times New Roman"/>
                <w:spacing w:val="2"/>
                <w:szCs w:val="20"/>
                <w:vertAlign w:val="superscript"/>
              </w:rPr>
              <w:t>◊</w:t>
            </w:r>
          </w:p>
          <w:p w14:paraId="1E74C33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p>
          <w:p w14:paraId="0072986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r w:rsidRPr="00956F16">
              <w:rPr>
                <w:rFonts w:ascii="Times New Roman" w:eastAsia="Times New Roman" w:hAnsi="Times New Roman" w:cs="Times New Roman"/>
                <w:spacing w:val="2"/>
                <w:szCs w:val="20"/>
                <w:u w:val="single"/>
              </w:rPr>
              <w:t>Nem gyakori</w:t>
            </w:r>
          </w:p>
          <w:p w14:paraId="474CBB4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rPr>
              <w:t>haemolysis, autoimmun haemolyticus anaemia, haemolyticus anaemia</w:t>
            </w:r>
          </w:p>
        </w:tc>
        <w:tc>
          <w:tcPr>
            <w:tcW w:w="3402" w:type="dxa"/>
            <w:tcBorders>
              <w:top w:val="single" w:sz="4" w:space="0" w:color="000000"/>
              <w:left w:val="single" w:sz="4" w:space="0" w:color="000000"/>
              <w:bottom w:val="single" w:sz="4" w:space="0" w:color="000000"/>
              <w:right w:val="single" w:sz="4" w:space="0" w:color="000000"/>
            </w:tcBorders>
          </w:tcPr>
          <w:p w14:paraId="65BA285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Nagyon gyakori</w:t>
            </w:r>
          </w:p>
          <w:p w14:paraId="31A9FC07" w14:textId="12D00132"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neutropenia</w:t>
            </w:r>
            <w:r w:rsidRPr="00956F16">
              <w:rPr>
                <w:rFonts w:ascii="Times New Roman" w:eastAsia="Times New Roman" w:hAnsi="Times New Roman" w:cs="Times New Roman"/>
                <w:spacing w:val="1"/>
                <w:szCs w:val="20"/>
                <w:vertAlign w:val="superscript"/>
              </w:rPr>
              <w:t>^,◊</w:t>
            </w:r>
            <w:r w:rsidR="009756A1">
              <w:rPr>
                <w:rFonts w:ascii="Times New Roman" w:eastAsia="Times New Roman" w:hAnsi="Times New Roman" w:cs="Times New Roman"/>
                <w:spacing w:val="1"/>
                <w:szCs w:val="20"/>
                <w:vertAlign w:val="superscript"/>
              </w:rPr>
              <w:t>,</w:t>
            </w:r>
            <w:r w:rsidR="009756A1"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pacing w:val="1"/>
                <w:szCs w:val="20"/>
              </w:rPr>
              <w:t>, thrombocytopenia</w:t>
            </w:r>
            <w:r w:rsidRPr="00956F16">
              <w:rPr>
                <w:rFonts w:ascii="Times New Roman" w:eastAsia="Times New Roman" w:hAnsi="Times New Roman" w:cs="Times New Roman"/>
                <w:spacing w:val="1"/>
                <w:szCs w:val="20"/>
                <w:vertAlign w:val="superscript"/>
              </w:rPr>
              <w:t>^,◊</w:t>
            </w:r>
            <w:r w:rsidR="009756A1">
              <w:rPr>
                <w:rFonts w:ascii="Times New Roman" w:eastAsia="Times New Roman" w:hAnsi="Times New Roman" w:cs="Times New Roman"/>
                <w:spacing w:val="1"/>
                <w:szCs w:val="20"/>
                <w:vertAlign w:val="superscript"/>
              </w:rPr>
              <w:t>,</w:t>
            </w:r>
            <w:r w:rsidR="009756A1"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xml:space="preserve"> anaemia</w:t>
            </w:r>
            <w:r w:rsidRPr="00956F16">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leukop</w:t>
            </w:r>
            <w:r w:rsidR="00761422">
              <w:rPr>
                <w:rFonts w:ascii="Times New Roman" w:eastAsia="Times New Roman" w:hAnsi="Times New Roman" w:cs="Times New Roman"/>
                <w:spacing w:val="1"/>
                <w:szCs w:val="20"/>
              </w:rPr>
              <w:t>e</w:t>
            </w:r>
            <w:r w:rsidRPr="00956F16">
              <w:rPr>
                <w:rFonts w:ascii="Times New Roman" w:eastAsia="Times New Roman" w:hAnsi="Times New Roman" w:cs="Times New Roman"/>
                <w:spacing w:val="1"/>
                <w:szCs w:val="20"/>
              </w:rPr>
              <w:t>ni</w:t>
            </w:r>
            <w:r w:rsidR="00A6122A">
              <w:rPr>
                <w:rFonts w:ascii="Times New Roman" w:eastAsia="Times New Roman" w:hAnsi="Times New Roman" w:cs="Times New Roman"/>
                <w:spacing w:val="1"/>
                <w:szCs w:val="20"/>
              </w:rPr>
              <w:t>a</w:t>
            </w:r>
            <w:r w:rsidR="009756A1">
              <w:rPr>
                <w:rFonts w:ascii="Times New Roman" w:eastAsia="Times New Roman" w:hAnsi="Times New Roman" w:cs="Times New Roman"/>
                <w:spacing w:val="2"/>
                <w:szCs w:val="20"/>
              </w:rPr>
              <w:t>, lymphopenia</w:t>
            </w:r>
          </w:p>
          <w:p w14:paraId="6136666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p>
          <w:p w14:paraId="7F02FFF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Gyakori</w:t>
            </w:r>
          </w:p>
          <w:p w14:paraId="3122875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lázas neutropenia</w:t>
            </w:r>
            <w:r w:rsidRPr="00956F16">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pancytopenia</w:t>
            </w:r>
            <w:r w:rsidRPr="00956F16">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haemolyticus anaemia</w:t>
            </w:r>
          </w:p>
          <w:p w14:paraId="14ADE72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p>
          <w:p w14:paraId="6E89638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Nem gyakori</w:t>
            </w:r>
          </w:p>
          <w:p w14:paraId="27BC6A9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hypercoagulatio, coagulopathia</w:t>
            </w:r>
          </w:p>
        </w:tc>
      </w:tr>
      <w:tr w:rsidR="00956F16" w:rsidRPr="00956F16" w14:paraId="588DD3E3" w14:textId="77777777" w:rsidTr="00694E9C">
        <w:trPr>
          <w:trHeight w:val="577"/>
        </w:trPr>
        <w:tc>
          <w:tcPr>
            <w:tcW w:w="2400" w:type="dxa"/>
            <w:tcBorders>
              <w:top w:val="single" w:sz="4" w:space="0" w:color="000000"/>
              <w:left w:val="single" w:sz="4" w:space="0" w:color="000000"/>
              <w:bottom w:val="single" w:sz="4" w:space="0" w:color="000000"/>
              <w:right w:val="single" w:sz="4" w:space="0" w:color="000000"/>
            </w:tcBorders>
          </w:tcPr>
          <w:p w14:paraId="208B70F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Immunrendszeri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207A713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1455B9D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túlérzékenység</w:t>
            </w:r>
            <w:r w:rsidRPr="00956F16">
              <w:rPr>
                <w:rFonts w:ascii="Times New Roman" w:eastAsia="Times New Roman" w:hAnsi="Times New Roman" w:cs="Times New Roman"/>
                <w:szCs w:val="20"/>
              </w:rPr>
              <w:t>^</w:t>
            </w:r>
          </w:p>
        </w:tc>
        <w:tc>
          <w:tcPr>
            <w:tcW w:w="3402" w:type="dxa"/>
            <w:tcBorders>
              <w:top w:val="single" w:sz="4" w:space="0" w:color="000000"/>
              <w:left w:val="single" w:sz="4" w:space="0" w:color="000000"/>
              <w:bottom w:val="single" w:sz="4" w:space="0" w:color="000000"/>
              <w:right w:val="single" w:sz="4" w:space="0" w:color="000000"/>
            </w:tcBorders>
          </w:tcPr>
          <w:p w14:paraId="37C696A4"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r w:rsidR="00956F16" w:rsidRPr="00956F16" w14:paraId="71ED6A83" w14:textId="77777777" w:rsidTr="00694E9C">
        <w:trPr>
          <w:trHeight w:hRule="exact" w:val="562"/>
        </w:trPr>
        <w:tc>
          <w:tcPr>
            <w:tcW w:w="2400" w:type="dxa"/>
            <w:tcBorders>
              <w:top w:val="single" w:sz="4" w:space="0" w:color="000000"/>
              <w:left w:val="single" w:sz="4" w:space="0" w:color="000000"/>
              <w:bottom w:val="single" w:sz="4" w:space="0" w:color="000000"/>
              <w:right w:val="single" w:sz="4" w:space="0" w:color="000000"/>
            </w:tcBorders>
          </w:tcPr>
          <w:p w14:paraId="5406A22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lastRenderedPageBreak/>
              <w:t>Endokrin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1D87813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2750D0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po</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reosis</w:t>
            </w:r>
          </w:p>
        </w:tc>
        <w:tc>
          <w:tcPr>
            <w:tcW w:w="3402" w:type="dxa"/>
            <w:tcBorders>
              <w:top w:val="single" w:sz="4" w:space="0" w:color="000000"/>
              <w:left w:val="single" w:sz="4" w:space="0" w:color="000000"/>
              <w:bottom w:val="single" w:sz="4" w:space="0" w:color="000000"/>
              <w:right w:val="single" w:sz="4" w:space="0" w:color="000000"/>
            </w:tcBorders>
          </w:tcPr>
          <w:p w14:paraId="0F816431"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r w:rsidR="00956F16" w:rsidRPr="00956F16" w14:paraId="1EAED1BC" w14:textId="77777777" w:rsidTr="00694E9C">
        <w:trPr>
          <w:trHeight w:val="314"/>
        </w:trPr>
        <w:tc>
          <w:tcPr>
            <w:tcW w:w="2400" w:type="dxa"/>
            <w:tcBorders>
              <w:top w:val="single" w:sz="4" w:space="0" w:color="000000"/>
              <w:left w:val="single" w:sz="4" w:space="0" w:color="000000"/>
              <w:bottom w:val="single" w:sz="4" w:space="0" w:color="000000"/>
              <w:right w:val="single" w:sz="4" w:space="0" w:color="000000"/>
            </w:tcBorders>
          </w:tcPr>
          <w:p w14:paraId="3C1C251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Anyagcsere- és táplálkozási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1EC6D239"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4C7B8E67" w14:textId="50CAA80A"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3"/>
                <w:szCs w:val="20"/>
              </w:rPr>
              <w:t>o</w:t>
            </w:r>
            <w:r w:rsidRPr="00956F16">
              <w:rPr>
                <w:rFonts w:ascii="Times New Roman" w:eastAsia="Times New Roman" w:hAnsi="Times New Roman" w:cs="Times New Roman"/>
                <w:spacing w:val="-2"/>
                <w:szCs w:val="20"/>
              </w:rPr>
              <w:t>k</w:t>
            </w:r>
            <w:r w:rsidRPr="00956F16">
              <w:rPr>
                <w:rFonts w:ascii="Times New Roman" w:eastAsia="Times New Roman" w:hAnsi="Times New Roman" w:cs="Times New Roman"/>
                <w:spacing w:val="1"/>
                <w:szCs w:val="20"/>
              </w:rPr>
              <w:t>ala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r w:rsidRPr="00956F16">
              <w:rPr>
                <w:rFonts w:ascii="Times New Roman" w:eastAsia="Times New Roman" w:hAnsi="Times New Roman" w:cs="Times New Roman"/>
                <w:szCs w:val="20"/>
                <w:vertAlign w:val="superscript"/>
              </w:rPr>
              <w:t>◊</w:t>
            </w:r>
            <w:r w:rsidR="009756A1">
              <w:rPr>
                <w:rFonts w:ascii="Times New Roman" w:eastAsia="Times New Roman" w:hAnsi="Times New Roman" w:cs="Times New Roman"/>
                <w:szCs w:val="20"/>
                <w:vertAlign w:val="superscript"/>
              </w:rPr>
              <w:t>,</w:t>
            </w:r>
            <w:r w:rsidR="009756A1"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er</w:t>
            </w:r>
            <w:r w:rsidRPr="00956F16">
              <w:rPr>
                <w:rFonts w:ascii="Times New Roman" w:eastAsia="Times New Roman" w:hAnsi="Times New Roman" w:cs="Times New Roman"/>
                <w:spacing w:val="-2"/>
                <w:szCs w:val="20"/>
              </w:rPr>
              <w:t>g</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2"/>
                <w:szCs w:val="20"/>
              </w:rPr>
              <w:t>yk</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 xml:space="preserve">, </w:t>
            </w:r>
            <w:r w:rsidR="009756A1">
              <w:rPr>
                <w:rFonts w:ascii="Times New Roman" w:eastAsia="Times New Roman" w:hAnsi="Times New Roman" w:cs="Times New Roman"/>
                <w:szCs w:val="20"/>
              </w:rPr>
              <w:t xml:space="preserve">hypoglykaemia,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po</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zCs w:val="20"/>
              </w:rPr>
              <w:t>c</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009756A1">
              <w:rPr>
                <w:rFonts w:ascii="Times New Roman" w:eastAsia="Times New Roman" w:hAnsi="Times New Roman" w:cs="Times New Roman"/>
                <w:szCs w:val="20"/>
              </w:rPr>
              <w:t>hyponatraemia</w:t>
            </w:r>
            <w:r w:rsidR="009756A1" w:rsidRPr="00956F16">
              <w:rPr>
                <w:rFonts w:ascii="Times New Roman" w:eastAsia="Times New Roman" w:hAnsi="Times New Roman" w:cs="Times New Roman"/>
                <w:szCs w:val="20"/>
                <w:vertAlign w:val="superscript"/>
              </w:rPr>
              <w:t>◊</w:t>
            </w:r>
            <w:r w:rsidR="009756A1">
              <w:rPr>
                <w:rFonts w:ascii="Times New Roman" w:eastAsia="Times New Roman" w:hAnsi="Times New Roman" w:cs="Times New Roman"/>
                <w:szCs w:val="20"/>
              </w:rPr>
              <w:t xml:space="preserve">, </w:t>
            </w:r>
            <w:r w:rsidR="00270C16">
              <w:rPr>
                <w:rFonts w:ascii="Times New Roman" w:eastAsia="Times New Roman" w:hAnsi="Times New Roman" w:cs="Times New Roman"/>
                <w:szCs w:val="20"/>
              </w:rPr>
              <w:t>dehydratio</w:t>
            </w:r>
            <w:r w:rsidR="009F6E00" w:rsidRPr="00956F16">
              <w:rPr>
                <w:rFonts w:ascii="Times New Roman" w:eastAsia="Times New Roman" w:hAnsi="Times New Roman" w:cs="Times New Roman"/>
                <w:szCs w:val="20"/>
                <w:vertAlign w:val="superscript"/>
              </w:rPr>
              <w:t>◊◊</w:t>
            </w:r>
            <w:r w:rsidR="009F6E00">
              <w:rPr>
                <w:rFonts w:ascii="Times New Roman" w:eastAsia="Times New Roman" w:hAnsi="Times New Roman" w:cs="Times New Roman"/>
                <w:szCs w:val="20"/>
              </w:rPr>
              <w:t xml:space="preserve">, </w:t>
            </w:r>
            <w:r w:rsidRPr="00956F16">
              <w:rPr>
                <w:rFonts w:ascii="Times New Roman" w:eastAsia="Times New Roman" w:hAnsi="Times New Roman" w:cs="Times New Roman"/>
                <w:szCs w:val="20"/>
              </w:rPr>
              <w:t>csökkent étvágy</w:t>
            </w:r>
            <w:r w:rsidR="009F6E00"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testtömegcsökkenés</w:t>
            </w:r>
          </w:p>
          <w:p w14:paraId="3B12DA03"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4"/>
              </w:rPr>
            </w:pPr>
          </w:p>
          <w:p w14:paraId="5D4281B3"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5B769D59" w14:textId="0D74AF29"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3"/>
                <w:szCs w:val="20"/>
              </w:rPr>
              <w:t>o</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pacing w:val="3"/>
                <w:szCs w:val="20"/>
              </w:rPr>
              <w:t>a</w:t>
            </w:r>
            <w:r w:rsidRPr="00956F16">
              <w:rPr>
                <w:rFonts w:ascii="Times New Roman" w:eastAsia="Times New Roman" w:hAnsi="Times New Roman" w:cs="Times New Roman"/>
                <w:spacing w:val="-2"/>
                <w:szCs w:val="20"/>
              </w:rPr>
              <w:t>g</w:t>
            </w:r>
            <w:r w:rsidRPr="00956F16">
              <w:rPr>
                <w:rFonts w:ascii="Times New Roman" w:eastAsia="Times New Roman" w:hAnsi="Times New Roman" w:cs="Times New Roman"/>
                <w:szCs w:val="20"/>
              </w:rPr>
              <w:t>ne</w:t>
            </w:r>
            <w:r w:rsidRPr="00956F16">
              <w:rPr>
                <w:rFonts w:ascii="Times New Roman" w:eastAsia="Times New Roman" w:hAnsi="Times New Roman" w:cs="Times New Roman"/>
                <w:spacing w:val="1"/>
                <w:szCs w:val="20"/>
              </w:rPr>
              <w:t>sa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3"/>
                <w:szCs w:val="20"/>
              </w:rPr>
              <w:t>y</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er</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ri</w:t>
            </w:r>
            <w:r w:rsidRPr="00956F16">
              <w:rPr>
                <w:rFonts w:ascii="Times New Roman" w:eastAsia="Times New Roman" w:hAnsi="Times New Roman" w:cs="Times New Roman"/>
                <w:spacing w:val="-2"/>
                <w:szCs w:val="20"/>
              </w:rPr>
              <w:t>c</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per</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zCs w:val="20"/>
              </w:rPr>
              <w:t>c</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pacing w:val="1"/>
                <w:szCs w:val="20"/>
                <w:vertAlign w:val="superscript"/>
              </w:rPr>
              <w:t>+</w:t>
            </w:r>
          </w:p>
        </w:tc>
        <w:tc>
          <w:tcPr>
            <w:tcW w:w="3402" w:type="dxa"/>
            <w:tcBorders>
              <w:top w:val="single" w:sz="4" w:space="0" w:color="000000"/>
              <w:left w:val="single" w:sz="4" w:space="0" w:color="000000"/>
              <w:bottom w:val="single" w:sz="4" w:space="0" w:color="000000"/>
              <w:right w:val="single" w:sz="4" w:space="0" w:color="000000"/>
            </w:tcBorders>
          </w:tcPr>
          <w:p w14:paraId="707F39B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5BD53DC0" w14:textId="099D6F6A"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3"/>
                <w:szCs w:val="20"/>
              </w:rPr>
              <w:t>o</w:t>
            </w:r>
            <w:r w:rsidRPr="00956F16">
              <w:rPr>
                <w:rFonts w:ascii="Times New Roman" w:eastAsia="Times New Roman" w:hAnsi="Times New Roman" w:cs="Times New Roman"/>
                <w:spacing w:val="-2"/>
                <w:szCs w:val="20"/>
              </w:rPr>
              <w:t>k</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la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vertAlign w:val="superscript"/>
              </w:rPr>
              <w:t>◊</w:t>
            </w:r>
            <w:r w:rsidR="009F6E00">
              <w:rPr>
                <w:rFonts w:ascii="Times New Roman" w:eastAsia="Times New Roman" w:hAnsi="Times New Roman" w:cs="Times New Roman"/>
                <w:szCs w:val="20"/>
                <w:vertAlign w:val="superscript"/>
              </w:rPr>
              <w:t>,</w:t>
            </w:r>
            <w:r w:rsidR="009F6E00"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pe</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g</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k</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poc</w:t>
            </w:r>
            <w:r w:rsidRPr="00956F16">
              <w:rPr>
                <w:rFonts w:ascii="Times New Roman" w:eastAsia="Times New Roman" w:hAnsi="Times New Roman" w:cs="Times New Roman"/>
                <w:spacing w:val="1"/>
                <w:szCs w:val="20"/>
              </w:rPr>
              <w:t>al</w:t>
            </w:r>
            <w:r w:rsidRPr="00956F16">
              <w:rPr>
                <w:rFonts w:ascii="Times New Roman" w:eastAsia="Times New Roman" w:hAnsi="Times New Roman" w:cs="Times New Roman"/>
                <w:szCs w:val="20"/>
              </w:rPr>
              <w:t>c</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di</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zCs w:val="20"/>
              </w:rPr>
              <w:t>b</w:t>
            </w:r>
            <w:r w:rsidRPr="00956F16">
              <w:rPr>
                <w:rFonts w:ascii="Times New Roman" w:eastAsia="Times New Roman" w:hAnsi="Times New Roman" w:cs="Times New Roman"/>
                <w:spacing w:val="-2"/>
                <w:szCs w:val="20"/>
              </w:rPr>
              <w:t>e</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es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pacing w:val="1"/>
                <w:szCs w:val="20"/>
              </w:rPr>
              <w:t>ellit</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popho</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ph</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pona</w:t>
            </w:r>
            <w:r w:rsidRPr="00956F16">
              <w:rPr>
                <w:rFonts w:ascii="Times New Roman" w:eastAsia="Times New Roman" w:hAnsi="Times New Roman" w:cs="Times New Roman"/>
                <w:spacing w:val="1"/>
                <w:szCs w:val="20"/>
              </w:rPr>
              <w:t>tr</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er</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ri</w:t>
            </w:r>
            <w:r w:rsidRPr="00956F16">
              <w:rPr>
                <w:rFonts w:ascii="Times New Roman" w:eastAsia="Times New Roman" w:hAnsi="Times New Roman" w:cs="Times New Roman"/>
                <w:spacing w:val="-2"/>
                <w:szCs w:val="20"/>
              </w:rPr>
              <w:t>ca</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 xml:space="preserve">a, </w:t>
            </w:r>
            <w:r w:rsidRPr="00956F16">
              <w:rPr>
                <w:rFonts w:ascii="Times New Roman" w:eastAsia="Times New Roman" w:hAnsi="Times New Roman" w:cs="Times New Roman"/>
                <w:spacing w:val="-1"/>
                <w:szCs w:val="20"/>
              </w:rPr>
              <w:t>köszvény</w:t>
            </w:r>
            <w:r w:rsidRPr="00956F16">
              <w:rPr>
                <w:rFonts w:ascii="Times New Roman" w:eastAsia="Times New Roman" w:hAnsi="Times New Roman" w:cs="Times New Roman"/>
                <w:szCs w:val="20"/>
              </w:rPr>
              <w:t xml:space="preserve">, </w:t>
            </w:r>
            <w:r w:rsidR="00270C16">
              <w:rPr>
                <w:rFonts w:ascii="Times New Roman" w:eastAsia="Times New Roman" w:hAnsi="Times New Roman" w:cs="Times New Roman"/>
                <w:szCs w:val="20"/>
              </w:rPr>
              <w:t>dehydratio</w:t>
            </w:r>
            <w:r w:rsidR="009F6E00" w:rsidRPr="00956F16">
              <w:rPr>
                <w:rFonts w:ascii="Times New Roman" w:eastAsia="Times New Roman" w:hAnsi="Times New Roman" w:cs="Times New Roman"/>
                <w:szCs w:val="20"/>
                <w:vertAlign w:val="superscript"/>
              </w:rPr>
              <w:t>◊◊</w:t>
            </w:r>
            <w:r w:rsidR="009F6E00">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csökkent étvágy</w:t>
            </w:r>
            <w:r w:rsidR="009F6E00"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pacing w:val="-1"/>
                <w:szCs w:val="20"/>
              </w:rPr>
              <w:t>, testtömegcsökkenés</w:t>
            </w:r>
          </w:p>
        </w:tc>
      </w:tr>
      <w:tr w:rsidR="00956F16" w:rsidRPr="00956F16" w14:paraId="3CAD37ED" w14:textId="77777777" w:rsidTr="00694E9C">
        <w:trPr>
          <w:trHeight w:hRule="exact" w:val="1407"/>
        </w:trPr>
        <w:tc>
          <w:tcPr>
            <w:tcW w:w="2400" w:type="dxa"/>
            <w:tcBorders>
              <w:top w:val="single" w:sz="4" w:space="0" w:color="000000"/>
              <w:left w:val="single" w:sz="4" w:space="0" w:color="000000"/>
              <w:bottom w:val="single" w:sz="4" w:space="0" w:color="000000"/>
              <w:right w:val="single" w:sz="4" w:space="0" w:color="000000"/>
            </w:tcBorders>
          </w:tcPr>
          <w:p w14:paraId="33B0CAC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2"/>
                <w:szCs w:val="20"/>
              </w:rPr>
              <w:t>Pszichiátriai kórképek</w:t>
            </w:r>
          </w:p>
        </w:tc>
        <w:tc>
          <w:tcPr>
            <w:tcW w:w="3402" w:type="dxa"/>
            <w:tcBorders>
              <w:top w:val="single" w:sz="4" w:space="0" w:color="000000"/>
              <w:left w:val="single" w:sz="4" w:space="0" w:color="000000"/>
              <w:bottom w:val="single" w:sz="4" w:space="0" w:color="000000"/>
              <w:right w:val="single" w:sz="4" w:space="0" w:color="000000"/>
            </w:tcBorders>
          </w:tcPr>
          <w:p w14:paraId="205EFD1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7720574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re</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pacing w:val="1"/>
                <w:szCs w:val="20"/>
              </w:rPr>
              <w:t>szió, i</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p>
          <w:p w14:paraId="2EC175FE"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4ED86F7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6038C1B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a libido hiánya</w:t>
            </w:r>
          </w:p>
        </w:tc>
        <w:tc>
          <w:tcPr>
            <w:tcW w:w="3402" w:type="dxa"/>
            <w:tcBorders>
              <w:top w:val="single" w:sz="4" w:space="0" w:color="000000"/>
              <w:left w:val="single" w:sz="4" w:space="0" w:color="000000"/>
              <w:bottom w:val="single" w:sz="4" w:space="0" w:color="000000"/>
              <w:right w:val="single" w:sz="4" w:space="0" w:color="000000"/>
            </w:tcBorders>
          </w:tcPr>
          <w:p w14:paraId="7C6C0D4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584726E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re</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pacing w:val="1"/>
                <w:szCs w:val="20"/>
              </w:rPr>
              <w:t>szió</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4"/>
                <w:szCs w:val="20"/>
              </w:rPr>
              <w:t>i</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p>
        </w:tc>
      </w:tr>
      <w:tr w:rsidR="00956F16" w:rsidRPr="00956F16" w14:paraId="2A3A48EB" w14:textId="77777777" w:rsidTr="007E5A32">
        <w:trPr>
          <w:trHeight w:hRule="exact" w:val="3171"/>
        </w:trPr>
        <w:tc>
          <w:tcPr>
            <w:tcW w:w="2400" w:type="dxa"/>
            <w:tcBorders>
              <w:top w:val="single" w:sz="4" w:space="0" w:color="000000"/>
              <w:left w:val="single" w:sz="4" w:space="0" w:color="000000"/>
              <w:bottom w:val="single" w:sz="4" w:space="0" w:color="000000"/>
              <w:right w:val="single" w:sz="4" w:space="0" w:color="000000"/>
            </w:tcBorders>
          </w:tcPr>
          <w:p w14:paraId="5C47532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Idegrendszeri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374E6AD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5664B7BB" w14:textId="11D29FA6" w:rsidR="00956F16" w:rsidRPr="00956F16" w:rsidRDefault="00956F16" w:rsidP="00956F16">
            <w:pPr>
              <w:widowControl w:val="0"/>
              <w:tabs>
                <w:tab w:val="left" w:pos="567"/>
              </w:tabs>
              <w:autoSpaceDE w:val="0"/>
              <w:autoSpaceDN w:val="0"/>
              <w:adjustRightInd w:val="0"/>
              <w:spacing w:after="0" w:line="240" w:lineRule="auto"/>
              <w:ind w:left="142" w:right="380"/>
              <w:rPr>
                <w:rFonts w:ascii="Times New Roman" w:eastAsia="Times New Roman" w:hAnsi="Times New Roman" w:cs="Times New Roman"/>
                <w:szCs w:val="20"/>
              </w:rPr>
            </w:pPr>
            <w:r w:rsidRPr="00956F16">
              <w:rPr>
                <w:rFonts w:ascii="Times New Roman" w:eastAsia="Times New Roman" w:hAnsi="Times New Roman" w:cs="Times New Roman"/>
                <w:szCs w:val="20"/>
              </w:rPr>
              <w:t>pe</w:t>
            </w:r>
            <w:r w:rsidRPr="00956F16">
              <w:rPr>
                <w:rFonts w:ascii="Times New Roman" w:eastAsia="Times New Roman" w:hAnsi="Times New Roman" w:cs="Times New Roman"/>
                <w:spacing w:val="1"/>
                <w:szCs w:val="20"/>
              </w:rPr>
              <w:t>rifériás</w:t>
            </w:r>
            <w:r w:rsidRPr="00956F16">
              <w:rPr>
                <w:rFonts w:ascii="Times New Roman" w:eastAsia="Times New Roman" w:hAnsi="Times New Roman" w:cs="Times New Roman"/>
                <w:szCs w:val="20"/>
              </w:rPr>
              <w:t xml:space="preserve"> neu</w:t>
            </w:r>
            <w:r w:rsidRPr="00956F16">
              <w:rPr>
                <w:rFonts w:ascii="Times New Roman" w:eastAsia="Times New Roman" w:hAnsi="Times New Roman" w:cs="Times New Roman"/>
                <w:spacing w:val="-2"/>
                <w:szCs w:val="20"/>
              </w:rPr>
              <w:t>r</w:t>
            </w:r>
            <w:r w:rsidRPr="00956F16">
              <w:rPr>
                <w:rFonts w:ascii="Times New Roman" w:eastAsia="Times New Roman" w:hAnsi="Times New Roman" w:cs="Times New Roman"/>
                <w:szCs w:val="20"/>
              </w:rPr>
              <w:t>op</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1"/>
                <w:szCs w:val="20"/>
              </w:rPr>
              <w:t>iák</w:t>
            </w:r>
            <w:r w:rsidR="009F6E00"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009F6E00">
              <w:rPr>
                <w:rFonts w:ascii="Times New Roman" w:eastAsia="Times New Roman" w:hAnsi="Times New Roman" w:cs="Times New Roman"/>
                <w:szCs w:val="20"/>
              </w:rPr>
              <w:t xml:space="preserve">paraesthesia, </w:t>
            </w:r>
            <w:r w:rsidRPr="00956F16">
              <w:rPr>
                <w:rFonts w:ascii="Times New Roman" w:eastAsia="Times New Roman" w:hAnsi="Times New Roman" w:cs="Times New Roman"/>
                <w:spacing w:val="-3"/>
                <w:szCs w:val="20"/>
              </w:rPr>
              <w:t>szédülés</w:t>
            </w:r>
            <w:r w:rsidR="009F6E00"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2"/>
                <w:szCs w:val="20"/>
              </w:rPr>
              <w:t>t</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e</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2"/>
                <w:szCs w:val="20"/>
              </w:rPr>
              <w:t>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pacing w:val="-2"/>
                <w:szCs w:val="20"/>
              </w:rPr>
              <w:t>g</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usi</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 xml:space="preserve"> fejfájás</w:t>
            </w:r>
          </w:p>
          <w:p w14:paraId="70E958AC"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42FBB33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4D176B8C" w14:textId="681EA35D"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pacing w:val="1"/>
                <w:szCs w:val="20"/>
              </w:rPr>
              <w:t>ta</w:t>
            </w:r>
            <w:r w:rsidRPr="00956F16">
              <w:rPr>
                <w:rFonts w:ascii="Times New Roman" w:eastAsia="Times New Roman" w:hAnsi="Times New Roman" w:cs="Times New Roman"/>
                <w:szCs w:val="20"/>
              </w:rPr>
              <w:t>x</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1"/>
                <w:szCs w:val="20"/>
              </w:rPr>
              <w:t>egyensúlyzavar</w:t>
            </w:r>
            <w:r w:rsidR="009F6E00">
              <w:rPr>
                <w:rFonts w:ascii="Times New Roman" w:eastAsia="Times New Roman" w:hAnsi="Times New Roman" w:cs="Times New Roman"/>
                <w:spacing w:val="-1"/>
                <w:szCs w:val="20"/>
              </w:rPr>
              <w:t>, ájulás</w:t>
            </w:r>
            <w:r w:rsidR="009F6E00" w:rsidRPr="00956F16">
              <w:rPr>
                <w:rFonts w:ascii="Times New Roman" w:eastAsia="Times New Roman" w:hAnsi="Times New Roman" w:cs="Times New Roman"/>
                <w:szCs w:val="20"/>
                <w:vertAlign w:val="superscript"/>
              </w:rPr>
              <w:t>◊◊</w:t>
            </w:r>
            <w:r w:rsidR="009F6E00">
              <w:rPr>
                <w:rFonts w:ascii="Times New Roman" w:eastAsia="Times New Roman" w:hAnsi="Times New Roman" w:cs="Times New Roman"/>
                <w:spacing w:val="-1"/>
                <w:szCs w:val="20"/>
              </w:rPr>
              <w:t>, neuralgia, dysaesthesia</w:t>
            </w:r>
          </w:p>
        </w:tc>
        <w:tc>
          <w:tcPr>
            <w:tcW w:w="3402" w:type="dxa"/>
            <w:tcBorders>
              <w:top w:val="single" w:sz="4" w:space="0" w:color="000000"/>
              <w:left w:val="single" w:sz="4" w:space="0" w:color="000000"/>
              <w:bottom w:val="single" w:sz="4" w:space="0" w:color="000000"/>
              <w:right w:val="single" w:sz="4" w:space="0" w:color="000000"/>
            </w:tcBorders>
          </w:tcPr>
          <w:p w14:paraId="161C5743" w14:textId="77777777" w:rsidR="009F6E00" w:rsidRPr="00956F16" w:rsidRDefault="009F6E00" w:rsidP="009F6E00">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034303C0" w14:textId="77777777" w:rsidR="009F6E00" w:rsidRDefault="009F6E00" w:rsidP="009F6E00">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vertAlign w:val="superscript"/>
              </w:rPr>
            </w:pPr>
            <w:r w:rsidRPr="00956F16">
              <w:rPr>
                <w:rFonts w:ascii="Times New Roman" w:eastAsia="Times New Roman" w:hAnsi="Times New Roman" w:cs="Times New Roman"/>
                <w:szCs w:val="20"/>
              </w:rPr>
              <w:t>pe</w:t>
            </w:r>
            <w:r w:rsidRPr="00956F16">
              <w:rPr>
                <w:rFonts w:ascii="Times New Roman" w:eastAsia="Times New Roman" w:hAnsi="Times New Roman" w:cs="Times New Roman"/>
                <w:spacing w:val="1"/>
                <w:szCs w:val="20"/>
              </w:rPr>
              <w:t>rifériás</w:t>
            </w:r>
            <w:r w:rsidRPr="00956F16">
              <w:rPr>
                <w:rFonts w:ascii="Times New Roman" w:eastAsia="Times New Roman" w:hAnsi="Times New Roman" w:cs="Times New Roman"/>
                <w:szCs w:val="20"/>
              </w:rPr>
              <w:t xml:space="preserve"> neu</w:t>
            </w:r>
            <w:r w:rsidRPr="00956F16">
              <w:rPr>
                <w:rFonts w:ascii="Times New Roman" w:eastAsia="Times New Roman" w:hAnsi="Times New Roman" w:cs="Times New Roman"/>
                <w:spacing w:val="-2"/>
                <w:szCs w:val="20"/>
              </w:rPr>
              <w:t>r</w:t>
            </w:r>
            <w:r w:rsidRPr="00956F16">
              <w:rPr>
                <w:rFonts w:ascii="Times New Roman" w:eastAsia="Times New Roman" w:hAnsi="Times New Roman" w:cs="Times New Roman"/>
                <w:szCs w:val="20"/>
              </w:rPr>
              <w:t>op</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1"/>
                <w:szCs w:val="20"/>
              </w:rPr>
              <w:t>iák</w:t>
            </w:r>
            <w:r w:rsidRPr="00956F16">
              <w:rPr>
                <w:rFonts w:ascii="Times New Roman" w:eastAsia="Times New Roman" w:hAnsi="Times New Roman" w:cs="Times New Roman"/>
                <w:szCs w:val="20"/>
                <w:vertAlign w:val="superscript"/>
              </w:rPr>
              <w:t>◊◊</w:t>
            </w:r>
          </w:p>
          <w:p w14:paraId="658982E9" w14:textId="77777777" w:rsidR="009F6E00" w:rsidRDefault="009F6E00" w:rsidP="009F6E00">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vertAlign w:val="superscript"/>
              </w:rPr>
            </w:pPr>
          </w:p>
          <w:p w14:paraId="1685AB89" w14:textId="3CF386DC" w:rsidR="00956F16" w:rsidRPr="00956F16" w:rsidRDefault="00956F16" w:rsidP="009F6E00">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211259CC" w14:textId="2D408845" w:rsidR="00956F16" w:rsidRPr="00956F16" w:rsidRDefault="00956F16" w:rsidP="00956F16">
            <w:pPr>
              <w:widowControl w:val="0"/>
              <w:tabs>
                <w:tab w:val="left" w:pos="567"/>
              </w:tabs>
              <w:autoSpaceDE w:val="0"/>
              <w:autoSpaceDN w:val="0"/>
              <w:adjustRightInd w:val="0"/>
              <w:spacing w:after="0" w:line="240" w:lineRule="auto"/>
              <w:ind w:left="142" w:right="142"/>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re</w:t>
            </w:r>
            <w:r w:rsidRPr="00956F16">
              <w:rPr>
                <w:rFonts w:ascii="Times New Roman" w:eastAsia="Times New Roman" w:hAnsi="Times New Roman" w:cs="Times New Roman"/>
                <w:spacing w:val="-2"/>
                <w:szCs w:val="20"/>
              </w:rPr>
              <w:t>b</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2"/>
                <w:szCs w:val="20"/>
              </w:rPr>
              <w:t>v</w:t>
            </w:r>
            <w:r w:rsidRPr="00956F16">
              <w:rPr>
                <w:rFonts w:ascii="Times New Roman" w:eastAsia="Times New Roman" w:hAnsi="Times New Roman" w:cs="Times New Roman"/>
                <w:spacing w:val="1"/>
                <w:szCs w:val="20"/>
              </w:rPr>
              <w:t>as</w:t>
            </w:r>
            <w:r w:rsidRPr="00956F16">
              <w:rPr>
                <w:rFonts w:ascii="Times New Roman" w:eastAsia="Times New Roman" w:hAnsi="Times New Roman" w:cs="Times New Roman"/>
                <w:szCs w:val="20"/>
              </w:rPr>
              <w:t>c</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la</w:t>
            </w:r>
            <w:r w:rsidRPr="00956F16">
              <w:rPr>
                <w:rFonts w:ascii="Times New Roman" w:eastAsia="Times New Roman" w:hAnsi="Times New Roman" w:cs="Times New Roman"/>
                <w:szCs w:val="20"/>
              </w:rPr>
              <w:t xml:space="preserve">ris </w:t>
            </w:r>
            <w:r w:rsidR="0088692E">
              <w:rPr>
                <w:rFonts w:ascii="Times New Roman" w:eastAsia="Times New Roman" w:hAnsi="Times New Roman" w:cs="Times New Roman"/>
                <w:szCs w:val="20"/>
              </w:rPr>
              <w:t>esemény</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szédülés</w:t>
            </w:r>
            <w:r w:rsidR="009F6E00"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s</w:t>
            </w:r>
            <w:r w:rsidRPr="00956F16">
              <w:rPr>
                <w:rFonts w:ascii="Times New Roman" w:eastAsia="Times New Roman" w:hAnsi="Times New Roman" w:cs="Times New Roman"/>
                <w:spacing w:val="-3"/>
                <w:szCs w:val="20"/>
              </w:rPr>
              <w:t>y</w:t>
            </w:r>
            <w:r w:rsidRPr="00956F16">
              <w:rPr>
                <w:rFonts w:ascii="Times New Roman" w:eastAsia="Times New Roman" w:hAnsi="Times New Roman" w:cs="Times New Roman"/>
                <w:szCs w:val="20"/>
              </w:rPr>
              <w:t>ncope</w:t>
            </w:r>
            <w:r w:rsidR="009F6E00" w:rsidRPr="00956F16">
              <w:rPr>
                <w:rFonts w:ascii="Times New Roman" w:eastAsia="Times New Roman" w:hAnsi="Times New Roman" w:cs="Times New Roman"/>
                <w:szCs w:val="20"/>
                <w:vertAlign w:val="superscript"/>
              </w:rPr>
              <w:t>◊◊</w:t>
            </w:r>
            <w:r w:rsidR="009F6E00">
              <w:rPr>
                <w:rFonts w:ascii="Times New Roman" w:eastAsia="Times New Roman" w:hAnsi="Times New Roman" w:cs="Times New Roman"/>
                <w:spacing w:val="-1"/>
                <w:szCs w:val="20"/>
              </w:rPr>
              <w:t>, neuralgia</w:t>
            </w:r>
          </w:p>
          <w:p w14:paraId="580BB555"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54386FF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142D559E" w14:textId="77777777" w:rsidR="00956F16" w:rsidRPr="00956F16" w:rsidRDefault="00956F16" w:rsidP="00956F16">
            <w:pPr>
              <w:widowControl w:val="0"/>
              <w:tabs>
                <w:tab w:val="left" w:pos="567"/>
              </w:tabs>
              <w:autoSpaceDE w:val="0"/>
              <w:autoSpaceDN w:val="0"/>
              <w:adjustRightInd w:val="0"/>
              <w:spacing w:after="0" w:line="240" w:lineRule="auto"/>
              <w:ind w:left="142" w:right="142"/>
              <w:rPr>
                <w:rFonts w:ascii="Times New Roman" w:eastAsia="Times New Roman" w:hAnsi="Times New Roman" w:cs="Times New Roman"/>
                <w:szCs w:val="20"/>
              </w:rPr>
            </w:pPr>
            <w:r w:rsidRPr="00956F16">
              <w:rPr>
                <w:rFonts w:ascii="Times New Roman" w:eastAsia="Times New Roman" w:hAnsi="Times New Roman" w:cs="Times New Roman"/>
                <w:spacing w:val="-4"/>
                <w:szCs w:val="20"/>
              </w:rPr>
              <w:t>i</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tr</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cra</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zCs w:val="20"/>
              </w:rPr>
              <w:t xml:space="preserve">lis vérzés^, </w:t>
            </w:r>
            <w:r w:rsidRPr="00956F16">
              <w:rPr>
                <w:rFonts w:ascii="Times New Roman" w:eastAsia="Times New Roman" w:hAnsi="Times New Roman" w:cs="Times New Roman"/>
                <w:spacing w:val="2"/>
                <w:szCs w:val="20"/>
              </w:rPr>
              <w:t>t</w:t>
            </w:r>
            <w:r w:rsidRPr="00956F16">
              <w:rPr>
                <w:rFonts w:ascii="Times New Roman" w:eastAsia="Times New Roman" w:hAnsi="Times New Roman" w:cs="Times New Roman"/>
                <w:spacing w:val="-2"/>
                <w:szCs w:val="20"/>
              </w:rPr>
              <w:t>r</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zCs w:val="20"/>
              </w:rPr>
              <w:t>nziens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2"/>
                <w:szCs w:val="20"/>
              </w:rPr>
              <w:t>i</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c</w:t>
            </w:r>
            <w:r w:rsidRPr="00956F16">
              <w:rPr>
                <w:rFonts w:ascii="Times New Roman" w:eastAsia="Times New Roman" w:hAnsi="Times New Roman" w:cs="Times New Roman"/>
                <w:spacing w:val="-2"/>
                <w:szCs w:val="20"/>
              </w:rPr>
              <w:t>h</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pacing w:val="1"/>
                <w:szCs w:val="20"/>
              </w:rPr>
              <w:t xml:space="preserve">iás </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ta</w:t>
            </w:r>
            <w:r w:rsidRPr="00956F16">
              <w:rPr>
                <w:rFonts w:ascii="Times New Roman" w:eastAsia="Times New Roman" w:hAnsi="Times New Roman" w:cs="Times New Roman"/>
                <w:spacing w:val="-2"/>
                <w:szCs w:val="20"/>
              </w:rPr>
              <w:t>k</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re</w:t>
            </w:r>
            <w:r w:rsidRPr="00956F16">
              <w:rPr>
                <w:rFonts w:ascii="Times New Roman" w:eastAsia="Times New Roman" w:hAnsi="Times New Roman" w:cs="Times New Roman"/>
                <w:spacing w:val="-2"/>
                <w:szCs w:val="20"/>
              </w:rPr>
              <w:t>b</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alis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zCs w:val="20"/>
              </w:rPr>
              <w:t>ch</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p>
        </w:tc>
      </w:tr>
      <w:tr w:rsidR="00956F16" w:rsidRPr="00956F16" w14:paraId="1569AF8A" w14:textId="77777777" w:rsidTr="00694E9C">
        <w:trPr>
          <w:trHeight w:hRule="exact" w:val="1412"/>
        </w:trPr>
        <w:tc>
          <w:tcPr>
            <w:tcW w:w="2400" w:type="dxa"/>
            <w:tcBorders>
              <w:top w:val="single" w:sz="4" w:space="0" w:color="000000"/>
              <w:left w:val="single" w:sz="4" w:space="0" w:color="000000"/>
              <w:bottom w:val="single" w:sz="4" w:space="0" w:color="000000"/>
              <w:right w:val="single" w:sz="4" w:space="0" w:color="000000"/>
            </w:tcBorders>
          </w:tcPr>
          <w:p w14:paraId="190C33E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Szembetegségek és szemészeti tünetek</w:t>
            </w:r>
          </w:p>
        </w:tc>
        <w:tc>
          <w:tcPr>
            <w:tcW w:w="3402" w:type="dxa"/>
            <w:tcBorders>
              <w:top w:val="single" w:sz="4" w:space="0" w:color="000000"/>
              <w:left w:val="single" w:sz="4" w:space="0" w:color="000000"/>
              <w:bottom w:val="single" w:sz="4" w:space="0" w:color="000000"/>
              <w:right w:val="single" w:sz="4" w:space="0" w:color="000000"/>
            </w:tcBorders>
          </w:tcPr>
          <w:p w14:paraId="042F877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2E6CF809" w14:textId="272CB82B"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2"/>
                <w:szCs w:val="20"/>
              </w:rPr>
              <w:t>t</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2"/>
                <w:szCs w:val="20"/>
              </w:rPr>
              <w:t>r</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pacing w:val="-2"/>
                <w:szCs w:val="20"/>
              </w:rPr>
              <w:t>c</w:t>
            </w:r>
            <w:r w:rsidRPr="00956F16">
              <w:rPr>
                <w:rFonts w:ascii="Times New Roman" w:eastAsia="Times New Roman" w:hAnsi="Times New Roman" w:cs="Times New Roman"/>
                <w:spacing w:val="1"/>
                <w:szCs w:val="20"/>
              </w:rPr>
              <w:t>ta, homályos látás</w:t>
            </w:r>
          </w:p>
          <w:p w14:paraId="25744B4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4"/>
              </w:rPr>
            </w:pPr>
          </w:p>
          <w:p w14:paraId="7978029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C0805A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csökkent látásélesség</w:t>
            </w:r>
          </w:p>
        </w:tc>
        <w:tc>
          <w:tcPr>
            <w:tcW w:w="3402" w:type="dxa"/>
            <w:tcBorders>
              <w:top w:val="single" w:sz="4" w:space="0" w:color="000000"/>
              <w:left w:val="single" w:sz="4" w:space="0" w:color="000000"/>
              <w:bottom w:val="single" w:sz="4" w:space="0" w:color="000000"/>
              <w:right w:val="single" w:sz="4" w:space="0" w:color="000000"/>
            </w:tcBorders>
          </w:tcPr>
          <w:p w14:paraId="2ACD33A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D42732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2"/>
                <w:szCs w:val="20"/>
              </w:rPr>
              <w:t>t</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ta</w:t>
            </w:r>
          </w:p>
          <w:p w14:paraId="1948FDA2"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2036EE7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76682BE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vakság</w:t>
            </w:r>
          </w:p>
        </w:tc>
      </w:tr>
      <w:tr w:rsidR="00956F16" w:rsidRPr="00956F16" w14:paraId="49F91394" w14:textId="77777777" w:rsidTr="00694E9C">
        <w:trPr>
          <w:trHeight w:hRule="exact" w:val="859"/>
        </w:trPr>
        <w:tc>
          <w:tcPr>
            <w:tcW w:w="2400" w:type="dxa"/>
            <w:tcBorders>
              <w:top w:val="single" w:sz="4" w:space="0" w:color="000000"/>
              <w:left w:val="single" w:sz="4" w:space="0" w:color="000000"/>
              <w:bottom w:val="single" w:sz="4" w:space="0" w:color="000000"/>
              <w:right w:val="single" w:sz="4" w:space="0" w:color="000000"/>
            </w:tcBorders>
          </w:tcPr>
          <w:p w14:paraId="127FFA9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A fül és az egyensúly-érzékelő szerv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52BDCBF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5647DE9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süketség</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1"/>
                <w:szCs w:val="20"/>
              </w:rPr>
              <w:t>(</w:t>
            </w:r>
            <w:r w:rsidRPr="00956F16">
              <w:rPr>
                <w:rFonts w:ascii="Times New Roman" w:eastAsia="Times New Roman" w:hAnsi="Times New Roman" w:cs="Times New Roman"/>
                <w:spacing w:val="-4"/>
                <w:szCs w:val="20"/>
              </w:rPr>
              <w:t>beleértve a 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po</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zCs w:val="20"/>
              </w:rPr>
              <w:t>cu</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st is)</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it</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zCs w:val="20"/>
              </w:rPr>
              <w:t>s</w:t>
            </w:r>
          </w:p>
        </w:tc>
        <w:tc>
          <w:tcPr>
            <w:tcW w:w="3402" w:type="dxa"/>
            <w:tcBorders>
              <w:top w:val="single" w:sz="4" w:space="0" w:color="000000"/>
              <w:left w:val="single" w:sz="4" w:space="0" w:color="000000"/>
              <w:bottom w:val="single" w:sz="4" w:space="0" w:color="000000"/>
              <w:right w:val="single" w:sz="4" w:space="0" w:color="000000"/>
            </w:tcBorders>
          </w:tcPr>
          <w:p w14:paraId="1E33F2DF"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r w:rsidR="00956F16" w:rsidRPr="00956F16" w14:paraId="700A882B" w14:textId="77777777" w:rsidTr="00694E9C">
        <w:trPr>
          <w:trHeight w:val="1933"/>
        </w:trPr>
        <w:tc>
          <w:tcPr>
            <w:tcW w:w="2400" w:type="dxa"/>
            <w:tcBorders>
              <w:top w:val="single" w:sz="4" w:space="0" w:color="000000"/>
              <w:left w:val="single" w:sz="4" w:space="0" w:color="000000"/>
              <w:bottom w:val="single" w:sz="4" w:space="0" w:color="000000"/>
              <w:right w:val="single" w:sz="4" w:space="0" w:color="000000"/>
            </w:tcBorders>
          </w:tcPr>
          <w:p w14:paraId="7370E1F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Szívbetegségek és a szívvel kapcsolatos tünetek</w:t>
            </w:r>
          </w:p>
        </w:tc>
        <w:tc>
          <w:tcPr>
            <w:tcW w:w="3402" w:type="dxa"/>
            <w:tcBorders>
              <w:top w:val="single" w:sz="4" w:space="0" w:color="000000"/>
              <w:left w:val="single" w:sz="4" w:space="0" w:color="000000"/>
              <w:bottom w:val="single" w:sz="4" w:space="0" w:color="000000"/>
              <w:right w:val="single" w:sz="4" w:space="0" w:color="000000"/>
            </w:tcBorders>
          </w:tcPr>
          <w:p w14:paraId="4C98B7D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9D16C21" w14:textId="3438D19D"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pitvar</w:t>
            </w:r>
            <w:r w:rsidRPr="00956F16">
              <w:rPr>
                <w:rFonts w:ascii="Times New Roman" w:eastAsia="Times New Roman" w:hAnsi="Times New Roman" w:cs="Times New Roman"/>
                <w:spacing w:val="1"/>
                <w:szCs w:val="20"/>
              </w:rPr>
              <w:t>fi</w:t>
            </w:r>
            <w:r w:rsidRPr="00956F16">
              <w:rPr>
                <w:rFonts w:ascii="Times New Roman" w:eastAsia="Times New Roman" w:hAnsi="Times New Roman" w:cs="Times New Roman"/>
                <w:spacing w:val="-2"/>
                <w:szCs w:val="20"/>
              </w:rPr>
              <w:t>b</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zCs w:val="20"/>
              </w:rPr>
              <w:t>áció</w:t>
            </w:r>
            <w:r w:rsidRPr="00956F16">
              <w:rPr>
                <w:rFonts w:ascii="Times New Roman" w:eastAsia="Times New Roman" w:hAnsi="Times New Roman" w:cs="Times New Roman"/>
                <w:szCs w:val="20"/>
                <w:vertAlign w:val="superscript"/>
              </w:rPr>
              <w:t>◊</w:t>
            </w:r>
            <w:r w:rsidR="009F6E00">
              <w:rPr>
                <w:rFonts w:ascii="Times New Roman" w:eastAsia="Times New Roman" w:hAnsi="Times New Roman" w:cs="Times New Roman"/>
                <w:szCs w:val="20"/>
                <w:vertAlign w:val="superscript"/>
              </w:rPr>
              <w:t>,</w:t>
            </w:r>
            <w:r w:rsidR="009F6E00"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3"/>
                <w:szCs w:val="20"/>
              </w:rPr>
              <w:t>b</w:t>
            </w:r>
            <w:r w:rsidRPr="00956F16">
              <w:rPr>
                <w:rFonts w:ascii="Times New Roman" w:eastAsia="Times New Roman" w:hAnsi="Times New Roman" w:cs="Times New Roman"/>
                <w:spacing w:val="1"/>
                <w:szCs w:val="20"/>
              </w:rPr>
              <w:t>ra</w:t>
            </w:r>
            <w:r w:rsidRPr="00956F16">
              <w:rPr>
                <w:rFonts w:ascii="Times New Roman" w:eastAsia="Times New Roman" w:hAnsi="Times New Roman" w:cs="Times New Roman"/>
                <w:szCs w:val="20"/>
              </w:rPr>
              <w:t>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d</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p>
          <w:p w14:paraId="122DEA3C"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067FB4C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6C46D383" w14:textId="77777777" w:rsidR="00956F16" w:rsidRPr="00956F16" w:rsidRDefault="00956F16" w:rsidP="00956F16">
            <w:pPr>
              <w:widowControl w:val="0"/>
              <w:tabs>
                <w:tab w:val="left" w:pos="567"/>
              </w:tabs>
              <w:autoSpaceDE w:val="0"/>
              <w:autoSpaceDN w:val="0"/>
              <w:adjustRightInd w:val="0"/>
              <w:spacing w:after="0" w:line="240" w:lineRule="auto"/>
              <w:ind w:left="142" w:right="38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pacing w:val="1"/>
                <w:szCs w:val="20"/>
              </w:rPr>
              <w:t>rr</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Q</w:t>
            </w:r>
            <w:r w:rsidRPr="00956F16">
              <w:rPr>
                <w:rFonts w:ascii="Times New Roman" w:eastAsia="Times New Roman" w:hAnsi="Times New Roman" w:cs="Times New Roman"/>
                <w:szCs w:val="20"/>
              </w:rPr>
              <w:t>T-megnyúlás,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1"/>
                <w:szCs w:val="20"/>
              </w:rPr>
              <w:t>pitvarlebegés</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 xml:space="preserve">kamrai </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2"/>
                <w:szCs w:val="20"/>
              </w:rPr>
              <w:t>x</w:t>
            </w:r>
            <w:r w:rsidRPr="00956F16">
              <w:rPr>
                <w:rFonts w:ascii="Times New Roman" w:eastAsia="Times New Roman" w:hAnsi="Times New Roman" w:cs="Times New Roman"/>
                <w:spacing w:val="1"/>
                <w:szCs w:val="20"/>
              </w:rPr>
              <w:t>tr</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pacing w:val="1"/>
                <w:szCs w:val="20"/>
              </w:rPr>
              <w:t>szisztolék</w:t>
            </w:r>
          </w:p>
        </w:tc>
        <w:tc>
          <w:tcPr>
            <w:tcW w:w="3402" w:type="dxa"/>
            <w:tcBorders>
              <w:top w:val="single" w:sz="4" w:space="0" w:color="000000"/>
              <w:left w:val="single" w:sz="4" w:space="0" w:color="000000"/>
              <w:bottom w:val="single" w:sz="4" w:space="0" w:color="000000"/>
              <w:right w:val="single" w:sz="4" w:space="0" w:color="000000"/>
            </w:tcBorders>
          </w:tcPr>
          <w:p w14:paraId="742D42A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762B01A" w14:textId="34D5BEAD" w:rsidR="00956F16" w:rsidRPr="00956F16" w:rsidRDefault="00956F16" w:rsidP="00956F16">
            <w:pPr>
              <w:widowControl w:val="0"/>
              <w:tabs>
                <w:tab w:val="left" w:pos="567"/>
              </w:tabs>
              <w:autoSpaceDE w:val="0"/>
              <w:autoSpaceDN w:val="0"/>
              <w:adjustRightInd w:val="0"/>
              <w:spacing w:after="0" w:line="240" w:lineRule="auto"/>
              <w:ind w:left="142" w:right="142"/>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d</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alis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fa</w:t>
            </w:r>
            <w:r w:rsidRPr="00956F16">
              <w:rPr>
                <w:rFonts w:ascii="Times New Roman" w:eastAsia="Times New Roman" w:hAnsi="Times New Roman" w:cs="Times New Roman"/>
                <w:spacing w:val="-2"/>
                <w:szCs w:val="20"/>
              </w:rPr>
              <w:t>r</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pacing w:val="-1"/>
                <w:szCs w:val="20"/>
              </w:rPr>
              <w:t>tus</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1"/>
                <w:szCs w:val="20"/>
              </w:rPr>
              <w:t>(beleértve az akut eseteket is</w:t>
            </w:r>
            <w:r w:rsidRPr="00956F16">
              <w:rPr>
                <w:rFonts w:ascii="Times New Roman" w:eastAsia="Times New Roman" w:hAnsi="Times New Roman" w:cs="Times New Roman"/>
                <w:spacing w:val="2"/>
                <w:szCs w:val="20"/>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pitvar</w:t>
            </w:r>
            <w:r w:rsidRPr="00956F16">
              <w:rPr>
                <w:rFonts w:ascii="Times New Roman" w:eastAsia="Times New Roman" w:hAnsi="Times New Roman" w:cs="Times New Roman"/>
                <w:spacing w:val="1"/>
                <w:szCs w:val="20"/>
              </w:rPr>
              <w:t>f</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b</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1"/>
                <w:szCs w:val="20"/>
              </w:rPr>
              <w:t>láció</w:t>
            </w:r>
            <w:r w:rsidRPr="00956F16">
              <w:rPr>
                <w:rFonts w:ascii="Times New Roman" w:eastAsia="Times New Roman" w:hAnsi="Times New Roman" w:cs="Times New Roman"/>
                <w:szCs w:val="20"/>
                <w:vertAlign w:val="superscript"/>
              </w:rPr>
              <w:t>◊</w:t>
            </w:r>
            <w:r w:rsidR="00562C7B">
              <w:rPr>
                <w:rFonts w:ascii="Times New Roman" w:eastAsia="Times New Roman" w:hAnsi="Times New Roman" w:cs="Times New Roman"/>
                <w:szCs w:val="20"/>
                <w:vertAlign w:val="superscript"/>
              </w:rPr>
              <w:t>,</w:t>
            </w:r>
            <w:r w:rsidR="00562C7B"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pangásos szívelégtelenség</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2"/>
                <w:szCs w:val="20"/>
              </w:rPr>
              <w:t>t</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zCs w:val="20"/>
              </w:rPr>
              <w:t>c</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c</w:t>
            </w:r>
            <w:r w:rsidRPr="00956F16">
              <w:rPr>
                <w:rFonts w:ascii="Times New Roman" w:eastAsia="Times New Roman" w:hAnsi="Times New Roman" w:cs="Times New Roman"/>
                <w:spacing w:val="1"/>
                <w:szCs w:val="20"/>
              </w:rPr>
              <w:t>ar</w:t>
            </w:r>
            <w:r w:rsidRPr="00956F16">
              <w:rPr>
                <w:rFonts w:ascii="Times New Roman" w:eastAsia="Times New Roman" w:hAnsi="Times New Roman" w:cs="Times New Roman"/>
                <w:spacing w:val="-2"/>
                <w:szCs w:val="20"/>
              </w:rPr>
              <w:t>d</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szívelégtelenség</w:t>
            </w:r>
            <w:r w:rsidRPr="00956F16">
              <w:rPr>
                <w:rFonts w:ascii="Times New Roman" w:eastAsia="Times New Roman" w:hAnsi="Times New Roman" w:cs="Times New Roman"/>
                <w:szCs w:val="20"/>
                <w:vertAlign w:val="superscript"/>
              </w:rPr>
              <w:t>◊</w:t>
            </w:r>
            <w:r w:rsidR="00562C7B">
              <w:rPr>
                <w:rFonts w:ascii="Times New Roman" w:eastAsia="Times New Roman" w:hAnsi="Times New Roman" w:cs="Times New Roman"/>
                <w:szCs w:val="20"/>
                <w:vertAlign w:val="superscript"/>
              </w:rPr>
              <w:t>,</w:t>
            </w:r>
            <w:r w:rsidR="00562C7B"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d</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alis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zCs w:val="20"/>
              </w:rPr>
              <w:t>ch</w:t>
            </w:r>
            <w:r w:rsidRPr="00956F16">
              <w:rPr>
                <w:rFonts w:ascii="Times New Roman" w:eastAsia="Times New Roman" w:hAnsi="Times New Roman" w:cs="Times New Roman"/>
                <w:spacing w:val="1"/>
                <w:szCs w:val="20"/>
              </w:rPr>
              <w:t>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r w:rsidRPr="00956F16">
              <w:rPr>
                <w:rFonts w:ascii="Times New Roman" w:eastAsia="Times New Roman" w:hAnsi="Times New Roman" w:cs="Times New Roman"/>
                <w:szCs w:val="20"/>
                <w:vertAlign w:val="superscript"/>
              </w:rPr>
              <w:t>◊</w:t>
            </w:r>
          </w:p>
        </w:tc>
      </w:tr>
      <w:tr w:rsidR="00956F16" w:rsidRPr="00956F16" w14:paraId="2E82742C" w14:textId="77777777" w:rsidTr="00694E9C">
        <w:trPr>
          <w:trHeight w:val="3006"/>
        </w:trPr>
        <w:tc>
          <w:tcPr>
            <w:tcW w:w="2400" w:type="dxa"/>
            <w:tcBorders>
              <w:top w:val="single" w:sz="4" w:space="0" w:color="000000"/>
              <w:left w:val="single" w:sz="4" w:space="0" w:color="000000"/>
              <w:bottom w:val="single" w:sz="4" w:space="0" w:color="000000"/>
              <w:right w:val="single" w:sz="4" w:space="0" w:color="000000"/>
            </w:tcBorders>
          </w:tcPr>
          <w:p w14:paraId="5F16D8B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lastRenderedPageBreak/>
              <w:t>Érbetegségek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0A84274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473CA1AE" w14:textId="5843646B"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r w:rsidRPr="00956F16">
              <w:rPr>
                <w:rFonts w:ascii="Times New Roman" w:eastAsia="Times New Roman" w:hAnsi="Times New Roman" w:cs="Times New Roman"/>
                <w:spacing w:val="1"/>
                <w:szCs w:val="20"/>
              </w:rPr>
              <w:t>vénás thromboemboliás események, főleg mélyvénás thrombosis és tüdőembólia</w:t>
            </w:r>
            <w:r w:rsidRPr="00956F16">
              <w:rPr>
                <w:rFonts w:ascii="Times New Roman" w:eastAsia="Times New Roman" w:hAnsi="Times New Roman" w:cs="Times New Roman"/>
                <w:szCs w:val="20"/>
                <w:vertAlign w:val="superscript"/>
              </w:rPr>
              <w:t>^,◊</w:t>
            </w:r>
            <w:r w:rsidR="00562C7B">
              <w:rPr>
                <w:rFonts w:ascii="Times New Roman" w:eastAsia="Times New Roman" w:hAnsi="Times New Roman" w:cs="Times New Roman"/>
                <w:szCs w:val="20"/>
                <w:vertAlign w:val="superscript"/>
              </w:rPr>
              <w:t>,</w:t>
            </w:r>
            <w:r w:rsidR="00562C7B" w:rsidRPr="00956F16">
              <w:rPr>
                <w:rFonts w:ascii="Times New Roman" w:eastAsia="Times New Roman" w:hAnsi="Times New Roman" w:cs="Times New Roman"/>
                <w:szCs w:val="20"/>
                <w:vertAlign w:val="superscript"/>
              </w:rPr>
              <w:t>◊◊</w:t>
            </w:r>
            <w:r w:rsidR="00562C7B">
              <w:rPr>
                <w:rFonts w:ascii="Times New Roman" w:eastAsia="Times New Roman" w:hAnsi="Times New Roman" w:cs="Times New Roman"/>
                <w:spacing w:val="-1"/>
                <w:szCs w:val="20"/>
              </w:rPr>
              <w:t xml:space="preserve">, </w:t>
            </w:r>
            <w:r w:rsidR="00562C7B" w:rsidRPr="00956F16">
              <w:rPr>
                <w:rFonts w:ascii="Times New Roman" w:eastAsia="Times New Roman" w:hAnsi="Times New Roman" w:cs="Times New Roman"/>
                <w:spacing w:val="-1"/>
                <w:szCs w:val="20"/>
              </w:rPr>
              <w:t>h</w:t>
            </w:r>
            <w:r w:rsidR="00562C7B" w:rsidRPr="00956F16">
              <w:rPr>
                <w:rFonts w:ascii="Times New Roman" w:eastAsia="Times New Roman" w:hAnsi="Times New Roman" w:cs="Times New Roman"/>
                <w:spacing w:val="-2"/>
                <w:szCs w:val="20"/>
              </w:rPr>
              <w:t>y</w:t>
            </w:r>
            <w:r w:rsidR="00562C7B" w:rsidRPr="00956F16">
              <w:rPr>
                <w:rFonts w:ascii="Times New Roman" w:eastAsia="Times New Roman" w:hAnsi="Times New Roman" w:cs="Times New Roman"/>
                <w:szCs w:val="20"/>
              </w:rPr>
              <w:t>po</w:t>
            </w:r>
            <w:r w:rsidR="00562C7B" w:rsidRPr="00956F16">
              <w:rPr>
                <w:rFonts w:ascii="Times New Roman" w:eastAsia="Times New Roman" w:hAnsi="Times New Roman" w:cs="Times New Roman"/>
                <w:spacing w:val="1"/>
                <w:szCs w:val="20"/>
              </w:rPr>
              <w:t>tonia</w:t>
            </w:r>
            <w:r w:rsidR="00562C7B" w:rsidRPr="00956F16">
              <w:rPr>
                <w:rFonts w:ascii="Times New Roman" w:eastAsia="Times New Roman" w:hAnsi="Times New Roman" w:cs="Times New Roman"/>
                <w:szCs w:val="20"/>
                <w:vertAlign w:val="superscript"/>
              </w:rPr>
              <w:t>◊◊</w:t>
            </w:r>
          </w:p>
          <w:p w14:paraId="77080BAC" w14:textId="77777777" w:rsidR="0088692E" w:rsidRDefault="0088692E"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p>
          <w:p w14:paraId="7C136A6C" w14:textId="403CC96C"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FE6A5C0" w14:textId="77C7D892" w:rsidR="00956F16" w:rsidRPr="00956F16" w:rsidRDefault="00956F16" w:rsidP="008D24F7">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w:t>
            </w:r>
            <w:r w:rsidR="00A6122A">
              <w:rPr>
                <w:rFonts w:ascii="Times New Roman" w:eastAsia="Times New Roman" w:hAnsi="Times New Roman" w:cs="Times New Roman"/>
                <w:szCs w:val="20"/>
              </w:rPr>
              <w:t>er</w:t>
            </w:r>
            <w:r w:rsidRPr="00956F16">
              <w:rPr>
                <w:rFonts w:ascii="Times New Roman" w:eastAsia="Times New Roman" w:hAnsi="Times New Roman" w:cs="Times New Roman"/>
                <w:spacing w:val="1"/>
                <w:szCs w:val="20"/>
              </w:rPr>
              <w:t>tonia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ch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zCs w:val="20"/>
              </w:rPr>
              <w:t>os</w:t>
            </w:r>
            <w:r w:rsidRPr="00956F16">
              <w:rPr>
                <w:rFonts w:ascii="Times New Roman" w:eastAsia="Times New Roman" w:hAnsi="Times New Roman" w:cs="Times New Roman"/>
                <w:spacing w:val="1"/>
                <w:szCs w:val="20"/>
              </w:rPr>
              <w:t>is</w:t>
            </w:r>
            <w:r w:rsidRPr="00956F16">
              <w:rPr>
                <w:rFonts w:ascii="Times New Roman" w:eastAsia="Times New Roman" w:hAnsi="Times New Roman" w:cs="Times New Roman"/>
                <w:szCs w:val="20"/>
              </w:rPr>
              <w:t>^</w:t>
            </w:r>
            <w:r w:rsidRPr="00956F16">
              <w:rPr>
                <w:rFonts w:ascii="Times" w:eastAsia="Times New Roman" w:hAnsi="Times" w:cs="Times New Roman"/>
                <w:szCs w:val="20"/>
                <w:vertAlign w:val="superscript"/>
              </w:rPr>
              <w:t>,</w:t>
            </w:r>
          </w:p>
        </w:tc>
        <w:tc>
          <w:tcPr>
            <w:tcW w:w="3402" w:type="dxa"/>
            <w:tcBorders>
              <w:top w:val="single" w:sz="4" w:space="0" w:color="000000"/>
              <w:left w:val="single" w:sz="4" w:space="0" w:color="000000"/>
              <w:bottom w:val="single" w:sz="4" w:space="0" w:color="000000"/>
              <w:right w:val="single" w:sz="4" w:space="0" w:color="000000"/>
            </w:tcBorders>
          </w:tcPr>
          <w:p w14:paraId="1E717B9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029FE6BE" w14:textId="64BE27BA"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rPr>
              <w:t>vénás thromboemboliás események</w:t>
            </w:r>
            <w:r w:rsidR="0088692E" w:rsidRPr="007E5A32">
              <w:rPr>
                <w:rFonts w:ascii="Times New Roman" w:hAnsi="Times New Roman"/>
                <w:vertAlign w:val="superscript"/>
              </w:rPr>
              <w:t>^</w:t>
            </w:r>
            <w:r w:rsidRPr="00956F16">
              <w:rPr>
                <w:rFonts w:ascii="Times New Roman" w:eastAsia="Times New Roman" w:hAnsi="Times New Roman" w:cs="Times New Roman"/>
                <w:spacing w:val="2"/>
                <w:szCs w:val="20"/>
              </w:rPr>
              <w:t>, főleg mélyvénás thrombosis és tüdőembólia</w:t>
            </w:r>
            <w:r w:rsidRPr="00956F16">
              <w:rPr>
                <w:rFonts w:ascii="Times New Roman" w:eastAsia="Times New Roman" w:hAnsi="Times New Roman" w:cs="Times New Roman"/>
                <w:szCs w:val="20"/>
                <w:vertAlign w:val="superscript"/>
              </w:rPr>
              <w:t>^,◊</w:t>
            </w:r>
            <w:r w:rsidR="00562C7B">
              <w:rPr>
                <w:rFonts w:ascii="Times New Roman" w:eastAsia="Times New Roman" w:hAnsi="Times New Roman" w:cs="Times New Roman"/>
                <w:szCs w:val="20"/>
                <w:vertAlign w:val="superscript"/>
              </w:rPr>
              <w:t>,</w:t>
            </w:r>
            <w:r w:rsidR="00562C7B" w:rsidRPr="00956F16">
              <w:rPr>
                <w:rFonts w:ascii="Times New Roman" w:eastAsia="Times New Roman" w:hAnsi="Times New Roman" w:cs="Times New Roman"/>
                <w:szCs w:val="20"/>
                <w:vertAlign w:val="superscript"/>
              </w:rPr>
              <w:t>◊◊</w:t>
            </w:r>
          </w:p>
          <w:p w14:paraId="4B63BD0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4"/>
              </w:rPr>
            </w:pPr>
          </w:p>
          <w:p w14:paraId="4C584DC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2ACA2A8" w14:textId="1CB22530"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rPr>
              <w:t>v</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zCs w:val="20"/>
              </w:rPr>
              <w:t>cu</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s</w:t>
            </w:r>
            <w:r w:rsidR="00562C7B">
              <w:rPr>
                <w:rFonts w:ascii="Times New Roman" w:eastAsia="Times New Roman" w:hAnsi="Times New Roman" w:cs="Times New Roman"/>
                <w:szCs w:val="20"/>
              </w:rPr>
              <w:t xml:space="preserve">, </w:t>
            </w:r>
            <w:r w:rsidR="00562C7B" w:rsidRPr="00956F16">
              <w:rPr>
                <w:rFonts w:ascii="Times New Roman" w:eastAsia="Times New Roman" w:hAnsi="Times New Roman" w:cs="Times New Roman"/>
                <w:spacing w:val="-1"/>
                <w:szCs w:val="20"/>
              </w:rPr>
              <w:t>h</w:t>
            </w:r>
            <w:r w:rsidR="00562C7B" w:rsidRPr="00956F16">
              <w:rPr>
                <w:rFonts w:ascii="Times New Roman" w:eastAsia="Times New Roman" w:hAnsi="Times New Roman" w:cs="Times New Roman"/>
                <w:spacing w:val="-2"/>
                <w:szCs w:val="20"/>
              </w:rPr>
              <w:t>y</w:t>
            </w:r>
            <w:r w:rsidR="00562C7B" w:rsidRPr="00956F16">
              <w:rPr>
                <w:rFonts w:ascii="Times New Roman" w:eastAsia="Times New Roman" w:hAnsi="Times New Roman" w:cs="Times New Roman"/>
                <w:szCs w:val="20"/>
              </w:rPr>
              <w:t>po</w:t>
            </w:r>
            <w:r w:rsidR="00562C7B" w:rsidRPr="00956F16">
              <w:rPr>
                <w:rFonts w:ascii="Times New Roman" w:eastAsia="Times New Roman" w:hAnsi="Times New Roman" w:cs="Times New Roman"/>
                <w:spacing w:val="1"/>
                <w:szCs w:val="20"/>
              </w:rPr>
              <w:t>tonia</w:t>
            </w:r>
            <w:r w:rsidR="00562C7B" w:rsidRPr="00956F16">
              <w:rPr>
                <w:rFonts w:ascii="Times New Roman" w:eastAsia="Times New Roman" w:hAnsi="Times New Roman" w:cs="Times New Roman"/>
                <w:szCs w:val="20"/>
                <w:vertAlign w:val="superscript"/>
              </w:rPr>
              <w:t>◊◊</w:t>
            </w:r>
            <w:r w:rsidR="00562C7B">
              <w:rPr>
                <w:rFonts w:ascii="Times New Roman" w:eastAsia="Times New Roman" w:hAnsi="Times New Roman" w:cs="Times New Roman"/>
                <w:spacing w:val="-1"/>
                <w:szCs w:val="20"/>
              </w:rPr>
              <w:t xml:space="preserve">, </w:t>
            </w:r>
            <w:r w:rsidR="00562C7B" w:rsidRPr="00956F16">
              <w:rPr>
                <w:rFonts w:ascii="Times New Roman" w:eastAsia="Times New Roman" w:hAnsi="Times New Roman" w:cs="Times New Roman"/>
                <w:spacing w:val="-1"/>
                <w:szCs w:val="20"/>
              </w:rPr>
              <w:t>h</w:t>
            </w:r>
            <w:r w:rsidR="00562C7B" w:rsidRPr="00956F16">
              <w:rPr>
                <w:rFonts w:ascii="Times New Roman" w:eastAsia="Times New Roman" w:hAnsi="Times New Roman" w:cs="Times New Roman"/>
                <w:spacing w:val="-2"/>
                <w:szCs w:val="20"/>
              </w:rPr>
              <w:t>y</w:t>
            </w:r>
            <w:r w:rsidR="00562C7B">
              <w:rPr>
                <w:rFonts w:ascii="Times New Roman" w:eastAsia="Times New Roman" w:hAnsi="Times New Roman" w:cs="Times New Roman"/>
                <w:szCs w:val="20"/>
              </w:rPr>
              <w:t>per</w:t>
            </w:r>
            <w:r w:rsidR="00562C7B" w:rsidRPr="00956F16">
              <w:rPr>
                <w:rFonts w:ascii="Times New Roman" w:eastAsia="Times New Roman" w:hAnsi="Times New Roman" w:cs="Times New Roman"/>
                <w:spacing w:val="1"/>
                <w:szCs w:val="20"/>
              </w:rPr>
              <w:t>tonia</w:t>
            </w:r>
            <w:r w:rsidR="00562C7B" w:rsidRPr="00956F16">
              <w:rPr>
                <w:rFonts w:ascii="Times New Roman" w:eastAsia="Times New Roman" w:hAnsi="Times New Roman" w:cs="Times New Roman"/>
                <w:szCs w:val="20"/>
                <w:vertAlign w:val="superscript"/>
              </w:rPr>
              <w:t>◊◊</w:t>
            </w:r>
          </w:p>
          <w:p w14:paraId="63E8FF4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4"/>
              </w:rPr>
            </w:pPr>
          </w:p>
          <w:p w14:paraId="7C96A84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3AC18E7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4"/>
                <w:szCs w:val="20"/>
              </w:rPr>
              <w:t>i</w:t>
            </w:r>
            <w:r w:rsidRPr="00956F16">
              <w:rPr>
                <w:rFonts w:ascii="Times New Roman" w:eastAsia="Times New Roman" w:hAnsi="Times New Roman" w:cs="Times New Roman"/>
                <w:szCs w:val="20"/>
              </w:rPr>
              <w:t>s</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3"/>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rPr>
              <w:t>, pe</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ifériás i</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2"/>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 xml:space="preserve">a, </w:t>
            </w:r>
            <w:r w:rsidRPr="00956F16">
              <w:rPr>
                <w:rFonts w:ascii="Times New Roman" w:eastAsia="Times New Roman" w:hAnsi="Times New Roman" w:cs="Times New Roman"/>
                <w:spacing w:val="-4"/>
                <w:szCs w:val="20"/>
              </w:rPr>
              <w:t>i</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tr</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cra</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zCs w:val="20"/>
              </w:rPr>
              <w:t>lis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2"/>
                <w:szCs w:val="20"/>
              </w:rPr>
              <w:t>vénás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zCs w:val="20"/>
              </w:rPr>
              <w:t xml:space="preserve">s </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zCs w:val="20"/>
              </w:rPr>
              <w:t>bo</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s</w:t>
            </w:r>
          </w:p>
        </w:tc>
      </w:tr>
      <w:tr w:rsidR="00956F16" w:rsidRPr="00956F16" w14:paraId="2B20B861" w14:textId="77777777" w:rsidTr="00694E9C">
        <w:trPr>
          <w:trHeight w:hRule="exact" w:val="1450"/>
        </w:trPr>
        <w:tc>
          <w:tcPr>
            <w:tcW w:w="2400" w:type="dxa"/>
            <w:tcBorders>
              <w:top w:val="single" w:sz="4" w:space="0" w:color="000000"/>
              <w:left w:val="single" w:sz="4" w:space="0" w:color="000000"/>
              <w:bottom w:val="single" w:sz="4" w:space="0" w:color="000000"/>
              <w:right w:val="single" w:sz="4" w:space="0" w:color="000000"/>
            </w:tcBorders>
          </w:tcPr>
          <w:p w14:paraId="5DAF7DC5" w14:textId="77777777" w:rsidR="00956F16" w:rsidRPr="00956F16" w:rsidRDefault="00956F16" w:rsidP="00956F16">
            <w:pPr>
              <w:widowControl w:val="0"/>
              <w:tabs>
                <w:tab w:val="left" w:pos="567"/>
              </w:tabs>
              <w:autoSpaceDE w:val="0"/>
              <w:autoSpaceDN w:val="0"/>
              <w:adjustRightInd w:val="0"/>
              <w:spacing w:after="0" w:line="240" w:lineRule="auto"/>
              <w:ind w:left="142" w:right="627"/>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Légzőrendszeri, mellkasi és mediastinalis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3078DAD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125AC2A1" w14:textId="77777777" w:rsid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pno</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vertAlign w:val="superscript"/>
              </w:rPr>
              <w:t>◊</w:t>
            </w:r>
            <w:r w:rsidR="00562C7B">
              <w:rPr>
                <w:rFonts w:ascii="Times New Roman" w:eastAsia="Times New Roman" w:hAnsi="Times New Roman" w:cs="Times New Roman"/>
                <w:szCs w:val="20"/>
                <w:vertAlign w:val="superscript"/>
              </w:rPr>
              <w:t>,</w:t>
            </w:r>
            <w:r w:rsidR="00562C7B"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ep</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st</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zCs w:val="20"/>
              </w:rPr>
              <w:t>x</w:t>
            </w:r>
            <w:r w:rsidRPr="00956F16">
              <w:rPr>
                <w:rFonts w:ascii="Times New Roman" w:eastAsia="Times New Roman" w:hAnsi="Times New Roman" w:cs="Times New Roman"/>
                <w:spacing w:val="1"/>
                <w:szCs w:val="20"/>
              </w:rPr>
              <w:t>is</w:t>
            </w:r>
            <w:r w:rsidRPr="00956F16">
              <w:rPr>
                <w:rFonts w:ascii="Times New Roman" w:eastAsia="Times New Roman" w:hAnsi="Times New Roman" w:cs="Times New Roman"/>
                <w:szCs w:val="20"/>
              </w:rPr>
              <w:t>^</w:t>
            </w:r>
            <w:r w:rsidR="00562C7B">
              <w:rPr>
                <w:rFonts w:ascii="Times New Roman" w:eastAsia="Times New Roman" w:hAnsi="Times New Roman" w:cs="Times New Roman"/>
                <w:szCs w:val="20"/>
              </w:rPr>
              <w:t>, köhögés</w:t>
            </w:r>
          </w:p>
          <w:p w14:paraId="3EE9668A" w14:textId="77777777" w:rsidR="00562C7B" w:rsidRDefault="00562C7B"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p>
          <w:p w14:paraId="38B85A72" w14:textId="77777777" w:rsidR="00562C7B" w:rsidRPr="00441247" w:rsidRDefault="00562C7B"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u w:val="single"/>
              </w:rPr>
            </w:pPr>
            <w:r w:rsidRPr="00441247">
              <w:rPr>
                <w:rFonts w:ascii="Times New Roman" w:eastAsia="Times New Roman" w:hAnsi="Times New Roman" w:cs="Times New Roman"/>
                <w:szCs w:val="20"/>
                <w:u w:val="single"/>
              </w:rPr>
              <w:t>Gyakori</w:t>
            </w:r>
          </w:p>
          <w:p w14:paraId="27702FA4" w14:textId="6A7891AA" w:rsidR="00562C7B" w:rsidRPr="00956F16" w:rsidRDefault="00562C7B"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d</w:t>
            </w:r>
            <w:r w:rsidRPr="00441247">
              <w:rPr>
                <w:rFonts w:ascii="Times New Roman" w:eastAsia="Times New Roman" w:hAnsi="Times New Roman" w:cs="Times New Roman"/>
                <w:szCs w:val="20"/>
              </w:rPr>
              <w:t>ysphonia</w:t>
            </w:r>
          </w:p>
        </w:tc>
        <w:tc>
          <w:tcPr>
            <w:tcW w:w="3402" w:type="dxa"/>
            <w:tcBorders>
              <w:top w:val="single" w:sz="4" w:space="0" w:color="000000"/>
              <w:left w:val="single" w:sz="4" w:space="0" w:color="000000"/>
              <w:bottom w:val="single" w:sz="4" w:space="0" w:color="000000"/>
              <w:right w:val="single" w:sz="4" w:space="0" w:color="000000"/>
            </w:tcBorders>
          </w:tcPr>
          <w:p w14:paraId="15E06FA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5E277783" w14:textId="7FBCBC4F"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ra</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1"/>
                <w:szCs w:val="20"/>
              </w:rPr>
              <w:t xml:space="preserve">rikus </w:t>
            </w:r>
            <w:r w:rsidRPr="00956F16">
              <w:rPr>
                <w:rFonts w:ascii="Times New Roman" w:eastAsia="Times New Roman" w:hAnsi="Times New Roman" w:cs="Times New Roman"/>
                <w:szCs w:val="20"/>
              </w:rPr>
              <w:t>d</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ss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n</w:t>
            </w:r>
            <w:r w:rsidRPr="00956F16">
              <w:rPr>
                <w:rFonts w:ascii="Times New Roman" w:eastAsia="Times New Roman" w:hAnsi="Times New Roman" w:cs="Times New Roman"/>
                <w:szCs w:val="20"/>
              </w:rPr>
              <w:t>oe</w:t>
            </w:r>
            <w:r w:rsidRPr="00956F16">
              <w:rPr>
                <w:rFonts w:ascii="Times New Roman" w:eastAsia="Times New Roman" w:hAnsi="Times New Roman" w:cs="Times New Roman"/>
                <w:szCs w:val="20"/>
                <w:vertAlign w:val="superscript"/>
              </w:rPr>
              <w:t>◊</w:t>
            </w:r>
            <w:r w:rsidR="00B805CB">
              <w:rPr>
                <w:rFonts w:ascii="Times New Roman" w:eastAsia="Times New Roman" w:hAnsi="Times New Roman" w:cs="Times New Roman"/>
                <w:szCs w:val="20"/>
                <w:vertAlign w:val="superscript"/>
              </w:rPr>
              <w:t>,</w:t>
            </w:r>
            <w:r w:rsidR="00B805CB" w:rsidRPr="00956F16">
              <w:rPr>
                <w:rFonts w:ascii="Times New Roman" w:eastAsia="Times New Roman" w:hAnsi="Times New Roman" w:cs="Times New Roman"/>
                <w:szCs w:val="20"/>
                <w:vertAlign w:val="superscript"/>
              </w:rPr>
              <w:t>◊◊</w:t>
            </w:r>
            <w:r w:rsidR="00B805CB">
              <w:rPr>
                <w:rFonts w:ascii="Times New Roman" w:eastAsia="Times New Roman" w:hAnsi="Times New Roman" w:cs="Times New Roman"/>
                <w:spacing w:val="-2"/>
                <w:szCs w:val="20"/>
              </w:rPr>
              <w:t>, p</w:t>
            </w:r>
            <w:r w:rsidR="00B805CB" w:rsidRPr="00441247">
              <w:rPr>
                <w:rFonts w:ascii="Times New Roman" w:eastAsia="Times New Roman" w:hAnsi="Times New Roman" w:cs="Times New Roman"/>
                <w:spacing w:val="-2"/>
                <w:szCs w:val="20"/>
              </w:rPr>
              <w:t>leuritises fájdalom</w:t>
            </w:r>
            <w:r w:rsidR="00B805CB" w:rsidRPr="00956F16">
              <w:rPr>
                <w:rFonts w:ascii="Times New Roman" w:eastAsia="Times New Roman" w:hAnsi="Times New Roman" w:cs="Times New Roman"/>
                <w:szCs w:val="20"/>
                <w:vertAlign w:val="superscript"/>
              </w:rPr>
              <w:t>◊◊</w:t>
            </w:r>
            <w:r w:rsidR="00B805CB" w:rsidRPr="00441247">
              <w:rPr>
                <w:rFonts w:ascii="Times New Roman" w:eastAsia="Times New Roman" w:hAnsi="Times New Roman" w:cs="Times New Roman"/>
                <w:spacing w:val="-2"/>
                <w:szCs w:val="20"/>
              </w:rPr>
              <w:t>, hypoxia</w:t>
            </w:r>
            <w:r w:rsidR="00B805CB" w:rsidRPr="00956F16">
              <w:rPr>
                <w:rFonts w:ascii="Times New Roman" w:eastAsia="Times New Roman" w:hAnsi="Times New Roman" w:cs="Times New Roman"/>
                <w:szCs w:val="20"/>
                <w:vertAlign w:val="superscript"/>
              </w:rPr>
              <w:t>◊◊</w:t>
            </w:r>
          </w:p>
        </w:tc>
      </w:tr>
      <w:tr w:rsidR="00956F16" w:rsidRPr="00956F16" w14:paraId="1F25D110" w14:textId="77777777" w:rsidTr="00694E9C">
        <w:trPr>
          <w:trHeight w:val="3680"/>
        </w:trPr>
        <w:tc>
          <w:tcPr>
            <w:tcW w:w="2400" w:type="dxa"/>
            <w:tcBorders>
              <w:top w:val="single" w:sz="4" w:space="0" w:color="000000"/>
              <w:left w:val="single" w:sz="4" w:space="0" w:color="000000"/>
              <w:bottom w:val="single" w:sz="4" w:space="0" w:color="000000"/>
              <w:right w:val="single" w:sz="4" w:space="0" w:color="000000"/>
            </w:tcBorders>
          </w:tcPr>
          <w:p w14:paraId="214E284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Emésztőrendszeri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4E6BC06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16C0E106" w14:textId="1CD27326" w:rsidR="00956F16" w:rsidRPr="00956F16" w:rsidRDefault="00956F16" w:rsidP="00956F16">
            <w:pPr>
              <w:widowControl w:val="0"/>
              <w:tabs>
                <w:tab w:val="left" w:pos="567"/>
              </w:tabs>
              <w:autoSpaceDE w:val="0"/>
              <w:autoSpaceDN w:val="0"/>
              <w:adjustRightInd w:val="0"/>
              <w:spacing w:after="0" w:line="240" w:lineRule="auto"/>
              <w:ind w:left="142" w:right="555"/>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hasmenés</w:t>
            </w:r>
            <w:r w:rsidRPr="00956F16">
              <w:rPr>
                <w:rFonts w:ascii="Times New Roman" w:eastAsia="Times New Roman" w:hAnsi="Times New Roman" w:cs="Times New Roman"/>
                <w:szCs w:val="20"/>
                <w:vertAlign w:val="superscript"/>
              </w:rPr>
              <w:t>◊</w:t>
            </w:r>
            <w:r w:rsidR="00B805CB">
              <w:rPr>
                <w:rFonts w:ascii="Times New Roman" w:eastAsia="Times New Roman" w:hAnsi="Times New Roman" w:cs="Times New Roman"/>
                <w:szCs w:val="20"/>
                <w:vertAlign w:val="superscript"/>
              </w:rPr>
              <w:t>,</w:t>
            </w:r>
            <w:r w:rsidR="00B805CB"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székrekedés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hasi fájdalom</w:t>
            </w:r>
            <w:r w:rsidRPr="00956F16">
              <w:rPr>
                <w:rFonts w:ascii="Times New Roman" w:eastAsia="Times New Roman" w:hAnsi="Times New Roman" w:cs="Times New Roman"/>
                <w:szCs w:val="20"/>
                <w:vertAlign w:val="superscript"/>
              </w:rPr>
              <w:t>◊</w:t>
            </w:r>
            <w:r w:rsidR="00B805CB"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hányinger</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2"/>
                <w:szCs w:val="20"/>
              </w:rPr>
              <w:t>hányás</w:t>
            </w:r>
            <w:r w:rsidR="00B805CB"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si</w:t>
            </w:r>
            <w:r w:rsidRPr="00956F16">
              <w:rPr>
                <w:rFonts w:ascii="Times New Roman" w:eastAsia="Times New Roman" w:hAnsi="Times New Roman" w:cs="Times New Roman"/>
                <w:szCs w:val="20"/>
              </w:rPr>
              <w:t>a</w:t>
            </w:r>
            <w:r w:rsidR="00B805CB">
              <w:rPr>
                <w:rFonts w:ascii="Times New Roman" w:eastAsia="Times New Roman" w:hAnsi="Times New Roman" w:cs="Times New Roman"/>
                <w:szCs w:val="20"/>
              </w:rPr>
              <w:t xml:space="preserve">, </w:t>
            </w:r>
            <w:r w:rsidR="00B805CB" w:rsidRPr="00441247">
              <w:rPr>
                <w:rFonts w:ascii="Times New Roman" w:eastAsia="Times New Roman" w:hAnsi="Times New Roman" w:cs="Times New Roman"/>
                <w:szCs w:val="20"/>
              </w:rPr>
              <w:t>szájszárazság, stomatitis</w:t>
            </w:r>
          </w:p>
          <w:p w14:paraId="0085601A"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17C46C6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657FBD01" w14:textId="1967929A" w:rsidR="00956F16" w:rsidRPr="00956F16" w:rsidRDefault="00956F16" w:rsidP="00956F16">
            <w:pPr>
              <w:widowControl w:val="0"/>
              <w:tabs>
                <w:tab w:val="left" w:pos="567"/>
              </w:tabs>
              <w:autoSpaceDE w:val="0"/>
              <w:autoSpaceDN w:val="0"/>
              <w:adjustRightInd w:val="0"/>
              <w:spacing w:after="0" w:line="240" w:lineRule="auto"/>
              <w:ind w:left="142" w:right="16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gastrointestinalis vérzés (többek között rectalis vérzés, aranyeres vérzés, pepticus fekély vérzése és gingiva vérzés)</w:t>
            </w:r>
            <w:r w:rsidRPr="00956F16">
              <w:rPr>
                <w:rFonts w:ascii="Times New Roman" w:eastAsia="Times New Roman" w:hAnsi="Times New Roman" w:cs="Times New Roman"/>
                <w:spacing w:val="-1"/>
                <w:szCs w:val="20"/>
                <w:vertAlign w:val="superscript"/>
              </w:rPr>
              <w:t>^</w:t>
            </w:r>
            <w:r w:rsidR="00B805CB">
              <w:rPr>
                <w:rFonts w:ascii="Times New Roman" w:eastAsia="Times New Roman" w:hAnsi="Times New Roman" w:cs="Times New Roman"/>
                <w:spacing w:val="-1"/>
                <w:szCs w:val="20"/>
                <w:vertAlign w:val="superscript"/>
              </w:rPr>
              <w:t>,</w:t>
            </w:r>
            <w:r w:rsidR="00B805CB" w:rsidRPr="00956F16">
              <w:rPr>
                <w:rFonts w:ascii="Times New Roman" w:eastAsia="Times New Roman" w:hAnsi="Times New Roman" w:cs="Times New Roman"/>
                <w:szCs w:val="20"/>
                <w:vertAlign w:val="superscript"/>
              </w:rPr>
              <w:t xml:space="preserve"> ◊◊</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1"/>
                <w:szCs w:val="20"/>
              </w:rPr>
              <w:t xml:space="preserve"> dysphagia</w:t>
            </w:r>
          </w:p>
          <w:p w14:paraId="7082B1EE"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60F0E27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142C8B0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ti</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typhlitis</w:t>
            </w:r>
          </w:p>
        </w:tc>
        <w:tc>
          <w:tcPr>
            <w:tcW w:w="3402" w:type="dxa"/>
            <w:tcBorders>
              <w:top w:val="single" w:sz="4" w:space="0" w:color="000000"/>
              <w:left w:val="single" w:sz="4" w:space="0" w:color="000000"/>
              <w:bottom w:val="single" w:sz="4" w:space="0" w:color="000000"/>
              <w:right w:val="single" w:sz="4" w:space="0" w:color="000000"/>
            </w:tcBorders>
          </w:tcPr>
          <w:p w14:paraId="0BDE744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0203889" w14:textId="356FD5EB" w:rsidR="00956F16" w:rsidRPr="00956F16" w:rsidRDefault="00B805CB"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441247">
              <w:rPr>
                <w:rFonts w:ascii="Times New Roman" w:eastAsia="Times New Roman" w:hAnsi="Times New Roman" w:cs="Times New Roman"/>
                <w:spacing w:val="-1"/>
                <w:szCs w:val="20"/>
              </w:rPr>
              <w:t>Gastrointestinalis vérzés</w:t>
            </w:r>
            <w:r w:rsidRPr="00441247">
              <w:rPr>
                <w:rFonts w:ascii="Times" w:eastAsia="Times New Roman" w:hAnsi="Times" w:cs="Times New Roman"/>
                <w:spacing w:val="-1"/>
                <w:szCs w:val="20"/>
                <w:vertAlign w:val="superscript"/>
              </w:rPr>
              <w:t>^,◊,◊◊</w:t>
            </w:r>
            <w:r w:rsidRPr="00441247">
              <w:rPr>
                <w:rFonts w:ascii="Times New Roman" w:eastAsia="Times New Roman" w:hAnsi="Times New Roman" w:cs="Times New Roman"/>
                <w:spacing w:val="-1"/>
                <w:szCs w:val="20"/>
              </w:rPr>
              <w:t>, vékonybél-elzáródás</w:t>
            </w:r>
            <w:r w:rsidRPr="00441247">
              <w:rPr>
                <w:rFonts w:ascii="Times" w:eastAsia="Times New Roman" w:hAnsi="Times" w:cs="Times New Roman"/>
                <w:spacing w:val="-1"/>
                <w:szCs w:val="20"/>
                <w:vertAlign w:val="superscript"/>
              </w:rPr>
              <w:t>◊◊</w:t>
            </w:r>
            <w:r w:rsidRPr="00441247">
              <w:rPr>
                <w:rFonts w:ascii="Times New Roman" w:eastAsia="Times New Roman" w:hAnsi="Times New Roman" w:cs="Times New Roman"/>
                <w:spacing w:val="-1"/>
                <w:szCs w:val="20"/>
              </w:rPr>
              <w:t>,</w:t>
            </w:r>
            <w:r>
              <w:rPr>
                <w:rFonts w:ascii="Times New Roman" w:eastAsia="Times New Roman" w:hAnsi="Times New Roman" w:cs="Times New Roman"/>
                <w:spacing w:val="-1"/>
                <w:szCs w:val="20"/>
              </w:rPr>
              <w:t xml:space="preserve"> h</w:t>
            </w:r>
            <w:r w:rsidR="00956F16" w:rsidRPr="00956F16">
              <w:rPr>
                <w:rFonts w:ascii="Times New Roman" w:eastAsia="Times New Roman" w:hAnsi="Times New Roman" w:cs="Times New Roman"/>
                <w:spacing w:val="-1"/>
                <w:szCs w:val="20"/>
              </w:rPr>
              <w:t>asmenés</w:t>
            </w:r>
            <w:r w:rsidRPr="00956F16">
              <w:rPr>
                <w:rFonts w:ascii="Times New Roman" w:eastAsia="Times New Roman" w:hAnsi="Times New Roman" w:cs="Times New Roman"/>
                <w:szCs w:val="20"/>
                <w:vertAlign w:val="superscript"/>
              </w:rPr>
              <w:t>◊</w:t>
            </w:r>
            <w:r w:rsidR="00956F16" w:rsidRPr="00956F16">
              <w:rPr>
                <w:rFonts w:ascii="Times New Roman" w:eastAsia="Times New Roman" w:hAnsi="Times New Roman" w:cs="Times New Roman"/>
                <w:szCs w:val="20"/>
                <w:vertAlign w:val="superscript"/>
              </w:rPr>
              <w:t>◊</w:t>
            </w:r>
            <w:r w:rsidR="00956F16" w:rsidRPr="00956F16">
              <w:rPr>
                <w:rFonts w:ascii="Times New Roman" w:eastAsia="Times New Roman" w:hAnsi="Times New Roman" w:cs="Times New Roman"/>
                <w:szCs w:val="20"/>
              </w:rPr>
              <w:t xml:space="preserve">, </w:t>
            </w:r>
            <w:r w:rsidR="00956F16" w:rsidRPr="00956F16">
              <w:rPr>
                <w:rFonts w:ascii="Times New Roman" w:eastAsia="Times New Roman" w:hAnsi="Times New Roman" w:cs="Times New Roman"/>
                <w:spacing w:val="-1"/>
                <w:szCs w:val="20"/>
              </w:rPr>
              <w:t>székrekedés</w:t>
            </w:r>
            <w:r w:rsidR="00956F16" w:rsidRPr="00956F16">
              <w:rPr>
                <w:rFonts w:ascii="Times New Roman" w:eastAsia="Times New Roman" w:hAnsi="Times New Roman" w:cs="Times New Roman"/>
                <w:szCs w:val="20"/>
                <w:vertAlign w:val="superscript"/>
              </w:rPr>
              <w:t>◊</w:t>
            </w:r>
            <w:r w:rsidR="00956F16" w:rsidRPr="00956F16">
              <w:rPr>
                <w:rFonts w:ascii="Times New Roman" w:eastAsia="Times New Roman" w:hAnsi="Times New Roman" w:cs="Times New Roman"/>
                <w:szCs w:val="20"/>
              </w:rPr>
              <w:t>, hasi fájdalom</w:t>
            </w:r>
            <w:r w:rsidR="00956F16"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vertAlign w:val="superscript"/>
              </w:rPr>
              <w:t>◊</w:t>
            </w:r>
            <w:r w:rsidR="00956F16" w:rsidRPr="00956F16">
              <w:rPr>
                <w:rFonts w:ascii="Times New Roman" w:eastAsia="Times New Roman" w:hAnsi="Times New Roman" w:cs="Times New Roman"/>
                <w:szCs w:val="20"/>
              </w:rPr>
              <w:t xml:space="preserve">, </w:t>
            </w:r>
            <w:r w:rsidR="00956F16" w:rsidRPr="00956F16">
              <w:rPr>
                <w:rFonts w:ascii="Times New Roman" w:eastAsia="Times New Roman" w:hAnsi="Times New Roman" w:cs="Times New Roman"/>
                <w:spacing w:val="-1"/>
                <w:szCs w:val="20"/>
              </w:rPr>
              <w:t>hányinger</w:t>
            </w:r>
            <w:r w:rsidR="00956F16" w:rsidRPr="00956F16">
              <w:rPr>
                <w:rFonts w:ascii="Times New Roman" w:eastAsia="Times New Roman" w:hAnsi="Times New Roman" w:cs="Times New Roman"/>
                <w:szCs w:val="20"/>
              </w:rPr>
              <w:t>,</w:t>
            </w:r>
            <w:r w:rsidR="00956F16" w:rsidRPr="00956F16">
              <w:rPr>
                <w:rFonts w:ascii="Times New Roman" w:eastAsia="Times New Roman" w:hAnsi="Times New Roman" w:cs="Times New Roman"/>
                <w:spacing w:val="-2"/>
                <w:szCs w:val="20"/>
              </w:rPr>
              <w:t xml:space="preserve"> </w:t>
            </w:r>
            <w:r w:rsidR="00956F16" w:rsidRPr="00956F16">
              <w:rPr>
                <w:rFonts w:ascii="Times New Roman" w:eastAsia="Times New Roman" w:hAnsi="Times New Roman" w:cs="Times New Roman"/>
                <w:spacing w:val="2"/>
                <w:szCs w:val="20"/>
              </w:rPr>
              <w:t>hányás</w:t>
            </w:r>
            <w:r w:rsidRPr="00956F16">
              <w:rPr>
                <w:rFonts w:ascii="Times New Roman" w:eastAsia="Times New Roman" w:hAnsi="Times New Roman" w:cs="Times New Roman"/>
                <w:szCs w:val="20"/>
                <w:vertAlign w:val="superscript"/>
              </w:rPr>
              <w:t>◊◊</w:t>
            </w:r>
          </w:p>
        </w:tc>
      </w:tr>
      <w:tr w:rsidR="00956F16" w:rsidRPr="00956F16" w14:paraId="2B9BAFE9" w14:textId="77777777" w:rsidTr="00694E9C">
        <w:trPr>
          <w:trHeight w:val="1626"/>
        </w:trPr>
        <w:tc>
          <w:tcPr>
            <w:tcW w:w="2400" w:type="dxa"/>
            <w:tcBorders>
              <w:top w:val="single" w:sz="4" w:space="0" w:color="000000"/>
              <w:left w:val="single" w:sz="4" w:space="0" w:color="000000"/>
              <w:bottom w:val="single" w:sz="4" w:space="0" w:color="000000"/>
              <w:right w:val="single" w:sz="4" w:space="0" w:color="000000"/>
            </w:tcBorders>
          </w:tcPr>
          <w:p w14:paraId="08D21ED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Máj- és epebetegségek, illetve tünetek</w:t>
            </w:r>
          </w:p>
        </w:tc>
        <w:tc>
          <w:tcPr>
            <w:tcW w:w="3402" w:type="dxa"/>
            <w:tcBorders>
              <w:top w:val="single" w:sz="4" w:space="0" w:color="000000"/>
              <w:left w:val="single" w:sz="4" w:space="0" w:color="000000"/>
              <w:bottom w:val="single" w:sz="4" w:space="0" w:color="000000"/>
              <w:right w:val="single" w:sz="4" w:space="0" w:color="000000"/>
            </w:tcBorders>
          </w:tcPr>
          <w:p w14:paraId="334196C4" w14:textId="77777777" w:rsidR="00B805CB" w:rsidRPr="00441247" w:rsidRDefault="00B805CB"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441247">
              <w:rPr>
                <w:rFonts w:ascii="Times New Roman" w:eastAsia="Times New Roman" w:hAnsi="Times New Roman" w:cs="Times New Roman"/>
                <w:spacing w:val="-1"/>
                <w:szCs w:val="20"/>
                <w:u w:val="single"/>
              </w:rPr>
              <w:t>Nagyon gyakori</w:t>
            </w:r>
          </w:p>
          <w:p w14:paraId="7849A1F0" w14:textId="250E6098" w:rsidR="00B805CB" w:rsidRPr="00441247" w:rsidRDefault="00B805CB"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Pr>
                <w:rFonts w:ascii="Times New Roman" w:eastAsia="Times New Roman" w:hAnsi="Times New Roman" w:cs="Times New Roman"/>
                <w:spacing w:val="-1"/>
                <w:szCs w:val="20"/>
              </w:rPr>
              <w:t>e</w:t>
            </w:r>
            <w:r w:rsidRPr="00441247">
              <w:rPr>
                <w:rFonts w:ascii="Times New Roman" w:eastAsia="Times New Roman" w:hAnsi="Times New Roman" w:cs="Times New Roman"/>
                <w:spacing w:val="-1"/>
                <w:szCs w:val="20"/>
              </w:rPr>
              <w:t>melkedett alanin-aminotranszferáz-szint, emelkedett aszpartát-aminotranszferáz-szint</w:t>
            </w:r>
          </w:p>
          <w:p w14:paraId="2B6A4707" w14:textId="77777777" w:rsidR="00B805CB" w:rsidRDefault="00B805CB" w:rsidP="00956F16">
            <w:pPr>
              <w:widowControl w:val="0"/>
              <w:tabs>
                <w:tab w:val="left" w:pos="567"/>
              </w:tabs>
              <w:autoSpaceDE w:val="0"/>
              <w:autoSpaceDN w:val="0"/>
              <w:adjustRightInd w:val="0"/>
              <w:spacing w:after="0" w:line="240" w:lineRule="auto"/>
              <w:ind w:left="142" w:right="-20"/>
              <w:rPr>
                <w:sz w:val="28"/>
                <w:szCs w:val="28"/>
              </w:rPr>
            </w:pPr>
          </w:p>
          <w:p w14:paraId="7FF6EC22" w14:textId="3BD66841"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ECDCB1D" w14:textId="3CDFA018" w:rsidR="00956F16" w:rsidRPr="00441247" w:rsidRDefault="00B805CB"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sidRPr="00441247">
              <w:rPr>
                <w:rFonts w:ascii="Times New Roman" w:eastAsia="Times New Roman" w:hAnsi="Times New Roman" w:cs="Times New Roman"/>
                <w:spacing w:val="-1"/>
                <w:szCs w:val="20"/>
              </w:rPr>
              <w:t>Hepatocellularis károsodás</w:t>
            </w:r>
            <w:r w:rsidRPr="00441247">
              <w:rPr>
                <w:rFonts w:ascii="Times" w:eastAsia="Times New Roman" w:hAnsi="Times" w:cs="Times New Roman"/>
                <w:spacing w:val="-1"/>
                <w:szCs w:val="20"/>
                <w:vertAlign w:val="superscript"/>
              </w:rPr>
              <w:t>◊◊</w:t>
            </w:r>
            <w:r w:rsidRPr="00441247">
              <w:rPr>
                <w:rFonts w:ascii="Times New Roman" w:eastAsia="Times New Roman" w:hAnsi="Times New Roman" w:cs="Times New Roman"/>
                <w:spacing w:val="-1"/>
                <w:szCs w:val="20"/>
              </w:rPr>
              <w:t xml:space="preserve">, </w:t>
            </w:r>
            <w:r w:rsidR="00956F16" w:rsidRPr="00956F16">
              <w:rPr>
                <w:rFonts w:ascii="Times New Roman" w:eastAsia="Times New Roman" w:hAnsi="Times New Roman" w:cs="Times New Roman"/>
                <w:spacing w:val="-1"/>
                <w:szCs w:val="20"/>
              </w:rPr>
              <w:t>kóros májfunkciós vizsgálati eredmények</w:t>
            </w:r>
            <w:r w:rsidR="00956F16" w:rsidRPr="00441247">
              <w:rPr>
                <w:rFonts w:ascii="Times" w:eastAsia="Times New Roman" w:hAnsi="Times" w:cs="Times New Roman"/>
                <w:spacing w:val="-1"/>
                <w:szCs w:val="20"/>
                <w:vertAlign w:val="superscript"/>
              </w:rPr>
              <w:t>◊</w:t>
            </w:r>
            <w:r w:rsidR="00CB4B6D">
              <w:rPr>
                <w:rFonts w:ascii="Times New Roman" w:eastAsia="Times New Roman" w:hAnsi="Times New Roman" w:cs="Times New Roman"/>
                <w:spacing w:val="-1"/>
                <w:szCs w:val="20"/>
              </w:rPr>
              <w:t xml:space="preserve">, </w:t>
            </w:r>
            <w:r w:rsidRPr="00441247">
              <w:rPr>
                <w:rFonts w:ascii="Times New Roman" w:eastAsia="Times New Roman" w:hAnsi="Times New Roman" w:cs="Times New Roman"/>
                <w:spacing w:val="-1"/>
                <w:szCs w:val="20"/>
              </w:rPr>
              <w:t>hyperbilirubinaemia</w:t>
            </w:r>
          </w:p>
          <w:p w14:paraId="77F5EDA0"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30AA080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060242B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májelégtelenség</w:t>
            </w:r>
            <w:r w:rsidRPr="00956F16">
              <w:rPr>
                <w:rFonts w:ascii="Times New Roman" w:eastAsia="Times New Roman" w:hAnsi="Times New Roman" w:cs="Times New Roman"/>
                <w:szCs w:val="20"/>
              </w:rPr>
              <w:t>^</w:t>
            </w:r>
          </w:p>
        </w:tc>
        <w:tc>
          <w:tcPr>
            <w:tcW w:w="3402" w:type="dxa"/>
            <w:tcBorders>
              <w:top w:val="single" w:sz="4" w:space="0" w:color="000000"/>
              <w:left w:val="single" w:sz="4" w:space="0" w:color="000000"/>
              <w:bottom w:val="single" w:sz="4" w:space="0" w:color="000000"/>
              <w:right w:val="single" w:sz="4" w:space="0" w:color="000000"/>
            </w:tcBorders>
          </w:tcPr>
          <w:p w14:paraId="1FC6485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4D1EDA0" w14:textId="61B77F83" w:rsidR="00956F16" w:rsidRPr="00956F16" w:rsidRDefault="00956F16" w:rsidP="00956F16">
            <w:pPr>
              <w:widowControl w:val="0"/>
              <w:tabs>
                <w:tab w:val="left" w:pos="567"/>
              </w:tabs>
              <w:autoSpaceDE w:val="0"/>
              <w:autoSpaceDN w:val="0"/>
              <w:adjustRightInd w:val="0"/>
              <w:spacing w:after="0" w:line="240" w:lineRule="auto"/>
              <w:ind w:left="142" w:right="731"/>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ho</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pacing w:val="1"/>
                <w:szCs w:val="20"/>
              </w:rPr>
              <w:t>sis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2"/>
                <w:szCs w:val="20"/>
              </w:rPr>
              <w:t xml:space="preserve"> </w:t>
            </w:r>
            <w:r w:rsidR="00CB4B6D" w:rsidRPr="00441247">
              <w:rPr>
                <w:rFonts w:ascii="Times New Roman" w:eastAsia="Times New Roman" w:hAnsi="Times New Roman" w:cs="Times New Roman"/>
                <w:szCs w:val="20"/>
              </w:rPr>
              <w:t>hepatotoxicitás, hepatocellularis károsodás</w:t>
            </w:r>
            <w:r w:rsidR="00CB4B6D" w:rsidRPr="00441247">
              <w:rPr>
                <w:rFonts w:ascii="Times" w:eastAsia="Times New Roman" w:hAnsi="Times" w:cs="Times New Roman"/>
                <w:szCs w:val="20"/>
                <w:vertAlign w:val="superscript"/>
              </w:rPr>
              <w:t>◊◊</w:t>
            </w:r>
            <w:r w:rsidR="00CB4B6D" w:rsidRPr="00441247">
              <w:rPr>
                <w:rFonts w:ascii="Times New Roman" w:eastAsia="Times New Roman" w:hAnsi="Times New Roman" w:cs="Times New Roman"/>
                <w:szCs w:val="20"/>
              </w:rPr>
              <w:t>, emelkedett alanin-aminotranszferáz-szint,</w:t>
            </w:r>
            <w:r w:rsidR="00CB4B6D">
              <w:rPr>
                <w:sz w:val="28"/>
                <w:szCs w:val="28"/>
              </w:rPr>
              <w:t xml:space="preserve"> </w:t>
            </w:r>
            <w:r w:rsidRPr="00956F16">
              <w:rPr>
                <w:rFonts w:ascii="Times New Roman" w:eastAsia="Times New Roman" w:hAnsi="Times New Roman" w:cs="Times New Roman"/>
                <w:spacing w:val="-1"/>
                <w:szCs w:val="20"/>
              </w:rPr>
              <w:t>kóros májfunkciós vizsgálati eredmények</w:t>
            </w:r>
            <w:r w:rsidRPr="00956F16">
              <w:rPr>
                <w:rFonts w:ascii="Times New Roman" w:eastAsia="Times New Roman" w:hAnsi="Times New Roman" w:cs="Times New Roman"/>
                <w:szCs w:val="20"/>
                <w:vertAlign w:val="superscript"/>
              </w:rPr>
              <w:t>◊</w:t>
            </w:r>
          </w:p>
          <w:p w14:paraId="5495D98F"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13C812E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7D89D41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májelégtelenség</w:t>
            </w:r>
            <w:r w:rsidRPr="00956F16">
              <w:rPr>
                <w:rFonts w:ascii="Times New Roman" w:eastAsia="Times New Roman" w:hAnsi="Times New Roman" w:cs="Times New Roman"/>
                <w:szCs w:val="20"/>
              </w:rPr>
              <w:t>^</w:t>
            </w:r>
          </w:p>
        </w:tc>
      </w:tr>
      <w:tr w:rsidR="00956F16" w:rsidRPr="00956F16" w14:paraId="6CDB88C1" w14:textId="77777777" w:rsidTr="00694E9C">
        <w:trPr>
          <w:trHeight w:val="2967"/>
        </w:trPr>
        <w:tc>
          <w:tcPr>
            <w:tcW w:w="2400" w:type="dxa"/>
            <w:tcBorders>
              <w:top w:val="single" w:sz="4" w:space="0" w:color="000000"/>
              <w:left w:val="single" w:sz="4" w:space="0" w:color="000000"/>
              <w:bottom w:val="single" w:sz="4" w:space="0" w:color="000000"/>
              <w:right w:val="single" w:sz="4" w:space="0" w:color="000000"/>
            </w:tcBorders>
          </w:tcPr>
          <w:p w14:paraId="0EB840DC" w14:textId="77777777" w:rsidR="00956F16" w:rsidRPr="00956F16" w:rsidRDefault="00956F16" w:rsidP="00956F16">
            <w:pPr>
              <w:widowControl w:val="0"/>
              <w:tabs>
                <w:tab w:val="left" w:pos="567"/>
              </w:tabs>
              <w:autoSpaceDE w:val="0"/>
              <w:autoSpaceDN w:val="0"/>
              <w:adjustRightInd w:val="0"/>
              <w:spacing w:after="0" w:line="240" w:lineRule="auto"/>
              <w:ind w:left="142" w:right="311"/>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lastRenderedPageBreak/>
              <w:t>A bőr és a bőr alatti szövet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4D9CE8C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179ADE41" w14:textId="3A5DB398"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bőrkiütések</w:t>
            </w:r>
            <w:r w:rsidR="00CB4B6D" w:rsidRPr="00B6219F">
              <w:rPr>
                <w:rFonts w:ascii="Times" w:eastAsia="Times New Roman" w:hAnsi="Times" w:cs="Times New Roman"/>
                <w:spacing w:val="-1"/>
                <w:szCs w:val="20"/>
                <w:vertAlign w:val="superscript"/>
              </w:rPr>
              <w:t>◊◊</w:t>
            </w:r>
            <w:r w:rsidRPr="00956F16">
              <w:rPr>
                <w:rFonts w:ascii="Times New Roman" w:eastAsia="Times New Roman" w:hAnsi="Times New Roman" w:cs="Times New Roman"/>
                <w:spacing w:val="-1"/>
                <w:szCs w:val="20"/>
              </w:rPr>
              <w:t>, p</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us</w:t>
            </w:r>
          </w:p>
          <w:p w14:paraId="2B4D33CA"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4BC88D7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67E9150E" w14:textId="1FB8909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r w:rsidRPr="00956F16">
              <w:rPr>
                <w:rFonts w:ascii="Times New Roman" w:eastAsia="Times New Roman" w:hAnsi="Times New Roman" w:cs="Times New Roman"/>
                <w:spacing w:val="-1"/>
                <w:szCs w:val="20"/>
              </w:rPr>
              <w:t>u</w:t>
            </w:r>
            <w:r w:rsidRPr="00956F16">
              <w:rPr>
                <w:rFonts w:ascii="Times New Roman" w:eastAsia="Times New Roman" w:hAnsi="Times New Roman" w:cs="Times New Roman"/>
                <w:spacing w:val="1"/>
                <w:szCs w:val="20"/>
              </w:rPr>
              <w:t>rt</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 xml:space="preserve">a,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er</w:t>
            </w:r>
            <w:r w:rsidRPr="00956F16">
              <w:rPr>
                <w:rFonts w:ascii="Times New Roman" w:eastAsia="Times New Roman" w:hAnsi="Times New Roman" w:cs="Times New Roman"/>
                <w:spacing w:val="-2"/>
                <w:szCs w:val="20"/>
              </w:rPr>
              <w:t>h</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d</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pacing w:val="1"/>
                <w:szCs w:val="20"/>
              </w:rPr>
              <w:t>is</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3"/>
                <w:szCs w:val="20"/>
              </w:rPr>
              <w:t>bőr</w:t>
            </w:r>
            <w:r w:rsidR="00BF6840" w:rsidRPr="00956F16">
              <w:rPr>
                <w:rFonts w:ascii="Times New Roman" w:eastAsia="Times New Roman" w:hAnsi="Times New Roman" w:cs="Times New Roman"/>
                <w:spacing w:val="-3"/>
                <w:szCs w:val="20"/>
              </w:rPr>
              <w:t>száraz</w:t>
            </w:r>
            <w:r w:rsidR="00BF6840">
              <w:rPr>
                <w:rFonts w:ascii="Times New Roman" w:eastAsia="Times New Roman" w:hAnsi="Times New Roman" w:cs="Times New Roman"/>
                <w:spacing w:val="-3"/>
                <w:szCs w:val="20"/>
              </w:rPr>
              <w:t>ság</w:t>
            </w:r>
            <w:r w:rsidRPr="00956F16">
              <w:rPr>
                <w:rFonts w:ascii="Times New Roman" w:eastAsia="Times New Roman" w:hAnsi="Times New Roman" w:cs="Times New Roman"/>
                <w:spacing w:val="-3"/>
                <w:szCs w:val="20"/>
              </w:rPr>
              <w:t>, hyperpigmentatio cutis, ekcéma, erythema</w:t>
            </w:r>
          </w:p>
          <w:p w14:paraId="73D9A4B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p>
          <w:p w14:paraId="7F909FC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6A4F529D" w14:textId="234BB4A8" w:rsidR="00956F16" w:rsidRPr="00956F16" w:rsidRDefault="00CB4B6D"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e</w:t>
            </w:r>
            <w:r w:rsidRPr="00441247">
              <w:rPr>
                <w:rFonts w:ascii="Times New Roman" w:eastAsia="Times New Roman" w:hAnsi="Times New Roman" w:cs="Times New Roman"/>
                <w:szCs w:val="20"/>
              </w:rPr>
              <w:t>osinophiliával és szisztémás tünetekkel járó gyógyszerkiütés</w:t>
            </w:r>
            <w:r w:rsidRPr="00441247">
              <w:rPr>
                <w:rFonts w:ascii="Times" w:eastAsia="Times New Roman" w:hAnsi="Times" w:cs="Times New Roman"/>
                <w:szCs w:val="20"/>
                <w:vertAlign w:val="superscript"/>
              </w:rPr>
              <w:t>◊◊</w:t>
            </w:r>
            <w:r>
              <w:rPr>
                <w:rFonts w:ascii="Times New Roman" w:eastAsia="Times New Roman" w:hAnsi="Times New Roman" w:cs="Times New Roman"/>
                <w:szCs w:val="20"/>
              </w:rPr>
              <w:t xml:space="preserve">, </w:t>
            </w:r>
            <w:r w:rsidR="00956F16" w:rsidRPr="00956F16">
              <w:rPr>
                <w:rFonts w:ascii="Times New Roman" w:eastAsia="Times New Roman" w:hAnsi="Times New Roman" w:cs="Times New Roman"/>
                <w:szCs w:val="20"/>
              </w:rPr>
              <w:t>a bőr elszíneződése, fényérzékenységi reakció</w:t>
            </w:r>
          </w:p>
        </w:tc>
        <w:tc>
          <w:tcPr>
            <w:tcW w:w="3402" w:type="dxa"/>
            <w:tcBorders>
              <w:top w:val="single" w:sz="4" w:space="0" w:color="000000"/>
              <w:left w:val="single" w:sz="4" w:space="0" w:color="000000"/>
              <w:bottom w:val="single" w:sz="4" w:space="0" w:color="000000"/>
              <w:right w:val="single" w:sz="4" w:space="0" w:color="000000"/>
            </w:tcBorders>
          </w:tcPr>
          <w:p w14:paraId="0021347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2A5E573E" w14:textId="77777777" w:rsidR="00956F16" w:rsidRDefault="00956F16" w:rsidP="00956F16">
            <w:pPr>
              <w:widowControl w:val="0"/>
              <w:tabs>
                <w:tab w:val="left" w:pos="567"/>
              </w:tabs>
              <w:autoSpaceDE w:val="0"/>
              <w:autoSpaceDN w:val="0"/>
              <w:adjustRightInd w:val="0"/>
              <w:spacing w:after="0" w:line="240" w:lineRule="auto"/>
              <w:ind w:left="142" w:right="-20"/>
              <w:rPr>
                <w:rFonts w:ascii="Times" w:eastAsia="Times New Roman" w:hAnsi="Times" w:cs="Times New Roman"/>
                <w:spacing w:val="-1"/>
                <w:szCs w:val="20"/>
                <w:vertAlign w:val="superscript"/>
              </w:rPr>
            </w:pPr>
            <w:r w:rsidRPr="00956F16">
              <w:rPr>
                <w:rFonts w:ascii="Times New Roman" w:eastAsia="Times New Roman" w:hAnsi="Times New Roman" w:cs="Times New Roman"/>
                <w:spacing w:val="-1"/>
                <w:szCs w:val="20"/>
              </w:rPr>
              <w:t>bőrkiütések</w:t>
            </w:r>
            <w:r w:rsidR="00CB4B6D" w:rsidRPr="00B6219F">
              <w:rPr>
                <w:rFonts w:ascii="Times" w:eastAsia="Times New Roman" w:hAnsi="Times" w:cs="Times New Roman"/>
                <w:spacing w:val="-1"/>
                <w:szCs w:val="20"/>
                <w:vertAlign w:val="superscript"/>
              </w:rPr>
              <w:t>◊◊</w:t>
            </w:r>
          </w:p>
          <w:p w14:paraId="0045A092" w14:textId="77777777" w:rsidR="00CB4B6D" w:rsidRDefault="00CB4B6D" w:rsidP="00956F16">
            <w:pPr>
              <w:widowControl w:val="0"/>
              <w:tabs>
                <w:tab w:val="left" w:pos="567"/>
              </w:tabs>
              <w:autoSpaceDE w:val="0"/>
              <w:autoSpaceDN w:val="0"/>
              <w:adjustRightInd w:val="0"/>
              <w:spacing w:after="0" w:line="240" w:lineRule="auto"/>
              <w:ind w:left="142" w:right="-20"/>
              <w:rPr>
                <w:rFonts w:ascii="Times" w:eastAsia="Times New Roman" w:hAnsi="Times" w:cs="Times New Roman"/>
                <w:spacing w:val="-1"/>
                <w:szCs w:val="20"/>
                <w:vertAlign w:val="superscript"/>
              </w:rPr>
            </w:pPr>
          </w:p>
          <w:p w14:paraId="3C3ACD4B" w14:textId="77777777" w:rsidR="00CB4B6D" w:rsidRDefault="00CB4B6D"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3"/>
                <w:szCs w:val="20"/>
              </w:rPr>
            </w:pPr>
            <w:r w:rsidRPr="00441247">
              <w:rPr>
                <w:rFonts w:ascii="Times New Roman" w:eastAsia="Times New Roman" w:hAnsi="Times New Roman" w:cs="Times New Roman"/>
                <w:spacing w:val="-3"/>
                <w:szCs w:val="20"/>
              </w:rPr>
              <w:t>Nem gyakori</w:t>
            </w:r>
          </w:p>
          <w:p w14:paraId="14E6947F" w14:textId="65A07DA0" w:rsidR="00CB4B6D" w:rsidRPr="00956F16" w:rsidRDefault="00CB4B6D"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pacing w:val="-3"/>
                <w:szCs w:val="20"/>
              </w:rPr>
              <w:t>e</w:t>
            </w:r>
            <w:r w:rsidRPr="00441247">
              <w:rPr>
                <w:rFonts w:ascii="Times New Roman" w:eastAsia="Times New Roman" w:hAnsi="Times New Roman" w:cs="Times New Roman"/>
                <w:spacing w:val="-3"/>
                <w:szCs w:val="20"/>
              </w:rPr>
              <w:t>osinophiliával és szisztémás tünetekkel járó gyógyszerkiütés</w:t>
            </w:r>
            <w:r w:rsidRPr="00441247">
              <w:rPr>
                <w:rFonts w:ascii="Times" w:eastAsia="Times New Roman" w:hAnsi="Times" w:cs="Times New Roman"/>
                <w:spacing w:val="-3"/>
                <w:szCs w:val="20"/>
                <w:vertAlign w:val="superscript"/>
              </w:rPr>
              <w:t>◊◊</w:t>
            </w:r>
          </w:p>
        </w:tc>
      </w:tr>
      <w:tr w:rsidR="00956F16" w:rsidRPr="00956F16" w14:paraId="630CC7E4" w14:textId="77777777" w:rsidTr="00441247">
        <w:trPr>
          <w:trHeight w:hRule="exact" w:val="2847"/>
        </w:trPr>
        <w:tc>
          <w:tcPr>
            <w:tcW w:w="2400" w:type="dxa"/>
            <w:tcBorders>
              <w:top w:val="single" w:sz="4" w:space="0" w:color="000000"/>
              <w:left w:val="single" w:sz="4" w:space="0" w:color="000000"/>
              <w:bottom w:val="single" w:sz="4" w:space="0" w:color="000000"/>
              <w:right w:val="single" w:sz="4" w:space="0" w:color="000000"/>
            </w:tcBorders>
          </w:tcPr>
          <w:p w14:paraId="3D1A3A4C" w14:textId="77777777" w:rsidR="00956F16" w:rsidRPr="00956F16" w:rsidRDefault="00956F16" w:rsidP="00956F16">
            <w:pPr>
              <w:widowControl w:val="0"/>
              <w:tabs>
                <w:tab w:val="left" w:pos="567"/>
              </w:tabs>
              <w:autoSpaceDE w:val="0"/>
              <w:autoSpaceDN w:val="0"/>
              <w:adjustRightInd w:val="0"/>
              <w:spacing w:after="0" w:line="240" w:lineRule="auto"/>
              <w:ind w:left="142" w:right="311"/>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A csont- és izomrendszer, valamint a kötőszövet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323B4E1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283002C7" w14:textId="552A0EDB" w:rsidR="00956F16" w:rsidRPr="00956F16" w:rsidRDefault="00CB4B6D"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izomgyengeség</w:t>
            </w:r>
            <w:r w:rsidRPr="00B6219F">
              <w:rPr>
                <w:rFonts w:ascii="Times" w:eastAsia="Times New Roman" w:hAnsi="Times" w:cs="Times New Roman"/>
                <w:szCs w:val="20"/>
                <w:vertAlign w:val="superscript"/>
              </w:rPr>
              <w:t>◊◊</w:t>
            </w:r>
            <w:r>
              <w:rPr>
                <w:rFonts w:ascii="Times New Roman" w:eastAsia="Times New Roman" w:hAnsi="Times New Roman" w:cs="Times New Roman"/>
                <w:spacing w:val="1"/>
                <w:szCs w:val="20"/>
              </w:rPr>
              <w:t>,</w:t>
            </w:r>
            <w:r w:rsidRPr="00956F16">
              <w:rPr>
                <w:rFonts w:ascii="Times New Roman" w:eastAsia="Times New Roman" w:hAnsi="Times New Roman" w:cs="Times New Roman"/>
                <w:spacing w:val="1"/>
                <w:szCs w:val="20"/>
              </w:rPr>
              <w:t xml:space="preserve"> </w:t>
            </w:r>
            <w:r w:rsidR="00956F16" w:rsidRPr="00956F16">
              <w:rPr>
                <w:rFonts w:ascii="Times New Roman" w:eastAsia="Times New Roman" w:hAnsi="Times New Roman" w:cs="Times New Roman"/>
                <w:spacing w:val="1"/>
                <w:szCs w:val="20"/>
              </w:rPr>
              <w:t>izomgörcsök, csontfájdalom</w:t>
            </w:r>
            <w:r w:rsidR="00956F16" w:rsidRPr="00956F16">
              <w:rPr>
                <w:rFonts w:ascii="Times New Roman" w:eastAsia="Times New Roman" w:hAnsi="Times New Roman" w:cs="Times New Roman"/>
                <w:szCs w:val="20"/>
                <w:vertAlign w:val="superscript"/>
              </w:rPr>
              <w:t>◊</w:t>
            </w:r>
            <w:r w:rsidR="00956F16" w:rsidRPr="00956F16">
              <w:rPr>
                <w:rFonts w:ascii="Times New Roman" w:eastAsia="Times New Roman" w:hAnsi="Times New Roman" w:cs="Times New Roman"/>
                <w:szCs w:val="20"/>
              </w:rPr>
              <w:t xml:space="preserve">, </w:t>
            </w:r>
            <w:r w:rsidR="00956F16" w:rsidRPr="00956F16">
              <w:rPr>
                <w:rFonts w:ascii="Times New Roman" w:eastAsia="Times New Roman" w:hAnsi="Times New Roman" w:cs="Times New Roman"/>
                <w:spacing w:val="1"/>
                <w:szCs w:val="20"/>
              </w:rPr>
              <w:t>musculoskeletalis, valamint kötőszöveti fájdalom és diszkomfort (ideértve a hátfájást is</w:t>
            </w:r>
            <w:r w:rsidR="00956F16" w:rsidRPr="00956F16">
              <w:rPr>
                <w:rFonts w:ascii="Times New Roman" w:eastAsia="Times New Roman" w:hAnsi="Times New Roman" w:cs="Times New Roman"/>
                <w:spacing w:val="1"/>
                <w:szCs w:val="20"/>
                <w:vertAlign w:val="superscript"/>
              </w:rPr>
              <w:t>◊</w:t>
            </w:r>
            <w:r>
              <w:rPr>
                <w:rFonts w:ascii="Times New Roman" w:eastAsia="Times New Roman" w:hAnsi="Times New Roman" w:cs="Times New Roman"/>
                <w:spacing w:val="1"/>
                <w:szCs w:val="20"/>
                <w:vertAlign w:val="superscript"/>
              </w:rPr>
              <w:t>,</w:t>
            </w:r>
            <w:r w:rsidRPr="00B6219F">
              <w:rPr>
                <w:rFonts w:ascii="Times" w:eastAsia="Times New Roman" w:hAnsi="Times" w:cs="Times New Roman"/>
                <w:szCs w:val="20"/>
                <w:vertAlign w:val="superscript"/>
              </w:rPr>
              <w:t>◊◊</w:t>
            </w:r>
            <w:r w:rsidR="00956F16" w:rsidRPr="00956F16">
              <w:rPr>
                <w:rFonts w:ascii="Times New Roman" w:eastAsia="Times New Roman" w:hAnsi="Times New Roman" w:cs="Times New Roman"/>
                <w:spacing w:val="1"/>
                <w:szCs w:val="20"/>
              </w:rPr>
              <w:t>)</w:t>
            </w:r>
            <w:r w:rsidR="00956F16" w:rsidRPr="00956F16">
              <w:rPr>
                <w:rFonts w:ascii="Times New Roman" w:eastAsia="Times New Roman" w:hAnsi="Times New Roman" w:cs="Times New Roman"/>
                <w:szCs w:val="20"/>
              </w:rPr>
              <w:t xml:space="preserve">, </w:t>
            </w:r>
            <w:r>
              <w:rPr>
                <w:rFonts w:ascii="Times New Roman" w:eastAsia="Times New Roman" w:hAnsi="Times New Roman" w:cs="Times New Roman"/>
                <w:szCs w:val="20"/>
              </w:rPr>
              <w:t xml:space="preserve">végtagfájdalom, myalgia, </w:t>
            </w:r>
            <w:r w:rsidR="00956F16" w:rsidRPr="00956F16">
              <w:rPr>
                <w:rFonts w:ascii="Times New Roman" w:eastAsia="Times New Roman" w:hAnsi="Times New Roman" w:cs="Times New Roman"/>
                <w:spacing w:val="-1"/>
                <w:szCs w:val="20"/>
              </w:rPr>
              <w:t>ar</w:t>
            </w:r>
            <w:r w:rsidR="00956F16" w:rsidRPr="00956F16">
              <w:rPr>
                <w:rFonts w:ascii="Times New Roman" w:eastAsia="Times New Roman" w:hAnsi="Times New Roman" w:cs="Times New Roman"/>
                <w:spacing w:val="1"/>
                <w:szCs w:val="20"/>
              </w:rPr>
              <w:t>t</w:t>
            </w:r>
            <w:r w:rsidR="00956F16" w:rsidRPr="00956F16">
              <w:rPr>
                <w:rFonts w:ascii="Times New Roman" w:eastAsia="Times New Roman" w:hAnsi="Times New Roman" w:cs="Times New Roman"/>
                <w:szCs w:val="20"/>
              </w:rPr>
              <w:t>h</w:t>
            </w:r>
            <w:r w:rsidR="00956F16" w:rsidRPr="00956F16">
              <w:rPr>
                <w:rFonts w:ascii="Times New Roman" w:eastAsia="Times New Roman" w:hAnsi="Times New Roman" w:cs="Times New Roman"/>
                <w:spacing w:val="-1"/>
                <w:szCs w:val="20"/>
              </w:rPr>
              <w:t>r</w:t>
            </w:r>
            <w:r w:rsidR="00956F16" w:rsidRPr="00956F16">
              <w:rPr>
                <w:rFonts w:ascii="Times New Roman" w:eastAsia="Times New Roman" w:hAnsi="Times New Roman" w:cs="Times New Roman"/>
                <w:spacing w:val="1"/>
                <w:szCs w:val="20"/>
              </w:rPr>
              <w:t>al</w:t>
            </w:r>
            <w:r w:rsidR="00956F16" w:rsidRPr="00956F16">
              <w:rPr>
                <w:rFonts w:ascii="Times New Roman" w:eastAsia="Times New Roman" w:hAnsi="Times New Roman" w:cs="Times New Roman"/>
                <w:spacing w:val="-2"/>
                <w:szCs w:val="20"/>
              </w:rPr>
              <w:t>g</w:t>
            </w:r>
            <w:r w:rsidR="00956F16" w:rsidRPr="00956F16">
              <w:rPr>
                <w:rFonts w:ascii="Times New Roman" w:eastAsia="Times New Roman" w:hAnsi="Times New Roman" w:cs="Times New Roman"/>
                <w:spacing w:val="1"/>
                <w:szCs w:val="20"/>
              </w:rPr>
              <w:t>i</w:t>
            </w:r>
            <w:r w:rsidR="00956F16" w:rsidRPr="00956F16">
              <w:rPr>
                <w:rFonts w:ascii="Times New Roman" w:eastAsia="Times New Roman" w:hAnsi="Times New Roman" w:cs="Times New Roman"/>
                <w:szCs w:val="20"/>
              </w:rPr>
              <w:t>a</w:t>
            </w:r>
            <w:r w:rsidR="00956F16" w:rsidRPr="00956F16">
              <w:rPr>
                <w:rFonts w:ascii="Times New Roman" w:eastAsia="Times New Roman" w:hAnsi="Times New Roman" w:cs="Times New Roman"/>
                <w:szCs w:val="20"/>
                <w:vertAlign w:val="superscript"/>
              </w:rPr>
              <w:t>◊</w:t>
            </w:r>
          </w:p>
          <w:p w14:paraId="54E76322"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4BD2FD3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8484BF1" w14:textId="2EDF7EE0" w:rsidR="00956F16" w:rsidRPr="00956F16" w:rsidRDefault="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ízületi duzzanat</w:t>
            </w:r>
          </w:p>
        </w:tc>
        <w:tc>
          <w:tcPr>
            <w:tcW w:w="3402" w:type="dxa"/>
            <w:tcBorders>
              <w:top w:val="single" w:sz="4" w:space="0" w:color="000000"/>
              <w:left w:val="single" w:sz="4" w:space="0" w:color="000000"/>
              <w:bottom w:val="single" w:sz="4" w:space="0" w:color="000000"/>
              <w:right w:val="single" w:sz="4" w:space="0" w:color="000000"/>
            </w:tcBorders>
          </w:tcPr>
          <w:p w14:paraId="0896422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774B7B3" w14:textId="506A8E1B"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izomgyengeség</w:t>
            </w:r>
            <w:r w:rsidR="00CB4B6D" w:rsidRPr="00B6219F">
              <w:rPr>
                <w:rFonts w:ascii="Times" w:eastAsia="Times New Roman" w:hAnsi="Times" w:cs="Times New Roman"/>
                <w:szCs w:val="20"/>
                <w:vertAlign w:val="superscript"/>
              </w:rPr>
              <w:t>◊◊</w:t>
            </w:r>
            <w:r w:rsidRPr="00956F16">
              <w:rPr>
                <w:rFonts w:ascii="Times New Roman" w:eastAsia="Times New Roman" w:hAnsi="Times New Roman" w:cs="Times New Roman"/>
                <w:spacing w:val="1"/>
                <w:szCs w:val="20"/>
              </w:rPr>
              <w:t>, csontfájdalom</w:t>
            </w:r>
            <w:r w:rsidRPr="00956F16">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musculoskeletalis, valamint kötőszöveti fájdalom és diszkomfort (ideértve a hátfájást is</w:t>
            </w:r>
            <w:r w:rsidRPr="00956F16">
              <w:rPr>
                <w:rFonts w:ascii="Times New Roman" w:eastAsia="Times New Roman" w:hAnsi="Times New Roman" w:cs="Times New Roman"/>
                <w:spacing w:val="1"/>
                <w:szCs w:val="20"/>
                <w:vertAlign w:val="superscript"/>
              </w:rPr>
              <w:t>◊</w:t>
            </w:r>
            <w:r w:rsidR="00CB4B6D">
              <w:rPr>
                <w:rFonts w:ascii="Times New Roman" w:eastAsia="Times New Roman" w:hAnsi="Times New Roman" w:cs="Times New Roman"/>
                <w:spacing w:val="1"/>
                <w:szCs w:val="20"/>
                <w:vertAlign w:val="superscript"/>
              </w:rPr>
              <w:t>,</w:t>
            </w:r>
            <w:r w:rsidR="00CB4B6D" w:rsidRPr="00B6219F">
              <w:rPr>
                <w:rFonts w:ascii="Times" w:eastAsia="Times New Roman" w:hAnsi="Times" w:cs="Times New Roman"/>
                <w:szCs w:val="20"/>
                <w:vertAlign w:val="superscript"/>
              </w:rPr>
              <w:t>◊◊</w:t>
            </w:r>
            <w:r w:rsidRPr="00956F16">
              <w:rPr>
                <w:rFonts w:ascii="Times New Roman" w:eastAsia="Times New Roman" w:hAnsi="Times New Roman" w:cs="Times New Roman"/>
                <w:spacing w:val="1"/>
                <w:szCs w:val="20"/>
              </w:rPr>
              <w:t>)</w:t>
            </w:r>
          </w:p>
          <w:p w14:paraId="23B8063A"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65D39B6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01FD074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3"/>
                <w:szCs w:val="20"/>
              </w:rPr>
              <w:t>ízületi duzzanat</w:t>
            </w:r>
          </w:p>
        </w:tc>
      </w:tr>
      <w:tr w:rsidR="00956F16" w:rsidRPr="00956F16" w14:paraId="66DE01F6" w14:textId="77777777" w:rsidTr="00694E9C">
        <w:trPr>
          <w:trHeight w:val="2450"/>
        </w:trPr>
        <w:tc>
          <w:tcPr>
            <w:tcW w:w="2400" w:type="dxa"/>
            <w:tcBorders>
              <w:top w:val="single" w:sz="4" w:space="0" w:color="000000"/>
              <w:left w:val="single" w:sz="4" w:space="0" w:color="000000"/>
              <w:bottom w:val="single" w:sz="4" w:space="0" w:color="000000"/>
              <w:right w:val="single" w:sz="4" w:space="0" w:color="000000"/>
            </w:tcBorders>
          </w:tcPr>
          <w:p w14:paraId="7C5D704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Vese- és húgyúti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27A8A38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Nagyon gyakori</w:t>
            </w:r>
          </w:p>
          <w:p w14:paraId="0B96BFE0" w14:textId="3AC1F60D"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veseelégtelenség (az akut eseteket is beleértve)</w:t>
            </w:r>
            <w:r w:rsidRPr="00956F16">
              <w:rPr>
                <w:rFonts w:ascii="Times New Roman" w:eastAsia="Times New Roman" w:hAnsi="Times New Roman" w:cs="Times New Roman"/>
                <w:spacing w:val="1"/>
                <w:szCs w:val="20"/>
                <w:vertAlign w:val="superscript"/>
              </w:rPr>
              <w:t>◊</w:t>
            </w:r>
            <w:r w:rsidR="00CB4B6D">
              <w:rPr>
                <w:rFonts w:ascii="Times New Roman" w:eastAsia="Times New Roman" w:hAnsi="Times New Roman" w:cs="Times New Roman"/>
                <w:spacing w:val="1"/>
                <w:szCs w:val="20"/>
                <w:vertAlign w:val="superscript"/>
              </w:rPr>
              <w:t>,</w:t>
            </w:r>
            <w:r w:rsidR="00CB4B6D" w:rsidRPr="00B6219F">
              <w:rPr>
                <w:rFonts w:ascii="Times" w:eastAsia="Times New Roman" w:hAnsi="Times" w:cs="Times New Roman"/>
                <w:szCs w:val="20"/>
                <w:vertAlign w:val="superscript"/>
              </w:rPr>
              <w:t xml:space="preserve"> ◊◊</w:t>
            </w:r>
          </w:p>
          <w:p w14:paraId="314BA69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p>
          <w:p w14:paraId="3E424A1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Gyakori</w:t>
            </w:r>
          </w:p>
          <w:p w14:paraId="102040E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haematuria^, vizeletretenció, inkontinencia</w:t>
            </w:r>
          </w:p>
          <w:p w14:paraId="40667F6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p>
          <w:p w14:paraId="3732C06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Nem gyakori</w:t>
            </w:r>
          </w:p>
          <w:p w14:paraId="310C006B" w14:textId="068FBC50"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szerzett Fanconi</w:t>
            </w:r>
            <w:r w:rsidR="00104634">
              <w:rPr>
                <w:rFonts w:ascii="Times New Roman" w:eastAsia="Times New Roman" w:hAnsi="Times New Roman" w:cs="Times New Roman"/>
                <w:spacing w:val="1"/>
                <w:szCs w:val="20"/>
              </w:rPr>
              <w:t>-</w:t>
            </w:r>
            <w:r w:rsidRPr="00956F16">
              <w:rPr>
                <w:rFonts w:ascii="Times New Roman" w:eastAsia="Times New Roman" w:hAnsi="Times New Roman" w:cs="Times New Roman"/>
                <w:spacing w:val="1"/>
                <w:szCs w:val="20"/>
              </w:rPr>
              <w:t>szindróma</w:t>
            </w:r>
          </w:p>
        </w:tc>
        <w:tc>
          <w:tcPr>
            <w:tcW w:w="3402" w:type="dxa"/>
            <w:tcBorders>
              <w:top w:val="single" w:sz="4" w:space="0" w:color="000000"/>
              <w:left w:val="single" w:sz="4" w:space="0" w:color="000000"/>
              <w:bottom w:val="single" w:sz="4" w:space="0" w:color="000000"/>
              <w:right w:val="single" w:sz="4" w:space="0" w:color="000000"/>
            </w:tcBorders>
          </w:tcPr>
          <w:p w14:paraId="3478C9E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18E6BC9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na</w:t>
            </w:r>
            <w:r w:rsidRPr="00956F16">
              <w:rPr>
                <w:rFonts w:ascii="Times New Roman" w:eastAsia="Times New Roman" w:hAnsi="Times New Roman" w:cs="Times New Roman"/>
                <w:szCs w:val="20"/>
              </w:rPr>
              <w:t>lis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ub</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zCs w:val="20"/>
              </w:rPr>
              <w:t>ris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zCs w:val="20"/>
              </w:rPr>
              <w:t>ne</w:t>
            </w:r>
            <w:r w:rsidRPr="00956F16">
              <w:rPr>
                <w:rFonts w:ascii="Times New Roman" w:eastAsia="Times New Roman" w:hAnsi="Times New Roman" w:cs="Times New Roman"/>
                <w:spacing w:val="-2"/>
                <w:szCs w:val="20"/>
              </w:rPr>
              <w:t>c</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2"/>
                <w:szCs w:val="20"/>
              </w:rPr>
              <w:t>s</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s</w:t>
            </w:r>
          </w:p>
        </w:tc>
      </w:tr>
      <w:tr w:rsidR="00956F16" w:rsidRPr="00956F16" w14:paraId="698C5AC9" w14:textId="77777777" w:rsidTr="00694E9C">
        <w:trPr>
          <w:trHeight w:val="605"/>
        </w:trPr>
        <w:tc>
          <w:tcPr>
            <w:tcW w:w="2400" w:type="dxa"/>
            <w:tcBorders>
              <w:top w:val="single" w:sz="4" w:space="0" w:color="000000"/>
              <w:left w:val="single" w:sz="4" w:space="0" w:color="000000"/>
              <w:bottom w:val="single" w:sz="4" w:space="0" w:color="000000"/>
              <w:right w:val="single" w:sz="4" w:space="0" w:color="000000"/>
            </w:tcBorders>
          </w:tcPr>
          <w:p w14:paraId="6DFE260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A nemi szervekkel és az emlőkkel kapcsolatos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4A06282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693EFD7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1"/>
                <w:szCs w:val="20"/>
              </w:rPr>
              <w:t>re</w:t>
            </w:r>
            <w:r w:rsidRPr="00956F16">
              <w:rPr>
                <w:rFonts w:ascii="Times New Roman" w:eastAsia="Times New Roman" w:hAnsi="Times New Roman" w:cs="Times New Roman"/>
                <w:spacing w:val="-2"/>
                <w:szCs w:val="20"/>
              </w:rPr>
              <w:t>c</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 xml:space="preserve">lis </w:t>
            </w:r>
            <w:r w:rsidRPr="00956F16">
              <w:rPr>
                <w:rFonts w:ascii="Times New Roman" w:eastAsia="Times New Roman" w:hAnsi="Times New Roman" w:cs="Times New Roman"/>
                <w:szCs w:val="20"/>
              </w:rPr>
              <w:t>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sf</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zCs w:val="20"/>
              </w:rPr>
              <w:t>nc</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o</w:t>
            </w:r>
          </w:p>
        </w:tc>
        <w:tc>
          <w:tcPr>
            <w:tcW w:w="3402" w:type="dxa"/>
            <w:tcBorders>
              <w:top w:val="single" w:sz="4" w:space="0" w:color="000000"/>
              <w:left w:val="single" w:sz="4" w:space="0" w:color="000000"/>
              <w:bottom w:val="single" w:sz="4" w:space="0" w:color="000000"/>
              <w:right w:val="single" w:sz="4" w:space="0" w:color="000000"/>
            </w:tcBorders>
          </w:tcPr>
          <w:p w14:paraId="308E98E5"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r w:rsidR="00956F16" w:rsidRPr="00956F16" w14:paraId="6C42B970" w14:textId="77777777" w:rsidTr="00694E9C">
        <w:trPr>
          <w:trHeight w:val="2659"/>
        </w:trPr>
        <w:tc>
          <w:tcPr>
            <w:tcW w:w="2400" w:type="dxa"/>
            <w:tcBorders>
              <w:top w:val="single" w:sz="4" w:space="0" w:color="000000"/>
              <w:left w:val="single" w:sz="4" w:space="0" w:color="000000"/>
              <w:bottom w:val="single" w:sz="4" w:space="0" w:color="000000"/>
              <w:right w:val="single" w:sz="4" w:space="0" w:color="000000"/>
            </w:tcBorders>
          </w:tcPr>
          <w:p w14:paraId="4883C9CE" w14:textId="77777777" w:rsidR="00956F16" w:rsidRPr="00956F16" w:rsidRDefault="00956F16" w:rsidP="00956F16">
            <w:pPr>
              <w:widowControl w:val="0"/>
              <w:tabs>
                <w:tab w:val="left" w:pos="567"/>
              </w:tabs>
              <w:autoSpaceDE w:val="0"/>
              <w:autoSpaceDN w:val="0"/>
              <w:adjustRightInd w:val="0"/>
              <w:spacing w:after="0" w:line="240" w:lineRule="auto"/>
              <w:ind w:left="142" w:right="153"/>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Általános tünetek, az alkalmazás helyén fellépő reakciók</w:t>
            </w:r>
          </w:p>
        </w:tc>
        <w:tc>
          <w:tcPr>
            <w:tcW w:w="3402" w:type="dxa"/>
            <w:tcBorders>
              <w:top w:val="single" w:sz="4" w:space="0" w:color="000000"/>
              <w:left w:val="single" w:sz="4" w:space="0" w:color="000000"/>
              <w:bottom w:val="single" w:sz="4" w:space="0" w:color="000000"/>
              <w:right w:val="single" w:sz="4" w:space="0" w:color="000000"/>
            </w:tcBorders>
          </w:tcPr>
          <w:p w14:paraId="02E1B63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2816F474" w14:textId="5337F92A"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0"/>
              </w:rPr>
            </w:pPr>
            <w:r w:rsidRPr="00956F16">
              <w:rPr>
                <w:rFonts w:ascii="Times New Roman" w:eastAsia="Times New Roman" w:hAnsi="Times New Roman" w:cs="Times New Roman"/>
                <w:szCs w:val="20"/>
              </w:rPr>
              <w:t>fárad</w:t>
            </w:r>
            <w:r w:rsidR="0088692E">
              <w:rPr>
                <w:rFonts w:ascii="Times New Roman" w:eastAsia="Times New Roman" w:hAnsi="Times New Roman" w:cs="Times New Roman"/>
                <w:szCs w:val="20"/>
              </w:rPr>
              <w:t>ékony</w:t>
            </w:r>
            <w:r w:rsidRPr="00956F16">
              <w:rPr>
                <w:rFonts w:ascii="Times New Roman" w:eastAsia="Times New Roman" w:hAnsi="Times New Roman" w:cs="Times New Roman"/>
                <w:szCs w:val="20"/>
              </w:rPr>
              <w:t>ság</w:t>
            </w:r>
            <w:r w:rsidRPr="00956F16">
              <w:rPr>
                <w:rFonts w:ascii="Times New Roman" w:eastAsia="Times New Roman" w:hAnsi="Times New Roman" w:cs="Times New Roman"/>
                <w:szCs w:val="20"/>
                <w:vertAlign w:val="superscript"/>
              </w:rPr>
              <w:t>◊</w:t>
            </w:r>
            <w:r w:rsidR="00087FA6">
              <w:rPr>
                <w:rFonts w:ascii="Times New Roman" w:eastAsia="Times New Roman" w:hAnsi="Times New Roman" w:cs="Times New Roman"/>
                <w:szCs w:val="20"/>
                <w:vertAlign w:val="superscript"/>
              </w:rPr>
              <w:t>,</w:t>
            </w:r>
            <w:r w:rsidR="00087FA6" w:rsidRPr="00B6219F">
              <w:rPr>
                <w:rFonts w:ascii="Times" w:eastAsia="Times New Roman" w:hAnsi="Times" w:cs="Times New Roman"/>
                <w:szCs w:val="20"/>
                <w:vertAlign w:val="superscript"/>
              </w:rPr>
              <w:t>◊◊</w:t>
            </w:r>
            <w:r w:rsidRPr="00956F16">
              <w:rPr>
                <w:rFonts w:ascii="Times New Roman" w:eastAsia="Times New Roman" w:hAnsi="Times New Roman" w:cs="Times New Roman"/>
                <w:szCs w:val="20"/>
              </w:rPr>
              <w:t>, oedema (beleértve a perifériás oedemát is), láz</w:t>
            </w:r>
            <w:r w:rsidRPr="00956F16">
              <w:rPr>
                <w:rFonts w:ascii="Times New Roman" w:eastAsia="Times New Roman" w:hAnsi="Times New Roman" w:cs="Times New Roman"/>
                <w:szCs w:val="20"/>
                <w:vertAlign w:val="superscript"/>
              </w:rPr>
              <w:t>◊</w:t>
            </w:r>
            <w:r w:rsidR="00087FA6">
              <w:rPr>
                <w:rFonts w:ascii="Times New Roman" w:eastAsia="Times New Roman" w:hAnsi="Times New Roman" w:cs="Times New Roman"/>
                <w:szCs w:val="20"/>
                <w:vertAlign w:val="superscript"/>
              </w:rPr>
              <w:t>,</w:t>
            </w:r>
            <w:r w:rsidR="00087FA6" w:rsidRPr="00B6219F">
              <w:rPr>
                <w:rFonts w:ascii="Times" w:eastAsia="Times New Roman" w:hAnsi="Times" w:cs="Times New Roman"/>
                <w:szCs w:val="20"/>
                <w:vertAlign w:val="superscript"/>
              </w:rPr>
              <w:t>◊◊</w:t>
            </w:r>
            <w:r w:rsidRPr="00956F16">
              <w:rPr>
                <w:rFonts w:ascii="Times New Roman" w:eastAsia="Times New Roman" w:hAnsi="Times New Roman" w:cs="Times New Roman"/>
                <w:szCs w:val="20"/>
              </w:rPr>
              <w:t>, gyengeség, influenzaszerű tünetegyüttes (amelybe beletartozik a láz, köhögés, myalgia, mozgásszervi fájdalom, fejfájás és rigor)</w:t>
            </w:r>
          </w:p>
          <w:p w14:paraId="13ACD5A5"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688CDAB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EAF1B54" w14:textId="333454C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mellkasi fájdalom</w:t>
            </w:r>
            <w:r w:rsidR="00087FA6" w:rsidRPr="00B6219F">
              <w:rPr>
                <w:rFonts w:ascii="Times" w:eastAsia="Times New Roman" w:hAnsi="Times" w:cs="Times New Roman"/>
                <w:szCs w:val="20"/>
                <w:vertAlign w:val="superscript"/>
              </w:rPr>
              <w:t>◊</w:t>
            </w:r>
            <w:r w:rsidR="00087FA6">
              <w:rPr>
                <w:rFonts w:ascii="Times" w:eastAsia="Times New Roman" w:hAnsi="Times" w:cs="Times New Roman"/>
                <w:szCs w:val="20"/>
                <w:vertAlign w:val="superscript"/>
              </w:rPr>
              <w:t>,</w:t>
            </w:r>
            <w:r w:rsidR="00087FA6" w:rsidRPr="00B6219F">
              <w:rPr>
                <w:rFonts w:ascii="Times" w:eastAsia="Times New Roman" w:hAnsi="Times" w:cs="Times New Roman"/>
                <w:szCs w:val="20"/>
                <w:vertAlign w:val="superscript"/>
              </w:rPr>
              <w:t>◊◊</w:t>
            </w:r>
            <w:r w:rsidRPr="00956F16">
              <w:rPr>
                <w:rFonts w:ascii="Times New Roman" w:eastAsia="Times New Roman" w:hAnsi="Times New Roman" w:cs="Times New Roman"/>
                <w:spacing w:val="-1"/>
                <w:szCs w:val="20"/>
              </w:rPr>
              <w:t>, letargia</w:t>
            </w:r>
          </w:p>
        </w:tc>
        <w:tc>
          <w:tcPr>
            <w:tcW w:w="3402" w:type="dxa"/>
            <w:tcBorders>
              <w:top w:val="single" w:sz="4" w:space="0" w:color="000000"/>
              <w:left w:val="single" w:sz="4" w:space="0" w:color="000000"/>
              <w:bottom w:val="single" w:sz="4" w:space="0" w:color="000000"/>
              <w:right w:val="single" w:sz="4" w:space="0" w:color="000000"/>
            </w:tcBorders>
          </w:tcPr>
          <w:p w14:paraId="1EB873F5" w14:textId="4F133602" w:rsidR="00956F16" w:rsidRPr="00956F16" w:rsidRDefault="00087FA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Pr>
                <w:rFonts w:ascii="Times New Roman" w:eastAsia="Times New Roman" w:hAnsi="Times New Roman" w:cs="Times New Roman"/>
                <w:spacing w:val="-1"/>
                <w:szCs w:val="20"/>
                <w:u w:val="single"/>
              </w:rPr>
              <w:t>Nagyon g</w:t>
            </w:r>
            <w:r w:rsidR="00956F16" w:rsidRPr="00956F16">
              <w:rPr>
                <w:rFonts w:ascii="Times New Roman" w:eastAsia="Times New Roman" w:hAnsi="Times New Roman" w:cs="Times New Roman"/>
                <w:spacing w:val="-1"/>
                <w:szCs w:val="20"/>
                <w:u w:val="single"/>
              </w:rPr>
              <w:t>yakori</w:t>
            </w:r>
          </w:p>
          <w:p w14:paraId="5ACCBEE9" w14:textId="255EB1A0" w:rsidR="00087FA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zCs w:val="20"/>
              </w:rPr>
              <w:t>fárad</w:t>
            </w:r>
            <w:r w:rsidR="0088692E">
              <w:rPr>
                <w:rFonts w:ascii="Times New Roman" w:eastAsia="Times New Roman" w:hAnsi="Times New Roman" w:cs="Times New Roman"/>
                <w:szCs w:val="20"/>
              </w:rPr>
              <w:t>ékony</w:t>
            </w:r>
            <w:r w:rsidRPr="00956F16">
              <w:rPr>
                <w:rFonts w:ascii="Times New Roman" w:eastAsia="Times New Roman" w:hAnsi="Times New Roman" w:cs="Times New Roman"/>
                <w:szCs w:val="20"/>
              </w:rPr>
              <w:t>ság</w:t>
            </w:r>
            <w:r w:rsidRPr="00956F16">
              <w:rPr>
                <w:rFonts w:ascii="Times New Roman" w:eastAsia="Times New Roman" w:hAnsi="Times New Roman" w:cs="Times New Roman"/>
                <w:szCs w:val="20"/>
                <w:vertAlign w:val="superscript"/>
              </w:rPr>
              <w:t>◊</w:t>
            </w:r>
            <w:r w:rsidR="00087FA6">
              <w:rPr>
                <w:rFonts w:ascii="Times New Roman" w:eastAsia="Times New Roman" w:hAnsi="Times New Roman" w:cs="Times New Roman"/>
                <w:szCs w:val="20"/>
                <w:vertAlign w:val="superscript"/>
              </w:rPr>
              <w:t>,</w:t>
            </w:r>
            <w:r w:rsidR="00087FA6" w:rsidRPr="00B6219F">
              <w:rPr>
                <w:rFonts w:ascii="Times" w:eastAsia="Times New Roman" w:hAnsi="Times" w:cs="Times New Roman"/>
                <w:szCs w:val="20"/>
                <w:vertAlign w:val="superscript"/>
              </w:rPr>
              <w:t>◊◊</w:t>
            </w:r>
          </w:p>
          <w:p w14:paraId="46EC507A" w14:textId="77777777" w:rsidR="00087FA6" w:rsidRDefault="00087FA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p>
          <w:p w14:paraId="50216508" w14:textId="77777777" w:rsidR="00087FA6" w:rsidRPr="00441247" w:rsidRDefault="00087FA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u w:val="single"/>
              </w:rPr>
            </w:pPr>
            <w:r w:rsidRPr="00441247">
              <w:rPr>
                <w:rFonts w:ascii="Times New Roman" w:eastAsia="Times New Roman" w:hAnsi="Times New Roman" w:cs="Times New Roman"/>
                <w:szCs w:val="20"/>
                <w:u w:val="single"/>
              </w:rPr>
              <w:t>Gyakori</w:t>
            </w:r>
          </w:p>
          <w:p w14:paraId="25453D05" w14:textId="692C499A" w:rsidR="00956F16" w:rsidRPr="00441247" w:rsidRDefault="00087FA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Pr>
                <w:rFonts w:ascii="Times New Roman" w:eastAsia="Times New Roman" w:hAnsi="Times New Roman" w:cs="Times New Roman"/>
                <w:szCs w:val="20"/>
              </w:rPr>
              <w:t xml:space="preserve">perifériás oedema, </w:t>
            </w:r>
            <w:r w:rsidR="00956F16" w:rsidRPr="00956F16">
              <w:rPr>
                <w:rFonts w:ascii="Times New Roman" w:eastAsia="Times New Roman" w:hAnsi="Times New Roman" w:cs="Times New Roman"/>
                <w:szCs w:val="20"/>
              </w:rPr>
              <w:t>láz</w:t>
            </w:r>
            <w:r w:rsidR="00956F16" w:rsidRPr="00956F16">
              <w:rPr>
                <w:rFonts w:ascii="Times New Roman" w:eastAsia="Times New Roman" w:hAnsi="Times New Roman" w:cs="Times New Roman"/>
                <w:szCs w:val="20"/>
                <w:vertAlign w:val="superscript"/>
              </w:rPr>
              <w:t>◊</w:t>
            </w:r>
            <w:r>
              <w:rPr>
                <w:rFonts w:ascii="Times New Roman" w:eastAsia="Times New Roman" w:hAnsi="Times New Roman" w:cs="Times New Roman"/>
                <w:szCs w:val="20"/>
                <w:vertAlign w:val="superscript"/>
              </w:rPr>
              <w:t>,</w:t>
            </w:r>
            <w:r w:rsidRPr="00B6219F">
              <w:rPr>
                <w:rFonts w:ascii="Times" w:eastAsia="Times New Roman" w:hAnsi="Times" w:cs="Times New Roman"/>
                <w:szCs w:val="20"/>
                <w:vertAlign w:val="superscript"/>
              </w:rPr>
              <w:t>◊◊</w:t>
            </w:r>
            <w:r w:rsidR="00956F16" w:rsidRPr="00956F16">
              <w:rPr>
                <w:rFonts w:ascii="Times New Roman" w:eastAsia="Times New Roman" w:hAnsi="Times New Roman" w:cs="Times New Roman"/>
                <w:szCs w:val="20"/>
              </w:rPr>
              <w:t>, gyengeség</w:t>
            </w:r>
          </w:p>
        </w:tc>
      </w:tr>
      <w:tr w:rsidR="00956F16" w:rsidRPr="00956F16" w14:paraId="4E77B53F" w14:textId="77777777" w:rsidTr="00694E9C">
        <w:trPr>
          <w:trHeight w:val="577"/>
        </w:trPr>
        <w:tc>
          <w:tcPr>
            <w:tcW w:w="2400" w:type="dxa"/>
            <w:tcBorders>
              <w:top w:val="single" w:sz="4" w:space="0" w:color="000000"/>
              <w:left w:val="single" w:sz="4" w:space="0" w:color="000000"/>
              <w:bottom w:val="single" w:sz="4" w:space="0" w:color="000000"/>
              <w:right w:val="single" w:sz="4" w:space="0" w:color="000000"/>
            </w:tcBorders>
          </w:tcPr>
          <w:p w14:paraId="56D0E89C" w14:textId="6D8743DB"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Laboratóriumi és egyéb vizsgálatok eredményei</w:t>
            </w:r>
          </w:p>
        </w:tc>
        <w:tc>
          <w:tcPr>
            <w:tcW w:w="3402" w:type="dxa"/>
            <w:tcBorders>
              <w:top w:val="single" w:sz="4" w:space="0" w:color="000000"/>
              <w:left w:val="single" w:sz="4" w:space="0" w:color="000000"/>
              <w:bottom w:val="single" w:sz="4" w:space="0" w:color="000000"/>
              <w:right w:val="single" w:sz="4" w:space="0" w:color="000000"/>
            </w:tcBorders>
          </w:tcPr>
          <w:p w14:paraId="58826ADB" w14:textId="5A0C9AC2" w:rsidR="00FF3040" w:rsidRPr="00441247" w:rsidRDefault="00FF3040"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441247">
              <w:rPr>
                <w:rFonts w:ascii="Times New Roman" w:eastAsia="Times New Roman" w:hAnsi="Times New Roman" w:cs="Times New Roman"/>
                <w:spacing w:val="1"/>
                <w:szCs w:val="20"/>
                <w:u w:val="single"/>
              </w:rPr>
              <w:t>Nagyon gyakori</w:t>
            </w:r>
          </w:p>
          <w:p w14:paraId="106FC6F3" w14:textId="17315167" w:rsidR="00FF3040" w:rsidRPr="00441247" w:rsidRDefault="00FF3040"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Pr>
                <w:rFonts w:ascii="Times New Roman" w:eastAsia="Times New Roman" w:hAnsi="Times New Roman" w:cs="Times New Roman"/>
                <w:spacing w:val="1"/>
                <w:szCs w:val="20"/>
              </w:rPr>
              <w:t>a</w:t>
            </w:r>
            <w:r w:rsidRPr="00441247">
              <w:rPr>
                <w:rFonts w:ascii="Times New Roman" w:eastAsia="Times New Roman" w:hAnsi="Times New Roman" w:cs="Times New Roman"/>
                <w:spacing w:val="1"/>
                <w:szCs w:val="20"/>
              </w:rPr>
              <w:t xml:space="preserve"> vér emelkedett alkalikus foszfatáz-szintje </w:t>
            </w:r>
          </w:p>
          <w:p w14:paraId="7095765F" w14:textId="79E616A6" w:rsidR="00FF3040" w:rsidRPr="007E5A32" w:rsidRDefault="00FF3040" w:rsidP="00956F16">
            <w:pPr>
              <w:widowControl w:val="0"/>
              <w:tabs>
                <w:tab w:val="left" w:pos="567"/>
              </w:tabs>
              <w:autoSpaceDE w:val="0"/>
              <w:autoSpaceDN w:val="0"/>
              <w:adjustRightInd w:val="0"/>
              <w:spacing w:after="0" w:line="240" w:lineRule="auto"/>
              <w:ind w:left="142" w:right="-20"/>
              <w:rPr>
                <w:rFonts w:ascii="Times New Roman" w:hAnsi="Times New Roman"/>
              </w:rPr>
            </w:pPr>
          </w:p>
          <w:p w14:paraId="0AFFC8A2" w14:textId="77777777" w:rsidR="0088692E" w:rsidRPr="00934095" w:rsidRDefault="0088692E" w:rsidP="00956F16">
            <w:pPr>
              <w:widowControl w:val="0"/>
              <w:tabs>
                <w:tab w:val="left" w:pos="567"/>
              </w:tabs>
              <w:autoSpaceDE w:val="0"/>
              <w:autoSpaceDN w:val="0"/>
              <w:adjustRightInd w:val="0"/>
              <w:spacing w:after="0" w:line="240" w:lineRule="auto"/>
              <w:ind w:left="142" w:right="-20"/>
              <w:rPr>
                <w:rFonts w:ascii="Times New Roman" w:hAnsi="Times New Roman" w:cs="Times New Roman"/>
              </w:rPr>
            </w:pPr>
          </w:p>
          <w:p w14:paraId="27788A4E" w14:textId="2B302202"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lastRenderedPageBreak/>
              <w:t>Gyakori</w:t>
            </w:r>
          </w:p>
          <w:p w14:paraId="565E9FD0" w14:textId="573A3829"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emelkedett C</w:t>
            </w:r>
            <w:r w:rsidR="00104634">
              <w:rPr>
                <w:rFonts w:ascii="Times New Roman" w:eastAsia="Times New Roman" w:hAnsi="Times New Roman" w:cs="Times New Roman"/>
                <w:spacing w:val="-4"/>
                <w:szCs w:val="20"/>
              </w:rPr>
              <w:t>-</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1"/>
                <w:szCs w:val="20"/>
              </w:rPr>
              <w:t xml:space="preserve">aktív </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o</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2"/>
                <w:szCs w:val="20"/>
              </w:rPr>
              <w:t>e</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n</w:t>
            </w:r>
            <w:r w:rsidR="0088692E">
              <w:rPr>
                <w:rFonts w:ascii="Times New Roman" w:eastAsia="Times New Roman" w:hAnsi="Times New Roman" w:cs="Times New Roman"/>
                <w:szCs w:val="20"/>
              </w:rPr>
              <w:t>szint</w:t>
            </w:r>
          </w:p>
        </w:tc>
        <w:tc>
          <w:tcPr>
            <w:tcW w:w="3402" w:type="dxa"/>
            <w:tcBorders>
              <w:top w:val="single" w:sz="4" w:space="0" w:color="000000"/>
              <w:left w:val="single" w:sz="4" w:space="0" w:color="000000"/>
              <w:bottom w:val="single" w:sz="4" w:space="0" w:color="000000"/>
              <w:right w:val="single" w:sz="4" w:space="0" w:color="000000"/>
            </w:tcBorders>
          </w:tcPr>
          <w:p w14:paraId="0725C15D"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r w:rsidR="00956F16" w:rsidRPr="00956F16" w14:paraId="113BBBCA" w14:textId="77777777" w:rsidTr="00694E9C">
        <w:trPr>
          <w:trHeight w:hRule="exact" w:val="1052"/>
        </w:trPr>
        <w:tc>
          <w:tcPr>
            <w:tcW w:w="2400" w:type="dxa"/>
            <w:tcBorders>
              <w:top w:val="single" w:sz="4" w:space="0" w:color="000000"/>
              <w:left w:val="single" w:sz="4" w:space="0" w:color="000000"/>
              <w:bottom w:val="single" w:sz="4" w:space="0" w:color="000000"/>
              <w:right w:val="single" w:sz="4" w:space="0" w:color="000000"/>
            </w:tcBorders>
          </w:tcPr>
          <w:p w14:paraId="61710F05" w14:textId="77777777" w:rsidR="00956F16" w:rsidRPr="00956F16" w:rsidRDefault="00956F16" w:rsidP="00956F16">
            <w:pPr>
              <w:widowControl w:val="0"/>
              <w:tabs>
                <w:tab w:val="left" w:pos="567"/>
              </w:tabs>
              <w:autoSpaceDE w:val="0"/>
              <w:autoSpaceDN w:val="0"/>
              <w:adjustRightInd w:val="0"/>
              <w:spacing w:after="0" w:line="240" w:lineRule="auto"/>
              <w:ind w:left="142" w:right="242"/>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Sérülés, mérgezés és a beavatkozással kapcsolatos szövődmények</w:t>
            </w:r>
          </w:p>
        </w:tc>
        <w:tc>
          <w:tcPr>
            <w:tcW w:w="3402" w:type="dxa"/>
            <w:tcBorders>
              <w:top w:val="single" w:sz="4" w:space="0" w:color="000000"/>
              <w:left w:val="single" w:sz="4" w:space="0" w:color="000000"/>
              <w:bottom w:val="single" w:sz="4" w:space="0" w:color="000000"/>
              <w:right w:val="single" w:sz="4" w:space="0" w:color="000000"/>
            </w:tcBorders>
          </w:tcPr>
          <w:p w14:paraId="495A2A8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231F471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elesés, con</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si</w:t>
            </w:r>
            <w:r w:rsidRPr="00956F16">
              <w:rPr>
                <w:rFonts w:ascii="Times New Roman" w:eastAsia="Times New Roman" w:hAnsi="Times New Roman" w:cs="Times New Roman"/>
                <w:spacing w:val="-2"/>
                <w:szCs w:val="20"/>
              </w:rPr>
              <w:t>o</w:t>
            </w:r>
            <w:r w:rsidRPr="00956F16">
              <w:rPr>
                <w:rFonts w:ascii="Times New Roman" w:eastAsia="Times New Roman" w:hAnsi="Times New Roman" w:cs="Times New Roman"/>
                <w:szCs w:val="20"/>
              </w:rPr>
              <w:t>^</w:t>
            </w:r>
          </w:p>
        </w:tc>
        <w:tc>
          <w:tcPr>
            <w:tcW w:w="3402" w:type="dxa"/>
            <w:tcBorders>
              <w:top w:val="single" w:sz="4" w:space="0" w:color="000000"/>
              <w:left w:val="single" w:sz="4" w:space="0" w:color="000000"/>
              <w:bottom w:val="single" w:sz="4" w:space="0" w:color="000000"/>
              <w:right w:val="single" w:sz="4" w:space="0" w:color="000000"/>
            </w:tcBorders>
          </w:tcPr>
          <w:p w14:paraId="01F78F29"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bl>
    <w:p w14:paraId="3795A421" w14:textId="151D6FF5" w:rsidR="00FF3040" w:rsidRPr="00441247" w:rsidRDefault="00FF3040" w:rsidP="00956F16">
      <w:pPr>
        <w:spacing w:after="0" w:line="240" w:lineRule="auto"/>
        <w:rPr>
          <w:rFonts w:ascii="Times New Roman" w:eastAsia="Times New Roman" w:hAnsi="Times New Roman" w:cs="Times New Roman"/>
          <w:spacing w:val="-1"/>
          <w:sz w:val="16"/>
          <w:szCs w:val="16"/>
        </w:rPr>
      </w:pPr>
      <w:r w:rsidRPr="00441247">
        <w:rPr>
          <w:rFonts w:ascii="Times" w:eastAsia="Times New Roman" w:hAnsi="Times" w:cs="Times New Roman"/>
          <w:spacing w:val="-1"/>
          <w:sz w:val="16"/>
          <w:szCs w:val="16"/>
          <w:vertAlign w:val="superscript"/>
        </w:rPr>
        <w:t>◊◊e</w:t>
      </w:r>
      <w:r w:rsidRPr="00441247">
        <w:rPr>
          <w:rFonts w:ascii="Times New Roman" w:eastAsia="Times New Roman" w:hAnsi="Times New Roman" w:cs="Times New Roman"/>
          <w:spacing w:val="-1"/>
          <w:sz w:val="16"/>
          <w:szCs w:val="16"/>
        </w:rPr>
        <w:t>Klinikai vizsgálatokban súlyosként</w:t>
      </w:r>
      <w:r>
        <w:rPr>
          <w:rFonts w:ascii="Times New Roman" w:eastAsia="Times New Roman" w:hAnsi="Times New Roman" w:cs="Times New Roman"/>
          <w:spacing w:val="-1"/>
          <w:sz w:val="16"/>
          <w:szCs w:val="16"/>
        </w:rPr>
        <w:t xml:space="preserve"> </w:t>
      </w:r>
      <w:r w:rsidRPr="00441247">
        <w:rPr>
          <w:rFonts w:ascii="Times New Roman" w:eastAsia="Times New Roman" w:hAnsi="Times New Roman" w:cs="Times New Roman"/>
          <w:spacing w:val="-1"/>
          <w:sz w:val="16"/>
          <w:szCs w:val="16"/>
        </w:rPr>
        <w:t>jelentett mellékhatások bortezomibbal és dexametazonnal kombinációban alkalmazott lenalidomiddal kezelt, NDMM-ben szenvedő betegeknél</w:t>
      </w:r>
      <w:r>
        <w:rPr>
          <w:rFonts w:ascii="Times New Roman" w:eastAsia="Times New Roman" w:hAnsi="Times New Roman" w:cs="Times New Roman"/>
          <w:spacing w:val="-1"/>
          <w:sz w:val="16"/>
          <w:szCs w:val="16"/>
        </w:rPr>
        <w:t>.</w:t>
      </w:r>
    </w:p>
    <w:p w14:paraId="3B9FE816" w14:textId="6F896604" w:rsidR="00956F16" w:rsidRPr="00956F16" w:rsidRDefault="00956F16" w:rsidP="00956F16">
      <w:pPr>
        <w:spacing w:after="0" w:line="240" w:lineRule="auto"/>
        <w:rPr>
          <w:rFonts w:ascii="Times New Roman" w:eastAsia="Times New Roman" w:hAnsi="Times New Roman" w:cs="Times New Roman"/>
          <w:spacing w:val="-1"/>
          <w:sz w:val="16"/>
          <w:szCs w:val="16"/>
        </w:rPr>
      </w:pPr>
      <w:r w:rsidRPr="00956F16">
        <w:rPr>
          <w:rFonts w:ascii="Times New Roman" w:eastAsia="Times New Roman" w:hAnsi="Times New Roman" w:cs="Times New Roman"/>
          <w:spacing w:val="-1"/>
          <w:sz w:val="16"/>
          <w:szCs w:val="16"/>
        </w:rPr>
        <w:t>^ Lásd 4.8</w:t>
      </w:r>
      <w:r w:rsidR="0088692E">
        <w:rPr>
          <w:rFonts w:ascii="Times New Roman" w:eastAsia="Times New Roman" w:hAnsi="Times New Roman" w:cs="Times New Roman"/>
          <w:spacing w:val="-1"/>
          <w:sz w:val="16"/>
          <w:szCs w:val="16"/>
        </w:rPr>
        <w:t> </w:t>
      </w:r>
      <w:r w:rsidRPr="00956F16">
        <w:rPr>
          <w:rFonts w:ascii="Times New Roman" w:eastAsia="Times New Roman" w:hAnsi="Times New Roman" w:cs="Times New Roman"/>
          <w:spacing w:val="-1"/>
          <w:sz w:val="16"/>
          <w:szCs w:val="16"/>
        </w:rPr>
        <w:t>pont: Egyes kiválasztott mellékhatások leírása.</w:t>
      </w:r>
    </w:p>
    <w:p w14:paraId="00976B37" w14:textId="77777777" w:rsidR="00956F16" w:rsidRPr="00956F16" w:rsidRDefault="00956F16" w:rsidP="00956F16">
      <w:pPr>
        <w:spacing w:after="0" w:line="240" w:lineRule="auto"/>
        <w:rPr>
          <w:rFonts w:ascii="Times New Roman" w:eastAsia="Times New Roman" w:hAnsi="Times New Roman" w:cs="Times New Roman"/>
          <w:spacing w:val="-1"/>
          <w:sz w:val="16"/>
          <w:szCs w:val="16"/>
        </w:rPr>
      </w:pPr>
      <w:r w:rsidRPr="00956F16">
        <w:rPr>
          <w:rFonts w:ascii="Times New Roman" w:eastAsia="Times New Roman" w:hAnsi="Times New Roman" w:cs="Times New Roman"/>
          <w:spacing w:val="-1"/>
          <w:sz w:val="16"/>
          <w:szCs w:val="16"/>
          <w:vertAlign w:val="superscript"/>
        </w:rPr>
        <w:t>◊</w:t>
      </w:r>
      <w:r w:rsidRPr="00956F16">
        <w:rPr>
          <w:rFonts w:ascii="Times New Roman" w:eastAsia="Times New Roman" w:hAnsi="Times New Roman" w:cs="Times New Roman"/>
          <w:spacing w:val="-1"/>
          <w:sz w:val="16"/>
          <w:szCs w:val="16"/>
        </w:rPr>
        <w:t xml:space="preserve"> Lenalidomid+dexametazon kombinációval vagy lenalidomid+melfalán+prednizon kombinációval kezelt myeloma multiplexes betegek részvételével végzett klinikai vizsgálatokban súlyosként jelentett mellékhatások.</w:t>
      </w:r>
    </w:p>
    <w:p w14:paraId="4BF8BA94" w14:textId="77777777" w:rsidR="00956F16" w:rsidRPr="00956F16" w:rsidRDefault="00956F16" w:rsidP="00956F16">
      <w:pPr>
        <w:spacing w:after="0" w:line="240" w:lineRule="auto"/>
        <w:rPr>
          <w:rFonts w:ascii="Times New Roman" w:eastAsia="Times New Roman" w:hAnsi="Times New Roman" w:cs="Times New Roman"/>
          <w:spacing w:val="-1"/>
          <w:sz w:val="16"/>
          <w:szCs w:val="16"/>
        </w:rPr>
      </w:pPr>
      <w:r w:rsidRPr="00956F16">
        <w:rPr>
          <w:rFonts w:ascii="Times New Roman" w:eastAsia="Times New Roman" w:hAnsi="Times New Roman" w:cs="Times New Roman"/>
          <w:spacing w:val="-1"/>
          <w:sz w:val="16"/>
          <w:szCs w:val="16"/>
        </w:rPr>
        <w:t>+ Csak a súlyos mellékhatásokra vonatkozik.</w:t>
      </w:r>
    </w:p>
    <w:p w14:paraId="201A8FF1" w14:textId="77777777" w:rsidR="00956F16" w:rsidRPr="00956F16" w:rsidRDefault="00956F16" w:rsidP="00956F16">
      <w:pPr>
        <w:spacing w:after="0" w:line="240" w:lineRule="auto"/>
        <w:rPr>
          <w:rFonts w:ascii="Times New Roman" w:eastAsia="Times New Roman" w:hAnsi="Times New Roman" w:cs="Times New Roman"/>
          <w:spacing w:val="-1"/>
          <w:sz w:val="16"/>
          <w:szCs w:val="16"/>
        </w:rPr>
      </w:pPr>
      <w:r w:rsidRPr="00956F16">
        <w:rPr>
          <w:rFonts w:ascii="Times New Roman" w:eastAsia="Times New Roman" w:hAnsi="Times New Roman" w:cs="Times New Roman"/>
          <w:spacing w:val="-1"/>
          <w:sz w:val="16"/>
          <w:szCs w:val="16"/>
        </w:rPr>
        <w:t>*A bőr laphámsejtes karcinómájáról korábban már kezelt myeloma multiplexes betegekkel végzett klinikai vizsgálatokban számoltak be, amelyekben a lenalidomid/dexametazon kezelést kontrollokkal hasonlították össze.</w:t>
      </w:r>
    </w:p>
    <w:p w14:paraId="3610DD21" w14:textId="77777777" w:rsidR="00956F16" w:rsidRPr="00956F16" w:rsidRDefault="00956F16" w:rsidP="00956F16">
      <w:pPr>
        <w:spacing w:after="0" w:line="240" w:lineRule="auto"/>
        <w:rPr>
          <w:rFonts w:ascii="Times New Roman" w:eastAsia="Times New Roman" w:hAnsi="Times New Roman" w:cs="Times New Roman"/>
          <w:spacing w:val="-1"/>
          <w:sz w:val="16"/>
          <w:szCs w:val="16"/>
        </w:rPr>
      </w:pPr>
      <w:r w:rsidRPr="00956F16">
        <w:rPr>
          <w:rFonts w:ascii="Times New Roman" w:eastAsia="Times New Roman" w:hAnsi="Times New Roman" w:cs="Times New Roman"/>
          <w:spacing w:val="-1"/>
          <w:sz w:val="16"/>
          <w:szCs w:val="16"/>
        </w:rPr>
        <w:t>** A bőr laphámsejtes karcinómájáról újonnan diagnosztizált myeloma multiplexes betegekkel végzett klinikai vizsgálatokban számoltak be, amelyekben a lenalidomid/dexametazon kezelést kontrollokkal hasonlították össze.</w:t>
      </w:r>
    </w:p>
    <w:p w14:paraId="400006E4" w14:textId="77777777" w:rsidR="00956F16" w:rsidRPr="00956F16" w:rsidRDefault="00956F16" w:rsidP="00956F16">
      <w:pPr>
        <w:spacing w:after="0" w:line="240" w:lineRule="auto"/>
        <w:rPr>
          <w:rFonts w:ascii="Times New Roman" w:eastAsia="Times New Roman" w:hAnsi="Times New Roman" w:cs="Times New Roman"/>
          <w:spacing w:val="-1"/>
        </w:rPr>
      </w:pPr>
    </w:p>
    <w:p w14:paraId="5C1532BE" w14:textId="77777777" w:rsidR="00956F16" w:rsidRPr="00956F16" w:rsidRDefault="00956F16" w:rsidP="00956F16">
      <w:pPr>
        <w:keepNext/>
        <w:spacing w:after="0" w:line="240" w:lineRule="auto"/>
        <w:rPr>
          <w:rFonts w:ascii="Times New Roman" w:eastAsia="Times New Roman" w:hAnsi="Times New Roman" w:cs="Times New Roman"/>
          <w:i/>
          <w:spacing w:val="-1"/>
        </w:rPr>
      </w:pPr>
      <w:r w:rsidRPr="00956F16">
        <w:rPr>
          <w:rFonts w:ascii="Times New Roman" w:eastAsia="Times New Roman" w:hAnsi="Times New Roman" w:cs="Times New Roman"/>
          <w:i/>
          <w:spacing w:val="-1"/>
          <w:u w:val="single"/>
        </w:rPr>
        <w:t>A monoterápiából származó adatok táblázatos összefoglalása</w:t>
      </w:r>
    </w:p>
    <w:p w14:paraId="34487BAA" w14:textId="77777777" w:rsidR="00956F16" w:rsidRPr="00956F16" w:rsidRDefault="00956F16" w:rsidP="00956F16">
      <w:pPr>
        <w:spacing w:after="0" w:line="240" w:lineRule="auto"/>
        <w:rPr>
          <w:rFonts w:ascii="Times New Roman" w:eastAsia="Times New Roman" w:hAnsi="Times New Roman" w:cs="Times New Roman"/>
          <w:spacing w:val="-1"/>
        </w:rPr>
      </w:pPr>
      <w:r w:rsidRPr="00956F16">
        <w:rPr>
          <w:rFonts w:ascii="Times New Roman" w:eastAsia="Times New Roman" w:hAnsi="Times New Roman" w:cs="Times New Roman"/>
          <w:spacing w:val="-1"/>
        </w:rPr>
        <w:t>Az alábbi táblázatok a myelodysplasiás szindrómában és köpenysejtes lymphomában szenvedő, monoterápiában részesülő betegek bevonásával végzett fő klinikai vizsgálatok során összegyűjtött adatokból származnak.</w:t>
      </w:r>
    </w:p>
    <w:p w14:paraId="5BBCFE06" w14:textId="77777777" w:rsidR="00956F16" w:rsidRPr="00956F16" w:rsidRDefault="00956F16" w:rsidP="00956F16">
      <w:pPr>
        <w:spacing w:after="0" w:line="240" w:lineRule="auto"/>
        <w:rPr>
          <w:rFonts w:ascii="Times New Roman" w:eastAsia="Times New Roman" w:hAnsi="Times New Roman" w:cs="Times New Roman"/>
          <w:spacing w:val="-1"/>
          <w:sz w:val="16"/>
          <w:szCs w:val="16"/>
        </w:rPr>
      </w:pPr>
    </w:p>
    <w:p w14:paraId="7C6A2124" w14:textId="7217CB09" w:rsidR="00956F16" w:rsidRPr="00956F16" w:rsidRDefault="00956F16" w:rsidP="00956F16">
      <w:pPr>
        <w:keepNext/>
        <w:spacing w:after="0" w:line="240" w:lineRule="auto"/>
        <w:rPr>
          <w:rFonts w:ascii="Times New Roman" w:eastAsia="Calibri" w:hAnsi="Times New Roman" w:cs="Times New Roman"/>
          <w:b/>
        </w:rPr>
      </w:pPr>
      <w:r w:rsidRPr="00956F16">
        <w:rPr>
          <w:rFonts w:ascii="Times New Roman" w:eastAsia="Times New Roman" w:hAnsi="Times New Roman" w:cs="Times New Roman"/>
          <w:b/>
          <w:spacing w:val="-1"/>
        </w:rPr>
        <w:t>3. táblázat. A klinikai vizsgálatok során lenalidomiddal kezelt, myelodysplasiás szindrómákban szenvedő betegek esetén jelentett mellékhatások</w:t>
      </w:r>
      <w:r w:rsidR="00DB6881" w:rsidRPr="00625BB2">
        <w:rPr>
          <w:rFonts w:ascii="Times" w:eastAsia="Times New Roman" w:hAnsi="Times" w:cs="Times New Roman"/>
          <w:b/>
          <w:spacing w:val="-1"/>
          <w:vertAlign w:val="superscript"/>
        </w:rPr>
        <w:t>#</w:t>
      </w:r>
    </w:p>
    <w:tbl>
      <w:tblPr>
        <w:tblW w:w="9204" w:type="dxa"/>
        <w:tblInd w:w="5" w:type="dxa"/>
        <w:tblLayout w:type="fixed"/>
        <w:tblCellMar>
          <w:left w:w="0" w:type="dxa"/>
          <w:right w:w="0" w:type="dxa"/>
        </w:tblCellMar>
        <w:tblLook w:val="0000" w:firstRow="0" w:lastRow="0" w:firstColumn="0" w:lastColumn="0" w:noHBand="0" w:noVBand="0"/>
      </w:tblPr>
      <w:tblGrid>
        <w:gridCol w:w="2400"/>
        <w:gridCol w:w="3402"/>
        <w:gridCol w:w="3402"/>
      </w:tblGrid>
      <w:tr w:rsidR="00956F16" w:rsidRPr="00956F16" w14:paraId="75DFC75A" w14:textId="77777777" w:rsidTr="00694E9C">
        <w:trPr>
          <w:trHeight w:hRule="exact" w:val="955"/>
          <w:tblHeader/>
        </w:trPr>
        <w:tc>
          <w:tcPr>
            <w:tcW w:w="2400" w:type="dxa"/>
            <w:tcBorders>
              <w:top w:val="single" w:sz="4" w:space="0" w:color="000000"/>
              <w:left w:val="single" w:sz="4" w:space="0" w:color="000000"/>
              <w:bottom w:val="single" w:sz="4" w:space="0" w:color="000000"/>
              <w:right w:val="single" w:sz="4" w:space="0" w:color="000000"/>
            </w:tcBorders>
          </w:tcPr>
          <w:p w14:paraId="0E8650AD" w14:textId="051BA19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Szervrendszer</w:t>
            </w:r>
            <w:r w:rsidR="005C44EF">
              <w:rPr>
                <w:rFonts w:ascii="Times New Roman" w:eastAsia="Times New Roman" w:hAnsi="Times New Roman" w:cs="Times New Roman"/>
                <w:b/>
                <w:bCs/>
                <w:szCs w:val="20"/>
              </w:rPr>
              <w:t>i kategória/ megnevezés</w:t>
            </w:r>
            <w:r w:rsidRPr="00956F16">
              <w:rPr>
                <w:rFonts w:ascii="Times New Roman" w:eastAsia="Times New Roman" w:hAnsi="Times New Roman" w:cs="Times New Roman"/>
                <w:b/>
                <w:bCs/>
                <w:szCs w:val="20"/>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51D1B438"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Minden mellékhatás/gyakoriság</w:t>
            </w:r>
          </w:p>
        </w:tc>
        <w:tc>
          <w:tcPr>
            <w:tcW w:w="3402" w:type="dxa"/>
            <w:tcBorders>
              <w:top w:val="single" w:sz="4" w:space="0" w:color="000000"/>
              <w:left w:val="single" w:sz="4" w:space="0" w:color="000000"/>
              <w:bottom w:val="single" w:sz="4" w:space="0" w:color="000000"/>
              <w:right w:val="single" w:sz="4" w:space="0" w:color="000000"/>
            </w:tcBorders>
          </w:tcPr>
          <w:p w14:paraId="74FBAB19"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3−4-es súlyossági fokú mellékhatások/gyakoriság</w:t>
            </w:r>
          </w:p>
        </w:tc>
      </w:tr>
      <w:tr w:rsidR="00956F16" w:rsidRPr="00956F16" w14:paraId="7D8129A3" w14:textId="77777777" w:rsidTr="00694E9C">
        <w:trPr>
          <w:trHeight w:val="2001"/>
        </w:trPr>
        <w:tc>
          <w:tcPr>
            <w:tcW w:w="2400" w:type="dxa"/>
            <w:tcBorders>
              <w:top w:val="single" w:sz="4" w:space="0" w:color="000000"/>
              <w:left w:val="single" w:sz="4" w:space="0" w:color="000000"/>
              <w:right w:val="single" w:sz="4" w:space="0" w:color="000000"/>
            </w:tcBorders>
          </w:tcPr>
          <w:p w14:paraId="24EFCFD8" w14:textId="77777777" w:rsidR="00956F16" w:rsidRPr="00956F16" w:rsidRDefault="00956F16" w:rsidP="00956F16">
            <w:pPr>
              <w:spacing w:after="0" w:line="240" w:lineRule="auto"/>
              <w:rPr>
                <w:rFonts w:ascii="Times New Roman" w:eastAsia="Calibri" w:hAnsi="Times New Roman" w:cs="Times New Roman"/>
                <w:b/>
                <w:sz w:val="24"/>
                <w:szCs w:val="24"/>
              </w:rPr>
            </w:pPr>
            <w:r w:rsidRPr="00956F16">
              <w:rPr>
                <w:rFonts w:ascii="Times New Roman" w:eastAsia="Calibri" w:hAnsi="Times New Roman" w:cs="Times New Roman"/>
                <w:b/>
              </w:rPr>
              <w:t>Fertőző betegségek és parazitafertőzések</w:t>
            </w:r>
          </w:p>
        </w:tc>
        <w:tc>
          <w:tcPr>
            <w:tcW w:w="3402" w:type="dxa"/>
            <w:tcBorders>
              <w:top w:val="single" w:sz="4" w:space="0" w:color="000000"/>
              <w:left w:val="single" w:sz="4" w:space="0" w:color="000000"/>
              <w:right w:val="single" w:sz="4" w:space="0" w:color="000000"/>
            </w:tcBorders>
          </w:tcPr>
          <w:p w14:paraId="1F05469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287206B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zCs w:val="20"/>
              </w:rPr>
              <w:t>b</w:t>
            </w:r>
            <w:r w:rsidRPr="00956F16">
              <w:rPr>
                <w:rFonts w:ascii="Times New Roman" w:eastAsia="Times New Roman" w:hAnsi="Times New Roman" w:cs="Times New Roman"/>
                <w:spacing w:val="-1"/>
                <w:szCs w:val="20"/>
              </w:rPr>
              <w:t>akteriális, vírus- és gombafertőzések (beleértve az opportunista fertőzéseket is)</w:t>
            </w:r>
            <w:r w:rsidRPr="00956F16">
              <w:rPr>
                <w:rFonts w:ascii="Times New Roman" w:eastAsia="Times New Roman" w:hAnsi="Times New Roman" w:cs="Times New Roman"/>
                <w:spacing w:val="-1"/>
                <w:szCs w:val="20"/>
                <w:vertAlign w:val="superscript"/>
              </w:rPr>
              <w:t>◊</w:t>
            </w:r>
          </w:p>
          <w:p w14:paraId="3979727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p>
        </w:tc>
        <w:tc>
          <w:tcPr>
            <w:tcW w:w="3402" w:type="dxa"/>
            <w:tcBorders>
              <w:top w:val="single" w:sz="4" w:space="0" w:color="000000"/>
              <w:left w:val="single" w:sz="4" w:space="0" w:color="000000"/>
              <w:right w:val="single" w:sz="4" w:space="0" w:color="000000"/>
            </w:tcBorders>
          </w:tcPr>
          <w:p w14:paraId="032988C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6B717862" w14:textId="77777777" w:rsidR="00956F16" w:rsidRPr="00956F16" w:rsidRDefault="00956F16" w:rsidP="00956F16">
            <w:pPr>
              <w:widowControl w:val="0"/>
              <w:tabs>
                <w:tab w:val="left" w:pos="567"/>
              </w:tabs>
              <w:autoSpaceDE w:val="0"/>
              <w:autoSpaceDN w:val="0"/>
              <w:adjustRightInd w:val="0"/>
              <w:spacing w:after="0" w:line="240" w:lineRule="auto"/>
              <w:ind w:left="142" w:right="41"/>
              <w:rPr>
                <w:rFonts w:ascii="Times New Roman" w:eastAsia="Times New Roman" w:hAnsi="Times New Roman" w:cs="Times New Roman"/>
                <w:szCs w:val="20"/>
              </w:rPr>
            </w:pPr>
            <w:r w:rsidRPr="00956F16">
              <w:rPr>
                <w:rFonts w:ascii="Times New Roman" w:eastAsia="Times New Roman" w:hAnsi="Times New Roman" w:cs="Times New Roman"/>
                <w:szCs w:val="20"/>
              </w:rPr>
              <w:t>pneumonia</w:t>
            </w:r>
            <w:r w:rsidRPr="00956F16">
              <w:rPr>
                <w:rFonts w:ascii="Times New Roman" w:eastAsia="Times New Roman" w:hAnsi="Times New Roman" w:cs="Times New Roman"/>
                <w:szCs w:val="20"/>
                <w:vertAlign w:val="superscript"/>
              </w:rPr>
              <w:t>◊</w:t>
            </w:r>
          </w:p>
          <w:p w14:paraId="7B2440FC" w14:textId="77777777" w:rsidR="00956F16" w:rsidRPr="00956F16" w:rsidRDefault="00956F16" w:rsidP="00956F16">
            <w:pPr>
              <w:widowControl w:val="0"/>
              <w:tabs>
                <w:tab w:val="left" w:pos="567"/>
              </w:tabs>
              <w:autoSpaceDE w:val="0"/>
              <w:autoSpaceDN w:val="0"/>
              <w:adjustRightInd w:val="0"/>
              <w:spacing w:after="0" w:line="240" w:lineRule="auto"/>
              <w:ind w:left="142" w:right="41"/>
              <w:rPr>
                <w:rFonts w:ascii="Times New Roman" w:eastAsia="Times New Roman" w:hAnsi="Times New Roman" w:cs="Times New Roman"/>
                <w:szCs w:val="20"/>
              </w:rPr>
            </w:pPr>
          </w:p>
          <w:p w14:paraId="38DDFE5B" w14:textId="77777777" w:rsidR="00956F16" w:rsidRPr="00956F16" w:rsidRDefault="00956F16" w:rsidP="00956F16">
            <w:pPr>
              <w:widowControl w:val="0"/>
              <w:tabs>
                <w:tab w:val="left" w:pos="567"/>
              </w:tabs>
              <w:autoSpaceDE w:val="0"/>
              <w:autoSpaceDN w:val="0"/>
              <w:adjustRightInd w:val="0"/>
              <w:spacing w:after="0" w:line="240" w:lineRule="auto"/>
              <w:ind w:left="142" w:right="41"/>
              <w:rPr>
                <w:rFonts w:ascii="Times New Roman" w:eastAsia="Times New Roman" w:hAnsi="Times New Roman" w:cs="Times New Roman"/>
                <w:szCs w:val="20"/>
                <w:u w:val="single"/>
              </w:rPr>
            </w:pPr>
            <w:r w:rsidRPr="00956F16">
              <w:rPr>
                <w:rFonts w:ascii="Times New Roman" w:eastAsia="Times New Roman" w:hAnsi="Times New Roman" w:cs="Times New Roman"/>
                <w:szCs w:val="20"/>
                <w:u w:val="single"/>
              </w:rPr>
              <w:t>Gyakori</w:t>
            </w:r>
          </w:p>
          <w:p w14:paraId="3773B7CF" w14:textId="77777777" w:rsidR="00956F16" w:rsidRPr="00956F16" w:rsidRDefault="00956F16" w:rsidP="00956F16">
            <w:pPr>
              <w:widowControl w:val="0"/>
              <w:tabs>
                <w:tab w:val="left" w:pos="567"/>
              </w:tabs>
              <w:autoSpaceDE w:val="0"/>
              <w:autoSpaceDN w:val="0"/>
              <w:adjustRightInd w:val="0"/>
              <w:spacing w:after="0" w:line="240" w:lineRule="auto"/>
              <w:ind w:left="142" w:right="41"/>
              <w:rPr>
                <w:rFonts w:ascii="Times New Roman" w:eastAsia="Times New Roman" w:hAnsi="Times New Roman" w:cs="Times New Roman"/>
                <w:szCs w:val="20"/>
              </w:rPr>
            </w:pPr>
            <w:r w:rsidRPr="00956F16">
              <w:rPr>
                <w:rFonts w:ascii="Times New Roman" w:eastAsia="Times New Roman" w:hAnsi="Times New Roman" w:cs="Times New Roman"/>
                <w:szCs w:val="20"/>
              </w:rPr>
              <w:t>bakteriális-, vírus- és gombafertőzések (</w:t>
            </w:r>
            <w:r w:rsidRPr="00956F16">
              <w:rPr>
                <w:rFonts w:ascii="Times New Roman" w:eastAsia="Times New Roman" w:hAnsi="Times New Roman" w:cs="Times New Roman"/>
                <w:spacing w:val="-1"/>
                <w:szCs w:val="20"/>
              </w:rPr>
              <w:t xml:space="preserve">beleértve az </w:t>
            </w:r>
            <w:r w:rsidRPr="00956F16">
              <w:rPr>
                <w:rFonts w:ascii="Times New Roman" w:eastAsia="Times New Roman" w:hAnsi="Times New Roman" w:cs="Times New Roman"/>
                <w:szCs w:val="20"/>
              </w:rPr>
              <w:t>opportunista fertőzéseket is)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w:t>
            </w:r>
          </w:p>
          <w:p w14:paraId="6D5F565D" w14:textId="77777777" w:rsidR="00956F16" w:rsidRPr="00956F16" w:rsidRDefault="00956F16" w:rsidP="00956F16">
            <w:pPr>
              <w:widowControl w:val="0"/>
              <w:tabs>
                <w:tab w:val="left" w:pos="567"/>
              </w:tabs>
              <w:autoSpaceDE w:val="0"/>
              <w:autoSpaceDN w:val="0"/>
              <w:adjustRightInd w:val="0"/>
              <w:spacing w:after="0" w:line="240" w:lineRule="auto"/>
              <w:ind w:left="142" w:right="41"/>
              <w:rPr>
                <w:rFonts w:ascii="Times New Roman" w:eastAsia="Times New Roman" w:hAnsi="Times New Roman" w:cs="Times New Roman"/>
                <w:szCs w:val="20"/>
              </w:rPr>
            </w:pPr>
            <w:r w:rsidRPr="00956F16">
              <w:rPr>
                <w:rFonts w:ascii="Times New Roman" w:eastAsia="Times New Roman" w:hAnsi="Times New Roman" w:cs="Times New Roman"/>
                <w:szCs w:val="20"/>
              </w:rPr>
              <w:t>bronchitis</w:t>
            </w:r>
          </w:p>
        </w:tc>
      </w:tr>
      <w:tr w:rsidR="00956F16" w:rsidRPr="00956F16" w14:paraId="06568544" w14:textId="77777777" w:rsidTr="00694E9C">
        <w:trPr>
          <w:trHeight w:val="1703"/>
        </w:trPr>
        <w:tc>
          <w:tcPr>
            <w:tcW w:w="2400" w:type="dxa"/>
            <w:tcBorders>
              <w:top w:val="single" w:sz="4" w:space="0" w:color="000000"/>
              <w:left w:val="single" w:sz="4" w:space="0" w:color="000000"/>
              <w:right w:val="single" w:sz="4" w:space="0" w:color="000000"/>
            </w:tcBorders>
          </w:tcPr>
          <w:p w14:paraId="5F275C2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Vérképzőszervi és nyirokrendszeri betegségek és tünetek</w:t>
            </w:r>
          </w:p>
        </w:tc>
        <w:tc>
          <w:tcPr>
            <w:tcW w:w="3402" w:type="dxa"/>
            <w:tcBorders>
              <w:top w:val="single" w:sz="4" w:space="0" w:color="000000"/>
              <w:left w:val="single" w:sz="4" w:space="0" w:color="000000"/>
              <w:right w:val="single" w:sz="4" w:space="0" w:color="000000"/>
            </w:tcBorders>
          </w:tcPr>
          <w:p w14:paraId="040753C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r w:rsidRPr="00956F16">
              <w:rPr>
                <w:rFonts w:ascii="Times New Roman" w:eastAsia="Times New Roman" w:hAnsi="Times New Roman" w:cs="Times New Roman"/>
                <w:spacing w:val="2"/>
                <w:szCs w:val="20"/>
                <w:u w:val="single"/>
              </w:rPr>
              <w:t xml:space="preserve">Nagyon gyakori </w:t>
            </w:r>
          </w:p>
          <w:p w14:paraId="2826E78B" w14:textId="1EB5CDC5"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rPr>
            </w:pPr>
            <w:r w:rsidRPr="00956F16">
              <w:rPr>
                <w:rFonts w:ascii="Times New Roman" w:eastAsia="Times New Roman" w:hAnsi="Times New Roman" w:cs="Times New Roman"/>
                <w:spacing w:val="2"/>
                <w:szCs w:val="20"/>
              </w:rPr>
              <w:t>thrombocytopenia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neutropenia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xml:space="preserve">, </w:t>
            </w:r>
            <w:r w:rsidR="005C44EF">
              <w:rPr>
                <w:rFonts w:ascii="Times New Roman" w:eastAsia="Times New Roman" w:hAnsi="Times New Roman" w:cs="Times New Roman"/>
                <w:spacing w:val="2"/>
                <w:szCs w:val="20"/>
              </w:rPr>
              <w:t xml:space="preserve">  a</w:t>
            </w:r>
            <w:r w:rsidR="005C44EF" w:rsidRPr="005C44EF">
              <w:rPr>
                <w:rFonts w:ascii="Times New Roman" w:eastAsia="Times New Roman" w:hAnsi="Times New Roman" w:cs="Times New Roman"/>
                <w:spacing w:val="2"/>
                <w:szCs w:val="20"/>
              </w:rPr>
              <w:t>nemia</w:t>
            </w:r>
            <w:r w:rsidR="005C44EF" w:rsidRPr="00934095">
              <w:rPr>
                <w:rFonts w:ascii="Times New Roman" w:eastAsia="Times New Roman" w:hAnsi="Times New Roman" w:cs="Times New Roman"/>
                <w:spacing w:val="2"/>
                <w:szCs w:val="20"/>
                <w:vertAlign w:val="superscript"/>
              </w:rPr>
              <w:t>◊</w:t>
            </w:r>
            <w:r w:rsidR="005C44EF">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2"/>
                <w:szCs w:val="20"/>
              </w:rPr>
              <w:t>leukop</w:t>
            </w:r>
            <w:r w:rsidR="00761422">
              <w:rPr>
                <w:rFonts w:ascii="Times New Roman" w:eastAsia="Times New Roman" w:hAnsi="Times New Roman" w:cs="Times New Roman"/>
                <w:spacing w:val="2"/>
                <w:szCs w:val="20"/>
              </w:rPr>
              <w:t>e</w:t>
            </w:r>
            <w:r w:rsidRPr="00956F16">
              <w:rPr>
                <w:rFonts w:ascii="Times New Roman" w:eastAsia="Times New Roman" w:hAnsi="Times New Roman" w:cs="Times New Roman"/>
                <w:spacing w:val="2"/>
                <w:szCs w:val="20"/>
              </w:rPr>
              <w:t>ni</w:t>
            </w:r>
            <w:r w:rsidR="00A6122A">
              <w:rPr>
                <w:rFonts w:ascii="Times New Roman" w:eastAsia="Times New Roman" w:hAnsi="Times New Roman" w:cs="Times New Roman"/>
                <w:spacing w:val="2"/>
                <w:szCs w:val="20"/>
              </w:rPr>
              <w:t>a</w:t>
            </w:r>
          </w:p>
          <w:p w14:paraId="778D93F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p>
        </w:tc>
        <w:tc>
          <w:tcPr>
            <w:tcW w:w="3402" w:type="dxa"/>
            <w:tcBorders>
              <w:top w:val="single" w:sz="4" w:space="0" w:color="000000"/>
              <w:left w:val="single" w:sz="4" w:space="0" w:color="000000"/>
              <w:right w:val="single" w:sz="4" w:space="0" w:color="000000"/>
            </w:tcBorders>
          </w:tcPr>
          <w:p w14:paraId="0D71533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 xml:space="preserve">Nagyon gyakori </w:t>
            </w:r>
          </w:p>
          <w:p w14:paraId="4F92A76B" w14:textId="1B81300A"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rPr>
            </w:pPr>
            <w:r w:rsidRPr="00956F16">
              <w:rPr>
                <w:rFonts w:ascii="Times New Roman" w:eastAsia="Times New Roman" w:hAnsi="Times New Roman" w:cs="Times New Roman"/>
                <w:spacing w:val="2"/>
                <w:szCs w:val="20"/>
              </w:rPr>
              <w:t>thrombocytopenia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neutropenia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xml:space="preserve">, </w:t>
            </w:r>
            <w:r w:rsidR="005C44EF">
              <w:rPr>
                <w:rFonts w:ascii="Times New Roman" w:eastAsia="Times New Roman" w:hAnsi="Times New Roman" w:cs="Times New Roman"/>
                <w:spacing w:val="2"/>
                <w:szCs w:val="20"/>
              </w:rPr>
              <w:t xml:space="preserve"> a</w:t>
            </w:r>
            <w:r w:rsidR="005C44EF" w:rsidRPr="005C44EF">
              <w:rPr>
                <w:rFonts w:ascii="Times New Roman" w:eastAsia="Times New Roman" w:hAnsi="Times New Roman" w:cs="Times New Roman"/>
                <w:spacing w:val="2"/>
                <w:szCs w:val="20"/>
              </w:rPr>
              <w:t>nemia</w:t>
            </w:r>
            <w:r w:rsidR="005C44EF" w:rsidRPr="004A33E1">
              <w:rPr>
                <w:rFonts w:ascii="Times New Roman" w:eastAsia="Times New Roman" w:hAnsi="Times New Roman" w:cs="Times New Roman"/>
                <w:spacing w:val="2"/>
                <w:szCs w:val="20"/>
                <w:vertAlign w:val="superscript"/>
              </w:rPr>
              <w:t>◊</w:t>
            </w:r>
            <w:r w:rsidR="005C44EF">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2"/>
                <w:szCs w:val="20"/>
              </w:rPr>
              <w:t>leukop</w:t>
            </w:r>
            <w:r w:rsidR="00761422">
              <w:rPr>
                <w:rFonts w:ascii="Times New Roman" w:eastAsia="Times New Roman" w:hAnsi="Times New Roman" w:cs="Times New Roman"/>
                <w:spacing w:val="2"/>
                <w:szCs w:val="20"/>
              </w:rPr>
              <w:t>e</w:t>
            </w:r>
            <w:r w:rsidRPr="00956F16">
              <w:rPr>
                <w:rFonts w:ascii="Times New Roman" w:eastAsia="Times New Roman" w:hAnsi="Times New Roman" w:cs="Times New Roman"/>
                <w:spacing w:val="2"/>
                <w:szCs w:val="20"/>
              </w:rPr>
              <w:t>ni</w:t>
            </w:r>
            <w:r w:rsidR="00A6122A">
              <w:rPr>
                <w:rFonts w:ascii="Times New Roman" w:eastAsia="Times New Roman" w:hAnsi="Times New Roman" w:cs="Times New Roman"/>
                <w:spacing w:val="2"/>
                <w:szCs w:val="20"/>
              </w:rPr>
              <w:t>a</w:t>
            </w:r>
          </w:p>
          <w:p w14:paraId="482D9B6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p>
          <w:p w14:paraId="18B0592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 xml:space="preserve">Gyakori </w:t>
            </w:r>
          </w:p>
          <w:p w14:paraId="4057E0C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lázas neutropenia</w:t>
            </w:r>
            <w:r w:rsidRPr="00956F16">
              <w:rPr>
                <w:rFonts w:ascii="Times New Roman" w:eastAsia="Times New Roman" w:hAnsi="Times New Roman" w:cs="Times New Roman"/>
                <w:spacing w:val="1"/>
                <w:szCs w:val="20"/>
                <w:vertAlign w:val="superscript"/>
              </w:rPr>
              <w:t>^,◊</w:t>
            </w:r>
          </w:p>
        </w:tc>
      </w:tr>
      <w:tr w:rsidR="00956F16" w:rsidRPr="00956F16" w14:paraId="7AF0B8E2" w14:textId="77777777" w:rsidTr="00694E9C">
        <w:trPr>
          <w:trHeight w:hRule="exact" w:val="562"/>
        </w:trPr>
        <w:tc>
          <w:tcPr>
            <w:tcW w:w="2400" w:type="dxa"/>
            <w:tcBorders>
              <w:top w:val="single" w:sz="4" w:space="0" w:color="000000"/>
              <w:left w:val="single" w:sz="4" w:space="0" w:color="000000"/>
              <w:bottom w:val="single" w:sz="4" w:space="0" w:color="000000"/>
              <w:right w:val="single" w:sz="4" w:space="0" w:color="000000"/>
            </w:tcBorders>
          </w:tcPr>
          <w:p w14:paraId="40432EC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Endokrin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6C67A26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5ECD1B4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po</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reosis</w:t>
            </w:r>
          </w:p>
        </w:tc>
        <w:tc>
          <w:tcPr>
            <w:tcW w:w="3402" w:type="dxa"/>
            <w:tcBorders>
              <w:top w:val="single" w:sz="4" w:space="0" w:color="000000"/>
              <w:left w:val="single" w:sz="4" w:space="0" w:color="000000"/>
              <w:bottom w:val="single" w:sz="4" w:space="0" w:color="000000"/>
              <w:right w:val="single" w:sz="4" w:space="0" w:color="000000"/>
            </w:tcBorders>
          </w:tcPr>
          <w:p w14:paraId="7D9C9443"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r w:rsidR="00956F16" w:rsidRPr="00956F16" w14:paraId="4113CCBB" w14:textId="77777777" w:rsidTr="00694E9C">
        <w:trPr>
          <w:trHeight w:val="314"/>
        </w:trPr>
        <w:tc>
          <w:tcPr>
            <w:tcW w:w="2400" w:type="dxa"/>
            <w:tcBorders>
              <w:top w:val="single" w:sz="4" w:space="0" w:color="000000"/>
              <w:left w:val="single" w:sz="4" w:space="0" w:color="000000"/>
              <w:bottom w:val="single" w:sz="4" w:space="0" w:color="000000"/>
              <w:right w:val="single" w:sz="4" w:space="0" w:color="000000"/>
            </w:tcBorders>
          </w:tcPr>
          <w:p w14:paraId="7FF1C1B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Anyagcsere- és táplálkozási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78A08C6C"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42380571"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zCs w:val="20"/>
              </w:rPr>
              <w:t>csökkent étvágy</w:t>
            </w:r>
          </w:p>
          <w:p w14:paraId="7A35A3C7"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0"/>
              </w:rPr>
            </w:pPr>
          </w:p>
          <w:p w14:paraId="76D9006D"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DF24E9A"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zCs w:val="20"/>
              </w:rPr>
              <w:t>vastúlterhelés, testtömegcsökkenés</w:t>
            </w:r>
          </w:p>
          <w:p w14:paraId="53BE77A2"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4D006E4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249346E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pe</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g</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k</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pacing w:val="-4"/>
                <w:szCs w:val="20"/>
              </w:rPr>
              <w:t>m</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 xml:space="preserve">csökkent étvágy </w:t>
            </w:r>
          </w:p>
        </w:tc>
      </w:tr>
      <w:tr w:rsidR="00956F16" w:rsidRPr="00956F16" w14:paraId="2FF89699" w14:textId="77777777" w:rsidTr="00694E9C">
        <w:trPr>
          <w:trHeight w:hRule="exact" w:val="1407"/>
        </w:trPr>
        <w:tc>
          <w:tcPr>
            <w:tcW w:w="2400" w:type="dxa"/>
            <w:tcBorders>
              <w:top w:val="single" w:sz="4" w:space="0" w:color="000000"/>
              <w:left w:val="single" w:sz="4" w:space="0" w:color="000000"/>
              <w:bottom w:val="single" w:sz="4" w:space="0" w:color="000000"/>
              <w:right w:val="single" w:sz="4" w:space="0" w:color="000000"/>
            </w:tcBorders>
          </w:tcPr>
          <w:p w14:paraId="2FA2005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2"/>
                <w:szCs w:val="20"/>
              </w:rPr>
              <w:lastRenderedPageBreak/>
              <w:t>Pszichiátriai kórképek</w:t>
            </w:r>
          </w:p>
        </w:tc>
        <w:tc>
          <w:tcPr>
            <w:tcW w:w="3402" w:type="dxa"/>
            <w:tcBorders>
              <w:top w:val="single" w:sz="4" w:space="0" w:color="000000"/>
              <w:left w:val="single" w:sz="4" w:space="0" w:color="000000"/>
              <w:bottom w:val="single" w:sz="4" w:space="0" w:color="000000"/>
              <w:right w:val="single" w:sz="4" w:space="0" w:color="000000"/>
            </w:tcBorders>
          </w:tcPr>
          <w:p w14:paraId="74F404B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5065A4A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666AF2F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hangulatváltozás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 w:val="18"/>
                <w:szCs w:val="18"/>
                <w:lang w:val="en-GB"/>
              </w:rPr>
              <w:t>~</w:t>
            </w:r>
          </w:p>
        </w:tc>
      </w:tr>
      <w:tr w:rsidR="00956F16" w:rsidRPr="00956F16" w14:paraId="19EF148A" w14:textId="77777777" w:rsidTr="00694E9C">
        <w:trPr>
          <w:trHeight w:val="1448"/>
        </w:trPr>
        <w:tc>
          <w:tcPr>
            <w:tcW w:w="2400" w:type="dxa"/>
            <w:tcBorders>
              <w:top w:val="single" w:sz="4" w:space="0" w:color="000000"/>
              <w:left w:val="single" w:sz="4" w:space="0" w:color="000000"/>
              <w:right w:val="single" w:sz="4" w:space="0" w:color="000000"/>
            </w:tcBorders>
          </w:tcPr>
          <w:p w14:paraId="6EB6386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Idegrendszeri betegségek és tünetek</w:t>
            </w:r>
          </w:p>
        </w:tc>
        <w:tc>
          <w:tcPr>
            <w:tcW w:w="3402" w:type="dxa"/>
            <w:tcBorders>
              <w:top w:val="single" w:sz="4" w:space="0" w:color="000000"/>
              <w:left w:val="single" w:sz="4" w:space="0" w:color="000000"/>
              <w:right w:val="single" w:sz="4" w:space="0" w:color="000000"/>
            </w:tcBorders>
          </w:tcPr>
          <w:p w14:paraId="5F9DE86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47E9D1B2" w14:textId="77777777" w:rsidR="00956F16" w:rsidRPr="00956F16" w:rsidRDefault="00956F16" w:rsidP="00956F16">
            <w:pPr>
              <w:widowControl w:val="0"/>
              <w:tabs>
                <w:tab w:val="left" w:pos="567"/>
              </w:tabs>
              <w:autoSpaceDE w:val="0"/>
              <w:autoSpaceDN w:val="0"/>
              <w:adjustRightInd w:val="0"/>
              <w:spacing w:after="0" w:line="240" w:lineRule="auto"/>
              <w:ind w:left="142" w:right="380"/>
              <w:rPr>
                <w:rFonts w:ascii="Times New Roman" w:eastAsia="Times New Roman" w:hAnsi="Times New Roman" w:cs="Times New Roman"/>
                <w:szCs w:val="20"/>
              </w:rPr>
            </w:pPr>
            <w:r w:rsidRPr="00956F16">
              <w:rPr>
                <w:rFonts w:ascii="Times New Roman" w:eastAsia="Times New Roman" w:hAnsi="Times New Roman" w:cs="Times New Roman"/>
                <w:szCs w:val="20"/>
              </w:rPr>
              <w:t>s</w:t>
            </w:r>
            <w:r w:rsidRPr="00956F16">
              <w:rPr>
                <w:rFonts w:ascii="Times New Roman" w:eastAsia="Times New Roman" w:hAnsi="Times New Roman" w:cs="Times New Roman"/>
                <w:spacing w:val="-3"/>
                <w:szCs w:val="20"/>
              </w:rPr>
              <w:t>zédülés</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1"/>
                <w:szCs w:val="20"/>
              </w:rPr>
              <w:t>fejfájás</w:t>
            </w:r>
          </w:p>
          <w:p w14:paraId="701E736D"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5B3F0DA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CFC105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paraesthesia</w:t>
            </w:r>
          </w:p>
        </w:tc>
        <w:tc>
          <w:tcPr>
            <w:tcW w:w="3402" w:type="dxa"/>
            <w:tcBorders>
              <w:top w:val="single" w:sz="4" w:space="0" w:color="000000"/>
              <w:left w:val="single" w:sz="4" w:space="0" w:color="000000"/>
              <w:right w:val="single" w:sz="4" w:space="0" w:color="000000"/>
            </w:tcBorders>
          </w:tcPr>
          <w:p w14:paraId="0D0BD4CA" w14:textId="77777777" w:rsidR="00956F16" w:rsidRPr="00956F16" w:rsidRDefault="00956F16" w:rsidP="00956F16">
            <w:pPr>
              <w:widowControl w:val="0"/>
              <w:tabs>
                <w:tab w:val="left" w:pos="567"/>
              </w:tabs>
              <w:autoSpaceDE w:val="0"/>
              <w:autoSpaceDN w:val="0"/>
              <w:adjustRightInd w:val="0"/>
              <w:spacing w:after="0" w:line="240" w:lineRule="auto"/>
              <w:ind w:left="142" w:right="142"/>
              <w:rPr>
                <w:rFonts w:ascii="Times New Roman" w:eastAsia="Times New Roman" w:hAnsi="Times New Roman" w:cs="Times New Roman"/>
                <w:szCs w:val="20"/>
              </w:rPr>
            </w:pPr>
          </w:p>
        </w:tc>
      </w:tr>
      <w:tr w:rsidR="00956F16" w:rsidRPr="00956F16" w14:paraId="7910331C" w14:textId="77777777" w:rsidTr="00694E9C">
        <w:trPr>
          <w:trHeight w:val="1256"/>
        </w:trPr>
        <w:tc>
          <w:tcPr>
            <w:tcW w:w="2400" w:type="dxa"/>
            <w:tcBorders>
              <w:top w:val="single" w:sz="4" w:space="0" w:color="000000"/>
              <w:left w:val="single" w:sz="4" w:space="0" w:color="000000"/>
              <w:bottom w:val="single" w:sz="4" w:space="0" w:color="000000"/>
              <w:right w:val="single" w:sz="4" w:space="0" w:color="000000"/>
            </w:tcBorders>
          </w:tcPr>
          <w:p w14:paraId="03F3ACB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Szívbetegségek és a szívvel kapcsolatos tünetek</w:t>
            </w:r>
          </w:p>
        </w:tc>
        <w:tc>
          <w:tcPr>
            <w:tcW w:w="3402" w:type="dxa"/>
            <w:tcBorders>
              <w:top w:val="single" w:sz="4" w:space="0" w:color="000000"/>
              <w:left w:val="single" w:sz="4" w:space="0" w:color="000000"/>
              <w:bottom w:val="single" w:sz="4" w:space="0" w:color="000000"/>
              <w:right w:val="single" w:sz="4" w:space="0" w:color="000000"/>
            </w:tcBorders>
          </w:tcPr>
          <w:p w14:paraId="3636370F" w14:textId="77777777" w:rsidR="00956F16" w:rsidRPr="00956F16" w:rsidRDefault="00956F16" w:rsidP="00956F16">
            <w:pPr>
              <w:widowControl w:val="0"/>
              <w:tabs>
                <w:tab w:val="left" w:pos="567"/>
              </w:tabs>
              <w:autoSpaceDE w:val="0"/>
              <w:autoSpaceDN w:val="0"/>
              <w:adjustRightInd w:val="0"/>
              <w:spacing w:after="0" w:line="240" w:lineRule="auto"/>
              <w:ind w:left="142" w:right="38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58EB0BF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4C371AE9" w14:textId="77777777" w:rsidR="00956F16" w:rsidRPr="00956F16" w:rsidRDefault="00956F16" w:rsidP="00956F16">
            <w:pPr>
              <w:widowControl w:val="0"/>
              <w:tabs>
                <w:tab w:val="left" w:pos="567"/>
              </w:tabs>
              <w:autoSpaceDE w:val="0"/>
              <w:autoSpaceDN w:val="0"/>
              <w:adjustRightInd w:val="0"/>
              <w:spacing w:after="0" w:line="240" w:lineRule="auto"/>
              <w:ind w:left="142" w:right="142"/>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akut m</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d</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alis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fa</w:t>
            </w:r>
            <w:r w:rsidRPr="00956F16">
              <w:rPr>
                <w:rFonts w:ascii="Times New Roman" w:eastAsia="Times New Roman" w:hAnsi="Times New Roman" w:cs="Times New Roman"/>
                <w:spacing w:val="-2"/>
                <w:szCs w:val="20"/>
              </w:rPr>
              <w:t>r</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pacing w:val="-1"/>
                <w:szCs w:val="20"/>
              </w:rPr>
              <w:t>tus</w:t>
            </w:r>
            <w:r w:rsidRPr="00956F16">
              <w:rPr>
                <w:rFonts w:ascii="Times New Roman" w:eastAsia="Times New Roman" w:hAnsi="Times New Roman" w:cs="Times New Roman"/>
                <w:szCs w:val="20"/>
              </w:rPr>
              <w:t>^</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pitvar</w:t>
            </w:r>
            <w:r w:rsidRPr="00956F16">
              <w:rPr>
                <w:rFonts w:ascii="Times New Roman" w:eastAsia="Times New Roman" w:hAnsi="Times New Roman" w:cs="Times New Roman"/>
                <w:spacing w:val="1"/>
                <w:szCs w:val="20"/>
              </w:rPr>
              <w:t>f</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b</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l</w:t>
            </w:r>
            <w:r w:rsidRPr="00956F16">
              <w:rPr>
                <w:rFonts w:ascii="Times New Roman" w:eastAsia="Times New Roman" w:hAnsi="Times New Roman" w:cs="Times New Roman"/>
                <w:spacing w:val="1"/>
                <w:szCs w:val="20"/>
              </w:rPr>
              <w:t>láció</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szívelégtelenség</w:t>
            </w:r>
            <w:r w:rsidRPr="00956F16">
              <w:rPr>
                <w:rFonts w:ascii="Times New Roman" w:eastAsia="Times New Roman" w:hAnsi="Times New Roman" w:cs="Times New Roman"/>
                <w:szCs w:val="20"/>
                <w:vertAlign w:val="superscript"/>
              </w:rPr>
              <w:t>◊</w:t>
            </w:r>
          </w:p>
        </w:tc>
      </w:tr>
      <w:tr w:rsidR="00956F16" w:rsidRPr="00956F16" w14:paraId="03CD169D" w14:textId="77777777" w:rsidTr="00694E9C">
        <w:trPr>
          <w:trHeight w:val="1288"/>
        </w:trPr>
        <w:tc>
          <w:tcPr>
            <w:tcW w:w="2400" w:type="dxa"/>
            <w:tcBorders>
              <w:top w:val="single" w:sz="4" w:space="0" w:color="000000"/>
              <w:left w:val="single" w:sz="4" w:space="0" w:color="000000"/>
              <w:bottom w:val="single" w:sz="4" w:space="0" w:color="000000"/>
              <w:right w:val="single" w:sz="4" w:space="0" w:color="000000"/>
            </w:tcBorders>
          </w:tcPr>
          <w:p w14:paraId="7D85AA8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Érbetegségek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0BEC433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1DBF2D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pe</w:t>
            </w:r>
            <w:r w:rsidRPr="00956F16">
              <w:rPr>
                <w:rFonts w:ascii="Times New Roman" w:eastAsia="Times New Roman" w:hAnsi="Times New Roman" w:cs="Times New Roman"/>
                <w:spacing w:val="1"/>
                <w:szCs w:val="20"/>
              </w:rPr>
              <w:t>rtonia</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haematoma</w:t>
            </w:r>
          </w:p>
        </w:tc>
        <w:tc>
          <w:tcPr>
            <w:tcW w:w="3402" w:type="dxa"/>
            <w:tcBorders>
              <w:top w:val="single" w:sz="4" w:space="0" w:color="000000"/>
              <w:left w:val="single" w:sz="4" w:space="0" w:color="000000"/>
              <w:bottom w:val="single" w:sz="4" w:space="0" w:color="000000"/>
              <w:right w:val="single" w:sz="4" w:space="0" w:color="000000"/>
            </w:tcBorders>
          </w:tcPr>
          <w:p w14:paraId="6E001C1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Gyakori</w:t>
            </w:r>
          </w:p>
          <w:p w14:paraId="15426D1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4"/>
              </w:rPr>
            </w:pPr>
            <w:r w:rsidRPr="00956F16">
              <w:rPr>
                <w:rFonts w:ascii="Times New Roman" w:eastAsia="Times New Roman" w:hAnsi="Times New Roman" w:cs="Times New Roman"/>
                <w:spacing w:val="2"/>
                <w:szCs w:val="20"/>
              </w:rPr>
              <w:t>vénás thromboemboliás események, főleg mélyvénás thrombosis és tüdőembólia</w:t>
            </w:r>
            <w:r w:rsidRPr="00956F16">
              <w:rPr>
                <w:rFonts w:ascii="Times New Roman" w:eastAsia="Times New Roman" w:hAnsi="Times New Roman" w:cs="Times New Roman"/>
                <w:szCs w:val="20"/>
                <w:vertAlign w:val="superscript"/>
              </w:rPr>
              <w:t>^,◊</w:t>
            </w:r>
          </w:p>
          <w:p w14:paraId="306091FB" w14:textId="77777777" w:rsidR="00956F16" w:rsidRPr="00956F16" w:rsidRDefault="00956F16" w:rsidP="00956F16">
            <w:pPr>
              <w:widowControl w:val="0"/>
              <w:tabs>
                <w:tab w:val="left" w:pos="567"/>
              </w:tabs>
              <w:autoSpaceDE w:val="0"/>
              <w:autoSpaceDN w:val="0"/>
              <w:adjustRightInd w:val="0"/>
              <w:spacing w:after="0" w:line="240" w:lineRule="auto"/>
              <w:ind w:right="-20"/>
              <w:rPr>
                <w:rFonts w:ascii="Times New Roman" w:eastAsia="Times New Roman" w:hAnsi="Times New Roman" w:cs="Times New Roman"/>
                <w:szCs w:val="20"/>
              </w:rPr>
            </w:pPr>
          </w:p>
        </w:tc>
      </w:tr>
      <w:tr w:rsidR="00956F16" w:rsidRPr="00956F16" w14:paraId="47DAC216" w14:textId="77777777" w:rsidTr="00694E9C">
        <w:trPr>
          <w:trHeight w:hRule="exact" w:val="1450"/>
        </w:trPr>
        <w:tc>
          <w:tcPr>
            <w:tcW w:w="2400" w:type="dxa"/>
            <w:tcBorders>
              <w:top w:val="single" w:sz="4" w:space="0" w:color="000000"/>
              <w:left w:val="single" w:sz="4" w:space="0" w:color="000000"/>
              <w:bottom w:val="single" w:sz="4" w:space="0" w:color="000000"/>
              <w:right w:val="single" w:sz="4" w:space="0" w:color="000000"/>
            </w:tcBorders>
          </w:tcPr>
          <w:p w14:paraId="6DE94300" w14:textId="77777777" w:rsidR="00956F16" w:rsidRPr="00956F16" w:rsidRDefault="00956F16" w:rsidP="00956F16">
            <w:pPr>
              <w:widowControl w:val="0"/>
              <w:tabs>
                <w:tab w:val="left" w:pos="567"/>
              </w:tabs>
              <w:autoSpaceDE w:val="0"/>
              <w:autoSpaceDN w:val="0"/>
              <w:adjustRightInd w:val="0"/>
              <w:spacing w:after="0" w:line="240" w:lineRule="auto"/>
              <w:ind w:left="142" w:right="627"/>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Légzőrendszeri, mellkasi és mediastinalis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28BC392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57E98B9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st</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zCs w:val="20"/>
              </w:rPr>
              <w:t>x</w:t>
            </w:r>
            <w:r w:rsidRPr="00956F16">
              <w:rPr>
                <w:rFonts w:ascii="Times New Roman" w:eastAsia="Times New Roman" w:hAnsi="Times New Roman" w:cs="Times New Roman"/>
                <w:spacing w:val="1"/>
                <w:szCs w:val="20"/>
              </w:rPr>
              <w:t>is</w:t>
            </w:r>
            <w:r w:rsidRPr="00956F16">
              <w:rPr>
                <w:rFonts w:ascii="Times New Roman" w:eastAsia="Times New Roman" w:hAnsi="Times New Roman" w:cs="Times New Roman"/>
                <w:szCs w:val="20"/>
              </w:rPr>
              <w:t>^</w:t>
            </w:r>
          </w:p>
        </w:tc>
        <w:tc>
          <w:tcPr>
            <w:tcW w:w="3402" w:type="dxa"/>
            <w:tcBorders>
              <w:top w:val="single" w:sz="4" w:space="0" w:color="000000"/>
              <w:left w:val="single" w:sz="4" w:space="0" w:color="000000"/>
              <w:bottom w:val="single" w:sz="4" w:space="0" w:color="000000"/>
              <w:right w:val="single" w:sz="4" w:space="0" w:color="000000"/>
            </w:tcBorders>
          </w:tcPr>
          <w:p w14:paraId="359C4A4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r>
      <w:tr w:rsidR="00956F16" w:rsidRPr="00956F16" w14:paraId="319BD988" w14:textId="77777777" w:rsidTr="00694E9C">
        <w:trPr>
          <w:trHeight w:val="2362"/>
        </w:trPr>
        <w:tc>
          <w:tcPr>
            <w:tcW w:w="2400" w:type="dxa"/>
            <w:tcBorders>
              <w:top w:val="single" w:sz="4" w:space="0" w:color="000000"/>
              <w:left w:val="single" w:sz="4" w:space="0" w:color="000000"/>
              <w:bottom w:val="single" w:sz="4" w:space="0" w:color="000000"/>
              <w:right w:val="single" w:sz="4" w:space="0" w:color="000000"/>
            </w:tcBorders>
          </w:tcPr>
          <w:p w14:paraId="2E54B19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Emésztőrendszeri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022DC16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30615433" w14:textId="77777777" w:rsidR="00956F16" w:rsidRPr="00956F16" w:rsidRDefault="00956F16" w:rsidP="00956F16">
            <w:pPr>
              <w:widowControl w:val="0"/>
              <w:tabs>
                <w:tab w:val="left" w:pos="567"/>
              </w:tabs>
              <w:autoSpaceDE w:val="0"/>
              <w:autoSpaceDN w:val="0"/>
              <w:adjustRightInd w:val="0"/>
              <w:spacing w:after="0" w:line="240" w:lineRule="auto"/>
              <w:ind w:left="142" w:right="555"/>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hasmenés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hasi fájdalom (beleértve a felső hasi fájdalmat is), </w:t>
            </w:r>
            <w:r w:rsidRPr="00956F16">
              <w:rPr>
                <w:rFonts w:ascii="Times New Roman" w:eastAsia="Times New Roman" w:hAnsi="Times New Roman" w:cs="Times New Roman"/>
                <w:spacing w:val="-1"/>
                <w:szCs w:val="20"/>
              </w:rPr>
              <w:t>hányinger</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2"/>
                <w:szCs w:val="20"/>
              </w:rPr>
              <w:t>hányás</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székrekedés</w:t>
            </w:r>
          </w:p>
          <w:p w14:paraId="20E802D2"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7FC0F80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28F8C252" w14:textId="77777777" w:rsidR="00956F16" w:rsidRPr="00956F16" w:rsidRDefault="00956F16" w:rsidP="00956F16">
            <w:pPr>
              <w:widowControl w:val="0"/>
              <w:tabs>
                <w:tab w:val="left" w:pos="567"/>
              </w:tabs>
              <w:autoSpaceDE w:val="0"/>
              <w:autoSpaceDN w:val="0"/>
              <w:adjustRightInd w:val="0"/>
              <w:spacing w:after="0" w:line="240" w:lineRule="auto"/>
              <w:ind w:left="142" w:right="16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szájszárazság, dyspepsia</w:t>
            </w:r>
          </w:p>
        </w:tc>
        <w:tc>
          <w:tcPr>
            <w:tcW w:w="3402" w:type="dxa"/>
            <w:tcBorders>
              <w:top w:val="single" w:sz="4" w:space="0" w:color="000000"/>
              <w:left w:val="single" w:sz="4" w:space="0" w:color="000000"/>
              <w:bottom w:val="single" w:sz="4" w:space="0" w:color="000000"/>
              <w:right w:val="single" w:sz="4" w:space="0" w:color="000000"/>
            </w:tcBorders>
          </w:tcPr>
          <w:p w14:paraId="6A43953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DC109A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hasmenés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hányinger</w:t>
            </w:r>
            <w:r w:rsidRPr="00956F16">
              <w:rPr>
                <w:rFonts w:ascii="Times New Roman" w:eastAsia="Times New Roman" w:hAnsi="Times New Roman" w:cs="Times New Roman"/>
                <w:szCs w:val="20"/>
              </w:rPr>
              <w:t>,</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2"/>
                <w:szCs w:val="20"/>
              </w:rPr>
              <w:t>fogfájás</w:t>
            </w:r>
          </w:p>
        </w:tc>
      </w:tr>
      <w:tr w:rsidR="00956F16" w:rsidRPr="00956F16" w14:paraId="291FD456" w14:textId="77777777" w:rsidTr="00694E9C">
        <w:trPr>
          <w:trHeight w:val="978"/>
        </w:trPr>
        <w:tc>
          <w:tcPr>
            <w:tcW w:w="2400" w:type="dxa"/>
            <w:tcBorders>
              <w:top w:val="single" w:sz="4" w:space="0" w:color="000000"/>
              <w:left w:val="single" w:sz="4" w:space="0" w:color="000000"/>
              <w:bottom w:val="single" w:sz="4" w:space="0" w:color="000000"/>
              <w:right w:val="single" w:sz="4" w:space="0" w:color="000000"/>
            </w:tcBorders>
          </w:tcPr>
          <w:p w14:paraId="42F5010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Máj- és epebetegségek, illetve tünetek</w:t>
            </w:r>
          </w:p>
        </w:tc>
        <w:tc>
          <w:tcPr>
            <w:tcW w:w="3402" w:type="dxa"/>
            <w:tcBorders>
              <w:top w:val="single" w:sz="4" w:space="0" w:color="000000"/>
              <w:left w:val="single" w:sz="4" w:space="0" w:color="000000"/>
              <w:bottom w:val="single" w:sz="4" w:space="0" w:color="000000"/>
              <w:right w:val="single" w:sz="4" w:space="0" w:color="000000"/>
            </w:tcBorders>
          </w:tcPr>
          <w:p w14:paraId="4C358CD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D67D98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kóros májfunkciós vizsgálati eredmények</w:t>
            </w:r>
          </w:p>
          <w:p w14:paraId="54112BA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31C5233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2E53552" w14:textId="77777777" w:rsidR="00956F16" w:rsidRPr="00956F16" w:rsidRDefault="00956F16" w:rsidP="00956F16">
            <w:pPr>
              <w:widowControl w:val="0"/>
              <w:tabs>
                <w:tab w:val="left" w:pos="567"/>
              </w:tabs>
              <w:autoSpaceDE w:val="0"/>
              <w:autoSpaceDN w:val="0"/>
              <w:adjustRightInd w:val="0"/>
              <w:spacing w:after="0" w:line="240" w:lineRule="auto"/>
              <w:ind w:left="142" w:right="731"/>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kóros májfunkciós vizsgálati eredmények</w:t>
            </w:r>
          </w:p>
          <w:p w14:paraId="5E3B6F0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r>
      <w:tr w:rsidR="00956F16" w:rsidRPr="00956F16" w14:paraId="19D6056D" w14:textId="77777777" w:rsidTr="00694E9C">
        <w:trPr>
          <w:trHeight w:val="922"/>
        </w:trPr>
        <w:tc>
          <w:tcPr>
            <w:tcW w:w="2400" w:type="dxa"/>
            <w:tcBorders>
              <w:top w:val="single" w:sz="4" w:space="0" w:color="000000"/>
              <w:left w:val="single" w:sz="4" w:space="0" w:color="000000"/>
              <w:bottom w:val="single" w:sz="4" w:space="0" w:color="000000"/>
              <w:right w:val="single" w:sz="4" w:space="0" w:color="000000"/>
            </w:tcBorders>
          </w:tcPr>
          <w:p w14:paraId="4521AAD4" w14:textId="77777777" w:rsidR="00956F16" w:rsidRPr="00956F16" w:rsidRDefault="00956F16" w:rsidP="00956F16">
            <w:pPr>
              <w:widowControl w:val="0"/>
              <w:tabs>
                <w:tab w:val="left" w:pos="567"/>
              </w:tabs>
              <w:autoSpaceDE w:val="0"/>
              <w:autoSpaceDN w:val="0"/>
              <w:adjustRightInd w:val="0"/>
              <w:spacing w:after="0" w:line="240" w:lineRule="auto"/>
              <w:ind w:left="142" w:right="311"/>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A bőr és a bőr alatti szövet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37A35AB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10DBCDD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 xml:space="preserve">bőrkiütések, </w:t>
            </w:r>
            <w:r w:rsidRPr="00956F16">
              <w:rPr>
                <w:rFonts w:ascii="Times New Roman" w:eastAsia="Times New Roman" w:hAnsi="Times New Roman" w:cs="Times New Roman"/>
                <w:spacing w:val="-3"/>
                <w:szCs w:val="20"/>
              </w:rPr>
              <w:t xml:space="preserve">bőrszárazság, </w:t>
            </w:r>
            <w:r w:rsidRPr="00956F16">
              <w:rPr>
                <w:rFonts w:ascii="Times New Roman" w:eastAsia="Times New Roman" w:hAnsi="Times New Roman" w:cs="Times New Roman"/>
                <w:spacing w:val="-1"/>
                <w:szCs w:val="20"/>
              </w:rPr>
              <w:t>p</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us</w:t>
            </w:r>
          </w:p>
          <w:p w14:paraId="5B745CC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1A18874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A09823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bőrkiütések, p</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u</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us</w:t>
            </w:r>
          </w:p>
        </w:tc>
      </w:tr>
      <w:tr w:rsidR="00956F16" w:rsidRPr="00956F16" w14:paraId="16587CC9" w14:textId="77777777" w:rsidTr="00694E9C">
        <w:trPr>
          <w:trHeight w:hRule="exact" w:val="1610"/>
        </w:trPr>
        <w:tc>
          <w:tcPr>
            <w:tcW w:w="2400" w:type="dxa"/>
            <w:tcBorders>
              <w:top w:val="single" w:sz="4" w:space="0" w:color="000000"/>
              <w:left w:val="single" w:sz="4" w:space="0" w:color="000000"/>
              <w:bottom w:val="single" w:sz="4" w:space="0" w:color="000000"/>
              <w:right w:val="single" w:sz="4" w:space="0" w:color="000000"/>
            </w:tcBorders>
          </w:tcPr>
          <w:p w14:paraId="429AE0F8" w14:textId="77777777" w:rsidR="00956F16" w:rsidRPr="00956F16" w:rsidRDefault="00956F16" w:rsidP="00956F16">
            <w:pPr>
              <w:widowControl w:val="0"/>
              <w:tabs>
                <w:tab w:val="left" w:pos="567"/>
              </w:tabs>
              <w:autoSpaceDE w:val="0"/>
              <w:autoSpaceDN w:val="0"/>
              <w:adjustRightInd w:val="0"/>
              <w:spacing w:after="0" w:line="240" w:lineRule="auto"/>
              <w:ind w:left="142" w:right="311"/>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A csont- és izomrendszer, valamint a kötőszövet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4AB550A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28E4DAB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izomgörcsök, musculoskeletalis, fájdalom (beleértve a hátfájást</w:t>
            </w:r>
            <w:r w:rsidRPr="00956F16">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xml:space="preserve"> és a végtagfájdalmat is)</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ar</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1"/>
                <w:szCs w:val="20"/>
              </w:rPr>
              <w:t>al</w:t>
            </w:r>
            <w:r w:rsidRPr="00956F16">
              <w:rPr>
                <w:rFonts w:ascii="Times New Roman" w:eastAsia="Times New Roman" w:hAnsi="Times New Roman" w:cs="Times New Roman"/>
                <w:spacing w:val="-2"/>
                <w:szCs w:val="20"/>
              </w:rPr>
              <w:t>g</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 myalgia</w:t>
            </w:r>
          </w:p>
          <w:p w14:paraId="6EA828A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442B632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4F87D810"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hátfájás</w:t>
            </w:r>
            <w:r w:rsidRPr="00956F16">
              <w:rPr>
                <w:rFonts w:ascii="Times New Roman" w:eastAsia="Times New Roman" w:hAnsi="Times New Roman" w:cs="Times New Roman"/>
                <w:spacing w:val="1"/>
                <w:szCs w:val="20"/>
                <w:vertAlign w:val="superscript"/>
              </w:rPr>
              <w:t>◊</w:t>
            </w:r>
          </w:p>
          <w:p w14:paraId="2978B22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r>
      <w:tr w:rsidR="00956F16" w:rsidRPr="00956F16" w14:paraId="32ACDC48" w14:textId="77777777" w:rsidTr="00694E9C">
        <w:trPr>
          <w:trHeight w:val="647"/>
        </w:trPr>
        <w:tc>
          <w:tcPr>
            <w:tcW w:w="2400" w:type="dxa"/>
            <w:tcBorders>
              <w:top w:val="single" w:sz="4" w:space="0" w:color="000000"/>
              <w:left w:val="single" w:sz="4" w:space="0" w:color="000000"/>
              <w:bottom w:val="single" w:sz="4" w:space="0" w:color="000000"/>
              <w:right w:val="single" w:sz="4" w:space="0" w:color="000000"/>
            </w:tcBorders>
          </w:tcPr>
          <w:p w14:paraId="5BB7D7F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Vese- és húgyúti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36E56B1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1A49051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E558A7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veseelégtelenség</w:t>
            </w:r>
            <w:r w:rsidRPr="00956F16">
              <w:rPr>
                <w:rFonts w:ascii="Times New Roman" w:eastAsia="Times New Roman" w:hAnsi="Times New Roman" w:cs="Times New Roman"/>
                <w:spacing w:val="1"/>
                <w:szCs w:val="20"/>
                <w:vertAlign w:val="superscript"/>
              </w:rPr>
              <w:t>◊</w:t>
            </w:r>
          </w:p>
        </w:tc>
      </w:tr>
      <w:tr w:rsidR="00956F16" w:rsidRPr="00956F16" w14:paraId="2AF7664F" w14:textId="77777777" w:rsidTr="00694E9C">
        <w:trPr>
          <w:trHeight w:val="2015"/>
        </w:trPr>
        <w:tc>
          <w:tcPr>
            <w:tcW w:w="2400" w:type="dxa"/>
            <w:tcBorders>
              <w:top w:val="single" w:sz="4" w:space="0" w:color="000000"/>
              <w:left w:val="single" w:sz="4" w:space="0" w:color="000000"/>
              <w:bottom w:val="single" w:sz="4" w:space="0" w:color="000000"/>
              <w:right w:val="single" w:sz="4" w:space="0" w:color="000000"/>
            </w:tcBorders>
          </w:tcPr>
          <w:p w14:paraId="2C8B77B8" w14:textId="77777777" w:rsidR="00956F16" w:rsidRPr="00956F16" w:rsidRDefault="00956F16" w:rsidP="00956F16">
            <w:pPr>
              <w:widowControl w:val="0"/>
              <w:tabs>
                <w:tab w:val="left" w:pos="567"/>
              </w:tabs>
              <w:autoSpaceDE w:val="0"/>
              <w:autoSpaceDN w:val="0"/>
              <w:adjustRightInd w:val="0"/>
              <w:spacing w:after="0" w:line="240" w:lineRule="auto"/>
              <w:ind w:left="142" w:right="153"/>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lastRenderedPageBreak/>
              <w:t>Általános tünetek, az alkalmazás helyén fellépő reakciók</w:t>
            </w:r>
          </w:p>
        </w:tc>
        <w:tc>
          <w:tcPr>
            <w:tcW w:w="3402" w:type="dxa"/>
            <w:tcBorders>
              <w:top w:val="single" w:sz="4" w:space="0" w:color="000000"/>
              <w:left w:val="single" w:sz="4" w:space="0" w:color="000000"/>
              <w:bottom w:val="single" w:sz="4" w:space="0" w:color="000000"/>
              <w:right w:val="single" w:sz="4" w:space="0" w:color="000000"/>
            </w:tcBorders>
          </w:tcPr>
          <w:p w14:paraId="7D7CA53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31DADA84" w14:textId="1012D455"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r w:rsidRPr="00956F16">
              <w:rPr>
                <w:rFonts w:ascii="Times New Roman" w:eastAsia="Times New Roman" w:hAnsi="Times New Roman" w:cs="Times New Roman"/>
                <w:szCs w:val="20"/>
              </w:rPr>
              <w:t>fárad</w:t>
            </w:r>
            <w:r w:rsidR="0088692E">
              <w:rPr>
                <w:rFonts w:ascii="Times New Roman" w:eastAsia="Times New Roman" w:hAnsi="Times New Roman" w:cs="Times New Roman"/>
                <w:szCs w:val="20"/>
              </w:rPr>
              <w:t>ékony</w:t>
            </w:r>
            <w:r w:rsidRPr="00956F16">
              <w:rPr>
                <w:rFonts w:ascii="Times New Roman" w:eastAsia="Times New Roman" w:hAnsi="Times New Roman" w:cs="Times New Roman"/>
                <w:szCs w:val="20"/>
              </w:rPr>
              <w:t xml:space="preserve">ság, perifériás oedema, influenzaszerű tünetegyüttes szindróma (amelybe beletartozik a láz, köhögés, pharyngitis, myalgia, mozgásszervi fájdalom, fejfájás) </w:t>
            </w:r>
          </w:p>
          <w:p w14:paraId="33FDC1F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2906C33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37B444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láz</w:t>
            </w:r>
          </w:p>
        </w:tc>
      </w:tr>
      <w:tr w:rsidR="00956F16" w:rsidRPr="00956F16" w14:paraId="5B959B35" w14:textId="77777777" w:rsidTr="00694E9C">
        <w:trPr>
          <w:trHeight w:hRule="exact" w:val="1052"/>
        </w:trPr>
        <w:tc>
          <w:tcPr>
            <w:tcW w:w="2400" w:type="dxa"/>
            <w:tcBorders>
              <w:top w:val="single" w:sz="4" w:space="0" w:color="000000"/>
              <w:left w:val="single" w:sz="4" w:space="0" w:color="000000"/>
              <w:bottom w:val="single" w:sz="4" w:space="0" w:color="000000"/>
              <w:right w:val="single" w:sz="4" w:space="0" w:color="000000"/>
            </w:tcBorders>
          </w:tcPr>
          <w:p w14:paraId="701CAA9B" w14:textId="77777777" w:rsidR="00956F16" w:rsidRPr="00956F16" w:rsidRDefault="00956F16" w:rsidP="00956F16">
            <w:pPr>
              <w:widowControl w:val="0"/>
              <w:tabs>
                <w:tab w:val="left" w:pos="567"/>
              </w:tabs>
              <w:autoSpaceDE w:val="0"/>
              <w:autoSpaceDN w:val="0"/>
              <w:adjustRightInd w:val="0"/>
              <w:spacing w:after="0" w:line="240" w:lineRule="auto"/>
              <w:ind w:left="142" w:right="242"/>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Sérülés, mérgezés és a beavatkozással kapcsolatos szövődmények</w:t>
            </w:r>
          </w:p>
        </w:tc>
        <w:tc>
          <w:tcPr>
            <w:tcW w:w="3402" w:type="dxa"/>
            <w:tcBorders>
              <w:top w:val="single" w:sz="4" w:space="0" w:color="000000"/>
              <w:left w:val="single" w:sz="4" w:space="0" w:color="000000"/>
              <w:bottom w:val="single" w:sz="4" w:space="0" w:color="000000"/>
              <w:right w:val="single" w:sz="4" w:space="0" w:color="000000"/>
            </w:tcBorders>
          </w:tcPr>
          <w:p w14:paraId="16C9E83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5ADE024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20B6E5D"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r w:rsidRPr="00956F16">
              <w:rPr>
                <w:rFonts w:ascii="Times New Roman" w:eastAsia="Times New Roman" w:hAnsi="Times New Roman" w:cs="Times New Roman"/>
                <w:szCs w:val="20"/>
              </w:rPr>
              <w:t>elesés</w:t>
            </w:r>
          </w:p>
        </w:tc>
      </w:tr>
    </w:tbl>
    <w:p w14:paraId="15702DA7"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w:t>
      </w:r>
      <w:r w:rsidRPr="00956F16">
        <w:rPr>
          <w:rFonts w:ascii="Times New Roman" w:eastAsia="Calibri" w:hAnsi="Times New Roman" w:cs="Times New Roman"/>
          <w:sz w:val="18"/>
          <w:szCs w:val="18"/>
        </w:rPr>
        <w:t>Lásd 4.8 pont: Egyes kiválasztott mellékhatások leírása.</w:t>
      </w:r>
    </w:p>
    <w:p w14:paraId="0B941AA4"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w:t>
      </w:r>
      <w:r w:rsidRPr="00956F16">
        <w:rPr>
          <w:rFonts w:ascii="Times New Roman" w:eastAsia="Calibri" w:hAnsi="Times New Roman" w:cs="Times New Roman"/>
          <w:sz w:val="18"/>
          <w:szCs w:val="18"/>
        </w:rPr>
        <w:t>A myelodysplasiás szindrómákban végzett klinikai vizsgálatok során súlyosként jelentett mellékhatások.</w:t>
      </w:r>
    </w:p>
    <w:p w14:paraId="4BCEB72E" w14:textId="73DF450F"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 xml:space="preserve">~A hangulatváltozást gyakori, súlyos nemkívánatos eseményként jelentették a myelodysplasiás szindrómákban végzett </w:t>
      </w:r>
      <w:r w:rsidR="00FF3040">
        <w:rPr>
          <w:rFonts w:ascii="Times New Roman" w:eastAsia="Calibri" w:hAnsi="Times New Roman" w:cs="Times New Roman"/>
          <w:sz w:val="18"/>
          <w:szCs w:val="18"/>
        </w:rPr>
        <w:t>3</w:t>
      </w:r>
      <w:r w:rsidRPr="00956F16">
        <w:rPr>
          <w:rFonts w:ascii="Times New Roman" w:eastAsia="Calibri" w:hAnsi="Times New Roman" w:cs="Times New Roman"/>
          <w:sz w:val="18"/>
          <w:szCs w:val="18"/>
        </w:rPr>
        <w:t>. fázisú klinikai vizsgálatok során; 3. vagy 4. súlyossági fokú nemkívánatos eseményként viszont nem jelentették.</w:t>
      </w:r>
    </w:p>
    <w:p w14:paraId="545642FD" w14:textId="71242ABC"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 xml:space="preserve">Az alkalmazási előírásban történő feltüntetéshez alkalmazott algoritmus: A </w:t>
      </w:r>
      <w:r w:rsidR="00FF3040">
        <w:rPr>
          <w:rFonts w:ascii="Times New Roman" w:eastAsia="Calibri" w:hAnsi="Times New Roman" w:cs="Times New Roman"/>
          <w:sz w:val="18"/>
          <w:szCs w:val="18"/>
        </w:rPr>
        <w:t>3</w:t>
      </w:r>
      <w:r w:rsidRPr="00956F16">
        <w:rPr>
          <w:rFonts w:ascii="Times New Roman" w:eastAsia="Calibri" w:hAnsi="Times New Roman" w:cs="Times New Roman"/>
          <w:sz w:val="18"/>
          <w:szCs w:val="18"/>
        </w:rPr>
        <w:t>. fázisú vizsgálatban alkalmazott algoritmussal rögzített valamennyi mellékhatás feltüntetésre került az EU-ban engedélyezett alkalmazási előírásban. Ezekre a mellékhatásokra vonatkozóan elvégezték a</w:t>
      </w:r>
      <w:r w:rsidR="00FF3040">
        <w:rPr>
          <w:rFonts w:ascii="Times New Roman" w:eastAsia="Calibri" w:hAnsi="Times New Roman" w:cs="Times New Roman"/>
          <w:sz w:val="18"/>
          <w:szCs w:val="18"/>
        </w:rPr>
        <w:t xml:space="preserve"> 2</w:t>
      </w:r>
      <w:r w:rsidRPr="00956F16">
        <w:rPr>
          <w:rFonts w:ascii="Times New Roman" w:eastAsia="Calibri" w:hAnsi="Times New Roman" w:cs="Times New Roman"/>
          <w:sz w:val="18"/>
          <w:szCs w:val="18"/>
        </w:rPr>
        <w:t xml:space="preserve">. fázisú vizsgálatban alkalmazott algoritmussal rögzített mellékhatások gyakoriságainak további ellenőrzését, és amennyiben a mellékhatás nagyobb gyakorisággal fordult elő a </w:t>
      </w:r>
      <w:r w:rsidR="00FF3040">
        <w:rPr>
          <w:rFonts w:ascii="Times New Roman" w:eastAsia="Calibri" w:hAnsi="Times New Roman" w:cs="Times New Roman"/>
          <w:sz w:val="18"/>
          <w:szCs w:val="18"/>
        </w:rPr>
        <w:t>2</w:t>
      </w:r>
      <w:r w:rsidRPr="00956F16">
        <w:rPr>
          <w:rFonts w:ascii="Times New Roman" w:eastAsia="Calibri" w:hAnsi="Times New Roman" w:cs="Times New Roman"/>
          <w:sz w:val="18"/>
          <w:szCs w:val="18"/>
        </w:rPr>
        <w:t xml:space="preserve">. fázisú vizsgálat során, mint a </w:t>
      </w:r>
      <w:r w:rsidR="00FF3040">
        <w:rPr>
          <w:rFonts w:ascii="Times New Roman" w:eastAsia="Calibri" w:hAnsi="Times New Roman" w:cs="Times New Roman"/>
          <w:sz w:val="18"/>
          <w:szCs w:val="18"/>
        </w:rPr>
        <w:t>3</w:t>
      </w:r>
      <w:r w:rsidRPr="00956F16">
        <w:rPr>
          <w:rFonts w:ascii="Times New Roman" w:eastAsia="Calibri" w:hAnsi="Times New Roman" w:cs="Times New Roman"/>
          <w:sz w:val="18"/>
          <w:szCs w:val="18"/>
        </w:rPr>
        <w:t xml:space="preserve">. fázisú vizsgálat során, az eseményt a </w:t>
      </w:r>
      <w:r w:rsidR="00FF3040">
        <w:rPr>
          <w:rFonts w:ascii="Times New Roman" w:eastAsia="Calibri" w:hAnsi="Times New Roman" w:cs="Times New Roman"/>
          <w:sz w:val="18"/>
          <w:szCs w:val="18"/>
        </w:rPr>
        <w:t>2</w:t>
      </w:r>
      <w:r w:rsidRPr="00956F16">
        <w:rPr>
          <w:rFonts w:ascii="Times New Roman" w:eastAsia="Calibri" w:hAnsi="Times New Roman" w:cs="Times New Roman"/>
          <w:sz w:val="18"/>
          <w:szCs w:val="18"/>
        </w:rPr>
        <w:t>. fázisú vizsgálat során tapasztalt gyakorisággal tüntették fel az EU-ban jóváhagyott alkalmazási előírásban.</w:t>
      </w:r>
    </w:p>
    <w:p w14:paraId="0C54D79A"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 Myelodysplasiás szindróma esetén alkalmazott algoritmus:</w:t>
      </w:r>
    </w:p>
    <w:p w14:paraId="2DDFF3CE" w14:textId="138866DC" w:rsidR="00956F16" w:rsidRPr="00956F16" w:rsidRDefault="00956F16" w:rsidP="00956F16">
      <w:pPr>
        <w:spacing w:after="0" w:line="240" w:lineRule="auto"/>
        <w:ind w:left="1134" w:hanging="567"/>
        <w:rPr>
          <w:rFonts w:ascii="Times New Roman" w:eastAsia="Calibri" w:hAnsi="Times New Roman" w:cs="Times New Roman"/>
          <w:sz w:val="18"/>
          <w:szCs w:val="18"/>
        </w:rPr>
      </w:pPr>
      <w:r w:rsidRPr="00956F16">
        <w:rPr>
          <w:rFonts w:ascii="Times New Roman" w:eastAsia="Calibri" w:hAnsi="Times New Roman" w:cs="Times New Roman"/>
          <w:sz w:val="18"/>
          <w:szCs w:val="18"/>
        </w:rPr>
        <w:t>•</w:t>
      </w:r>
      <w:r w:rsidRPr="00956F16">
        <w:rPr>
          <w:rFonts w:ascii="Times New Roman" w:eastAsia="Calibri" w:hAnsi="Times New Roman" w:cs="Times New Roman"/>
          <w:sz w:val="18"/>
          <w:szCs w:val="18"/>
        </w:rPr>
        <w:tab/>
        <w:t xml:space="preserve">Myelodysplasiás szindróma </w:t>
      </w:r>
      <w:r w:rsidR="00FF3040">
        <w:rPr>
          <w:rFonts w:ascii="Times New Roman" w:eastAsia="Calibri" w:hAnsi="Times New Roman" w:cs="Times New Roman"/>
          <w:sz w:val="18"/>
          <w:szCs w:val="18"/>
        </w:rPr>
        <w:t>3</w:t>
      </w:r>
      <w:r w:rsidRPr="00956F16">
        <w:rPr>
          <w:rFonts w:ascii="Times New Roman" w:eastAsia="Calibri" w:hAnsi="Times New Roman" w:cs="Times New Roman"/>
          <w:sz w:val="18"/>
          <w:szCs w:val="18"/>
        </w:rPr>
        <w:t>. fázisú vizsgálata (kettős vak biztonságossági populáció, a lenalidomid 5/10 mg és placebo közötti különbség az eredeti adagolási rend szerint legalább 2 vizsgálati alany esetében)</w:t>
      </w:r>
    </w:p>
    <w:p w14:paraId="0398FCE8" w14:textId="6B92353C" w:rsidR="00956F16" w:rsidRPr="00956F16" w:rsidRDefault="00956F16" w:rsidP="00956F16">
      <w:pPr>
        <w:spacing w:after="0" w:line="240" w:lineRule="auto"/>
        <w:ind w:left="1701" w:hanging="567"/>
        <w:rPr>
          <w:rFonts w:ascii="Times New Roman" w:eastAsia="Calibri" w:hAnsi="Times New Roman" w:cs="Times New Roman"/>
          <w:sz w:val="18"/>
          <w:szCs w:val="18"/>
        </w:rPr>
      </w:pPr>
      <w:r w:rsidRPr="00956F16">
        <w:rPr>
          <w:rFonts w:ascii="Times New Roman" w:eastAsia="Calibri" w:hAnsi="Times New Roman" w:cs="Times New Roman"/>
          <w:sz w:val="18"/>
          <w:szCs w:val="18"/>
        </w:rPr>
        <w:t>o</w:t>
      </w:r>
      <w:r w:rsidRPr="00956F16">
        <w:rPr>
          <w:rFonts w:ascii="Times New Roman" w:eastAsia="Calibri" w:hAnsi="Times New Roman" w:cs="Times New Roman"/>
          <w:sz w:val="18"/>
          <w:szCs w:val="18"/>
        </w:rPr>
        <w:tab/>
        <w:t>A kezelésből eredő összes mellékhatás, amely a lenalidomid</w:t>
      </w:r>
      <w:r w:rsidR="00104634">
        <w:rPr>
          <w:rFonts w:ascii="Times New Roman" w:eastAsia="Calibri" w:hAnsi="Times New Roman" w:cs="Times New Roman"/>
          <w:sz w:val="18"/>
          <w:szCs w:val="18"/>
        </w:rPr>
        <w:t>-</w:t>
      </w:r>
      <w:r w:rsidRPr="00956F16">
        <w:rPr>
          <w:rFonts w:ascii="Times New Roman" w:eastAsia="Calibri" w:hAnsi="Times New Roman" w:cs="Times New Roman"/>
          <w:sz w:val="18"/>
          <w:szCs w:val="18"/>
        </w:rPr>
        <w:t>karon a vizsgálati alanyok legalább 5%</w:t>
      </w:r>
      <w:r w:rsidR="00104634">
        <w:rPr>
          <w:rFonts w:ascii="Times New Roman" w:eastAsia="Calibri" w:hAnsi="Times New Roman" w:cs="Times New Roman"/>
          <w:sz w:val="18"/>
          <w:szCs w:val="18"/>
        </w:rPr>
        <w:t>-</w:t>
      </w:r>
      <w:r w:rsidRPr="00956F16">
        <w:rPr>
          <w:rFonts w:ascii="Times New Roman" w:eastAsia="Calibri" w:hAnsi="Times New Roman" w:cs="Times New Roman"/>
          <w:sz w:val="18"/>
          <w:szCs w:val="18"/>
        </w:rPr>
        <w:t>ánál, és a lenalidomid és placebo között legalább 2%-os aránykülönbséggel lépett fel;</w:t>
      </w:r>
    </w:p>
    <w:p w14:paraId="1F2B064F" w14:textId="6311425E" w:rsidR="00956F16" w:rsidRPr="00956F16" w:rsidRDefault="00956F16" w:rsidP="00956F16">
      <w:pPr>
        <w:spacing w:after="0" w:line="240" w:lineRule="auto"/>
        <w:ind w:left="1701" w:hanging="567"/>
        <w:rPr>
          <w:rFonts w:ascii="Times New Roman" w:eastAsia="Calibri" w:hAnsi="Times New Roman" w:cs="Times New Roman"/>
          <w:sz w:val="18"/>
          <w:szCs w:val="18"/>
        </w:rPr>
      </w:pPr>
      <w:r w:rsidRPr="00956F16">
        <w:rPr>
          <w:rFonts w:ascii="Times New Roman" w:eastAsia="Calibri" w:hAnsi="Times New Roman" w:cs="Times New Roman"/>
          <w:sz w:val="18"/>
          <w:szCs w:val="18"/>
        </w:rPr>
        <w:t>o</w:t>
      </w:r>
      <w:r w:rsidRPr="00956F16">
        <w:rPr>
          <w:rFonts w:ascii="Times New Roman" w:eastAsia="Calibri" w:hAnsi="Times New Roman" w:cs="Times New Roman"/>
          <w:sz w:val="18"/>
          <w:szCs w:val="18"/>
        </w:rPr>
        <w:tab/>
        <w:t>A kezelésből eredő összes 3. és 4. súlyossági fokú mellékhatás, amely a lenalidomid</w:t>
      </w:r>
      <w:r w:rsidR="00104634">
        <w:rPr>
          <w:rFonts w:ascii="Times New Roman" w:eastAsia="Calibri" w:hAnsi="Times New Roman" w:cs="Times New Roman"/>
          <w:sz w:val="18"/>
          <w:szCs w:val="18"/>
        </w:rPr>
        <w:t>-</w:t>
      </w:r>
      <w:r w:rsidRPr="00956F16">
        <w:rPr>
          <w:rFonts w:ascii="Times New Roman" w:eastAsia="Calibri" w:hAnsi="Times New Roman" w:cs="Times New Roman"/>
          <w:sz w:val="18"/>
          <w:szCs w:val="18"/>
        </w:rPr>
        <w:t>karon a vizsgálati alanyok 1%-ánál, és a lenalidomid és placebo között legalább 1%-os aránykülönbséggel lépett fel;</w:t>
      </w:r>
    </w:p>
    <w:p w14:paraId="509DB6C0" w14:textId="3D42A0F4" w:rsidR="00956F16" w:rsidRPr="00956F16" w:rsidRDefault="00956F16" w:rsidP="00956F16">
      <w:pPr>
        <w:spacing w:after="0" w:line="240" w:lineRule="auto"/>
        <w:ind w:left="1701" w:hanging="567"/>
        <w:rPr>
          <w:rFonts w:ascii="Times New Roman" w:eastAsia="Calibri" w:hAnsi="Times New Roman" w:cs="Times New Roman"/>
          <w:sz w:val="18"/>
          <w:szCs w:val="18"/>
        </w:rPr>
      </w:pPr>
      <w:r w:rsidRPr="00956F16">
        <w:rPr>
          <w:rFonts w:ascii="Times New Roman" w:eastAsia="Calibri" w:hAnsi="Times New Roman" w:cs="Times New Roman"/>
          <w:sz w:val="18"/>
          <w:szCs w:val="18"/>
        </w:rPr>
        <w:t>o</w:t>
      </w:r>
      <w:r w:rsidRPr="00956F16">
        <w:rPr>
          <w:rFonts w:ascii="Times New Roman" w:eastAsia="Calibri" w:hAnsi="Times New Roman" w:cs="Times New Roman"/>
          <w:sz w:val="18"/>
          <w:szCs w:val="18"/>
        </w:rPr>
        <w:tab/>
        <w:t>A kezelésből eredő összes súlyos mellékhatás, amely a lenalidomid</w:t>
      </w:r>
      <w:r w:rsidR="00104634">
        <w:rPr>
          <w:rFonts w:ascii="Times New Roman" w:eastAsia="Calibri" w:hAnsi="Times New Roman" w:cs="Times New Roman"/>
          <w:sz w:val="18"/>
          <w:szCs w:val="18"/>
        </w:rPr>
        <w:t>-</w:t>
      </w:r>
      <w:r w:rsidRPr="00956F16">
        <w:rPr>
          <w:rFonts w:ascii="Times New Roman" w:eastAsia="Calibri" w:hAnsi="Times New Roman" w:cs="Times New Roman"/>
          <w:sz w:val="18"/>
          <w:szCs w:val="18"/>
        </w:rPr>
        <w:t>karon a vizsgálati alanyok 1%</w:t>
      </w:r>
      <w:r w:rsidR="00104634">
        <w:rPr>
          <w:rFonts w:ascii="Times New Roman" w:eastAsia="Calibri" w:hAnsi="Times New Roman" w:cs="Times New Roman"/>
          <w:sz w:val="18"/>
          <w:szCs w:val="18"/>
        </w:rPr>
        <w:t>-</w:t>
      </w:r>
      <w:r w:rsidRPr="00956F16">
        <w:rPr>
          <w:rFonts w:ascii="Times New Roman" w:eastAsia="Calibri" w:hAnsi="Times New Roman" w:cs="Times New Roman"/>
          <w:sz w:val="18"/>
          <w:szCs w:val="18"/>
        </w:rPr>
        <w:t>ánál, és a lenalidomid és placebo között legalább 1%-os aránykülönbséggel lépett fel.</w:t>
      </w:r>
    </w:p>
    <w:p w14:paraId="4D78CA7A" w14:textId="72DEC36F" w:rsidR="00956F16" w:rsidRPr="00956F16" w:rsidRDefault="00956F16" w:rsidP="00956F16">
      <w:pPr>
        <w:tabs>
          <w:tab w:val="left" w:pos="1134"/>
        </w:tabs>
        <w:spacing w:after="0" w:line="240" w:lineRule="auto"/>
        <w:ind w:left="567"/>
        <w:rPr>
          <w:rFonts w:ascii="Times New Roman" w:eastAsia="Calibri" w:hAnsi="Times New Roman" w:cs="Times New Roman"/>
          <w:sz w:val="18"/>
          <w:szCs w:val="18"/>
        </w:rPr>
      </w:pPr>
      <w:r w:rsidRPr="00956F16">
        <w:rPr>
          <w:rFonts w:ascii="Times New Roman" w:eastAsia="Calibri" w:hAnsi="Times New Roman" w:cs="Times New Roman"/>
          <w:sz w:val="18"/>
          <w:szCs w:val="18"/>
        </w:rPr>
        <w:t>•</w:t>
      </w:r>
      <w:r w:rsidRPr="00956F16">
        <w:rPr>
          <w:rFonts w:ascii="Times New Roman" w:eastAsia="Calibri" w:hAnsi="Times New Roman" w:cs="Times New Roman"/>
          <w:sz w:val="18"/>
          <w:szCs w:val="18"/>
        </w:rPr>
        <w:tab/>
        <w:t xml:space="preserve">Myelodysplasiás szindrómák </w:t>
      </w:r>
      <w:r w:rsidR="00B35A2D">
        <w:rPr>
          <w:rFonts w:ascii="Times New Roman" w:eastAsia="Calibri" w:hAnsi="Times New Roman" w:cs="Times New Roman"/>
          <w:sz w:val="18"/>
          <w:szCs w:val="18"/>
        </w:rPr>
        <w:t>2</w:t>
      </w:r>
      <w:r w:rsidRPr="00956F16">
        <w:rPr>
          <w:rFonts w:ascii="Times New Roman" w:eastAsia="Calibri" w:hAnsi="Times New Roman" w:cs="Times New Roman"/>
          <w:sz w:val="18"/>
          <w:szCs w:val="18"/>
        </w:rPr>
        <w:t>. fázisú vizsgálata:</w:t>
      </w:r>
    </w:p>
    <w:p w14:paraId="2DFC8549" w14:textId="77777777" w:rsidR="00956F16" w:rsidRPr="00956F16" w:rsidRDefault="00956F16" w:rsidP="00956F16">
      <w:pPr>
        <w:spacing w:after="0" w:line="240" w:lineRule="auto"/>
        <w:ind w:left="1701" w:hanging="567"/>
        <w:rPr>
          <w:rFonts w:ascii="Times New Roman" w:eastAsia="Calibri" w:hAnsi="Times New Roman" w:cs="Times New Roman"/>
          <w:sz w:val="18"/>
          <w:szCs w:val="18"/>
        </w:rPr>
      </w:pPr>
      <w:r w:rsidRPr="00956F16">
        <w:rPr>
          <w:rFonts w:ascii="Times New Roman" w:eastAsia="Calibri" w:hAnsi="Times New Roman" w:cs="Times New Roman"/>
          <w:sz w:val="18"/>
          <w:szCs w:val="18"/>
        </w:rPr>
        <w:t xml:space="preserve">o </w:t>
      </w:r>
      <w:r w:rsidRPr="00956F16">
        <w:rPr>
          <w:rFonts w:ascii="Times New Roman" w:eastAsia="Calibri" w:hAnsi="Times New Roman" w:cs="Times New Roman"/>
          <w:sz w:val="18"/>
          <w:szCs w:val="18"/>
        </w:rPr>
        <w:tab/>
        <w:t>A kezelésből eredő összes mellékhatás, amely a lenalidomiddal kezelt vizsgálati alanyok legalább 5%-ánál fordult elő.</w:t>
      </w:r>
    </w:p>
    <w:p w14:paraId="4B9208A0" w14:textId="77777777" w:rsidR="00956F16" w:rsidRPr="00956F16" w:rsidRDefault="00956F16" w:rsidP="00956F16">
      <w:pPr>
        <w:spacing w:after="0" w:line="240" w:lineRule="auto"/>
        <w:ind w:left="1701" w:hanging="567"/>
        <w:rPr>
          <w:rFonts w:ascii="Times New Roman" w:eastAsia="Calibri" w:hAnsi="Times New Roman" w:cs="Times New Roman"/>
          <w:sz w:val="18"/>
          <w:szCs w:val="18"/>
        </w:rPr>
      </w:pPr>
      <w:r w:rsidRPr="00956F16">
        <w:rPr>
          <w:rFonts w:ascii="Times New Roman" w:eastAsia="Calibri" w:hAnsi="Times New Roman" w:cs="Times New Roman"/>
          <w:sz w:val="18"/>
          <w:szCs w:val="18"/>
        </w:rPr>
        <w:t xml:space="preserve">o </w:t>
      </w:r>
      <w:r w:rsidRPr="00956F16">
        <w:rPr>
          <w:rFonts w:ascii="Times New Roman" w:eastAsia="Calibri" w:hAnsi="Times New Roman" w:cs="Times New Roman"/>
          <w:sz w:val="18"/>
          <w:szCs w:val="18"/>
        </w:rPr>
        <w:tab/>
        <w:t>A kezelésből eredő összes 3. és 4. súlyossági fokú mellékhatás, amely a lenalidomiddal kezelt vizsgálati alanyok 1%-ánál fordult elő.</w:t>
      </w:r>
    </w:p>
    <w:p w14:paraId="3C61CA6D" w14:textId="40258FBA" w:rsidR="00956F16" w:rsidRPr="00956F16" w:rsidRDefault="00956F16" w:rsidP="00956F16">
      <w:pPr>
        <w:spacing w:after="0" w:line="240" w:lineRule="auto"/>
        <w:ind w:left="1701" w:hanging="567"/>
        <w:rPr>
          <w:rFonts w:ascii="Times New Roman" w:eastAsia="Calibri" w:hAnsi="Times New Roman" w:cs="Times New Roman"/>
          <w:sz w:val="18"/>
          <w:szCs w:val="18"/>
        </w:rPr>
      </w:pPr>
      <w:r w:rsidRPr="00956F16">
        <w:rPr>
          <w:rFonts w:ascii="Times New Roman" w:eastAsia="Calibri" w:hAnsi="Times New Roman" w:cs="Times New Roman"/>
          <w:sz w:val="18"/>
          <w:szCs w:val="18"/>
        </w:rPr>
        <w:t xml:space="preserve">o </w:t>
      </w:r>
      <w:r w:rsidRPr="00956F16">
        <w:rPr>
          <w:rFonts w:ascii="Times New Roman" w:eastAsia="Calibri" w:hAnsi="Times New Roman" w:cs="Times New Roman"/>
          <w:sz w:val="18"/>
          <w:szCs w:val="18"/>
        </w:rPr>
        <w:tab/>
        <w:t>A kezelésből eredő összes súlyos mellékhatás, amely a lenalidomiddal kezelt vizsgálati alanyok 1%</w:t>
      </w:r>
      <w:r w:rsidR="00104634">
        <w:rPr>
          <w:rFonts w:ascii="Times New Roman" w:eastAsia="Calibri" w:hAnsi="Times New Roman" w:cs="Times New Roman"/>
          <w:sz w:val="18"/>
          <w:szCs w:val="18"/>
        </w:rPr>
        <w:t>-</w:t>
      </w:r>
      <w:r w:rsidRPr="00956F16">
        <w:rPr>
          <w:rFonts w:ascii="Times New Roman" w:eastAsia="Calibri" w:hAnsi="Times New Roman" w:cs="Times New Roman"/>
          <w:sz w:val="18"/>
          <w:szCs w:val="18"/>
        </w:rPr>
        <w:t>ánál fordult elő.</w:t>
      </w:r>
    </w:p>
    <w:p w14:paraId="0E9F8B72" w14:textId="77777777" w:rsidR="00956F16" w:rsidRPr="00956F16" w:rsidRDefault="00956F16" w:rsidP="00956F16">
      <w:pPr>
        <w:spacing w:after="0" w:line="240" w:lineRule="auto"/>
        <w:rPr>
          <w:rFonts w:ascii="Times New Roman" w:eastAsia="Calibri" w:hAnsi="Times New Roman" w:cs="Times New Roman"/>
          <w:sz w:val="18"/>
          <w:szCs w:val="18"/>
        </w:rPr>
      </w:pPr>
    </w:p>
    <w:p w14:paraId="19B551B5" w14:textId="77777777" w:rsidR="00956F16" w:rsidRDefault="00956F16" w:rsidP="00956F16">
      <w:pPr>
        <w:keepNext/>
        <w:spacing w:after="0" w:line="240" w:lineRule="auto"/>
        <w:rPr>
          <w:rFonts w:ascii="Times New Roman" w:eastAsia="Calibri" w:hAnsi="Times New Roman" w:cs="Times New Roman"/>
          <w:b/>
        </w:rPr>
      </w:pPr>
      <w:r w:rsidRPr="00956F16">
        <w:rPr>
          <w:rFonts w:ascii="Times New Roman" w:eastAsia="Calibri" w:hAnsi="Times New Roman" w:cs="Times New Roman"/>
          <w:b/>
        </w:rPr>
        <w:lastRenderedPageBreak/>
        <w:t>4. táblázat. A klinikai vizsgálatok során lenalidomiddal kezelt, köpenysejtes lymphomában szenvedő betegek eseten jelentett mellékhatások</w:t>
      </w:r>
    </w:p>
    <w:p w14:paraId="3597D93A" w14:textId="77777777" w:rsidR="00B35A2D" w:rsidRPr="00956F16" w:rsidRDefault="00B35A2D" w:rsidP="00956F16">
      <w:pPr>
        <w:keepNext/>
        <w:spacing w:after="0" w:line="240" w:lineRule="auto"/>
        <w:rPr>
          <w:rFonts w:ascii="Times New Roman" w:eastAsia="Calibri" w:hAnsi="Times New Roman" w:cs="Times New Roman"/>
          <w:b/>
        </w:rPr>
      </w:pPr>
    </w:p>
    <w:tbl>
      <w:tblPr>
        <w:tblW w:w="9204" w:type="dxa"/>
        <w:tblInd w:w="5" w:type="dxa"/>
        <w:tblLayout w:type="fixed"/>
        <w:tblCellMar>
          <w:left w:w="0" w:type="dxa"/>
          <w:right w:w="0" w:type="dxa"/>
        </w:tblCellMar>
        <w:tblLook w:val="0000" w:firstRow="0" w:lastRow="0" w:firstColumn="0" w:lastColumn="0" w:noHBand="0" w:noVBand="0"/>
      </w:tblPr>
      <w:tblGrid>
        <w:gridCol w:w="2400"/>
        <w:gridCol w:w="3402"/>
        <w:gridCol w:w="3402"/>
      </w:tblGrid>
      <w:tr w:rsidR="00956F16" w:rsidRPr="00956F16" w14:paraId="400EF12D" w14:textId="77777777" w:rsidTr="00694E9C">
        <w:trPr>
          <w:trHeight w:hRule="exact" w:val="955"/>
          <w:tblHeader/>
        </w:trPr>
        <w:tc>
          <w:tcPr>
            <w:tcW w:w="2400" w:type="dxa"/>
            <w:tcBorders>
              <w:top w:val="single" w:sz="4" w:space="0" w:color="000000"/>
              <w:left w:val="single" w:sz="4" w:space="0" w:color="000000"/>
              <w:bottom w:val="single" w:sz="4" w:space="0" w:color="000000"/>
              <w:right w:val="single" w:sz="4" w:space="0" w:color="000000"/>
            </w:tcBorders>
          </w:tcPr>
          <w:p w14:paraId="5C0C568F" w14:textId="7C07994D"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Szervrendszer</w:t>
            </w:r>
            <w:r w:rsidR="005C44EF">
              <w:rPr>
                <w:rFonts w:ascii="Times New Roman" w:eastAsia="Times New Roman" w:hAnsi="Times New Roman" w:cs="Times New Roman"/>
                <w:b/>
                <w:bCs/>
                <w:szCs w:val="20"/>
              </w:rPr>
              <w:t>i kategória/ megnevezés</w:t>
            </w:r>
            <w:r w:rsidRPr="00956F16">
              <w:rPr>
                <w:rFonts w:ascii="Times New Roman" w:eastAsia="Times New Roman" w:hAnsi="Times New Roman" w:cs="Times New Roman"/>
                <w:b/>
                <w:bCs/>
                <w:szCs w:val="20"/>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60618291"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Minden mellékhatás/gyakoriság</w:t>
            </w:r>
          </w:p>
        </w:tc>
        <w:tc>
          <w:tcPr>
            <w:tcW w:w="3402" w:type="dxa"/>
            <w:tcBorders>
              <w:top w:val="single" w:sz="4" w:space="0" w:color="000000"/>
              <w:left w:val="single" w:sz="4" w:space="0" w:color="000000"/>
              <w:bottom w:val="single" w:sz="4" w:space="0" w:color="000000"/>
              <w:right w:val="single" w:sz="4" w:space="0" w:color="000000"/>
            </w:tcBorders>
          </w:tcPr>
          <w:p w14:paraId="17DACD9E"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3−4-es súlyossági fokú mellékhatások/gyakoriság</w:t>
            </w:r>
          </w:p>
        </w:tc>
      </w:tr>
      <w:tr w:rsidR="00956F16" w:rsidRPr="00956F16" w14:paraId="564C78FA" w14:textId="77777777" w:rsidTr="00694E9C">
        <w:trPr>
          <w:trHeight w:val="2142"/>
        </w:trPr>
        <w:tc>
          <w:tcPr>
            <w:tcW w:w="2400" w:type="dxa"/>
            <w:tcBorders>
              <w:top w:val="single" w:sz="4" w:space="0" w:color="000000"/>
              <w:left w:val="single" w:sz="4" w:space="0" w:color="000000"/>
              <w:bottom w:val="single" w:sz="4" w:space="0" w:color="000000"/>
              <w:right w:val="single" w:sz="4" w:space="0" w:color="000000"/>
            </w:tcBorders>
          </w:tcPr>
          <w:p w14:paraId="18472FD4" w14:textId="77777777" w:rsidR="00956F16" w:rsidRPr="00956F16" w:rsidRDefault="00956F16" w:rsidP="00956F16">
            <w:pPr>
              <w:keepNext/>
              <w:spacing w:after="0" w:line="240" w:lineRule="auto"/>
              <w:rPr>
                <w:rFonts w:ascii="Times New Roman" w:eastAsia="Calibri" w:hAnsi="Times New Roman" w:cs="Times New Roman"/>
                <w:b/>
                <w:sz w:val="24"/>
                <w:szCs w:val="24"/>
              </w:rPr>
            </w:pPr>
            <w:r w:rsidRPr="00956F16">
              <w:rPr>
                <w:rFonts w:ascii="Times New Roman" w:eastAsia="Calibri" w:hAnsi="Times New Roman" w:cs="Times New Roman"/>
                <w:b/>
              </w:rPr>
              <w:t>Fertőző betegségek és parazitafertőzések</w:t>
            </w:r>
          </w:p>
        </w:tc>
        <w:tc>
          <w:tcPr>
            <w:tcW w:w="3402" w:type="dxa"/>
            <w:tcBorders>
              <w:top w:val="single" w:sz="4" w:space="0" w:color="000000"/>
              <w:left w:val="single" w:sz="4" w:space="0" w:color="000000"/>
              <w:bottom w:val="single" w:sz="4" w:space="0" w:color="000000"/>
              <w:right w:val="single" w:sz="4" w:space="0" w:color="000000"/>
            </w:tcBorders>
          </w:tcPr>
          <w:p w14:paraId="7E02A1BE"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4603EC09"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highlight w:val="yellow"/>
              </w:rPr>
            </w:pPr>
            <w:r w:rsidRPr="00956F16">
              <w:rPr>
                <w:rFonts w:ascii="Times New Roman" w:eastAsia="Times New Roman" w:hAnsi="Times New Roman" w:cs="Times New Roman"/>
                <w:spacing w:val="-1"/>
                <w:szCs w:val="20"/>
              </w:rPr>
              <w:t>bakteriális, vírus- és gombafertőzések (beleértve az opportunista fertőzéseket is)</w:t>
            </w:r>
            <w:r w:rsidRPr="00956F16">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xml:space="preserve">, nasopharyngitis, </w:t>
            </w:r>
            <w:r w:rsidRPr="00956F16">
              <w:rPr>
                <w:rFonts w:ascii="Times New Roman" w:eastAsia="Times New Roman" w:hAnsi="Times New Roman" w:cs="Times New Roman"/>
                <w:szCs w:val="20"/>
              </w:rPr>
              <w:t>pneu</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zCs w:val="20"/>
              </w:rPr>
              <w:t>on</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vertAlign w:val="superscript"/>
              </w:rPr>
              <w:t>◊</w:t>
            </w:r>
          </w:p>
          <w:p w14:paraId="1F82F268"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p>
          <w:p w14:paraId="7D9A5126"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2428290D" w14:textId="15D4FEED" w:rsidR="00956F16" w:rsidRPr="00956F16" w:rsidRDefault="00DB6881"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Pr>
                <w:rFonts w:ascii="Times New Roman" w:eastAsia="Times New Roman" w:hAnsi="Times New Roman" w:cs="Times New Roman"/>
                <w:spacing w:val="-4"/>
                <w:szCs w:val="20"/>
              </w:rPr>
              <w:t>s</w:t>
            </w:r>
            <w:r w:rsidR="00956F16" w:rsidRPr="00956F16">
              <w:rPr>
                <w:rFonts w:ascii="Times New Roman" w:eastAsia="Times New Roman" w:hAnsi="Times New Roman" w:cs="Times New Roman"/>
                <w:spacing w:val="-4"/>
                <w:szCs w:val="20"/>
              </w:rPr>
              <w:t>inusitis</w:t>
            </w:r>
          </w:p>
        </w:tc>
        <w:tc>
          <w:tcPr>
            <w:tcW w:w="3402" w:type="dxa"/>
            <w:tcBorders>
              <w:top w:val="single" w:sz="4" w:space="0" w:color="000000"/>
              <w:left w:val="single" w:sz="4" w:space="0" w:color="000000"/>
              <w:bottom w:val="single" w:sz="4" w:space="0" w:color="auto"/>
              <w:right w:val="single" w:sz="4" w:space="0" w:color="000000"/>
            </w:tcBorders>
          </w:tcPr>
          <w:p w14:paraId="33BB9025"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D95ACAA"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highlight w:val="yellow"/>
              </w:rPr>
            </w:pPr>
            <w:r w:rsidRPr="00956F16">
              <w:rPr>
                <w:rFonts w:ascii="Times New Roman" w:eastAsia="Times New Roman" w:hAnsi="Times New Roman" w:cs="Times New Roman"/>
                <w:spacing w:val="-1"/>
                <w:szCs w:val="20"/>
              </w:rPr>
              <w:t>bakteriális, vírus- és gombafertőzések (beleértve az opportunista fertőzéseket is)</w:t>
            </w:r>
            <w:r w:rsidRPr="00956F16">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zCs w:val="20"/>
              </w:rPr>
              <w:t>pneu</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zCs w:val="20"/>
              </w:rPr>
              <w:t>on</w:t>
            </w:r>
            <w:r w:rsidRPr="00956F16">
              <w:rPr>
                <w:rFonts w:ascii="Times New Roman" w:eastAsia="Times New Roman" w:hAnsi="Times New Roman" w:cs="Times New Roman"/>
                <w:spacing w:val="1"/>
                <w:szCs w:val="20"/>
              </w:rPr>
              <w:t>ia</w:t>
            </w:r>
            <w:r w:rsidRPr="00956F16">
              <w:rPr>
                <w:rFonts w:ascii="Times New Roman" w:eastAsia="Times New Roman" w:hAnsi="Times New Roman" w:cs="Times New Roman"/>
                <w:szCs w:val="20"/>
                <w:vertAlign w:val="superscript"/>
              </w:rPr>
              <w:t>◊</w:t>
            </w:r>
          </w:p>
          <w:p w14:paraId="320DCBB4" w14:textId="77777777" w:rsidR="00956F16" w:rsidRPr="00956F16" w:rsidRDefault="00956F16" w:rsidP="00956F16">
            <w:pPr>
              <w:keepNext/>
              <w:tabs>
                <w:tab w:val="left" w:pos="567"/>
              </w:tabs>
              <w:autoSpaceDE w:val="0"/>
              <w:autoSpaceDN w:val="0"/>
              <w:adjustRightInd w:val="0"/>
              <w:spacing w:after="0" w:line="240" w:lineRule="auto"/>
              <w:ind w:left="142" w:right="41"/>
              <w:rPr>
                <w:rFonts w:ascii="Times New Roman" w:eastAsia="Times New Roman" w:hAnsi="Times New Roman" w:cs="Times New Roman"/>
                <w:szCs w:val="20"/>
              </w:rPr>
            </w:pPr>
          </w:p>
        </w:tc>
      </w:tr>
      <w:tr w:rsidR="00956F16" w:rsidRPr="00956F16" w14:paraId="46734BF5" w14:textId="77777777" w:rsidTr="00694E9C">
        <w:trPr>
          <w:trHeight w:hRule="exact" w:val="1414"/>
        </w:trPr>
        <w:tc>
          <w:tcPr>
            <w:tcW w:w="2400" w:type="dxa"/>
            <w:tcBorders>
              <w:top w:val="single" w:sz="4" w:space="0" w:color="000000"/>
              <w:left w:val="single" w:sz="4" w:space="0" w:color="000000"/>
              <w:bottom w:val="single" w:sz="4" w:space="0" w:color="000000"/>
              <w:right w:val="single" w:sz="4" w:space="0" w:color="000000"/>
            </w:tcBorders>
          </w:tcPr>
          <w:p w14:paraId="4EC9FEB0" w14:textId="77777777" w:rsidR="00956F16" w:rsidRPr="00956F16" w:rsidRDefault="00956F16" w:rsidP="00956F16">
            <w:pPr>
              <w:widowControl w:val="0"/>
              <w:tabs>
                <w:tab w:val="left" w:pos="567"/>
              </w:tabs>
              <w:autoSpaceDE w:val="0"/>
              <w:autoSpaceDN w:val="0"/>
              <w:adjustRightInd w:val="0"/>
              <w:spacing w:after="0" w:line="240" w:lineRule="auto"/>
              <w:ind w:left="142" w:right="193"/>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Jó-, rosszindulatú és nem meghatározott daganatok (beleértve a cisztákat és polipokat is)</w:t>
            </w:r>
          </w:p>
        </w:tc>
        <w:tc>
          <w:tcPr>
            <w:tcW w:w="3402" w:type="dxa"/>
            <w:tcBorders>
              <w:top w:val="single" w:sz="4" w:space="0" w:color="000000"/>
              <w:left w:val="single" w:sz="4" w:space="0" w:color="000000"/>
              <w:bottom w:val="single" w:sz="4" w:space="0" w:color="000000"/>
              <w:right w:val="single" w:sz="4" w:space="0" w:color="000000"/>
            </w:tcBorders>
          </w:tcPr>
          <w:p w14:paraId="363C870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4B159A6B" w14:textId="7BA0C9FE"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tumorfellángolási reakció</w:t>
            </w:r>
          </w:p>
        </w:tc>
        <w:tc>
          <w:tcPr>
            <w:tcW w:w="3402" w:type="dxa"/>
            <w:tcBorders>
              <w:top w:val="single" w:sz="4" w:space="0" w:color="auto"/>
              <w:left w:val="single" w:sz="4" w:space="0" w:color="000000"/>
              <w:bottom w:val="single" w:sz="4" w:space="0" w:color="000000"/>
              <w:right w:val="single" w:sz="4" w:space="0" w:color="000000"/>
            </w:tcBorders>
          </w:tcPr>
          <w:p w14:paraId="16D1EA84"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u w:val="single"/>
              </w:rPr>
            </w:pPr>
            <w:r w:rsidRPr="00956F16">
              <w:rPr>
                <w:rFonts w:ascii="Times New Roman" w:eastAsia="Times New Roman" w:hAnsi="Times New Roman" w:cs="Times New Roman"/>
                <w:u w:val="single"/>
              </w:rPr>
              <w:t>Gyakori</w:t>
            </w:r>
          </w:p>
          <w:p w14:paraId="0E1E9629" w14:textId="6271FE65"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tumorfellángolási reakció</w:t>
            </w:r>
            <w:r w:rsidRPr="00956F16">
              <w:rPr>
                <w:rFonts w:ascii="Times New Roman" w:eastAsia="Times New Roman" w:hAnsi="Times New Roman" w:cs="Times New Roman"/>
              </w:rPr>
              <w:t>, a bőr laphámsejtes karcinómája</w:t>
            </w:r>
            <w:r w:rsidRPr="00956F16">
              <w:rPr>
                <w:rFonts w:ascii="Times New Roman" w:eastAsia="Times New Roman" w:hAnsi="Times New Roman" w:cs="Times New Roman"/>
                <w:vertAlign w:val="superscript"/>
              </w:rPr>
              <w:t xml:space="preserve">^,◊, </w:t>
            </w:r>
            <w:r w:rsidRPr="00956F16">
              <w:rPr>
                <w:rFonts w:ascii="Times New Roman" w:eastAsia="Times New Roman" w:hAnsi="Times New Roman" w:cs="Times New Roman"/>
              </w:rPr>
              <w:t>bazálsejtes karcinóma</w:t>
            </w:r>
            <w:r w:rsidRPr="00956F16">
              <w:rPr>
                <w:rFonts w:ascii="Times New Roman" w:eastAsia="Times New Roman" w:hAnsi="Times New Roman" w:cs="Times New Roman"/>
                <w:vertAlign w:val="superscript"/>
              </w:rPr>
              <w:t>^,◊</w:t>
            </w:r>
          </w:p>
        </w:tc>
      </w:tr>
      <w:tr w:rsidR="00956F16" w:rsidRPr="00956F16" w14:paraId="6248B6CB" w14:textId="77777777" w:rsidTr="00694E9C">
        <w:trPr>
          <w:trHeight w:val="1838"/>
        </w:trPr>
        <w:tc>
          <w:tcPr>
            <w:tcW w:w="2400" w:type="dxa"/>
            <w:tcBorders>
              <w:top w:val="single" w:sz="4" w:space="0" w:color="000000"/>
              <w:left w:val="single" w:sz="4" w:space="0" w:color="000000"/>
              <w:right w:val="single" w:sz="4" w:space="0" w:color="000000"/>
            </w:tcBorders>
          </w:tcPr>
          <w:p w14:paraId="5035BE2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Vérképzőszervi és nyirokrendszeri betegségek és tünetek</w:t>
            </w:r>
          </w:p>
        </w:tc>
        <w:tc>
          <w:tcPr>
            <w:tcW w:w="3402" w:type="dxa"/>
            <w:tcBorders>
              <w:top w:val="single" w:sz="4" w:space="0" w:color="000000"/>
              <w:left w:val="single" w:sz="4" w:space="0" w:color="000000"/>
              <w:right w:val="single" w:sz="4" w:space="0" w:color="000000"/>
            </w:tcBorders>
          </w:tcPr>
          <w:p w14:paraId="38CD01A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r w:rsidRPr="00956F16">
              <w:rPr>
                <w:rFonts w:ascii="Times New Roman" w:eastAsia="Times New Roman" w:hAnsi="Times New Roman" w:cs="Times New Roman"/>
                <w:spacing w:val="2"/>
                <w:szCs w:val="20"/>
                <w:u w:val="single"/>
              </w:rPr>
              <w:t>Nagyon gyakori</w:t>
            </w:r>
          </w:p>
          <w:p w14:paraId="2BC59746" w14:textId="1693F536"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rPr>
            </w:pPr>
            <w:r w:rsidRPr="00956F16">
              <w:rPr>
                <w:rFonts w:ascii="Times New Roman" w:eastAsia="Times New Roman" w:hAnsi="Times New Roman" w:cs="Times New Roman"/>
                <w:spacing w:val="2"/>
                <w:szCs w:val="20"/>
              </w:rPr>
              <w:t>thrombocytopenia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neutropenia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leukop</w:t>
            </w:r>
            <w:r w:rsidR="00761422">
              <w:rPr>
                <w:rFonts w:ascii="Times New Roman" w:eastAsia="Times New Roman" w:hAnsi="Times New Roman" w:cs="Times New Roman"/>
                <w:spacing w:val="2"/>
                <w:szCs w:val="20"/>
              </w:rPr>
              <w:t>e</w:t>
            </w:r>
            <w:r w:rsidRPr="00956F16">
              <w:rPr>
                <w:rFonts w:ascii="Times New Roman" w:eastAsia="Times New Roman" w:hAnsi="Times New Roman" w:cs="Times New Roman"/>
                <w:spacing w:val="2"/>
                <w:szCs w:val="20"/>
              </w:rPr>
              <w:t>ni</w:t>
            </w:r>
            <w:r w:rsidR="00A6122A">
              <w:rPr>
                <w:rFonts w:ascii="Times New Roman" w:eastAsia="Times New Roman" w:hAnsi="Times New Roman" w:cs="Times New Roman"/>
                <w:spacing w:val="2"/>
                <w:szCs w:val="20"/>
              </w:rPr>
              <w:t>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anaemia</w:t>
            </w:r>
            <w:r w:rsidRPr="00956F16">
              <w:rPr>
                <w:rFonts w:ascii="Times New Roman" w:eastAsia="Times New Roman" w:hAnsi="Times New Roman" w:cs="Times New Roman"/>
                <w:spacing w:val="2"/>
                <w:szCs w:val="20"/>
                <w:vertAlign w:val="superscript"/>
              </w:rPr>
              <w:t>◊</w:t>
            </w:r>
          </w:p>
          <w:p w14:paraId="56491AF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p>
          <w:p w14:paraId="4D9C5AF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r w:rsidRPr="00956F16">
              <w:rPr>
                <w:rFonts w:ascii="Times New Roman" w:eastAsia="Times New Roman" w:hAnsi="Times New Roman" w:cs="Times New Roman"/>
                <w:spacing w:val="2"/>
                <w:szCs w:val="20"/>
                <w:u w:val="single"/>
              </w:rPr>
              <w:t>Gyakori</w:t>
            </w:r>
          </w:p>
          <w:p w14:paraId="025A520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rPr>
              <w:t>lázas neutropenia</w:t>
            </w:r>
            <w:r w:rsidRPr="00956F16">
              <w:rPr>
                <w:rFonts w:ascii="Times New Roman" w:eastAsia="Times New Roman" w:hAnsi="Times New Roman" w:cs="Times New Roman"/>
                <w:spacing w:val="2"/>
                <w:szCs w:val="20"/>
                <w:vertAlign w:val="superscript"/>
              </w:rPr>
              <w:t>^,◊</w:t>
            </w:r>
          </w:p>
          <w:p w14:paraId="5E0AAFE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p>
        </w:tc>
        <w:tc>
          <w:tcPr>
            <w:tcW w:w="3402" w:type="dxa"/>
            <w:tcBorders>
              <w:top w:val="single" w:sz="4" w:space="0" w:color="000000"/>
              <w:left w:val="single" w:sz="4" w:space="0" w:color="000000"/>
              <w:right w:val="single" w:sz="4" w:space="0" w:color="000000"/>
            </w:tcBorders>
          </w:tcPr>
          <w:p w14:paraId="5B0A784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Nagyon gyakori</w:t>
            </w:r>
          </w:p>
          <w:p w14:paraId="3BB4F9F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rPr>
            </w:pPr>
            <w:r w:rsidRPr="00956F16">
              <w:rPr>
                <w:rFonts w:ascii="Times New Roman" w:eastAsia="Times New Roman" w:hAnsi="Times New Roman" w:cs="Times New Roman"/>
                <w:spacing w:val="2"/>
                <w:szCs w:val="20"/>
              </w:rPr>
              <w:t>thrombocytopenia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neutropenia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anaemia</w:t>
            </w:r>
            <w:r w:rsidRPr="00956F16">
              <w:rPr>
                <w:rFonts w:ascii="Times New Roman" w:eastAsia="Times New Roman" w:hAnsi="Times New Roman" w:cs="Times New Roman"/>
                <w:spacing w:val="2"/>
                <w:szCs w:val="20"/>
                <w:vertAlign w:val="superscript"/>
              </w:rPr>
              <w:t>◊</w:t>
            </w:r>
          </w:p>
          <w:p w14:paraId="28E7093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p>
          <w:p w14:paraId="425A816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Gyakori</w:t>
            </w:r>
          </w:p>
          <w:p w14:paraId="25239CF2" w14:textId="4C251FDA"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lázas neutropenia</w:t>
            </w:r>
            <w:r w:rsidRPr="00956F16">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2"/>
                <w:szCs w:val="20"/>
              </w:rPr>
              <w:t>leukop</w:t>
            </w:r>
            <w:r w:rsidR="00761422">
              <w:rPr>
                <w:rFonts w:ascii="Times New Roman" w:eastAsia="Times New Roman" w:hAnsi="Times New Roman" w:cs="Times New Roman"/>
                <w:spacing w:val="2"/>
                <w:szCs w:val="20"/>
              </w:rPr>
              <w:t>e</w:t>
            </w:r>
            <w:r w:rsidRPr="00956F16">
              <w:rPr>
                <w:rFonts w:ascii="Times New Roman" w:eastAsia="Times New Roman" w:hAnsi="Times New Roman" w:cs="Times New Roman"/>
                <w:spacing w:val="2"/>
                <w:szCs w:val="20"/>
              </w:rPr>
              <w:t>ni</w:t>
            </w:r>
            <w:r w:rsidR="00A6122A">
              <w:rPr>
                <w:rFonts w:ascii="Times New Roman" w:eastAsia="Times New Roman" w:hAnsi="Times New Roman" w:cs="Times New Roman"/>
                <w:spacing w:val="2"/>
                <w:szCs w:val="20"/>
              </w:rPr>
              <w:t>a</w:t>
            </w:r>
            <w:r w:rsidRPr="00956F16">
              <w:rPr>
                <w:rFonts w:ascii="Times New Roman" w:eastAsia="Times New Roman" w:hAnsi="Times New Roman" w:cs="Times New Roman"/>
                <w:spacing w:val="2"/>
                <w:szCs w:val="20"/>
                <w:vertAlign w:val="superscript"/>
              </w:rPr>
              <w:t>◊</w:t>
            </w:r>
          </w:p>
        </w:tc>
      </w:tr>
      <w:tr w:rsidR="00956F16" w:rsidRPr="00956F16" w14:paraId="68455BC8" w14:textId="77777777" w:rsidTr="00694E9C">
        <w:trPr>
          <w:trHeight w:val="1682"/>
        </w:trPr>
        <w:tc>
          <w:tcPr>
            <w:tcW w:w="2400" w:type="dxa"/>
            <w:tcBorders>
              <w:top w:val="single" w:sz="4" w:space="0" w:color="000000"/>
              <w:left w:val="single" w:sz="4" w:space="0" w:color="000000"/>
              <w:bottom w:val="single" w:sz="4" w:space="0" w:color="000000"/>
              <w:right w:val="single" w:sz="4" w:space="0" w:color="000000"/>
            </w:tcBorders>
          </w:tcPr>
          <w:p w14:paraId="1A99838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Anyagcsere- és táplálkozási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0E56CC13"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32DFB112"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zCs w:val="20"/>
              </w:rPr>
              <w:t>csökkent étvágy, testtömegcsökkenés,</w:t>
            </w:r>
            <w:r w:rsidRPr="00956F16">
              <w:rPr>
                <w:rFonts w:ascii="Times New Roman" w:eastAsia="Times New Roman" w:hAnsi="Times New Roman" w:cs="Times New Roman"/>
                <w:spacing w:val="-1"/>
                <w:szCs w:val="20"/>
              </w:rPr>
              <w:t xml:space="preserve"> 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3"/>
                <w:szCs w:val="20"/>
              </w:rPr>
              <w:t>o</w:t>
            </w:r>
            <w:r w:rsidRPr="00956F16">
              <w:rPr>
                <w:rFonts w:ascii="Times New Roman" w:eastAsia="Times New Roman" w:hAnsi="Times New Roman" w:cs="Times New Roman"/>
                <w:spacing w:val="-2"/>
                <w:szCs w:val="20"/>
              </w:rPr>
              <w:t>k</w:t>
            </w:r>
            <w:r w:rsidRPr="00956F16">
              <w:rPr>
                <w:rFonts w:ascii="Times New Roman" w:eastAsia="Times New Roman" w:hAnsi="Times New Roman" w:cs="Times New Roman"/>
                <w:spacing w:val="1"/>
                <w:szCs w:val="20"/>
              </w:rPr>
              <w:t>ala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p>
          <w:p w14:paraId="4A98D3E8"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4"/>
              </w:rPr>
            </w:pPr>
          </w:p>
          <w:p w14:paraId="64065959" w14:textId="77777777" w:rsidR="00956F16" w:rsidRPr="00956F16" w:rsidRDefault="00956F16" w:rsidP="00956F16">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629EA504" w14:textId="4743C723" w:rsidR="00956F16" w:rsidRPr="00956F16" w:rsidRDefault="00270C16" w:rsidP="00956F16">
            <w:pPr>
              <w:widowControl w:val="0"/>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zCs w:val="20"/>
              </w:rPr>
              <w:t>dehydratio</w:t>
            </w:r>
            <w:r w:rsidR="00956F16" w:rsidRPr="00956F16">
              <w:rPr>
                <w:rFonts w:ascii="Times New Roman" w:eastAsia="Times New Roman" w:hAnsi="Times New Roman" w:cs="Times New Roman"/>
                <w:szCs w:val="20"/>
                <w:vertAlign w:val="superscript"/>
              </w:rPr>
              <w:t>◊</w:t>
            </w:r>
          </w:p>
        </w:tc>
        <w:tc>
          <w:tcPr>
            <w:tcW w:w="3402" w:type="dxa"/>
            <w:tcBorders>
              <w:top w:val="single" w:sz="4" w:space="0" w:color="000000"/>
              <w:left w:val="single" w:sz="4" w:space="0" w:color="000000"/>
              <w:bottom w:val="single" w:sz="4" w:space="0" w:color="000000"/>
              <w:right w:val="single" w:sz="4" w:space="0" w:color="000000"/>
            </w:tcBorders>
          </w:tcPr>
          <w:p w14:paraId="7B2D63B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75663F5" w14:textId="0E3B547F" w:rsidR="00956F16" w:rsidRPr="00956F16" w:rsidRDefault="00270C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Pr>
                <w:rFonts w:ascii="Times New Roman" w:eastAsia="Times New Roman" w:hAnsi="Times New Roman" w:cs="Times New Roman"/>
                <w:szCs w:val="20"/>
              </w:rPr>
              <w:t>dehydratio</w:t>
            </w:r>
            <w:r w:rsidR="00956F16" w:rsidRPr="00956F16">
              <w:rPr>
                <w:rFonts w:ascii="Times New Roman" w:eastAsia="Times New Roman" w:hAnsi="Times New Roman" w:cs="Times New Roman"/>
                <w:szCs w:val="20"/>
                <w:vertAlign w:val="superscript"/>
              </w:rPr>
              <w:t>◊</w:t>
            </w:r>
            <w:r w:rsidR="00956F16" w:rsidRPr="00956F16">
              <w:rPr>
                <w:rFonts w:ascii="Times New Roman" w:eastAsia="Times New Roman" w:hAnsi="Times New Roman" w:cs="Times New Roman"/>
                <w:szCs w:val="20"/>
              </w:rPr>
              <w:t xml:space="preserve">, </w:t>
            </w:r>
            <w:r w:rsidR="00956F16" w:rsidRPr="00956F16">
              <w:rPr>
                <w:rFonts w:ascii="Times New Roman" w:eastAsia="Times New Roman" w:hAnsi="Times New Roman" w:cs="Times New Roman"/>
                <w:spacing w:val="-1"/>
                <w:szCs w:val="20"/>
              </w:rPr>
              <w:t>h</w:t>
            </w:r>
            <w:r w:rsidR="00956F16" w:rsidRPr="00956F16">
              <w:rPr>
                <w:rFonts w:ascii="Times New Roman" w:eastAsia="Times New Roman" w:hAnsi="Times New Roman" w:cs="Times New Roman"/>
                <w:spacing w:val="-2"/>
                <w:szCs w:val="20"/>
              </w:rPr>
              <w:t>y</w:t>
            </w:r>
            <w:r w:rsidR="00956F16" w:rsidRPr="00956F16">
              <w:rPr>
                <w:rFonts w:ascii="Times New Roman" w:eastAsia="Times New Roman" w:hAnsi="Times New Roman" w:cs="Times New Roman"/>
                <w:szCs w:val="20"/>
              </w:rPr>
              <w:t>pona</w:t>
            </w:r>
            <w:r w:rsidR="00956F16" w:rsidRPr="00956F16">
              <w:rPr>
                <w:rFonts w:ascii="Times New Roman" w:eastAsia="Times New Roman" w:hAnsi="Times New Roman" w:cs="Times New Roman"/>
                <w:spacing w:val="1"/>
                <w:szCs w:val="20"/>
              </w:rPr>
              <w:t>tr</w:t>
            </w:r>
            <w:r w:rsidR="00956F16" w:rsidRPr="00956F16">
              <w:rPr>
                <w:rFonts w:ascii="Times New Roman" w:eastAsia="Times New Roman" w:hAnsi="Times New Roman" w:cs="Times New Roman"/>
                <w:szCs w:val="20"/>
              </w:rPr>
              <w:t>a</w:t>
            </w:r>
            <w:r w:rsidR="00956F16" w:rsidRPr="00956F16">
              <w:rPr>
                <w:rFonts w:ascii="Times New Roman" w:eastAsia="Times New Roman" w:hAnsi="Times New Roman" w:cs="Times New Roman"/>
                <w:spacing w:val="1"/>
                <w:szCs w:val="20"/>
              </w:rPr>
              <w:t>e</w:t>
            </w:r>
            <w:r w:rsidR="00956F16" w:rsidRPr="00956F16">
              <w:rPr>
                <w:rFonts w:ascii="Times New Roman" w:eastAsia="Times New Roman" w:hAnsi="Times New Roman" w:cs="Times New Roman"/>
                <w:spacing w:val="-4"/>
                <w:szCs w:val="20"/>
              </w:rPr>
              <w:t>m</w:t>
            </w:r>
            <w:r w:rsidR="00956F16" w:rsidRPr="00956F16">
              <w:rPr>
                <w:rFonts w:ascii="Times New Roman" w:eastAsia="Times New Roman" w:hAnsi="Times New Roman" w:cs="Times New Roman"/>
                <w:spacing w:val="1"/>
                <w:szCs w:val="20"/>
              </w:rPr>
              <w:t>i</w:t>
            </w:r>
            <w:r w:rsidR="00956F16" w:rsidRPr="00956F16">
              <w:rPr>
                <w:rFonts w:ascii="Times New Roman" w:eastAsia="Times New Roman" w:hAnsi="Times New Roman" w:cs="Times New Roman"/>
                <w:szCs w:val="20"/>
              </w:rPr>
              <w:t xml:space="preserve">a, </w:t>
            </w:r>
            <w:r w:rsidR="00956F16" w:rsidRPr="00956F16">
              <w:rPr>
                <w:rFonts w:ascii="Times New Roman" w:eastAsia="Times New Roman" w:hAnsi="Times New Roman" w:cs="Times New Roman"/>
                <w:spacing w:val="-1"/>
                <w:szCs w:val="20"/>
              </w:rPr>
              <w:t>h</w:t>
            </w:r>
            <w:r w:rsidR="00956F16" w:rsidRPr="00956F16">
              <w:rPr>
                <w:rFonts w:ascii="Times New Roman" w:eastAsia="Times New Roman" w:hAnsi="Times New Roman" w:cs="Times New Roman"/>
                <w:spacing w:val="-2"/>
                <w:szCs w:val="20"/>
              </w:rPr>
              <w:t>y</w:t>
            </w:r>
            <w:r w:rsidR="00956F16" w:rsidRPr="00956F16">
              <w:rPr>
                <w:rFonts w:ascii="Times New Roman" w:eastAsia="Times New Roman" w:hAnsi="Times New Roman" w:cs="Times New Roman"/>
                <w:szCs w:val="20"/>
              </w:rPr>
              <w:t>poc</w:t>
            </w:r>
            <w:r w:rsidR="00956F16" w:rsidRPr="00956F16">
              <w:rPr>
                <w:rFonts w:ascii="Times New Roman" w:eastAsia="Times New Roman" w:hAnsi="Times New Roman" w:cs="Times New Roman"/>
                <w:spacing w:val="1"/>
                <w:szCs w:val="20"/>
              </w:rPr>
              <w:t>al</w:t>
            </w:r>
            <w:r w:rsidR="00956F16" w:rsidRPr="00956F16">
              <w:rPr>
                <w:rFonts w:ascii="Times New Roman" w:eastAsia="Times New Roman" w:hAnsi="Times New Roman" w:cs="Times New Roman"/>
                <w:szCs w:val="20"/>
              </w:rPr>
              <w:t>c</w:t>
            </w:r>
            <w:r w:rsidR="00956F16" w:rsidRPr="00956F16">
              <w:rPr>
                <w:rFonts w:ascii="Times New Roman" w:eastAsia="Times New Roman" w:hAnsi="Times New Roman" w:cs="Times New Roman"/>
                <w:spacing w:val="1"/>
                <w:szCs w:val="20"/>
              </w:rPr>
              <w:t>a</w:t>
            </w:r>
            <w:r w:rsidR="00956F16" w:rsidRPr="00956F16">
              <w:rPr>
                <w:rFonts w:ascii="Times New Roman" w:eastAsia="Times New Roman" w:hAnsi="Times New Roman" w:cs="Times New Roman"/>
                <w:szCs w:val="20"/>
              </w:rPr>
              <w:t>e</w:t>
            </w:r>
            <w:r w:rsidR="00956F16" w:rsidRPr="00956F16">
              <w:rPr>
                <w:rFonts w:ascii="Times New Roman" w:eastAsia="Times New Roman" w:hAnsi="Times New Roman" w:cs="Times New Roman"/>
                <w:spacing w:val="-3"/>
                <w:szCs w:val="20"/>
              </w:rPr>
              <w:t>m</w:t>
            </w:r>
            <w:r w:rsidR="00956F16" w:rsidRPr="00956F16">
              <w:rPr>
                <w:rFonts w:ascii="Times New Roman" w:eastAsia="Times New Roman" w:hAnsi="Times New Roman" w:cs="Times New Roman"/>
                <w:spacing w:val="1"/>
                <w:szCs w:val="20"/>
              </w:rPr>
              <w:t>ia</w:t>
            </w:r>
          </w:p>
        </w:tc>
      </w:tr>
      <w:tr w:rsidR="00956F16" w:rsidRPr="00956F16" w14:paraId="588B7184" w14:textId="77777777" w:rsidTr="00694E9C">
        <w:trPr>
          <w:trHeight w:hRule="exact" w:val="719"/>
        </w:trPr>
        <w:tc>
          <w:tcPr>
            <w:tcW w:w="2400" w:type="dxa"/>
            <w:tcBorders>
              <w:top w:val="single" w:sz="4" w:space="0" w:color="000000"/>
              <w:left w:val="single" w:sz="4" w:space="0" w:color="000000"/>
              <w:bottom w:val="single" w:sz="4" w:space="0" w:color="000000"/>
              <w:right w:val="single" w:sz="4" w:space="0" w:color="000000"/>
            </w:tcBorders>
          </w:tcPr>
          <w:p w14:paraId="47DF072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2"/>
                <w:szCs w:val="20"/>
              </w:rPr>
              <w:t>Pszichiátriai kórképek</w:t>
            </w:r>
          </w:p>
        </w:tc>
        <w:tc>
          <w:tcPr>
            <w:tcW w:w="3402" w:type="dxa"/>
            <w:tcBorders>
              <w:top w:val="single" w:sz="4" w:space="0" w:color="000000"/>
              <w:left w:val="single" w:sz="4" w:space="0" w:color="000000"/>
              <w:bottom w:val="single" w:sz="4" w:space="0" w:color="000000"/>
              <w:right w:val="single" w:sz="4" w:space="0" w:color="000000"/>
            </w:tcBorders>
          </w:tcPr>
          <w:p w14:paraId="522375C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5696B9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4"/>
              </w:rPr>
            </w:pP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zCs w:val="20"/>
              </w:rPr>
              <w:t>n</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p>
          <w:p w14:paraId="2851711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576BAAF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r>
      <w:tr w:rsidR="00956F16" w:rsidRPr="00956F16" w14:paraId="5E48BE7E" w14:textId="77777777" w:rsidTr="00694E9C">
        <w:trPr>
          <w:trHeight w:val="978"/>
        </w:trPr>
        <w:tc>
          <w:tcPr>
            <w:tcW w:w="2400" w:type="dxa"/>
            <w:tcBorders>
              <w:top w:val="single" w:sz="4" w:space="0" w:color="000000"/>
              <w:left w:val="single" w:sz="4" w:space="0" w:color="000000"/>
              <w:right w:val="single" w:sz="4" w:space="0" w:color="000000"/>
            </w:tcBorders>
          </w:tcPr>
          <w:p w14:paraId="788ECB5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Idegrendszeri betegségek és tünetek</w:t>
            </w:r>
          </w:p>
        </w:tc>
        <w:tc>
          <w:tcPr>
            <w:tcW w:w="3402" w:type="dxa"/>
            <w:tcBorders>
              <w:top w:val="single" w:sz="4" w:space="0" w:color="000000"/>
              <w:left w:val="single" w:sz="4" w:space="0" w:color="000000"/>
              <w:right w:val="single" w:sz="4" w:space="0" w:color="000000"/>
            </w:tcBorders>
          </w:tcPr>
          <w:p w14:paraId="191BA22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542841AD" w14:textId="77777777" w:rsidR="00956F16" w:rsidRPr="00956F16" w:rsidRDefault="00956F16" w:rsidP="00956F16">
            <w:pPr>
              <w:widowControl w:val="0"/>
              <w:tabs>
                <w:tab w:val="left" w:pos="567"/>
              </w:tabs>
              <w:autoSpaceDE w:val="0"/>
              <w:autoSpaceDN w:val="0"/>
              <w:adjustRightInd w:val="0"/>
              <w:spacing w:after="0" w:line="240" w:lineRule="auto"/>
              <w:ind w:left="142" w:right="380"/>
              <w:rPr>
                <w:rFonts w:ascii="Times New Roman" w:eastAsia="Times New Roman" w:hAnsi="Times New Roman" w:cs="Times New Roman"/>
                <w:sz w:val="24"/>
                <w:szCs w:val="24"/>
              </w:rPr>
            </w:pPr>
            <w:r w:rsidRPr="00956F16">
              <w:rPr>
                <w:rFonts w:ascii="Times New Roman" w:eastAsia="Times New Roman" w:hAnsi="Times New Roman" w:cs="Times New Roman"/>
                <w:szCs w:val="20"/>
              </w:rPr>
              <w:t xml:space="preserve">dysgeusia, </w:t>
            </w:r>
            <w:r w:rsidRPr="00956F16">
              <w:rPr>
                <w:rFonts w:ascii="Times New Roman" w:eastAsia="Times New Roman" w:hAnsi="Times New Roman" w:cs="Times New Roman"/>
                <w:spacing w:val="-1"/>
                <w:szCs w:val="20"/>
              </w:rPr>
              <w:t>fejfájás,</w:t>
            </w:r>
            <w:r w:rsidRPr="00956F16">
              <w:rPr>
                <w:rFonts w:ascii="Times New Roman" w:eastAsia="Times New Roman" w:hAnsi="Times New Roman" w:cs="Times New Roman"/>
                <w:szCs w:val="20"/>
              </w:rPr>
              <w:t xml:space="preserve"> pe</w:t>
            </w:r>
            <w:r w:rsidRPr="00956F16">
              <w:rPr>
                <w:rFonts w:ascii="Times New Roman" w:eastAsia="Times New Roman" w:hAnsi="Times New Roman" w:cs="Times New Roman"/>
                <w:spacing w:val="1"/>
                <w:szCs w:val="20"/>
              </w:rPr>
              <w:t>rifériás</w:t>
            </w:r>
            <w:r w:rsidRPr="00956F16">
              <w:rPr>
                <w:rFonts w:ascii="Times New Roman" w:eastAsia="Times New Roman" w:hAnsi="Times New Roman" w:cs="Times New Roman"/>
                <w:szCs w:val="20"/>
              </w:rPr>
              <w:t xml:space="preserve"> neu</w:t>
            </w:r>
            <w:r w:rsidRPr="00956F16">
              <w:rPr>
                <w:rFonts w:ascii="Times New Roman" w:eastAsia="Times New Roman" w:hAnsi="Times New Roman" w:cs="Times New Roman"/>
                <w:spacing w:val="-2"/>
                <w:szCs w:val="20"/>
              </w:rPr>
              <w:t>r</w:t>
            </w:r>
            <w:r w:rsidRPr="00956F16">
              <w:rPr>
                <w:rFonts w:ascii="Times New Roman" w:eastAsia="Times New Roman" w:hAnsi="Times New Roman" w:cs="Times New Roman"/>
                <w:szCs w:val="20"/>
              </w:rPr>
              <w:t>op</w:t>
            </w:r>
            <w:r w:rsidRPr="00956F16">
              <w:rPr>
                <w:rFonts w:ascii="Times New Roman" w:eastAsia="Times New Roman" w:hAnsi="Times New Roman" w:cs="Times New Roman"/>
                <w:spacing w:val="-2"/>
                <w:szCs w:val="20"/>
              </w:rPr>
              <w:t>a</w:t>
            </w:r>
            <w:r w:rsidRPr="00956F16">
              <w:rPr>
                <w:rFonts w:ascii="Times New Roman" w:eastAsia="Times New Roman" w:hAnsi="Times New Roman" w:cs="Times New Roman"/>
                <w:spacing w:val="1"/>
                <w:szCs w:val="20"/>
              </w:rPr>
              <w:t>t</w:t>
            </w:r>
            <w:r w:rsidRPr="00956F16">
              <w:rPr>
                <w:rFonts w:ascii="Times New Roman" w:eastAsia="Times New Roman" w:hAnsi="Times New Roman" w:cs="Times New Roman"/>
                <w:szCs w:val="20"/>
              </w:rPr>
              <w:t>h</w:t>
            </w:r>
            <w:r w:rsidRPr="00956F16">
              <w:rPr>
                <w:rFonts w:ascii="Times New Roman" w:eastAsia="Times New Roman" w:hAnsi="Times New Roman" w:cs="Times New Roman"/>
                <w:spacing w:val="-1"/>
                <w:szCs w:val="20"/>
              </w:rPr>
              <w:t xml:space="preserve">ia </w:t>
            </w:r>
          </w:p>
        </w:tc>
        <w:tc>
          <w:tcPr>
            <w:tcW w:w="3402" w:type="dxa"/>
            <w:tcBorders>
              <w:top w:val="single" w:sz="4" w:space="0" w:color="000000"/>
              <w:left w:val="single" w:sz="4" w:space="0" w:color="000000"/>
              <w:right w:val="single" w:sz="4" w:space="0" w:color="000000"/>
            </w:tcBorders>
          </w:tcPr>
          <w:p w14:paraId="276C7AB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7ABA0E9" w14:textId="77777777" w:rsidR="00956F16" w:rsidRPr="00956F16" w:rsidRDefault="00956F16" w:rsidP="00956F16">
            <w:pPr>
              <w:widowControl w:val="0"/>
              <w:tabs>
                <w:tab w:val="left" w:pos="567"/>
              </w:tabs>
              <w:autoSpaceDE w:val="0"/>
              <w:autoSpaceDN w:val="0"/>
              <w:adjustRightInd w:val="0"/>
              <w:spacing w:after="0" w:line="240" w:lineRule="auto"/>
              <w:ind w:left="142" w:right="142"/>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perifériás szenzoros neuropathia, letargia</w:t>
            </w:r>
          </w:p>
        </w:tc>
      </w:tr>
      <w:tr w:rsidR="00956F16" w:rsidRPr="00956F16" w14:paraId="14640A3D" w14:textId="77777777" w:rsidTr="00694E9C">
        <w:trPr>
          <w:trHeight w:hRule="exact" w:val="859"/>
        </w:trPr>
        <w:tc>
          <w:tcPr>
            <w:tcW w:w="2400" w:type="dxa"/>
            <w:tcBorders>
              <w:top w:val="single" w:sz="4" w:space="0" w:color="000000"/>
              <w:left w:val="single" w:sz="4" w:space="0" w:color="000000"/>
              <w:bottom w:val="single" w:sz="4" w:space="0" w:color="000000"/>
              <w:right w:val="single" w:sz="4" w:space="0" w:color="000000"/>
            </w:tcBorders>
          </w:tcPr>
          <w:p w14:paraId="27C0DC4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A fül és az egyensúly-érzékelő szerv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2CCFC7A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A2BBB3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vertigo</w:t>
            </w:r>
          </w:p>
        </w:tc>
        <w:tc>
          <w:tcPr>
            <w:tcW w:w="3402" w:type="dxa"/>
            <w:tcBorders>
              <w:top w:val="single" w:sz="4" w:space="0" w:color="000000"/>
              <w:left w:val="single" w:sz="4" w:space="0" w:color="000000"/>
              <w:bottom w:val="single" w:sz="4" w:space="0" w:color="000000"/>
              <w:right w:val="single" w:sz="4" w:space="0" w:color="000000"/>
            </w:tcBorders>
          </w:tcPr>
          <w:p w14:paraId="3ABA33DA"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r w:rsidR="00956F16" w:rsidRPr="00956F16" w14:paraId="64596FA8" w14:textId="77777777" w:rsidTr="00694E9C">
        <w:trPr>
          <w:trHeight w:val="1023"/>
        </w:trPr>
        <w:tc>
          <w:tcPr>
            <w:tcW w:w="2400" w:type="dxa"/>
            <w:tcBorders>
              <w:top w:val="single" w:sz="4" w:space="0" w:color="000000"/>
              <w:left w:val="single" w:sz="4" w:space="0" w:color="000000"/>
              <w:bottom w:val="single" w:sz="4" w:space="0" w:color="000000"/>
              <w:right w:val="single" w:sz="4" w:space="0" w:color="000000"/>
            </w:tcBorders>
          </w:tcPr>
          <w:p w14:paraId="5CE98A0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Szívbetegségek és a szívvel kapcsolatos tünetek</w:t>
            </w:r>
          </w:p>
        </w:tc>
        <w:tc>
          <w:tcPr>
            <w:tcW w:w="3402" w:type="dxa"/>
            <w:tcBorders>
              <w:top w:val="single" w:sz="4" w:space="0" w:color="000000"/>
              <w:left w:val="single" w:sz="4" w:space="0" w:color="000000"/>
              <w:bottom w:val="single" w:sz="4" w:space="0" w:color="000000"/>
              <w:right w:val="single" w:sz="4" w:space="0" w:color="000000"/>
            </w:tcBorders>
          </w:tcPr>
          <w:p w14:paraId="0661B791" w14:textId="77777777" w:rsidR="00956F16" w:rsidRPr="00956F16" w:rsidRDefault="00956F16" w:rsidP="00956F16">
            <w:pPr>
              <w:widowControl w:val="0"/>
              <w:tabs>
                <w:tab w:val="left" w:pos="567"/>
              </w:tabs>
              <w:autoSpaceDE w:val="0"/>
              <w:autoSpaceDN w:val="0"/>
              <w:adjustRightInd w:val="0"/>
              <w:spacing w:after="0" w:line="240" w:lineRule="auto"/>
              <w:ind w:left="142" w:right="38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6DCBFAE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45659031" w14:textId="77777777" w:rsidR="00956F16" w:rsidRPr="00956F16" w:rsidRDefault="00956F16" w:rsidP="00956F16">
            <w:pPr>
              <w:widowControl w:val="0"/>
              <w:tabs>
                <w:tab w:val="left" w:pos="567"/>
              </w:tabs>
              <w:autoSpaceDE w:val="0"/>
              <w:autoSpaceDN w:val="0"/>
              <w:adjustRightInd w:val="0"/>
              <w:spacing w:after="0" w:line="240" w:lineRule="auto"/>
              <w:ind w:left="142" w:right="142"/>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m</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o</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zCs w:val="20"/>
              </w:rPr>
              <w:t>a</w:t>
            </w:r>
            <w:r w:rsidRPr="00956F16">
              <w:rPr>
                <w:rFonts w:ascii="Times New Roman" w:eastAsia="Times New Roman" w:hAnsi="Times New Roman" w:cs="Times New Roman"/>
                <w:spacing w:val="1"/>
                <w:szCs w:val="20"/>
              </w:rPr>
              <w:t>r</w:t>
            </w:r>
            <w:r w:rsidRPr="00956F16">
              <w:rPr>
                <w:rFonts w:ascii="Times New Roman" w:eastAsia="Times New Roman" w:hAnsi="Times New Roman" w:cs="Times New Roman"/>
                <w:spacing w:val="-2"/>
                <w:szCs w:val="20"/>
              </w:rPr>
              <w:t>d</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alis</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pacing w:val="-2"/>
                <w:szCs w:val="20"/>
              </w:rPr>
              <w:t>n</w:t>
            </w:r>
            <w:r w:rsidRPr="00956F16">
              <w:rPr>
                <w:rFonts w:ascii="Times New Roman" w:eastAsia="Times New Roman" w:hAnsi="Times New Roman" w:cs="Times New Roman"/>
                <w:spacing w:val="1"/>
                <w:szCs w:val="20"/>
              </w:rPr>
              <w:t>fa</w:t>
            </w:r>
            <w:r w:rsidRPr="00956F16">
              <w:rPr>
                <w:rFonts w:ascii="Times New Roman" w:eastAsia="Times New Roman" w:hAnsi="Times New Roman" w:cs="Times New Roman"/>
                <w:spacing w:val="-2"/>
                <w:szCs w:val="20"/>
              </w:rPr>
              <w:t>r</w:t>
            </w:r>
            <w:r w:rsidRPr="00956F16">
              <w:rPr>
                <w:rFonts w:ascii="Times New Roman" w:eastAsia="Times New Roman" w:hAnsi="Times New Roman" w:cs="Times New Roman"/>
                <w:spacing w:val="1"/>
                <w:szCs w:val="20"/>
              </w:rPr>
              <w:t>c</w:t>
            </w:r>
            <w:r w:rsidRPr="00956F16">
              <w:rPr>
                <w:rFonts w:ascii="Times New Roman" w:eastAsia="Times New Roman" w:hAnsi="Times New Roman" w:cs="Times New Roman"/>
                <w:spacing w:val="-1"/>
                <w:szCs w:val="20"/>
              </w:rPr>
              <w:t>tus</w:t>
            </w:r>
            <w:r w:rsidRPr="00956F16">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1"/>
                <w:szCs w:val="20"/>
              </w:rPr>
              <w:t>(beleértve az akut eseteket is</w:t>
            </w:r>
            <w:r w:rsidRPr="00956F16">
              <w:rPr>
                <w:rFonts w:ascii="Times New Roman" w:eastAsia="Times New Roman" w:hAnsi="Times New Roman" w:cs="Times New Roman"/>
                <w:spacing w:val="2"/>
                <w:szCs w:val="20"/>
              </w:rPr>
              <w:t>)</w:t>
            </w:r>
            <w:r w:rsidRPr="00956F16">
              <w:rPr>
                <w:rFonts w:ascii="Times New Roman" w:eastAsia="Times New Roman" w:hAnsi="Times New Roman" w:cs="Times New Roman"/>
                <w:szCs w:val="20"/>
              </w:rPr>
              <w:t>^</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szívelégtelenség</w:t>
            </w:r>
          </w:p>
        </w:tc>
      </w:tr>
      <w:tr w:rsidR="00956F16" w:rsidRPr="00956F16" w14:paraId="6B974E50" w14:textId="77777777" w:rsidTr="00694E9C">
        <w:trPr>
          <w:trHeight w:val="1023"/>
        </w:trPr>
        <w:tc>
          <w:tcPr>
            <w:tcW w:w="2400" w:type="dxa"/>
            <w:tcBorders>
              <w:top w:val="single" w:sz="4" w:space="0" w:color="000000"/>
              <w:left w:val="single" w:sz="4" w:space="0" w:color="000000"/>
              <w:bottom w:val="single" w:sz="4" w:space="0" w:color="000000"/>
              <w:right w:val="single" w:sz="4" w:space="0" w:color="000000"/>
            </w:tcBorders>
          </w:tcPr>
          <w:p w14:paraId="561D614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Érbetegségek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402A24E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2BD5B32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po</w:t>
            </w:r>
            <w:r w:rsidRPr="00956F16">
              <w:rPr>
                <w:rFonts w:ascii="Times New Roman" w:eastAsia="Times New Roman" w:hAnsi="Times New Roman" w:cs="Times New Roman"/>
                <w:spacing w:val="1"/>
                <w:szCs w:val="20"/>
              </w:rPr>
              <w:t>tonia</w:t>
            </w:r>
            <w:r w:rsidRPr="00956F16">
              <w:rPr>
                <w:rFonts w:ascii="Times New Roman" w:eastAsia="Times New Roman" w:hAnsi="Times New Roman" w:cs="Times New Roman"/>
                <w:szCs w:val="20"/>
                <w:vertAlign w:val="superscript"/>
              </w:rPr>
              <w:t>◊</w:t>
            </w:r>
          </w:p>
        </w:tc>
        <w:tc>
          <w:tcPr>
            <w:tcW w:w="3402" w:type="dxa"/>
            <w:tcBorders>
              <w:top w:val="single" w:sz="4" w:space="0" w:color="000000"/>
              <w:left w:val="single" w:sz="4" w:space="0" w:color="000000"/>
              <w:bottom w:val="single" w:sz="4" w:space="0" w:color="000000"/>
              <w:right w:val="single" w:sz="4" w:space="0" w:color="000000"/>
            </w:tcBorders>
          </w:tcPr>
          <w:p w14:paraId="40463908"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Gyakori</w:t>
            </w:r>
          </w:p>
          <w:p w14:paraId="6106B04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rPr>
              <w:t>mélyvénás thrombosis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pacing w:val="2"/>
                <w:szCs w:val="20"/>
              </w:rPr>
              <w:t>, tüdőembólia</w:t>
            </w:r>
            <w:r w:rsidRPr="00956F16">
              <w:rPr>
                <w:rFonts w:ascii="Times New Roman" w:eastAsia="Times New Roman" w:hAnsi="Times New Roman" w:cs="Times New Roman"/>
                <w:szCs w:val="20"/>
                <w:vertAlign w:val="superscript"/>
              </w:rPr>
              <w:t xml:space="preserve">^,◊ </w:t>
            </w:r>
            <w:r w:rsidRPr="00956F16">
              <w:rPr>
                <w:rFonts w:ascii="Times New Roman" w:eastAsia="Times New Roman" w:hAnsi="Times New Roman" w:cs="Times New Roman"/>
                <w:szCs w:val="20"/>
              </w:rPr>
              <w:t>hypotonia</w:t>
            </w:r>
            <w:r w:rsidRPr="00956F16">
              <w:rPr>
                <w:rFonts w:ascii="Times New Roman" w:eastAsia="Times New Roman" w:hAnsi="Times New Roman" w:cs="Times New Roman"/>
                <w:szCs w:val="20"/>
                <w:vertAlign w:val="superscript"/>
              </w:rPr>
              <w:t>◊</w:t>
            </w:r>
          </w:p>
          <w:p w14:paraId="58A5CC3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p>
        </w:tc>
      </w:tr>
      <w:tr w:rsidR="00956F16" w:rsidRPr="00956F16" w14:paraId="7D4155E3" w14:textId="77777777" w:rsidTr="00694E9C">
        <w:trPr>
          <w:trHeight w:hRule="exact" w:val="1450"/>
        </w:trPr>
        <w:tc>
          <w:tcPr>
            <w:tcW w:w="2400" w:type="dxa"/>
            <w:tcBorders>
              <w:top w:val="single" w:sz="4" w:space="0" w:color="000000"/>
              <w:left w:val="single" w:sz="4" w:space="0" w:color="000000"/>
              <w:bottom w:val="single" w:sz="4" w:space="0" w:color="000000"/>
              <w:right w:val="single" w:sz="4" w:space="0" w:color="000000"/>
            </w:tcBorders>
          </w:tcPr>
          <w:p w14:paraId="26A43D17" w14:textId="77777777" w:rsidR="00956F16" w:rsidRPr="00956F16" w:rsidRDefault="00956F16" w:rsidP="00956F16">
            <w:pPr>
              <w:widowControl w:val="0"/>
              <w:tabs>
                <w:tab w:val="left" w:pos="567"/>
              </w:tabs>
              <w:autoSpaceDE w:val="0"/>
              <w:autoSpaceDN w:val="0"/>
              <w:adjustRightInd w:val="0"/>
              <w:spacing w:after="0" w:line="240" w:lineRule="auto"/>
              <w:ind w:left="142" w:right="627"/>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lastRenderedPageBreak/>
              <w:t>Légzőrendszeri, mellkasi és mediastinalis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05C84FB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70A7917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pno</w:t>
            </w:r>
            <w:r w:rsidRPr="00956F16">
              <w:rPr>
                <w:rFonts w:ascii="Times New Roman" w:eastAsia="Times New Roman" w:hAnsi="Times New Roman" w:cs="Times New Roman"/>
                <w:spacing w:val="1"/>
                <w:szCs w:val="20"/>
              </w:rPr>
              <w:t>e</w:t>
            </w:r>
            <w:r w:rsidRPr="00956F16">
              <w:rPr>
                <w:rFonts w:ascii="Times New Roman" w:eastAsia="Times New Roman" w:hAnsi="Times New Roman" w:cs="Times New Roman"/>
                <w:szCs w:val="20"/>
                <w:vertAlign w:val="superscript"/>
              </w:rPr>
              <w:t>◊</w:t>
            </w:r>
          </w:p>
        </w:tc>
        <w:tc>
          <w:tcPr>
            <w:tcW w:w="3402" w:type="dxa"/>
            <w:tcBorders>
              <w:top w:val="single" w:sz="4" w:space="0" w:color="000000"/>
              <w:left w:val="single" w:sz="4" w:space="0" w:color="000000"/>
              <w:bottom w:val="single" w:sz="4" w:space="0" w:color="000000"/>
              <w:right w:val="single" w:sz="4" w:space="0" w:color="000000"/>
            </w:tcBorders>
          </w:tcPr>
          <w:p w14:paraId="6785A9C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DCFF04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n</w:t>
            </w:r>
            <w:r w:rsidRPr="00956F16">
              <w:rPr>
                <w:rFonts w:ascii="Times New Roman" w:eastAsia="Times New Roman" w:hAnsi="Times New Roman" w:cs="Times New Roman"/>
                <w:szCs w:val="20"/>
              </w:rPr>
              <w:t>oe</w:t>
            </w:r>
            <w:r w:rsidRPr="00956F16">
              <w:rPr>
                <w:rFonts w:ascii="Times New Roman" w:eastAsia="Times New Roman" w:hAnsi="Times New Roman" w:cs="Times New Roman"/>
                <w:szCs w:val="20"/>
                <w:vertAlign w:val="superscript"/>
              </w:rPr>
              <w:t>◊</w:t>
            </w:r>
          </w:p>
        </w:tc>
      </w:tr>
      <w:tr w:rsidR="00956F16" w:rsidRPr="00956F16" w14:paraId="393A8C33" w14:textId="77777777" w:rsidTr="00694E9C">
        <w:trPr>
          <w:trHeight w:val="1937"/>
        </w:trPr>
        <w:tc>
          <w:tcPr>
            <w:tcW w:w="2400" w:type="dxa"/>
            <w:tcBorders>
              <w:top w:val="single" w:sz="4" w:space="0" w:color="000000"/>
              <w:left w:val="single" w:sz="4" w:space="0" w:color="000000"/>
              <w:bottom w:val="single" w:sz="4" w:space="0" w:color="000000"/>
              <w:right w:val="single" w:sz="4" w:space="0" w:color="000000"/>
            </w:tcBorders>
          </w:tcPr>
          <w:p w14:paraId="4E88E8F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Emésztőrendszeri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755E1D2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36923232" w14:textId="77777777" w:rsidR="00956F16" w:rsidRPr="00956F16" w:rsidRDefault="00956F16" w:rsidP="00956F16">
            <w:pPr>
              <w:widowControl w:val="0"/>
              <w:tabs>
                <w:tab w:val="left" w:pos="567"/>
              </w:tabs>
              <w:autoSpaceDE w:val="0"/>
              <w:autoSpaceDN w:val="0"/>
              <w:adjustRightInd w:val="0"/>
              <w:spacing w:after="0" w:line="240" w:lineRule="auto"/>
              <w:ind w:left="142" w:right="555"/>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hasmenés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hányinger</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2"/>
                <w:szCs w:val="20"/>
              </w:rPr>
              <w:t>hányás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székrekedés</w:t>
            </w:r>
          </w:p>
          <w:p w14:paraId="219C82E8"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0C56B07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4BD5358" w14:textId="77777777" w:rsidR="00956F16" w:rsidRPr="00956F16" w:rsidRDefault="00956F16" w:rsidP="00956F16">
            <w:pPr>
              <w:widowControl w:val="0"/>
              <w:tabs>
                <w:tab w:val="left" w:pos="567"/>
              </w:tabs>
              <w:autoSpaceDE w:val="0"/>
              <w:autoSpaceDN w:val="0"/>
              <w:adjustRightInd w:val="0"/>
              <w:spacing w:after="0" w:line="240" w:lineRule="auto"/>
              <w:ind w:left="142" w:right="160"/>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hasi fájdalom</w:t>
            </w:r>
            <w:r w:rsidRPr="00956F16">
              <w:rPr>
                <w:rFonts w:ascii="Times New Roman" w:eastAsia="Times New Roman" w:hAnsi="Times New Roman" w:cs="Times New Roman"/>
                <w:szCs w:val="20"/>
                <w:vertAlign w:val="superscript"/>
              </w:rPr>
              <w:t>◊</w:t>
            </w:r>
          </w:p>
          <w:p w14:paraId="1E33500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3192F0F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6D322EC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hasmenés</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hasi fájdalom</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xml:space="preserve">, </w:t>
            </w:r>
            <w:r w:rsidRPr="00956F16">
              <w:rPr>
                <w:rFonts w:ascii="Times New Roman" w:eastAsia="Times New Roman" w:hAnsi="Times New Roman" w:cs="Times New Roman"/>
                <w:spacing w:val="-1"/>
                <w:szCs w:val="20"/>
              </w:rPr>
              <w:t>székrekedés</w:t>
            </w:r>
          </w:p>
        </w:tc>
      </w:tr>
      <w:tr w:rsidR="00956F16" w:rsidRPr="00956F16" w14:paraId="3EB3ECBE" w14:textId="77777777" w:rsidTr="00694E9C">
        <w:trPr>
          <w:trHeight w:val="1837"/>
        </w:trPr>
        <w:tc>
          <w:tcPr>
            <w:tcW w:w="2400" w:type="dxa"/>
            <w:tcBorders>
              <w:top w:val="single" w:sz="4" w:space="0" w:color="000000"/>
              <w:left w:val="single" w:sz="4" w:space="0" w:color="000000"/>
              <w:bottom w:val="single" w:sz="4" w:space="0" w:color="000000"/>
              <w:right w:val="single" w:sz="4" w:space="0" w:color="000000"/>
            </w:tcBorders>
          </w:tcPr>
          <w:p w14:paraId="162141A5" w14:textId="77777777" w:rsidR="00956F16" w:rsidRPr="00956F16" w:rsidRDefault="00956F16" w:rsidP="00956F16">
            <w:pPr>
              <w:widowControl w:val="0"/>
              <w:tabs>
                <w:tab w:val="left" w:pos="567"/>
              </w:tabs>
              <w:autoSpaceDE w:val="0"/>
              <w:autoSpaceDN w:val="0"/>
              <w:adjustRightInd w:val="0"/>
              <w:spacing w:after="0" w:line="240" w:lineRule="auto"/>
              <w:ind w:left="142" w:right="311"/>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A bőr és a bőr alatti szövet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14E0048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711966C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bőrkiütések (beleértve az allergiás dermatitist is), pruritus</w:t>
            </w:r>
          </w:p>
          <w:p w14:paraId="76880C8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p>
          <w:p w14:paraId="5C5547D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4EB126B8" w14:textId="4A910ACB"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 xml:space="preserve">éjszakai verejtékezés, </w:t>
            </w:r>
            <w:r w:rsidRPr="00956F16">
              <w:rPr>
                <w:rFonts w:ascii="Times New Roman" w:eastAsia="Times New Roman" w:hAnsi="Times New Roman" w:cs="Times New Roman"/>
                <w:spacing w:val="-3"/>
                <w:szCs w:val="20"/>
              </w:rPr>
              <w:t>bőr</w:t>
            </w:r>
            <w:r w:rsidR="00BF6840">
              <w:rPr>
                <w:rFonts w:ascii="Times New Roman" w:eastAsia="Times New Roman" w:hAnsi="Times New Roman" w:cs="Times New Roman"/>
                <w:spacing w:val="-3"/>
                <w:szCs w:val="20"/>
              </w:rPr>
              <w:t>szárazság</w:t>
            </w:r>
          </w:p>
          <w:p w14:paraId="7D273C1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6539BAC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72BFAF4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bőrkiütések</w:t>
            </w:r>
          </w:p>
        </w:tc>
      </w:tr>
      <w:tr w:rsidR="00956F16" w:rsidRPr="00956F16" w14:paraId="63695C42" w14:textId="77777777" w:rsidTr="00694E9C">
        <w:trPr>
          <w:trHeight w:hRule="exact" w:val="1713"/>
        </w:trPr>
        <w:tc>
          <w:tcPr>
            <w:tcW w:w="2400" w:type="dxa"/>
            <w:tcBorders>
              <w:top w:val="single" w:sz="4" w:space="0" w:color="000000"/>
              <w:left w:val="single" w:sz="4" w:space="0" w:color="000000"/>
              <w:bottom w:val="single" w:sz="4" w:space="0" w:color="000000"/>
              <w:right w:val="single" w:sz="4" w:space="0" w:color="000000"/>
            </w:tcBorders>
          </w:tcPr>
          <w:p w14:paraId="178E0679" w14:textId="77777777" w:rsidR="00956F16" w:rsidRPr="00956F16" w:rsidRDefault="00956F16" w:rsidP="00956F16">
            <w:pPr>
              <w:widowControl w:val="0"/>
              <w:tabs>
                <w:tab w:val="left" w:pos="567"/>
              </w:tabs>
              <w:autoSpaceDE w:val="0"/>
              <w:autoSpaceDN w:val="0"/>
              <w:adjustRightInd w:val="0"/>
              <w:spacing w:after="0" w:line="240" w:lineRule="auto"/>
              <w:ind w:left="142" w:right="311"/>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A csont- és izomrendszer, valamint a kötőszövet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3E9B147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5E6C0DA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izomgörcsök, hátfájás</w:t>
            </w:r>
          </w:p>
          <w:p w14:paraId="72541734"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1F0B22C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942BE2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arthralgia, végtagfájdalom, izomgyengeség</w:t>
            </w:r>
            <w:r w:rsidRPr="00441247">
              <w:rPr>
                <w:rFonts w:ascii="Times New Roman" w:eastAsia="Times New Roman" w:hAnsi="Times New Roman" w:cs="Times New Roman"/>
                <w:szCs w:val="20"/>
                <w:vertAlign w:val="superscript"/>
              </w:rPr>
              <w:t>◊</w:t>
            </w:r>
          </w:p>
        </w:tc>
        <w:tc>
          <w:tcPr>
            <w:tcW w:w="3402" w:type="dxa"/>
            <w:tcBorders>
              <w:top w:val="single" w:sz="4" w:space="0" w:color="000000"/>
              <w:left w:val="single" w:sz="4" w:space="0" w:color="000000"/>
              <w:bottom w:val="single" w:sz="4" w:space="0" w:color="000000"/>
              <w:right w:val="single" w:sz="4" w:space="0" w:color="000000"/>
            </w:tcBorders>
          </w:tcPr>
          <w:p w14:paraId="6085DA6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A185B0B"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hátfájás, izomgyengeség</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pacing w:val="1"/>
                <w:szCs w:val="20"/>
              </w:rPr>
              <w:t>, arthralgia, végtagfájdalom</w:t>
            </w:r>
          </w:p>
        </w:tc>
      </w:tr>
      <w:tr w:rsidR="00956F16" w:rsidRPr="00956F16" w14:paraId="70CBEF46" w14:textId="77777777" w:rsidTr="00694E9C">
        <w:trPr>
          <w:trHeight w:val="683"/>
        </w:trPr>
        <w:tc>
          <w:tcPr>
            <w:tcW w:w="2400" w:type="dxa"/>
            <w:tcBorders>
              <w:top w:val="single" w:sz="4" w:space="0" w:color="000000"/>
              <w:left w:val="single" w:sz="4" w:space="0" w:color="000000"/>
              <w:bottom w:val="single" w:sz="4" w:space="0" w:color="000000"/>
              <w:right w:val="single" w:sz="4" w:space="0" w:color="000000"/>
            </w:tcBorders>
          </w:tcPr>
          <w:p w14:paraId="5C0530B5"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Vese- és húgyúti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4E2A7CB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4EFEBCE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DA2275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veseelégtelenség</w:t>
            </w:r>
            <w:r w:rsidRPr="00956F16">
              <w:rPr>
                <w:rFonts w:ascii="Times New Roman" w:eastAsia="Times New Roman" w:hAnsi="Times New Roman" w:cs="Times New Roman"/>
                <w:spacing w:val="-1"/>
                <w:szCs w:val="20"/>
                <w:vertAlign w:val="superscript"/>
                <w:lang w:val="en-GB"/>
              </w:rPr>
              <w:t>◊</w:t>
            </w:r>
          </w:p>
        </w:tc>
      </w:tr>
      <w:tr w:rsidR="00956F16" w:rsidRPr="00956F16" w14:paraId="11AE266B" w14:textId="77777777" w:rsidTr="00694E9C">
        <w:trPr>
          <w:trHeight w:val="2659"/>
        </w:trPr>
        <w:tc>
          <w:tcPr>
            <w:tcW w:w="2400" w:type="dxa"/>
            <w:tcBorders>
              <w:top w:val="single" w:sz="4" w:space="0" w:color="000000"/>
              <w:left w:val="single" w:sz="4" w:space="0" w:color="000000"/>
              <w:bottom w:val="single" w:sz="4" w:space="0" w:color="000000"/>
              <w:right w:val="single" w:sz="4" w:space="0" w:color="000000"/>
            </w:tcBorders>
          </w:tcPr>
          <w:p w14:paraId="5AA732E2" w14:textId="77777777" w:rsidR="00956F16" w:rsidRPr="00956F16" w:rsidRDefault="00956F16" w:rsidP="00956F16">
            <w:pPr>
              <w:widowControl w:val="0"/>
              <w:tabs>
                <w:tab w:val="left" w:pos="567"/>
              </w:tabs>
              <w:autoSpaceDE w:val="0"/>
              <w:autoSpaceDN w:val="0"/>
              <w:adjustRightInd w:val="0"/>
              <w:spacing w:after="0" w:line="240" w:lineRule="auto"/>
              <w:ind w:left="142" w:right="153"/>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Általános tünetek, az alkalmazás helyén fellépő reakciók</w:t>
            </w:r>
          </w:p>
        </w:tc>
        <w:tc>
          <w:tcPr>
            <w:tcW w:w="3402" w:type="dxa"/>
            <w:tcBorders>
              <w:top w:val="single" w:sz="4" w:space="0" w:color="000000"/>
              <w:left w:val="single" w:sz="4" w:space="0" w:color="000000"/>
              <w:bottom w:val="single" w:sz="4" w:space="0" w:color="000000"/>
              <w:right w:val="single" w:sz="4" w:space="0" w:color="000000"/>
            </w:tcBorders>
          </w:tcPr>
          <w:p w14:paraId="5B57FC0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596BFF37" w14:textId="3957F646"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0"/>
              </w:rPr>
            </w:pPr>
            <w:r w:rsidRPr="00956F16">
              <w:rPr>
                <w:rFonts w:ascii="Times New Roman" w:eastAsia="Times New Roman" w:hAnsi="Times New Roman" w:cs="Times New Roman"/>
                <w:szCs w:val="20"/>
              </w:rPr>
              <w:t>fárad</w:t>
            </w:r>
            <w:r w:rsidR="00BF6840">
              <w:rPr>
                <w:rFonts w:ascii="Times New Roman" w:eastAsia="Times New Roman" w:hAnsi="Times New Roman" w:cs="Times New Roman"/>
                <w:szCs w:val="20"/>
              </w:rPr>
              <w:t>ékony</w:t>
            </w:r>
            <w:r w:rsidRPr="00956F16">
              <w:rPr>
                <w:rFonts w:ascii="Times New Roman" w:eastAsia="Times New Roman" w:hAnsi="Times New Roman" w:cs="Times New Roman"/>
                <w:szCs w:val="20"/>
              </w:rPr>
              <w:t>ság, asthenia</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perifériás oedema influenzaszerű tünetegyüttes (amelybe beletartozik a láz</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köhögés)</w:t>
            </w:r>
          </w:p>
          <w:p w14:paraId="1F2AD20D"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48C8F3D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60407FD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hidegrázás</w:t>
            </w:r>
          </w:p>
        </w:tc>
        <w:tc>
          <w:tcPr>
            <w:tcW w:w="3402" w:type="dxa"/>
            <w:tcBorders>
              <w:top w:val="single" w:sz="4" w:space="0" w:color="000000"/>
              <w:left w:val="single" w:sz="4" w:space="0" w:color="000000"/>
              <w:bottom w:val="single" w:sz="4" w:space="0" w:color="000000"/>
              <w:right w:val="single" w:sz="4" w:space="0" w:color="000000"/>
            </w:tcBorders>
          </w:tcPr>
          <w:p w14:paraId="25761090"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D661E88" w14:textId="7E8F9DD0"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láz</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gyengeség</w:t>
            </w:r>
            <w:r w:rsidRPr="00956F16">
              <w:rPr>
                <w:rFonts w:ascii="Times New Roman" w:eastAsia="Times New Roman" w:hAnsi="Times New Roman" w:cs="Times New Roman"/>
                <w:szCs w:val="20"/>
                <w:vertAlign w:val="superscript"/>
              </w:rPr>
              <w:t>◊</w:t>
            </w:r>
            <w:r w:rsidRPr="00956F16">
              <w:rPr>
                <w:rFonts w:ascii="Times New Roman" w:eastAsia="Times New Roman" w:hAnsi="Times New Roman" w:cs="Times New Roman"/>
                <w:szCs w:val="20"/>
              </w:rPr>
              <w:t>, fárad</w:t>
            </w:r>
            <w:r w:rsidR="00BF6840">
              <w:rPr>
                <w:rFonts w:ascii="Times New Roman" w:eastAsia="Times New Roman" w:hAnsi="Times New Roman" w:cs="Times New Roman"/>
                <w:szCs w:val="20"/>
              </w:rPr>
              <w:t>ékony</w:t>
            </w:r>
            <w:r w:rsidRPr="00956F16">
              <w:rPr>
                <w:rFonts w:ascii="Times New Roman" w:eastAsia="Times New Roman" w:hAnsi="Times New Roman" w:cs="Times New Roman"/>
                <w:szCs w:val="20"/>
              </w:rPr>
              <w:t>ság</w:t>
            </w:r>
          </w:p>
        </w:tc>
      </w:tr>
    </w:tbl>
    <w:p w14:paraId="610496A2"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^Lásd 4.8 pont: Egyes kiválasztott mellékhatások leírása.</w:t>
      </w:r>
    </w:p>
    <w:p w14:paraId="0813B4CC"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w:t>
      </w:r>
      <w:r w:rsidRPr="00956F16">
        <w:rPr>
          <w:rFonts w:ascii="Times New Roman" w:eastAsia="Calibri" w:hAnsi="Times New Roman" w:cs="Times New Roman"/>
          <w:sz w:val="18"/>
          <w:szCs w:val="18"/>
        </w:rPr>
        <w:t>A köpenysejtes lymphomában végzett klinikai vizsgálatok során súlyosként jelentett nemkívánatos események</w:t>
      </w:r>
    </w:p>
    <w:p w14:paraId="770BB7D2"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Köpenysejtes lymphoma esetén alkalmazott algoritmus:</w:t>
      </w:r>
    </w:p>
    <w:p w14:paraId="1797D898" w14:textId="66FC7E65" w:rsidR="00956F16" w:rsidRPr="00956F16" w:rsidRDefault="00956F16" w:rsidP="00956F16">
      <w:pPr>
        <w:tabs>
          <w:tab w:val="left" w:pos="1134"/>
        </w:tabs>
        <w:spacing w:after="0" w:line="240" w:lineRule="auto"/>
        <w:ind w:left="567"/>
        <w:rPr>
          <w:rFonts w:ascii="Times New Roman" w:eastAsia="Calibri" w:hAnsi="Times New Roman" w:cs="Times New Roman"/>
          <w:sz w:val="18"/>
          <w:szCs w:val="18"/>
        </w:rPr>
      </w:pPr>
      <w:r w:rsidRPr="00956F16">
        <w:rPr>
          <w:rFonts w:ascii="Times New Roman" w:eastAsia="Calibri" w:hAnsi="Times New Roman" w:cs="Times New Roman"/>
          <w:sz w:val="18"/>
          <w:szCs w:val="18"/>
        </w:rPr>
        <w:t>•</w:t>
      </w:r>
      <w:r w:rsidRPr="00956F16">
        <w:rPr>
          <w:rFonts w:ascii="Times New Roman" w:eastAsia="Calibri" w:hAnsi="Times New Roman" w:cs="Times New Roman"/>
          <w:sz w:val="18"/>
          <w:szCs w:val="18"/>
        </w:rPr>
        <w:tab/>
        <w:t xml:space="preserve">Köpenysejtes lymphoma </w:t>
      </w:r>
      <w:r w:rsidR="00B35A2D">
        <w:rPr>
          <w:rFonts w:ascii="Times New Roman" w:eastAsia="Calibri" w:hAnsi="Times New Roman" w:cs="Times New Roman"/>
          <w:sz w:val="18"/>
          <w:szCs w:val="18"/>
        </w:rPr>
        <w:t>2</w:t>
      </w:r>
      <w:r w:rsidRPr="00956F16">
        <w:rPr>
          <w:rFonts w:ascii="Times New Roman" w:eastAsia="Calibri" w:hAnsi="Times New Roman" w:cs="Times New Roman"/>
          <w:sz w:val="18"/>
          <w:szCs w:val="18"/>
        </w:rPr>
        <w:t>. fázisú, kontrollos vizsgálata</w:t>
      </w:r>
    </w:p>
    <w:p w14:paraId="375D08E0" w14:textId="10E1595A" w:rsidR="00956F16" w:rsidRPr="00956F16" w:rsidRDefault="00956F16" w:rsidP="00956F16">
      <w:pPr>
        <w:spacing w:after="0" w:line="240" w:lineRule="auto"/>
        <w:ind w:left="1701" w:hanging="567"/>
        <w:rPr>
          <w:rFonts w:ascii="Times New Roman" w:eastAsia="Calibri" w:hAnsi="Times New Roman" w:cs="Times New Roman"/>
          <w:sz w:val="18"/>
          <w:szCs w:val="18"/>
        </w:rPr>
      </w:pPr>
      <w:r w:rsidRPr="00956F16">
        <w:rPr>
          <w:rFonts w:ascii="Times New Roman" w:eastAsia="Calibri" w:hAnsi="Times New Roman" w:cs="Times New Roman"/>
          <w:sz w:val="18"/>
          <w:szCs w:val="18"/>
        </w:rPr>
        <w:t>o</w:t>
      </w:r>
      <w:r w:rsidRPr="00956F16">
        <w:rPr>
          <w:rFonts w:ascii="Times New Roman" w:eastAsia="Calibri" w:hAnsi="Times New Roman" w:cs="Times New Roman"/>
          <w:sz w:val="18"/>
          <w:szCs w:val="18"/>
        </w:rPr>
        <w:tab/>
        <w:t>A kezelésből eredő összes mellékhatás, amely a lenalidomid</w:t>
      </w:r>
      <w:r w:rsidR="00104634">
        <w:rPr>
          <w:rFonts w:ascii="Times New Roman" w:eastAsia="Calibri" w:hAnsi="Times New Roman" w:cs="Times New Roman"/>
          <w:sz w:val="18"/>
          <w:szCs w:val="18"/>
        </w:rPr>
        <w:t>-</w:t>
      </w:r>
      <w:r w:rsidRPr="00956F16">
        <w:rPr>
          <w:rFonts w:ascii="Times New Roman" w:eastAsia="Calibri" w:hAnsi="Times New Roman" w:cs="Times New Roman"/>
          <w:sz w:val="18"/>
          <w:szCs w:val="18"/>
        </w:rPr>
        <w:t>karon a vizsgálati alanyok legalább 5%</w:t>
      </w:r>
      <w:r w:rsidR="00104634">
        <w:rPr>
          <w:rFonts w:ascii="Times New Roman" w:eastAsia="Calibri" w:hAnsi="Times New Roman" w:cs="Times New Roman"/>
          <w:sz w:val="18"/>
          <w:szCs w:val="18"/>
        </w:rPr>
        <w:t>-</w:t>
      </w:r>
      <w:r w:rsidRPr="00956F16">
        <w:rPr>
          <w:rFonts w:ascii="Times New Roman" w:eastAsia="Calibri" w:hAnsi="Times New Roman" w:cs="Times New Roman"/>
          <w:sz w:val="18"/>
          <w:szCs w:val="18"/>
        </w:rPr>
        <w:t>ánál, és a lenalidomid és placebo között legalább 2%-os aránykülönbséggel lépett fel.</w:t>
      </w:r>
    </w:p>
    <w:p w14:paraId="072A420F" w14:textId="302D7E5B" w:rsidR="00956F16" w:rsidRPr="00956F16" w:rsidRDefault="00956F16" w:rsidP="00956F16">
      <w:pPr>
        <w:spacing w:after="0" w:line="240" w:lineRule="auto"/>
        <w:ind w:left="1701" w:hanging="555"/>
        <w:rPr>
          <w:rFonts w:ascii="Times New Roman" w:eastAsia="Calibri" w:hAnsi="Times New Roman" w:cs="Times New Roman"/>
          <w:sz w:val="18"/>
          <w:szCs w:val="18"/>
        </w:rPr>
      </w:pPr>
      <w:r w:rsidRPr="00956F16">
        <w:rPr>
          <w:rFonts w:ascii="Times New Roman" w:eastAsia="Calibri" w:hAnsi="Times New Roman" w:cs="Times New Roman"/>
          <w:sz w:val="18"/>
          <w:szCs w:val="18"/>
        </w:rPr>
        <w:t>o</w:t>
      </w:r>
      <w:r w:rsidRPr="00956F16">
        <w:rPr>
          <w:rFonts w:ascii="Times New Roman" w:eastAsia="Calibri" w:hAnsi="Times New Roman" w:cs="Times New Roman"/>
          <w:sz w:val="18"/>
          <w:szCs w:val="18"/>
        </w:rPr>
        <w:tab/>
        <w:t>A kezelésből eredő összes 3. és 4. súlyossági fokú mellékhatás, amely a lenalidomid</w:t>
      </w:r>
      <w:r w:rsidR="00104634">
        <w:rPr>
          <w:rFonts w:ascii="Times New Roman" w:eastAsia="Calibri" w:hAnsi="Times New Roman" w:cs="Times New Roman"/>
          <w:sz w:val="18"/>
          <w:szCs w:val="18"/>
        </w:rPr>
        <w:t>-</w:t>
      </w:r>
      <w:r w:rsidRPr="00956F16">
        <w:rPr>
          <w:rFonts w:ascii="Times New Roman" w:eastAsia="Calibri" w:hAnsi="Times New Roman" w:cs="Times New Roman"/>
          <w:sz w:val="18"/>
          <w:szCs w:val="18"/>
        </w:rPr>
        <w:t>karon a vizsgálati alanyok legalább 1%-ánál, és a lenalidomid és placebo között legalább 1,0%-os aránykülönbséggel lépett fel.</w:t>
      </w:r>
    </w:p>
    <w:p w14:paraId="7B34F444" w14:textId="5C55266C" w:rsidR="00956F16" w:rsidRPr="00956F16" w:rsidRDefault="00956F16" w:rsidP="00956F16">
      <w:pPr>
        <w:spacing w:after="0" w:line="240" w:lineRule="auto"/>
        <w:ind w:left="1701" w:hanging="567"/>
        <w:rPr>
          <w:rFonts w:ascii="Times New Roman" w:eastAsia="Calibri" w:hAnsi="Times New Roman" w:cs="Times New Roman"/>
          <w:sz w:val="18"/>
          <w:szCs w:val="18"/>
        </w:rPr>
      </w:pPr>
      <w:r w:rsidRPr="00956F16">
        <w:rPr>
          <w:rFonts w:ascii="Times New Roman" w:eastAsia="Calibri" w:hAnsi="Times New Roman" w:cs="Times New Roman"/>
          <w:sz w:val="18"/>
          <w:szCs w:val="18"/>
        </w:rPr>
        <w:t>o</w:t>
      </w:r>
      <w:r w:rsidRPr="00956F16">
        <w:rPr>
          <w:rFonts w:ascii="Times New Roman" w:eastAsia="Calibri" w:hAnsi="Times New Roman" w:cs="Times New Roman"/>
          <w:sz w:val="18"/>
          <w:szCs w:val="18"/>
        </w:rPr>
        <w:tab/>
        <w:t>A kezelésből eredő összes súlyos mellékhatás, amely a lenalidomid</w:t>
      </w:r>
      <w:r w:rsidR="00104634">
        <w:rPr>
          <w:rFonts w:ascii="Times New Roman" w:eastAsia="Calibri" w:hAnsi="Times New Roman" w:cs="Times New Roman"/>
          <w:sz w:val="18"/>
          <w:szCs w:val="18"/>
        </w:rPr>
        <w:t>-</w:t>
      </w:r>
      <w:r w:rsidRPr="00956F16">
        <w:rPr>
          <w:rFonts w:ascii="Times New Roman" w:eastAsia="Calibri" w:hAnsi="Times New Roman" w:cs="Times New Roman"/>
          <w:sz w:val="18"/>
          <w:szCs w:val="18"/>
        </w:rPr>
        <w:t>karon a vizsgálati alanyok legalább 1%-ánál, és a lenalidomid és placebo között legalább 1,0%-os aránykülönbséggel lépett fel.</w:t>
      </w:r>
    </w:p>
    <w:p w14:paraId="398BC519" w14:textId="7F89D94E" w:rsidR="00956F16" w:rsidRPr="00956F16" w:rsidRDefault="00956F16" w:rsidP="00956F16">
      <w:pPr>
        <w:tabs>
          <w:tab w:val="left" w:pos="1134"/>
        </w:tabs>
        <w:spacing w:after="0" w:line="240" w:lineRule="auto"/>
        <w:ind w:left="567"/>
        <w:rPr>
          <w:rFonts w:ascii="Times New Roman" w:eastAsia="Calibri" w:hAnsi="Times New Roman" w:cs="Times New Roman"/>
          <w:sz w:val="18"/>
          <w:szCs w:val="18"/>
        </w:rPr>
      </w:pPr>
      <w:r w:rsidRPr="00956F16">
        <w:rPr>
          <w:rFonts w:ascii="Times New Roman" w:eastAsia="Calibri" w:hAnsi="Times New Roman" w:cs="Times New Roman"/>
          <w:sz w:val="18"/>
          <w:szCs w:val="18"/>
        </w:rPr>
        <w:t>•</w:t>
      </w:r>
      <w:r w:rsidRPr="00956F16">
        <w:rPr>
          <w:rFonts w:ascii="Times New Roman" w:eastAsia="Calibri" w:hAnsi="Times New Roman" w:cs="Times New Roman"/>
          <w:sz w:val="18"/>
          <w:szCs w:val="18"/>
        </w:rPr>
        <w:tab/>
        <w:t xml:space="preserve">Köpenysejtes lymphoma egykarú, </w:t>
      </w:r>
      <w:r w:rsidR="00B35A2D">
        <w:rPr>
          <w:rFonts w:ascii="Times New Roman" w:eastAsia="Calibri" w:hAnsi="Times New Roman" w:cs="Times New Roman"/>
          <w:sz w:val="18"/>
          <w:szCs w:val="18"/>
        </w:rPr>
        <w:t>2</w:t>
      </w:r>
      <w:r w:rsidRPr="00956F16">
        <w:rPr>
          <w:rFonts w:ascii="Times New Roman" w:eastAsia="Calibri" w:hAnsi="Times New Roman" w:cs="Times New Roman"/>
          <w:sz w:val="18"/>
          <w:szCs w:val="18"/>
        </w:rPr>
        <w:t>. fázisú vizsgálata</w:t>
      </w:r>
    </w:p>
    <w:p w14:paraId="4215153E" w14:textId="77777777" w:rsidR="00956F16" w:rsidRPr="00956F16" w:rsidRDefault="00956F16" w:rsidP="00956F16">
      <w:pPr>
        <w:spacing w:after="0" w:line="240" w:lineRule="auto"/>
        <w:ind w:left="1701" w:hanging="567"/>
        <w:rPr>
          <w:rFonts w:ascii="Times New Roman" w:eastAsia="Calibri" w:hAnsi="Times New Roman" w:cs="Times New Roman"/>
          <w:sz w:val="18"/>
          <w:szCs w:val="18"/>
        </w:rPr>
      </w:pPr>
      <w:r w:rsidRPr="00956F16">
        <w:rPr>
          <w:rFonts w:ascii="Times New Roman" w:eastAsia="Calibri" w:hAnsi="Times New Roman" w:cs="Times New Roman"/>
          <w:sz w:val="18"/>
          <w:szCs w:val="18"/>
        </w:rPr>
        <w:t>o</w:t>
      </w:r>
      <w:r w:rsidRPr="00956F16">
        <w:rPr>
          <w:rFonts w:ascii="Times New Roman" w:eastAsia="Calibri" w:hAnsi="Times New Roman" w:cs="Times New Roman"/>
          <w:sz w:val="18"/>
          <w:szCs w:val="18"/>
        </w:rPr>
        <w:tab/>
        <w:t>A kezelésből eredő összes mellékhatás, amely a vizsgálati alanyok legalább 5%-ánál lépett fel.</w:t>
      </w:r>
    </w:p>
    <w:p w14:paraId="3DDCB81A" w14:textId="77777777" w:rsidR="00956F16" w:rsidRPr="00956F16" w:rsidRDefault="00956F16" w:rsidP="00956F16">
      <w:pPr>
        <w:spacing w:after="0" w:line="240" w:lineRule="auto"/>
        <w:ind w:left="1701" w:hanging="567"/>
        <w:rPr>
          <w:rFonts w:ascii="Times New Roman" w:eastAsia="Calibri" w:hAnsi="Times New Roman" w:cs="Times New Roman"/>
          <w:sz w:val="18"/>
          <w:szCs w:val="18"/>
        </w:rPr>
      </w:pPr>
      <w:r w:rsidRPr="00956F16">
        <w:rPr>
          <w:rFonts w:ascii="Times New Roman" w:eastAsia="Calibri" w:hAnsi="Times New Roman" w:cs="Times New Roman"/>
          <w:sz w:val="18"/>
          <w:szCs w:val="18"/>
        </w:rPr>
        <w:t>o</w:t>
      </w:r>
      <w:r w:rsidRPr="00956F16">
        <w:rPr>
          <w:rFonts w:ascii="Times New Roman" w:eastAsia="Calibri" w:hAnsi="Times New Roman" w:cs="Times New Roman"/>
          <w:sz w:val="18"/>
          <w:szCs w:val="18"/>
        </w:rPr>
        <w:tab/>
        <w:t>A kezelésből eredő összes 3. és 4. súlyossági fokú mellékhatás, amelyről 2 vagy több vizsgálati alanynál számoltak be.</w:t>
      </w:r>
    </w:p>
    <w:p w14:paraId="578F8959" w14:textId="77777777" w:rsidR="00956F16" w:rsidRPr="00956F16" w:rsidRDefault="00956F16" w:rsidP="00956F16">
      <w:pPr>
        <w:spacing w:after="0" w:line="240" w:lineRule="auto"/>
        <w:ind w:left="1701" w:hanging="555"/>
        <w:rPr>
          <w:rFonts w:ascii="Times New Roman" w:eastAsia="Calibri" w:hAnsi="Times New Roman" w:cs="Times New Roman"/>
          <w:sz w:val="18"/>
          <w:szCs w:val="18"/>
        </w:rPr>
      </w:pPr>
      <w:r w:rsidRPr="00956F16">
        <w:rPr>
          <w:rFonts w:ascii="Times New Roman" w:eastAsia="Calibri" w:hAnsi="Times New Roman" w:cs="Times New Roman"/>
          <w:sz w:val="18"/>
          <w:szCs w:val="18"/>
        </w:rPr>
        <w:lastRenderedPageBreak/>
        <w:t>o</w:t>
      </w:r>
      <w:r w:rsidRPr="00956F16">
        <w:rPr>
          <w:rFonts w:ascii="Times New Roman" w:eastAsia="Calibri" w:hAnsi="Times New Roman" w:cs="Times New Roman"/>
          <w:sz w:val="18"/>
          <w:szCs w:val="18"/>
        </w:rPr>
        <w:tab/>
        <w:t>A kezelésből eredő összes súlyos mellékhatás, amelyről 2 vagy több vizsgálati alanynál számoltak be.</w:t>
      </w:r>
    </w:p>
    <w:p w14:paraId="3894F53F" w14:textId="6A7D5085" w:rsidR="00956F16" w:rsidRDefault="00956F16" w:rsidP="00956F16">
      <w:pPr>
        <w:spacing w:after="0" w:line="240" w:lineRule="auto"/>
        <w:rPr>
          <w:rFonts w:ascii="Times New Roman" w:eastAsia="Calibri" w:hAnsi="Times New Roman" w:cs="Times New Roman"/>
        </w:rPr>
      </w:pPr>
    </w:p>
    <w:p w14:paraId="08CD9CF2" w14:textId="77777777" w:rsidR="00FC748F" w:rsidRPr="00E83289" w:rsidRDefault="00FC748F" w:rsidP="00FC748F">
      <w:pPr>
        <w:spacing w:after="0" w:line="240" w:lineRule="auto"/>
        <w:rPr>
          <w:rFonts w:ascii="Times New Roman" w:eastAsia="Calibri" w:hAnsi="Times New Roman" w:cs="Times New Roman"/>
          <w:i/>
          <w:iCs/>
          <w:u w:val="single"/>
        </w:rPr>
      </w:pPr>
      <w:r w:rsidRPr="00E83289">
        <w:rPr>
          <w:rFonts w:ascii="Times New Roman" w:eastAsia="Calibri" w:hAnsi="Times New Roman" w:cs="Times New Roman"/>
          <w:i/>
          <w:iCs/>
          <w:u w:val="single"/>
        </w:rPr>
        <w:t>FL kombinációs terápiájának táblázatos összefoglalója</w:t>
      </w:r>
    </w:p>
    <w:p w14:paraId="3959A6E1" w14:textId="2609F496" w:rsidR="00FC748F" w:rsidRDefault="00FC748F" w:rsidP="00FC748F">
      <w:pPr>
        <w:spacing w:after="0" w:line="240" w:lineRule="auto"/>
        <w:rPr>
          <w:rFonts w:ascii="Times New Roman" w:eastAsia="Calibri" w:hAnsi="Times New Roman" w:cs="Times New Roman"/>
        </w:rPr>
      </w:pPr>
      <w:r w:rsidRPr="00FC748F">
        <w:rPr>
          <w:rFonts w:ascii="Times New Roman" w:eastAsia="Calibri" w:hAnsi="Times New Roman" w:cs="Times New Roman"/>
        </w:rPr>
        <w:t>Az alábbi táblázat a rituximabbal kombinációban alkalmazott lenalidomidot follicularis lymphomában</w:t>
      </w:r>
      <w:r>
        <w:rPr>
          <w:rFonts w:ascii="Times New Roman" w:eastAsia="Calibri" w:hAnsi="Times New Roman" w:cs="Times New Roman"/>
        </w:rPr>
        <w:t xml:space="preserve"> </w:t>
      </w:r>
      <w:r w:rsidRPr="00FC748F">
        <w:rPr>
          <w:rFonts w:ascii="Times New Roman" w:eastAsia="Calibri" w:hAnsi="Times New Roman" w:cs="Times New Roman"/>
        </w:rPr>
        <w:t>szenvedő betegek körében értékelő fő vizsgálatok (NHL-007 és NHL-008) során gyűjtött adatok</w:t>
      </w:r>
      <w:r>
        <w:rPr>
          <w:rFonts w:ascii="Times New Roman" w:eastAsia="Calibri" w:hAnsi="Times New Roman" w:cs="Times New Roman"/>
        </w:rPr>
        <w:t xml:space="preserve"> </w:t>
      </w:r>
      <w:r w:rsidRPr="00FC748F">
        <w:rPr>
          <w:rFonts w:ascii="Times New Roman" w:eastAsia="Calibri" w:hAnsi="Times New Roman" w:cs="Times New Roman"/>
        </w:rPr>
        <w:t>alapján készült.</w:t>
      </w:r>
    </w:p>
    <w:p w14:paraId="66F8F4A8" w14:textId="77777777" w:rsidR="00FC748F" w:rsidRPr="00FC748F" w:rsidRDefault="00FC748F" w:rsidP="00FC748F">
      <w:pPr>
        <w:spacing w:after="0" w:line="240" w:lineRule="auto"/>
        <w:rPr>
          <w:rFonts w:ascii="Times New Roman" w:eastAsia="Calibri" w:hAnsi="Times New Roman" w:cs="Times New Roman"/>
        </w:rPr>
      </w:pPr>
    </w:p>
    <w:p w14:paraId="6486ED95" w14:textId="7E3EB301" w:rsidR="00FC748F" w:rsidRPr="00E83289" w:rsidRDefault="00FC748F" w:rsidP="00FC748F">
      <w:pPr>
        <w:spacing w:after="0" w:line="240" w:lineRule="auto"/>
        <w:rPr>
          <w:rFonts w:ascii="Times New Roman" w:eastAsia="Calibri" w:hAnsi="Times New Roman" w:cs="Times New Roman"/>
          <w:b/>
          <w:bCs/>
        </w:rPr>
      </w:pPr>
      <w:r w:rsidRPr="00E83289">
        <w:rPr>
          <w:rFonts w:ascii="Times New Roman" w:eastAsia="Calibri" w:hAnsi="Times New Roman" w:cs="Times New Roman"/>
          <w:b/>
          <w:bCs/>
        </w:rPr>
        <w:t>5. táblázat: Klinikai vizsgálatok során rituximabbal kombinációban alkalmazott lenalidomiddal</w:t>
      </w:r>
      <w:r>
        <w:rPr>
          <w:rFonts w:ascii="Times New Roman" w:eastAsia="Calibri" w:hAnsi="Times New Roman" w:cs="Times New Roman"/>
          <w:b/>
          <w:bCs/>
        </w:rPr>
        <w:t xml:space="preserve"> </w:t>
      </w:r>
      <w:r w:rsidRPr="00E83289">
        <w:rPr>
          <w:rFonts w:ascii="Times New Roman" w:eastAsia="Calibri" w:hAnsi="Times New Roman" w:cs="Times New Roman"/>
          <w:b/>
          <w:bCs/>
        </w:rPr>
        <w:t>kezelt</w:t>
      </w:r>
      <w:r w:rsidR="007F2952">
        <w:rPr>
          <w:rFonts w:ascii="Times New Roman" w:eastAsia="Calibri" w:hAnsi="Times New Roman" w:cs="Times New Roman"/>
          <w:b/>
          <w:bCs/>
        </w:rPr>
        <w:t>,</w:t>
      </w:r>
      <w:r w:rsidRPr="00E83289">
        <w:rPr>
          <w:rFonts w:ascii="Times New Roman" w:eastAsia="Calibri" w:hAnsi="Times New Roman" w:cs="Times New Roman"/>
          <w:b/>
          <w:bCs/>
        </w:rPr>
        <w:t xml:space="preserve"> follicularis lymphomában szenvedő betegek</w:t>
      </w:r>
      <w:r>
        <w:rPr>
          <w:rFonts w:ascii="Times New Roman" w:eastAsia="Calibri" w:hAnsi="Times New Roman" w:cs="Times New Roman"/>
          <w:b/>
          <w:bCs/>
        </w:rPr>
        <w:t xml:space="preserve"> </w:t>
      </w:r>
      <w:r w:rsidRPr="00E83289">
        <w:rPr>
          <w:rFonts w:ascii="Times New Roman" w:eastAsia="Calibri" w:hAnsi="Times New Roman" w:cs="Times New Roman"/>
          <w:b/>
          <w:bCs/>
        </w:rPr>
        <w:t>esetében jelentett gyógyszermellékhatások</w:t>
      </w:r>
    </w:p>
    <w:p w14:paraId="4134689E" w14:textId="129E4A12" w:rsidR="00FC748F" w:rsidRDefault="00FC748F" w:rsidP="00FC748F">
      <w:pPr>
        <w:spacing w:after="0" w:line="240" w:lineRule="auto"/>
        <w:rPr>
          <w:rFonts w:ascii="Times New Roman" w:eastAsia="Calibri" w:hAnsi="Times New Roman" w:cs="Times New Roman"/>
        </w:rPr>
      </w:pPr>
    </w:p>
    <w:tbl>
      <w:tblPr>
        <w:tblW w:w="9204" w:type="dxa"/>
        <w:tblInd w:w="5" w:type="dxa"/>
        <w:tblLayout w:type="fixed"/>
        <w:tblCellMar>
          <w:left w:w="0" w:type="dxa"/>
          <w:right w:w="0" w:type="dxa"/>
        </w:tblCellMar>
        <w:tblLook w:val="0000" w:firstRow="0" w:lastRow="0" w:firstColumn="0" w:lastColumn="0" w:noHBand="0" w:noVBand="0"/>
      </w:tblPr>
      <w:tblGrid>
        <w:gridCol w:w="2400"/>
        <w:gridCol w:w="3402"/>
        <w:gridCol w:w="3402"/>
      </w:tblGrid>
      <w:tr w:rsidR="00FC748F" w:rsidRPr="00956F16" w14:paraId="727E19E3" w14:textId="77777777" w:rsidTr="00F36C14">
        <w:trPr>
          <w:trHeight w:hRule="exact" w:val="955"/>
          <w:tblHeader/>
        </w:trPr>
        <w:tc>
          <w:tcPr>
            <w:tcW w:w="2400" w:type="dxa"/>
            <w:tcBorders>
              <w:top w:val="single" w:sz="4" w:space="0" w:color="000000"/>
              <w:left w:val="single" w:sz="4" w:space="0" w:color="000000"/>
              <w:bottom w:val="single" w:sz="4" w:space="0" w:color="000000"/>
              <w:right w:val="single" w:sz="4" w:space="0" w:color="000000"/>
            </w:tcBorders>
          </w:tcPr>
          <w:p w14:paraId="02E1C319" w14:textId="46662D0B" w:rsidR="00FC748F" w:rsidRPr="00956F16" w:rsidRDefault="00FC748F" w:rsidP="00F36C14">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Szervrendszer</w:t>
            </w:r>
            <w:r w:rsidR="005C44EF">
              <w:rPr>
                <w:rFonts w:ascii="Times New Roman" w:eastAsia="Times New Roman" w:hAnsi="Times New Roman" w:cs="Times New Roman"/>
                <w:b/>
                <w:bCs/>
                <w:szCs w:val="20"/>
              </w:rPr>
              <w:t>i kategória/ megnevezés</w:t>
            </w:r>
            <w:r w:rsidRPr="00956F16">
              <w:rPr>
                <w:rFonts w:ascii="Times New Roman" w:eastAsia="Times New Roman" w:hAnsi="Times New Roman" w:cs="Times New Roman"/>
                <w:b/>
                <w:bCs/>
                <w:szCs w:val="20"/>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2A064C7B" w14:textId="77777777" w:rsidR="00FC748F" w:rsidRPr="00956F16" w:rsidRDefault="00FC748F" w:rsidP="00F36C14">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Minden mellékhatás/gyakoriság</w:t>
            </w:r>
          </w:p>
        </w:tc>
        <w:tc>
          <w:tcPr>
            <w:tcW w:w="3402" w:type="dxa"/>
            <w:tcBorders>
              <w:top w:val="single" w:sz="4" w:space="0" w:color="000000"/>
              <w:left w:val="single" w:sz="4" w:space="0" w:color="000000"/>
              <w:bottom w:val="single" w:sz="4" w:space="0" w:color="000000"/>
              <w:right w:val="single" w:sz="4" w:space="0" w:color="000000"/>
            </w:tcBorders>
          </w:tcPr>
          <w:p w14:paraId="4EB0DF94" w14:textId="77777777" w:rsidR="00FC748F" w:rsidRPr="00956F16" w:rsidRDefault="00FC748F" w:rsidP="00F36C14">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3−4-es súlyossági fokú mellékhatások/gyakoriság</w:t>
            </w:r>
          </w:p>
        </w:tc>
      </w:tr>
      <w:tr w:rsidR="00FC748F" w:rsidRPr="00956F16" w14:paraId="59A0520A" w14:textId="77777777" w:rsidTr="00E83289">
        <w:trPr>
          <w:trHeight w:val="1685"/>
        </w:trPr>
        <w:tc>
          <w:tcPr>
            <w:tcW w:w="2400" w:type="dxa"/>
            <w:tcBorders>
              <w:top w:val="single" w:sz="4" w:space="0" w:color="000000"/>
              <w:left w:val="single" w:sz="4" w:space="0" w:color="000000"/>
              <w:bottom w:val="single" w:sz="4" w:space="0" w:color="000000"/>
              <w:right w:val="single" w:sz="4" w:space="0" w:color="000000"/>
            </w:tcBorders>
          </w:tcPr>
          <w:p w14:paraId="6AB41398" w14:textId="77777777" w:rsidR="00FC748F" w:rsidRPr="00956F16" w:rsidRDefault="00FC748F" w:rsidP="00F36C14">
            <w:pPr>
              <w:keepNext/>
              <w:spacing w:after="0" w:line="240" w:lineRule="auto"/>
              <w:rPr>
                <w:rFonts w:ascii="Times New Roman" w:eastAsia="Calibri" w:hAnsi="Times New Roman" w:cs="Times New Roman"/>
                <w:b/>
                <w:sz w:val="24"/>
                <w:szCs w:val="24"/>
              </w:rPr>
            </w:pPr>
            <w:r w:rsidRPr="00956F16">
              <w:rPr>
                <w:rFonts w:ascii="Times New Roman" w:eastAsia="Calibri" w:hAnsi="Times New Roman" w:cs="Times New Roman"/>
                <w:b/>
              </w:rPr>
              <w:t>Fertőző betegségek és parazitafertőzések</w:t>
            </w:r>
          </w:p>
        </w:tc>
        <w:tc>
          <w:tcPr>
            <w:tcW w:w="3402" w:type="dxa"/>
            <w:tcBorders>
              <w:top w:val="single" w:sz="4" w:space="0" w:color="000000"/>
              <w:left w:val="single" w:sz="4" w:space="0" w:color="000000"/>
              <w:bottom w:val="single" w:sz="4" w:space="0" w:color="000000"/>
              <w:right w:val="single" w:sz="4" w:space="0" w:color="000000"/>
            </w:tcBorders>
          </w:tcPr>
          <w:p w14:paraId="1960B16C" w14:textId="77777777" w:rsidR="00FC748F" w:rsidRPr="00956F16" w:rsidRDefault="00FC748F" w:rsidP="00F36C14">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Nagyon gyakori</w:t>
            </w:r>
          </w:p>
          <w:p w14:paraId="2D8331BC" w14:textId="5CE45CF6" w:rsidR="00FC748F" w:rsidRPr="00956F16" w:rsidRDefault="005C2C1A" w:rsidP="00F36C14">
            <w:pPr>
              <w:keepNext/>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highlight w:val="yellow"/>
              </w:rPr>
            </w:pPr>
            <w:r>
              <w:rPr>
                <w:rFonts w:ascii="Times New Roman" w:eastAsia="Times New Roman" w:hAnsi="Times New Roman" w:cs="Times New Roman"/>
                <w:spacing w:val="-1"/>
                <w:szCs w:val="20"/>
              </w:rPr>
              <w:t>felső légúti fertőzés</w:t>
            </w:r>
          </w:p>
          <w:p w14:paraId="1D17C74D" w14:textId="77777777" w:rsidR="00FC748F" w:rsidRPr="00956F16" w:rsidRDefault="00FC748F" w:rsidP="00F36C14">
            <w:pPr>
              <w:keepNext/>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p>
          <w:p w14:paraId="34458BD2" w14:textId="77777777" w:rsidR="00FC748F" w:rsidRPr="00956F16" w:rsidRDefault="00FC748F" w:rsidP="00F36C14">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6B11CFA1" w14:textId="17731982" w:rsidR="00FC748F" w:rsidRPr="00956F16" w:rsidRDefault="005C2C1A">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Pr>
                <w:rFonts w:ascii="Times New Roman" w:eastAsia="Times New Roman" w:hAnsi="Times New Roman" w:cs="Times New Roman"/>
                <w:szCs w:val="20"/>
              </w:rPr>
              <w:t>p</w:t>
            </w:r>
            <w:r w:rsidRPr="005C2C1A">
              <w:rPr>
                <w:rFonts w:ascii="Times New Roman" w:eastAsia="Times New Roman" w:hAnsi="Times New Roman" w:cs="Times New Roman"/>
                <w:szCs w:val="20"/>
              </w:rPr>
              <w:t>neumonia</w:t>
            </w:r>
            <w:r w:rsidRPr="00E83289">
              <w:rPr>
                <w:rFonts w:ascii="Times New Roman" w:eastAsia="Times New Roman" w:hAnsi="Times New Roman" w:cs="Times New Roman"/>
                <w:szCs w:val="20"/>
                <w:vertAlign w:val="superscript"/>
              </w:rPr>
              <w:t>◊</w:t>
            </w:r>
            <w:r w:rsidRPr="005C2C1A">
              <w:rPr>
                <w:rFonts w:ascii="Times New Roman" w:eastAsia="Times New Roman" w:hAnsi="Times New Roman" w:cs="Times New Roman"/>
                <w:szCs w:val="20"/>
              </w:rPr>
              <w:t>, influenza, bronchitis,</w:t>
            </w:r>
            <w:r>
              <w:rPr>
                <w:rFonts w:ascii="Times New Roman" w:eastAsia="Times New Roman" w:hAnsi="Times New Roman" w:cs="Times New Roman"/>
                <w:szCs w:val="20"/>
              </w:rPr>
              <w:t xml:space="preserve"> </w:t>
            </w:r>
            <w:r w:rsidRPr="005C2C1A">
              <w:rPr>
                <w:rFonts w:ascii="Times New Roman" w:eastAsia="Times New Roman" w:hAnsi="Times New Roman" w:cs="Times New Roman"/>
                <w:szCs w:val="20"/>
              </w:rPr>
              <w:t>sinusitis, húgyúti fertőzés</w:t>
            </w:r>
          </w:p>
        </w:tc>
        <w:tc>
          <w:tcPr>
            <w:tcW w:w="3402" w:type="dxa"/>
            <w:tcBorders>
              <w:top w:val="single" w:sz="4" w:space="0" w:color="000000"/>
              <w:left w:val="single" w:sz="4" w:space="0" w:color="000000"/>
              <w:bottom w:val="single" w:sz="4" w:space="0" w:color="auto"/>
              <w:right w:val="single" w:sz="4" w:space="0" w:color="000000"/>
            </w:tcBorders>
          </w:tcPr>
          <w:p w14:paraId="25573340" w14:textId="77777777" w:rsidR="00FC748F" w:rsidRPr="00956F16" w:rsidRDefault="00FC748F" w:rsidP="00F36C14">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12A94EF" w14:textId="63C234C3" w:rsidR="00FC748F" w:rsidRPr="00956F16" w:rsidRDefault="005C2C1A" w:rsidP="00E83289">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Pr>
                <w:rFonts w:ascii="Times New Roman" w:eastAsia="Times New Roman" w:hAnsi="Times New Roman" w:cs="Times New Roman"/>
                <w:spacing w:val="-1"/>
                <w:szCs w:val="20"/>
              </w:rPr>
              <w:t>p</w:t>
            </w:r>
            <w:r w:rsidRPr="005C2C1A">
              <w:rPr>
                <w:rFonts w:ascii="Times New Roman" w:eastAsia="Times New Roman" w:hAnsi="Times New Roman" w:cs="Times New Roman"/>
                <w:spacing w:val="-1"/>
                <w:szCs w:val="20"/>
              </w:rPr>
              <w:t>neumonia</w:t>
            </w:r>
            <w:r w:rsidRPr="00F36C14">
              <w:rPr>
                <w:rFonts w:ascii="Times New Roman" w:eastAsia="Times New Roman" w:hAnsi="Times New Roman" w:cs="Times New Roman"/>
                <w:szCs w:val="20"/>
                <w:vertAlign w:val="superscript"/>
              </w:rPr>
              <w:t>◊</w:t>
            </w:r>
            <w:r w:rsidRPr="005C2C1A">
              <w:rPr>
                <w:rFonts w:ascii="Times New Roman" w:eastAsia="Times New Roman" w:hAnsi="Times New Roman" w:cs="Times New Roman"/>
                <w:spacing w:val="-1"/>
                <w:szCs w:val="20"/>
              </w:rPr>
              <w:t>, sepsis</w:t>
            </w:r>
            <w:r w:rsidRPr="00F36C14">
              <w:rPr>
                <w:rFonts w:ascii="Times New Roman" w:eastAsia="Times New Roman" w:hAnsi="Times New Roman" w:cs="Times New Roman"/>
                <w:szCs w:val="20"/>
                <w:vertAlign w:val="superscript"/>
              </w:rPr>
              <w:t>◊</w:t>
            </w:r>
            <w:r w:rsidRPr="005C2C1A">
              <w:rPr>
                <w:rFonts w:ascii="Times New Roman" w:eastAsia="Times New Roman" w:hAnsi="Times New Roman" w:cs="Times New Roman"/>
                <w:spacing w:val="-1"/>
                <w:szCs w:val="20"/>
              </w:rPr>
              <w:t>, tüdőfertőzés,</w:t>
            </w:r>
            <w:r>
              <w:rPr>
                <w:rFonts w:ascii="Times New Roman" w:eastAsia="Times New Roman" w:hAnsi="Times New Roman" w:cs="Times New Roman"/>
                <w:spacing w:val="-1"/>
                <w:szCs w:val="20"/>
              </w:rPr>
              <w:t xml:space="preserve"> </w:t>
            </w:r>
            <w:r w:rsidRPr="005C2C1A">
              <w:rPr>
                <w:rFonts w:ascii="Times New Roman" w:eastAsia="Times New Roman" w:hAnsi="Times New Roman" w:cs="Times New Roman"/>
                <w:spacing w:val="-1"/>
                <w:szCs w:val="20"/>
              </w:rPr>
              <w:t>bronchitis, gastroenteritis, sinusitis,</w:t>
            </w:r>
            <w:r>
              <w:rPr>
                <w:rFonts w:ascii="Times New Roman" w:eastAsia="Times New Roman" w:hAnsi="Times New Roman" w:cs="Times New Roman"/>
                <w:spacing w:val="-1"/>
                <w:szCs w:val="20"/>
              </w:rPr>
              <w:t xml:space="preserve"> </w:t>
            </w:r>
            <w:r w:rsidRPr="005C2C1A">
              <w:rPr>
                <w:rFonts w:ascii="Times New Roman" w:eastAsia="Times New Roman" w:hAnsi="Times New Roman" w:cs="Times New Roman"/>
                <w:spacing w:val="-1"/>
                <w:szCs w:val="20"/>
              </w:rPr>
              <w:t>húgyúti fertőzés, cellulitis</w:t>
            </w:r>
            <w:r w:rsidRPr="00F36C14">
              <w:rPr>
                <w:rFonts w:ascii="Times New Roman" w:eastAsia="Times New Roman" w:hAnsi="Times New Roman" w:cs="Times New Roman"/>
                <w:szCs w:val="20"/>
                <w:vertAlign w:val="superscript"/>
              </w:rPr>
              <w:t>◊</w:t>
            </w:r>
          </w:p>
        </w:tc>
      </w:tr>
      <w:tr w:rsidR="00FC748F" w:rsidRPr="00956F16" w14:paraId="782A5D57" w14:textId="77777777" w:rsidTr="00F36C14">
        <w:trPr>
          <w:trHeight w:hRule="exact" w:val="1414"/>
        </w:trPr>
        <w:tc>
          <w:tcPr>
            <w:tcW w:w="2400" w:type="dxa"/>
            <w:tcBorders>
              <w:top w:val="single" w:sz="4" w:space="0" w:color="000000"/>
              <w:left w:val="single" w:sz="4" w:space="0" w:color="000000"/>
              <w:bottom w:val="single" w:sz="4" w:space="0" w:color="000000"/>
              <w:right w:val="single" w:sz="4" w:space="0" w:color="000000"/>
            </w:tcBorders>
          </w:tcPr>
          <w:p w14:paraId="767832D5" w14:textId="77777777" w:rsidR="00FC748F" w:rsidRPr="00956F16" w:rsidRDefault="00FC748F" w:rsidP="00F36C14">
            <w:pPr>
              <w:widowControl w:val="0"/>
              <w:tabs>
                <w:tab w:val="left" w:pos="567"/>
              </w:tabs>
              <w:autoSpaceDE w:val="0"/>
              <w:autoSpaceDN w:val="0"/>
              <w:adjustRightInd w:val="0"/>
              <w:spacing w:after="0" w:line="240" w:lineRule="auto"/>
              <w:ind w:left="142" w:right="193"/>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Jó-, rosszindulatú és nem meghatározott daganatok (beleértve a cisztákat és polipokat is)</w:t>
            </w:r>
          </w:p>
        </w:tc>
        <w:tc>
          <w:tcPr>
            <w:tcW w:w="3402" w:type="dxa"/>
            <w:tcBorders>
              <w:top w:val="single" w:sz="4" w:space="0" w:color="000000"/>
              <w:left w:val="single" w:sz="4" w:space="0" w:color="000000"/>
              <w:bottom w:val="single" w:sz="4" w:space="0" w:color="000000"/>
              <w:right w:val="single" w:sz="4" w:space="0" w:color="000000"/>
            </w:tcBorders>
          </w:tcPr>
          <w:p w14:paraId="7C42FB94"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gyakori</w:t>
            </w:r>
          </w:p>
          <w:p w14:paraId="57AE124D" w14:textId="77777777" w:rsidR="00FC748F"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vertAlign w:val="superscript"/>
              </w:rPr>
            </w:pPr>
            <w:r w:rsidRPr="00956F16">
              <w:rPr>
                <w:rFonts w:ascii="Times New Roman" w:eastAsia="Times New Roman" w:hAnsi="Times New Roman" w:cs="Times New Roman"/>
                <w:spacing w:val="1"/>
                <w:szCs w:val="20"/>
              </w:rPr>
              <w:t>tumorfellángolás</w:t>
            </w:r>
            <w:r w:rsidR="00C21388" w:rsidRPr="00956F16">
              <w:rPr>
                <w:rFonts w:ascii="Times New Roman" w:eastAsia="Times New Roman" w:hAnsi="Times New Roman" w:cs="Times New Roman"/>
                <w:spacing w:val="2"/>
                <w:szCs w:val="20"/>
                <w:vertAlign w:val="superscript"/>
              </w:rPr>
              <w:t>^</w:t>
            </w:r>
          </w:p>
          <w:p w14:paraId="5E536C55" w14:textId="77777777" w:rsidR="00C21388" w:rsidRDefault="00C21388"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vertAlign w:val="superscript"/>
              </w:rPr>
            </w:pPr>
          </w:p>
          <w:p w14:paraId="6D7FCA8D" w14:textId="77777777" w:rsidR="00B124EF" w:rsidRPr="00E83289" w:rsidRDefault="00B124EF" w:rsidP="00B124EF">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u w:val="single"/>
              </w:rPr>
            </w:pPr>
            <w:r w:rsidRPr="00E83289">
              <w:rPr>
                <w:rFonts w:ascii="Times New Roman" w:eastAsia="Times New Roman" w:hAnsi="Times New Roman" w:cs="Times New Roman"/>
                <w:u w:val="single"/>
              </w:rPr>
              <w:t>Gyakori</w:t>
            </w:r>
          </w:p>
          <w:p w14:paraId="30BA53AE" w14:textId="5A8A84EC" w:rsidR="00C21388" w:rsidRPr="00E83289" w:rsidRDefault="00B124EF" w:rsidP="00B124EF">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E83289">
              <w:rPr>
                <w:rFonts w:ascii="Times New Roman" w:eastAsia="Times New Roman" w:hAnsi="Times New Roman" w:cs="Times New Roman"/>
              </w:rPr>
              <w:t>Laphámsejtes bőrrák</w:t>
            </w:r>
            <w:r w:rsidRPr="00E83289">
              <w:rPr>
                <w:rFonts w:ascii="Times New Roman" w:eastAsia="Times New Roman" w:hAnsi="Times New Roman" w:cs="Times New Roman"/>
                <w:vertAlign w:val="superscript"/>
              </w:rPr>
              <w:t>◊,^,+</w:t>
            </w:r>
          </w:p>
        </w:tc>
        <w:tc>
          <w:tcPr>
            <w:tcW w:w="3402" w:type="dxa"/>
            <w:tcBorders>
              <w:top w:val="single" w:sz="4" w:space="0" w:color="auto"/>
              <w:left w:val="single" w:sz="4" w:space="0" w:color="000000"/>
              <w:bottom w:val="single" w:sz="4" w:space="0" w:color="000000"/>
              <w:right w:val="single" w:sz="4" w:space="0" w:color="000000"/>
            </w:tcBorders>
          </w:tcPr>
          <w:p w14:paraId="7728F7E0" w14:textId="77777777" w:rsidR="00FC748F" w:rsidRPr="00956F16" w:rsidRDefault="00FC748F" w:rsidP="00F36C14">
            <w:pPr>
              <w:widowControl w:val="0"/>
              <w:tabs>
                <w:tab w:val="left" w:pos="567"/>
              </w:tabs>
              <w:autoSpaceDE w:val="0"/>
              <w:autoSpaceDN w:val="0"/>
              <w:adjustRightInd w:val="0"/>
              <w:spacing w:after="0" w:line="240" w:lineRule="auto"/>
              <w:ind w:left="142"/>
              <w:rPr>
                <w:rFonts w:ascii="Times New Roman" w:eastAsia="Times New Roman" w:hAnsi="Times New Roman" w:cs="Times New Roman"/>
                <w:u w:val="single"/>
              </w:rPr>
            </w:pPr>
            <w:r w:rsidRPr="00956F16">
              <w:rPr>
                <w:rFonts w:ascii="Times New Roman" w:eastAsia="Times New Roman" w:hAnsi="Times New Roman" w:cs="Times New Roman"/>
                <w:u w:val="single"/>
              </w:rPr>
              <w:t>Gyakori</w:t>
            </w:r>
          </w:p>
          <w:p w14:paraId="79BA3905" w14:textId="550B2484" w:rsidR="00FC748F" w:rsidRPr="00956F16" w:rsidRDefault="00FC748F" w:rsidP="00F36C14">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r w:rsidRPr="00956F16">
              <w:rPr>
                <w:rFonts w:ascii="Times New Roman" w:eastAsia="Times New Roman" w:hAnsi="Times New Roman" w:cs="Times New Roman"/>
              </w:rPr>
              <w:t>bazálsejtes karcinóma</w:t>
            </w:r>
            <w:r w:rsidRPr="00956F16">
              <w:rPr>
                <w:rFonts w:ascii="Times New Roman" w:eastAsia="Times New Roman" w:hAnsi="Times New Roman" w:cs="Times New Roman"/>
                <w:vertAlign w:val="superscript"/>
              </w:rPr>
              <w:t>^,◊</w:t>
            </w:r>
          </w:p>
        </w:tc>
      </w:tr>
      <w:tr w:rsidR="00FC748F" w:rsidRPr="00956F16" w14:paraId="0CF53B05" w14:textId="77777777" w:rsidTr="00F36C14">
        <w:trPr>
          <w:trHeight w:val="1838"/>
        </w:trPr>
        <w:tc>
          <w:tcPr>
            <w:tcW w:w="2400" w:type="dxa"/>
            <w:tcBorders>
              <w:top w:val="single" w:sz="4" w:space="0" w:color="000000"/>
              <w:left w:val="single" w:sz="4" w:space="0" w:color="000000"/>
              <w:right w:val="single" w:sz="4" w:space="0" w:color="000000"/>
            </w:tcBorders>
          </w:tcPr>
          <w:p w14:paraId="0C4BBB6F"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Vérképzőszervi és nyirokrendszeri betegségek és tünetek</w:t>
            </w:r>
          </w:p>
        </w:tc>
        <w:tc>
          <w:tcPr>
            <w:tcW w:w="3402" w:type="dxa"/>
            <w:tcBorders>
              <w:top w:val="single" w:sz="4" w:space="0" w:color="000000"/>
              <w:left w:val="single" w:sz="4" w:space="0" w:color="000000"/>
              <w:right w:val="single" w:sz="4" w:space="0" w:color="000000"/>
            </w:tcBorders>
          </w:tcPr>
          <w:p w14:paraId="5062494C"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r w:rsidRPr="00956F16">
              <w:rPr>
                <w:rFonts w:ascii="Times New Roman" w:eastAsia="Times New Roman" w:hAnsi="Times New Roman" w:cs="Times New Roman"/>
                <w:spacing w:val="2"/>
                <w:szCs w:val="20"/>
                <w:u w:val="single"/>
              </w:rPr>
              <w:t>Nagyon gyakori</w:t>
            </w:r>
          </w:p>
          <w:p w14:paraId="65A2B662" w14:textId="20BB3910" w:rsidR="00FC748F" w:rsidRPr="00956F16" w:rsidRDefault="00B124E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rPr>
            </w:pPr>
            <w:r w:rsidRPr="00956F16">
              <w:rPr>
                <w:rFonts w:ascii="Times New Roman" w:eastAsia="Times New Roman" w:hAnsi="Times New Roman" w:cs="Times New Roman"/>
                <w:spacing w:val="2"/>
                <w:szCs w:val="20"/>
              </w:rPr>
              <w:t>neutropenia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anaemia</w:t>
            </w:r>
            <w:r w:rsidRPr="00956F16">
              <w:rPr>
                <w:rFonts w:ascii="Times New Roman" w:eastAsia="Times New Roman" w:hAnsi="Times New Roman" w:cs="Times New Roman"/>
                <w:spacing w:val="2"/>
                <w:szCs w:val="20"/>
                <w:vertAlign w:val="superscript"/>
              </w:rPr>
              <w:t>◊</w:t>
            </w:r>
            <w:r>
              <w:rPr>
                <w:rFonts w:ascii="Times New Roman" w:eastAsia="Times New Roman" w:hAnsi="Times New Roman" w:cs="Times New Roman"/>
                <w:spacing w:val="2"/>
                <w:szCs w:val="20"/>
              </w:rPr>
              <w:t xml:space="preserve">, </w:t>
            </w:r>
            <w:r w:rsidR="00FC748F" w:rsidRPr="00956F16">
              <w:rPr>
                <w:rFonts w:ascii="Times New Roman" w:eastAsia="Times New Roman" w:hAnsi="Times New Roman" w:cs="Times New Roman"/>
                <w:spacing w:val="2"/>
                <w:szCs w:val="20"/>
              </w:rPr>
              <w:t>thrombocytopenia</w:t>
            </w:r>
            <w:r w:rsidR="00FC748F" w:rsidRPr="00956F16">
              <w:rPr>
                <w:rFonts w:ascii="Times New Roman" w:eastAsia="Times New Roman" w:hAnsi="Times New Roman" w:cs="Times New Roman"/>
                <w:spacing w:val="2"/>
                <w:szCs w:val="20"/>
                <w:vertAlign w:val="superscript"/>
              </w:rPr>
              <w:t>^</w:t>
            </w:r>
            <w:r w:rsidR="00FC748F" w:rsidRPr="00956F16">
              <w:rPr>
                <w:rFonts w:ascii="Times New Roman" w:eastAsia="Times New Roman" w:hAnsi="Times New Roman" w:cs="Times New Roman"/>
                <w:spacing w:val="2"/>
                <w:szCs w:val="20"/>
              </w:rPr>
              <w:t>, leukop</w:t>
            </w:r>
            <w:r w:rsidR="00761422">
              <w:rPr>
                <w:rFonts w:ascii="Times New Roman" w:eastAsia="Times New Roman" w:hAnsi="Times New Roman" w:cs="Times New Roman"/>
                <w:spacing w:val="2"/>
                <w:szCs w:val="20"/>
              </w:rPr>
              <w:t>e</w:t>
            </w:r>
            <w:r w:rsidR="00FC748F" w:rsidRPr="00956F16">
              <w:rPr>
                <w:rFonts w:ascii="Times New Roman" w:eastAsia="Times New Roman" w:hAnsi="Times New Roman" w:cs="Times New Roman"/>
                <w:spacing w:val="2"/>
                <w:szCs w:val="20"/>
              </w:rPr>
              <w:t>ni</w:t>
            </w:r>
            <w:r w:rsidR="00FC748F">
              <w:rPr>
                <w:rFonts w:ascii="Times New Roman" w:eastAsia="Times New Roman" w:hAnsi="Times New Roman" w:cs="Times New Roman"/>
                <w:spacing w:val="2"/>
                <w:szCs w:val="20"/>
              </w:rPr>
              <w:t>a</w:t>
            </w:r>
            <w:r>
              <w:rPr>
                <w:rFonts w:ascii="Times New Roman" w:eastAsia="Times New Roman" w:hAnsi="Times New Roman" w:cs="Times New Roman"/>
                <w:spacing w:val="2"/>
                <w:szCs w:val="20"/>
                <w:vertAlign w:val="superscript"/>
              </w:rPr>
              <w:t>**</w:t>
            </w:r>
            <w:r w:rsidR="00FC748F" w:rsidRPr="00956F16">
              <w:rPr>
                <w:rFonts w:ascii="Times New Roman" w:eastAsia="Times New Roman" w:hAnsi="Times New Roman" w:cs="Times New Roman"/>
                <w:spacing w:val="2"/>
                <w:szCs w:val="20"/>
              </w:rPr>
              <w:t xml:space="preserve">, </w:t>
            </w:r>
            <w:r>
              <w:rPr>
                <w:rFonts w:ascii="Times New Roman" w:eastAsia="Times New Roman" w:hAnsi="Times New Roman" w:cs="Times New Roman"/>
                <w:spacing w:val="2"/>
                <w:szCs w:val="20"/>
              </w:rPr>
              <w:t>l</w:t>
            </w:r>
            <w:r w:rsidRPr="00B124EF">
              <w:rPr>
                <w:rFonts w:ascii="Times New Roman" w:eastAsia="Times New Roman" w:hAnsi="Times New Roman" w:cs="Times New Roman"/>
                <w:spacing w:val="2"/>
                <w:szCs w:val="20"/>
              </w:rPr>
              <w:t>ymphopenia</w:t>
            </w:r>
            <w:r w:rsidRPr="00E83289">
              <w:rPr>
                <w:rFonts w:ascii="Times New Roman" w:eastAsia="Times New Roman" w:hAnsi="Times New Roman" w:cs="Times New Roman"/>
                <w:spacing w:val="2"/>
                <w:szCs w:val="20"/>
                <w:vertAlign w:val="superscript"/>
              </w:rPr>
              <w:t>***</w:t>
            </w:r>
          </w:p>
          <w:p w14:paraId="3B29E12D" w14:textId="77777777" w:rsidR="00FC748F" w:rsidRPr="00956F16" w:rsidRDefault="00FC748F">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p>
        </w:tc>
        <w:tc>
          <w:tcPr>
            <w:tcW w:w="3402" w:type="dxa"/>
            <w:tcBorders>
              <w:top w:val="single" w:sz="4" w:space="0" w:color="000000"/>
              <w:left w:val="single" w:sz="4" w:space="0" w:color="000000"/>
              <w:right w:val="single" w:sz="4" w:space="0" w:color="000000"/>
            </w:tcBorders>
          </w:tcPr>
          <w:p w14:paraId="50B05988"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Nagyon gyakori</w:t>
            </w:r>
          </w:p>
          <w:p w14:paraId="18679C9C" w14:textId="64EE0BB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rPr>
            </w:pPr>
            <w:r w:rsidRPr="00956F16">
              <w:rPr>
                <w:rFonts w:ascii="Times New Roman" w:eastAsia="Times New Roman" w:hAnsi="Times New Roman" w:cs="Times New Roman"/>
                <w:spacing w:val="2"/>
                <w:szCs w:val="20"/>
              </w:rPr>
              <w:t>neutropenia</w:t>
            </w:r>
            <w:r w:rsidRPr="00956F16">
              <w:rPr>
                <w:rFonts w:ascii="Times New Roman" w:eastAsia="Times New Roman" w:hAnsi="Times New Roman" w:cs="Times New Roman"/>
                <w:spacing w:val="2"/>
                <w:szCs w:val="20"/>
                <w:vertAlign w:val="superscript"/>
              </w:rPr>
              <w:t>^,◊</w:t>
            </w:r>
          </w:p>
          <w:p w14:paraId="59EFDD38"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p>
          <w:p w14:paraId="6206914C"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Gyakori</w:t>
            </w:r>
          </w:p>
          <w:p w14:paraId="3100F64A" w14:textId="226FA6C3" w:rsidR="00FC748F" w:rsidRPr="00E83289" w:rsidRDefault="00B124EF">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rPr>
            </w:pPr>
            <w:r w:rsidRPr="00956F16">
              <w:rPr>
                <w:rFonts w:ascii="Times New Roman" w:eastAsia="Times New Roman" w:hAnsi="Times New Roman" w:cs="Times New Roman"/>
                <w:spacing w:val="2"/>
                <w:szCs w:val="20"/>
              </w:rPr>
              <w:t>anaemia</w:t>
            </w:r>
            <w:r w:rsidRPr="00956F16">
              <w:rPr>
                <w:rFonts w:ascii="Times New Roman" w:eastAsia="Times New Roman" w:hAnsi="Times New Roman" w:cs="Times New Roman"/>
                <w:spacing w:val="2"/>
                <w:szCs w:val="20"/>
                <w:vertAlign w:val="superscript"/>
              </w:rPr>
              <w:t>◊</w:t>
            </w:r>
            <w:r>
              <w:rPr>
                <w:rFonts w:ascii="Times New Roman" w:eastAsia="Times New Roman" w:hAnsi="Times New Roman" w:cs="Times New Roman"/>
                <w:spacing w:val="2"/>
                <w:szCs w:val="20"/>
              </w:rPr>
              <w:t xml:space="preserve">, </w:t>
            </w:r>
            <w:r w:rsidRPr="00956F16">
              <w:rPr>
                <w:rFonts w:ascii="Times New Roman" w:eastAsia="Times New Roman" w:hAnsi="Times New Roman" w:cs="Times New Roman"/>
                <w:spacing w:val="2"/>
                <w:szCs w:val="20"/>
              </w:rPr>
              <w:t>thrombocytopenia</w:t>
            </w:r>
            <w:r w:rsidRPr="00956F16">
              <w:rPr>
                <w:rFonts w:ascii="Times New Roman" w:eastAsia="Times New Roman" w:hAnsi="Times New Roman" w:cs="Times New Roman"/>
                <w:spacing w:val="2"/>
                <w:szCs w:val="20"/>
                <w:vertAlign w:val="superscript"/>
              </w:rPr>
              <w:t>^</w:t>
            </w:r>
            <w:r w:rsidRPr="00956F16">
              <w:rPr>
                <w:rFonts w:ascii="Times New Roman" w:eastAsia="Times New Roman" w:hAnsi="Times New Roman" w:cs="Times New Roman"/>
                <w:spacing w:val="2"/>
                <w:szCs w:val="20"/>
              </w:rPr>
              <w:t xml:space="preserve">, </w:t>
            </w:r>
            <w:r w:rsidR="00FC748F" w:rsidRPr="00956F16">
              <w:rPr>
                <w:rFonts w:ascii="Times New Roman" w:eastAsia="Times New Roman" w:hAnsi="Times New Roman" w:cs="Times New Roman"/>
                <w:spacing w:val="1"/>
                <w:szCs w:val="20"/>
              </w:rPr>
              <w:t>lázas neutropenia</w:t>
            </w:r>
            <w:r w:rsidR="00FC748F" w:rsidRPr="00956F16">
              <w:rPr>
                <w:rFonts w:ascii="Times New Roman" w:eastAsia="Times New Roman" w:hAnsi="Times New Roman" w:cs="Times New Roman"/>
                <w:spacing w:val="1"/>
                <w:szCs w:val="20"/>
                <w:vertAlign w:val="superscript"/>
              </w:rPr>
              <w:t>◊</w:t>
            </w:r>
            <w:r w:rsidR="00FC748F" w:rsidRPr="00956F16">
              <w:rPr>
                <w:rFonts w:ascii="Times New Roman" w:eastAsia="Times New Roman" w:hAnsi="Times New Roman" w:cs="Times New Roman"/>
                <w:spacing w:val="1"/>
                <w:szCs w:val="20"/>
              </w:rPr>
              <w:t xml:space="preserve">, </w:t>
            </w:r>
            <w:r w:rsidR="002B4D9F" w:rsidRPr="002B4D9F">
              <w:rPr>
                <w:rFonts w:ascii="Times New Roman" w:eastAsia="Times New Roman" w:hAnsi="Times New Roman" w:cs="Times New Roman"/>
                <w:spacing w:val="1"/>
                <w:szCs w:val="20"/>
              </w:rPr>
              <w:t>pancytopenia,</w:t>
            </w:r>
            <w:r w:rsidR="002B4D9F">
              <w:rPr>
                <w:rFonts w:ascii="Times New Roman" w:eastAsia="Times New Roman" w:hAnsi="Times New Roman" w:cs="Times New Roman"/>
                <w:spacing w:val="1"/>
                <w:szCs w:val="20"/>
              </w:rPr>
              <w:t xml:space="preserve"> </w:t>
            </w:r>
            <w:r w:rsidR="002B4D9F" w:rsidRPr="00956F16">
              <w:rPr>
                <w:rFonts w:ascii="Times New Roman" w:eastAsia="Times New Roman" w:hAnsi="Times New Roman" w:cs="Times New Roman"/>
                <w:spacing w:val="2"/>
                <w:szCs w:val="20"/>
              </w:rPr>
              <w:t>leukop</w:t>
            </w:r>
            <w:r w:rsidR="00761422">
              <w:rPr>
                <w:rFonts w:ascii="Times New Roman" w:eastAsia="Times New Roman" w:hAnsi="Times New Roman" w:cs="Times New Roman"/>
                <w:spacing w:val="2"/>
                <w:szCs w:val="20"/>
              </w:rPr>
              <w:t>e</w:t>
            </w:r>
            <w:r w:rsidR="002B4D9F" w:rsidRPr="00956F16">
              <w:rPr>
                <w:rFonts w:ascii="Times New Roman" w:eastAsia="Times New Roman" w:hAnsi="Times New Roman" w:cs="Times New Roman"/>
                <w:spacing w:val="2"/>
                <w:szCs w:val="20"/>
              </w:rPr>
              <w:t>ni</w:t>
            </w:r>
            <w:r w:rsidR="002B4D9F">
              <w:rPr>
                <w:rFonts w:ascii="Times New Roman" w:eastAsia="Times New Roman" w:hAnsi="Times New Roman" w:cs="Times New Roman"/>
                <w:spacing w:val="2"/>
                <w:szCs w:val="20"/>
              </w:rPr>
              <w:t>a</w:t>
            </w:r>
            <w:r w:rsidR="002B4D9F">
              <w:rPr>
                <w:rFonts w:ascii="Times New Roman" w:eastAsia="Times New Roman" w:hAnsi="Times New Roman" w:cs="Times New Roman"/>
                <w:spacing w:val="2"/>
                <w:szCs w:val="20"/>
                <w:vertAlign w:val="superscript"/>
              </w:rPr>
              <w:t>**</w:t>
            </w:r>
            <w:r w:rsidR="002B4D9F" w:rsidRPr="00956F16">
              <w:rPr>
                <w:rFonts w:ascii="Times New Roman" w:eastAsia="Times New Roman" w:hAnsi="Times New Roman" w:cs="Times New Roman"/>
                <w:spacing w:val="2"/>
                <w:szCs w:val="20"/>
              </w:rPr>
              <w:t xml:space="preserve">, </w:t>
            </w:r>
            <w:r w:rsidR="002B4D9F">
              <w:rPr>
                <w:rFonts w:ascii="Times New Roman" w:eastAsia="Times New Roman" w:hAnsi="Times New Roman" w:cs="Times New Roman"/>
                <w:spacing w:val="2"/>
                <w:szCs w:val="20"/>
              </w:rPr>
              <w:t>l</w:t>
            </w:r>
            <w:r w:rsidR="002B4D9F" w:rsidRPr="00B124EF">
              <w:rPr>
                <w:rFonts w:ascii="Times New Roman" w:eastAsia="Times New Roman" w:hAnsi="Times New Roman" w:cs="Times New Roman"/>
                <w:spacing w:val="2"/>
                <w:szCs w:val="20"/>
              </w:rPr>
              <w:t>ymphopenia</w:t>
            </w:r>
            <w:r w:rsidR="002B4D9F" w:rsidRPr="00F36C14">
              <w:rPr>
                <w:rFonts w:ascii="Times New Roman" w:eastAsia="Times New Roman" w:hAnsi="Times New Roman" w:cs="Times New Roman"/>
                <w:spacing w:val="2"/>
                <w:szCs w:val="20"/>
                <w:vertAlign w:val="superscript"/>
              </w:rPr>
              <w:t>***</w:t>
            </w:r>
          </w:p>
        </w:tc>
      </w:tr>
      <w:tr w:rsidR="00FC748F" w:rsidRPr="00956F16" w14:paraId="6F878BF9" w14:textId="77777777" w:rsidTr="00F36C14">
        <w:trPr>
          <w:trHeight w:val="1682"/>
        </w:trPr>
        <w:tc>
          <w:tcPr>
            <w:tcW w:w="2400" w:type="dxa"/>
            <w:tcBorders>
              <w:top w:val="single" w:sz="4" w:space="0" w:color="000000"/>
              <w:left w:val="single" w:sz="4" w:space="0" w:color="000000"/>
              <w:bottom w:val="single" w:sz="4" w:space="0" w:color="000000"/>
              <w:right w:val="single" w:sz="4" w:space="0" w:color="000000"/>
            </w:tcBorders>
          </w:tcPr>
          <w:p w14:paraId="36E5E2E4"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Anyagcsere- és táplálkozási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2C3E27E3" w14:textId="77777777" w:rsidR="00FC748F" w:rsidRPr="00956F16" w:rsidRDefault="00FC748F" w:rsidP="00F36C14">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678CE7E2" w14:textId="60488AC8" w:rsidR="00FC748F" w:rsidRPr="00956F16" w:rsidRDefault="00FC748F" w:rsidP="00F36C14">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zCs w:val="20"/>
              </w:rPr>
              <w:t xml:space="preserve">csökkent étvágy, </w:t>
            </w: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3"/>
                <w:szCs w:val="20"/>
              </w:rPr>
              <w:t>o</w:t>
            </w:r>
            <w:r w:rsidRPr="00956F16">
              <w:rPr>
                <w:rFonts w:ascii="Times New Roman" w:eastAsia="Times New Roman" w:hAnsi="Times New Roman" w:cs="Times New Roman"/>
                <w:spacing w:val="-2"/>
                <w:szCs w:val="20"/>
              </w:rPr>
              <w:t>k</w:t>
            </w:r>
            <w:r w:rsidRPr="00956F16">
              <w:rPr>
                <w:rFonts w:ascii="Times New Roman" w:eastAsia="Times New Roman" w:hAnsi="Times New Roman" w:cs="Times New Roman"/>
                <w:spacing w:val="1"/>
                <w:szCs w:val="20"/>
              </w:rPr>
              <w:t>ala</w:t>
            </w:r>
            <w:r w:rsidRPr="00956F16">
              <w:rPr>
                <w:rFonts w:ascii="Times New Roman" w:eastAsia="Times New Roman" w:hAnsi="Times New Roman" w:cs="Times New Roman"/>
                <w:szCs w:val="20"/>
              </w:rPr>
              <w:t>e</w:t>
            </w:r>
            <w:r w:rsidRPr="00956F16">
              <w:rPr>
                <w:rFonts w:ascii="Times New Roman" w:eastAsia="Times New Roman" w:hAnsi="Times New Roman" w:cs="Times New Roman"/>
                <w:spacing w:val="-3"/>
                <w:szCs w:val="20"/>
              </w:rPr>
              <w:t>m</w:t>
            </w:r>
            <w:r w:rsidRPr="00956F16">
              <w:rPr>
                <w:rFonts w:ascii="Times New Roman" w:eastAsia="Times New Roman" w:hAnsi="Times New Roman" w:cs="Times New Roman"/>
                <w:spacing w:val="1"/>
                <w:szCs w:val="20"/>
              </w:rPr>
              <w:t>i</w:t>
            </w:r>
            <w:r w:rsidRPr="00956F16">
              <w:rPr>
                <w:rFonts w:ascii="Times New Roman" w:eastAsia="Times New Roman" w:hAnsi="Times New Roman" w:cs="Times New Roman"/>
                <w:szCs w:val="20"/>
              </w:rPr>
              <w:t>a</w:t>
            </w:r>
          </w:p>
          <w:p w14:paraId="23A8C0B0" w14:textId="77777777" w:rsidR="00FC748F" w:rsidRPr="00956F16" w:rsidRDefault="00FC748F" w:rsidP="00F36C14">
            <w:pPr>
              <w:widowControl w:val="0"/>
              <w:autoSpaceDE w:val="0"/>
              <w:autoSpaceDN w:val="0"/>
              <w:adjustRightInd w:val="0"/>
              <w:spacing w:after="0" w:line="240" w:lineRule="auto"/>
              <w:ind w:left="142" w:right="-20"/>
              <w:rPr>
                <w:rFonts w:ascii="Times New Roman" w:eastAsia="Times New Roman" w:hAnsi="Times New Roman" w:cs="Times New Roman"/>
                <w:szCs w:val="24"/>
              </w:rPr>
            </w:pPr>
          </w:p>
          <w:p w14:paraId="1BF4F5E2" w14:textId="77777777" w:rsidR="00FC748F" w:rsidRPr="00956F16" w:rsidRDefault="00FC748F" w:rsidP="00F36C14">
            <w:pPr>
              <w:widowControl w:val="0"/>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F899FB1" w14:textId="1BF07136" w:rsidR="00FC748F" w:rsidRPr="00956F16" w:rsidRDefault="002B4D9F" w:rsidP="00F36C14">
            <w:pPr>
              <w:widowControl w:val="0"/>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pacing w:val="-1"/>
                <w:szCs w:val="20"/>
              </w:rPr>
              <w:t>h</w:t>
            </w:r>
            <w:r w:rsidRPr="002B4D9F">
              <w:rPr>
                <w:rFonts w:ascii="Times New Roman" w:eastAsia="Times New Roman" w:hAnsi="Times New Roman" w:cs="Times New Roman"/>
                <w:spacing w:val="-1"/>
                <w:szCs w:val="20"/>
              </w:rPr>
              <w:t>ypophosphataemia, dehydratio</w:t>
            </w:r>
          </w:p>
        </w:tc>
        <w:tc>
          <w:tcPr>
            <w:tcW w:w="3402" w:type="dxa"/>
            <w:tcBorders>
              <w:top w:val="single" w:sz="4" w:space="0" w:color="000000"/>
              <w:left w:val="single" w:sz="4" w:space="0" w:color="000000"/>
              <w:bottom w:val="single" w:sz="4" w:space="0" w:color="000000"/>
              <w:right w:val="single" w:sz="4" w:space="0" w:color="000000"/>
            </w:tcBorders>
          </w:tcPr>
          <w:p w14:paraId="7DC012CD"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4C9E49F1" w14:textId="5BF47B7C" w:rsidR="00FC748F" w:rsidRPr="00956F16" w:rsidRDefault="002B4D9F">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2B4D9F">
              <w:rPr>
                <w:rFonts w:ascii="Times New Roman" w:eastAsia="Times New Roman" w:hAnsi="Times New Roman" w:cs="Times New Roman"/>
                <w:spacing w:val="-1"/>
                <w:szCs w:val="20"/>
              </w:rPr>
              <w:t>dehydratio</w:t>
            </w:r>
            <w:r w:rsidR="00FC748F" w:rsidRPr="00956F16">
              <w:rPr>
                <w:rFonts w:ascii="Times New Roman" w:eastAsia="Times New Roman" w:hAnsi="Times New Roman" w:cs="Times New Roman"/>
                <w:szCs w:val="20"/>
              </w:rPr>
              <w:t xml:space="preserve">, </w:t>
            </w:r>
            <w:r w:rsidRPr="002B4D9F">
              <w:rPr>
                <w:rFonts w:ascii="Times New Roman" w:eastAsia="Times New Roman" w:hAnsi="Times New Roman" w:cs="Times New Roman"/>
                <w:szCs w:val="20"/>
              </w:rPr>
              <w:t>hypercalcaemia</w:t>
            </w:r>
            <w:r w:rsidRPr="00E83289">
              <w:rPr>
                <w:rFonts w:ascii="Times New Roman" w:eastAsia="Times New Roman" w:hAnsi="Times New Roman" w:cs="Times New Roman"/>
                <w:szCs w:val="20"/>
                <w:vertAlign w:val="superscript"/>
              </w:rPr>
              <w:t>◊</w:t>
            </w:r>
            <w:r w:rsidRPr="002B4D9F">
              <w:rPr>
                <w:rFonts w:ascii="Times New Roman" w:eastAsia="Times New Roman" w:hAnsi="Times New Roman" w:cs="Times New Roman"/>
                <w:szCs w:val="20"/>
              </w:rPr>
              <w:t>,</w:t>
            </w:r>
            <w:r>
              <w:rPr>
                <w:rFonts w:ascii="Times New Roman" w:eastAsia="Times New Roman" w:hAnsi="Times New Roman" w:cs="Times New Roman"/>
                <w:szCs w:val="20"/>
              </w:rPr>
              <w:t xml:space="preserve"> </w:t>
            </w:r>
            <w:r w:rsidRPr="002B4D9F">
              <w:rPr>
                <w:rFonts w:ascii="Times New Roman" w:eastAsia="Times New Roman" w:hAnsi="Times New Roman" w:cs="Times New Roman"/>
                <w:szCs w:val="20"/>
              </w:rPr>
              <w:t>hypokalaemia, hypophosphataemia,</w:t>
            </w:r>
            <w:r>
              <w:rPr>
                <w:rFonts w:ascii="Times New Roman" w:eastAsia="Times New Roman" w:hAnsi="Times New Roman" w:cs="Times New Roman"/>
                <w:szCs w:val="20"/>
              </w:rPr>
              <w:t xml:space="preserve"> </w:t>
            </w:r>
            <w:r w:rsidRPr="002B4D9F">
              <w:rPr>
                <w:rFonts w:ascii="Times New Roman" w:eastAsia="Times New Roman" w:hAnsi="Times New Roman" w:cs="Times New Roman"/>
                <w:szCs w:val="20"/>
              </w:rPr>
              <w:t>hyperuricaemia</w:t>
            </w:r>
          </w:p>
        </w:tc>
      </w:tr>
      <w:tr w:rsidR="00FC748F" w:rsidRPr="00956F16" w14:paraId="03313CE1" w14:textId="77777777" w:rsidTr="007E5A32">
        <w:trPr>
          <w:trHeight w:hRule="exact" w:val="719"/>
        </w:trPr>
        <w:tc>
          <w:tcPr>
            <w:tcW w:w="2400" w:type="dxa"/>
            <w:tcBorders>
              <w:top w:val="single" w:sz="4" w:space="0" w:color="000000"/>
              <w:left w:val="single" w:sz="4" w:space="0" w:color="000000"/>
              <w:bottom w:val="single" w:sz="4" w:space="0" w:color="auto"/>
              <w:right w:val="single" w:sz="4" w:space="0" w:color="000000"/>
            </w:tcBorders>
          </w:tcPr>
          <w:p w14:paraId="3E11BF1A"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2"/>
                <w:szCs w:val="20"/>
              </w:rPr>
              <w:t>Pszichiátriai kórképek</w:t>
            </w:r>
          </w:p>
        </w:tc>
        <w:tc>
          <w:tcPr>
            <w:tcW w:w="3402" w:type="dxa"/>
            <w:tcBorders>
              <w:top w:val="single" w:sz="4" w:space="0" w:color="000000"/>
              <w:left w:val="single" w:sz="4" w:space="0" w:color="000000"/>
              <w:bottom w:val="single" w:sz="4" w:space="0" w:color="auto"/>
              <w:right w:val="single" w:sz="4" w:space="0" w:color="000000"/>
            </w:tcBorders>
          </w:tcPr>
          <w:p w14:paraId="49DD14CC"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4173B378" w14:textId="40F4951B" w:rsidR="00FC748F" w:rsidRPr="00956F16" w:rsidRDefault="002B4D9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4"/>
              </w:rPr>
            </w:pPr>
            <w:r>
              <w:rPr>
                <w:rFonts w:ascii="Times New Roman" w:eastAsia="Times New Roman" w:hAnsi="Times New Roman" w:cs="Times New Roman"/>
                <w:spacing w:val="-1"/>
                <w:szCs w:val="20"/>
              </w:rPr>
              <w:t xml:space="preserve">depresszió, </w:t>
            </w:r>
            <w:r w:rsidR="00FC748F" w:rsidRPr="00956F16">
              <w:rPr>
                <w:rFonts w:ascii="Times New Roman" w:eastAsia="Times New Roman" w:hAnsi="Times New Roman" w:cs="Times New Roman"/>
                <w:spacing w:val="-1"/>
                <w:szCs w:val="20"/>
              </w:rPr>
              <w:t>i</w:t>
            </w:r>
            <w:r w:rsidR="00FC748F" w:rsidRPr="00956F16">
              <w:rPr>
                <w:rFonts w:ascii="Times New Roman" w:eastAsia="Times New Roman" w:hAnsi="Times New Roman" w:cs="Times New Roman"/>
                <w:szCs w:val="20"/>
              </w:rPr>
              <w:t>n</w:t>
            </w:r>
            <w:r w:rsidR="00FC748F" w:rsidRPr="00956F16">
              <w:rPr>
                <w:rFonts w:ascii="Times New Roman" w:eastAsia="Times New Roman" w:hAnsi="Times New Roman" w:cs="Times New Roman"/>
                <w:spacing w:val="1"/>
                <w:szCs w:val="20"/>
              </w:rPr>
              <w:t>s</w:t>
            </w:r>
            <w:r w:rsidR="00FC748F" w:rsidRPr="00956F16">
              <w:rPr>
                <w:rFonts w:ascii="Times New Roman" w:eastAsia="Times New Roman" w:hAnsi="Times New Roman" w:cs="Times New Roman"/>
                <w:szCs w:val="20"/>
              </w:rPr>
              <w:t>o</w:t>
            </w:r>
            <w:r w:rsidR="00FC748F" w:rsidRPr="00956F16">
              <w:rPr>
                <w:rFonts w:ascii="Times New Roman" w:eastAsia="Times New Roman" w:hAnsi="Times New Roman" w:cs="Times New Roman"/>
                <w:spacing w:val="-3"/>
                <w:szCs w:val="20"/>
              </w:rPr>
              <w:t>m</w:t>
            </w:r>
            <w:r w:rsidR="00FC748F" w:rsidRPr="00956F16">
              <w:rPr>
                <w:rFonts w:ascii="Times New Roman" w:eastAsia="Times New Roman" w:hAnsi="Times New Roman" w:cs="Times New Roman"/>
                <w:szCs w:val="20"/>
              </w:rPr>
              <w:t>n</w:t>
            </w:r>
            <w:r w:rsidR="00FC748F" w:rsidRPr="00956F16">
              <w:rPr>
                <w:rFonts w:ascii="Times New Roman" w:eastAsia="Times New Roman" w:hAnsi="Times New Roman" w:cs="Times New Roman"/>
                <w:spacing w:val="1"/>
                <w:szCs w:val="20"/>
              </w:rPr>
              <w:t>i</w:t>
            </w:r>
            <w:r w:rsidR="00FC748F" w:rsidRPr="00956F16">
              <w:rPr>
                <w:rFonts w:ascii="Times New Roman" w:eastAsia="Times New Roman" w:hAnsi="Times New Roman" w:cs="Times New Roman"/>
                <w:szCs w:val="20"/>
              </w:rPr>
              <w:t>a</w:t>
            </w:r>
          </w:p>
          <w:p w14:paraId="0EB8E8E0"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auto"/>
              <w:right w:val="single" w:sz="4" w:space="0" w:color="000000"/>
            </w:tcBorders>
          </w:tcPr>
          <w:p w14:paraId="66CA8A87"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r>
      <w:tr w:rsidR="00FC748F" w:rsidRPr="00956F16" w14:paraId="6CE9A8CF" w14:textId="77777777" w:rsidTr="007E5A32">
        <w:trPr>
          <w:trHeight w:val="978"/>
        </w:trPr>
        <w:tc>
          <w:tcPr>
            <w:tcW w:w="2400" w:type="dxa"/>
            <w:tcBorders>
              <w:top w:val="single" w:sz="4" w:space="0" w:color="auto"/>
              <w:left w:val="single" w:sz="4" w:space="0" w:color="auto"/>
              <w:bottom w:val="single" w:sz="4" w:space="0" w:color="auto"/>
              <w:right w:val="single" w:sz="4" w:space="0" w:color="auto"/>
            </w:tcBorders>
          </w:tcPr>
          <w:p w14:paraId="12F9436E"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Idegrendszeri betegségek és tünetek</w:t>
            </w:r>
          </w:p>
        </w:tc>
        <w:tc>
          <w:tcPr>
            <w:tcW w:w="3402" w:type="dxa"/>
            <w:tcBorders>
              <w:top w:val="single" w:sz="4" w:space="0" w:color="auto"/>
              <w:left w:val="single" w:sz="4" w:space="0" w:color="auto"/>
              <w:bottom w:val="single" w:sz="4" w:space="0" w:color="auto"/>
              <w:right w:val="single" w:sz="4" w:space="0" w:color="auto"/>
            </w:tcBorders>
          </w:tcPr>
          <w:p w14:paraId="18465F06" w14:textId="77777777" w:rsidR="002B4D9F" w:rsidRDefault="002B4D9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Pr>
                <w:rFonts w:ascii="Times New Roman" w:eastAsia="Times New Roman" w:hAnsi="Times New Roman" w:cs="Times New Roman"/>
                <w:spacing w:val="1"/>
                <w:szCs w:val="20"/>
                <w:u w:val="single"/>
              </w:rPr>
              <w:t>Nagyon gyakori</w:t>
            </w:r>
          </w:p>
          <w:p w14:paraId="57F98D29" w14:textId="671955B8" w:rsidR="002B4D9F" w:rsidRDefault="002B4D9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rPr>
              <w:t>fejfájás</w:t>
            </w:r>
            <w:r>
              <w:rPr>
                <w:rFonts w:ascii="Times New Roman" w:eastAsia="Times New Roman" w:hAnsi="Times New Roman" w:cs="Times New Roman"/>
                <w:spacing w:val="-1"/>
                <w:szCs w:val="20"/>
              </w:rPr>
              <w:t>, szédülés</w:t>
            </w:r>
          </w:p>
          <w:p w14:paraId="45F71707" w14:textId="77777777" w:rsidR="002B4D9F" w:rsidRDefault="002B4D9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p>
          <w:p w14:paraId="7F9C9592" w14:textId="1BA938DC"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523053D" w14:textId="74E11A09" w:rsidR="00FC748F" w:rsidRPr="00956F16" w:rsidRDefault="002B4D9F" w:rsidP="00F36C14">
            <w:pPr>
              <w:widowControl w:val="0"/>
              <w:tabs>
                <w:tab w:val="left" w:pos="567"/>
              </w:tabs>
              <w:autoSpaceDE w:val="0"/>
              <w:autoSpaceDN w:val="0"/>
              <w:adjustRightInd w:val="0"/>
              <w:spacing w:after="0" w:line="240" w:lineRule="auto"/>
              <w:ind w:left="142" w:right="38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perifériás szenzoros neuropathia</w:t>
            </w:r>
            <w:r w:rsidRPr="00956F16">
              <w:rPr>
                <w:rFonts w:ascii="Times New Roman" w:eastAsia="Times New Roman" w:hAnsi="Times New Roman" w:cs="Times New Roman"/>
                <w:szCs w:val="20"/>
              </w:rPr>
              <w:t xml:space="preserve"> </w:t>
            </w:r>
            <w:r w:rsidR="00FC748F" w:rsidRPr="00956F16">
              <w:rPr>
                <w:rFonts w:ascii="Times New Roman" w:eastAsia="Times New Roman" w:hAnsi="Times New Roman" w:cs="Times New Roman"/>
                <w:szCs w:val="20"/>
              </w:rPr>
              <w:t>dysgeusia</w:t>
            </w:r>
          </w:p>
        </w:tc>
        <w:tc>
          <w:tcPr>
            <w:tcW w:w="3402" w:type="dxa"/>
            <w:tcBorders>
              <w:top w:val="single" w:sz="4" w:space="0" w:color="auto"/>
              <w:left w:val="single" w:sz="4" w:space="0" w:color="auto"/>
              <w:bottom w:val="single" w:sz="4" w:space="0" w:color="auto"/>
              <w:right w:val="single" w:sz="4" w:space="0" w:color="auto"/>
            </w:tcBorders>
          </w:tcPr>
          <w:p w14:paraId="1B8CD11A"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43E810E" w14:textId="25FD5617" w:rsidR="00FC748F" w:rsidRPr="00956F16" w:rsidRDefault="002B4D9F" w:rsidP="00F36C14">
            <w:pPr>
              <w:widowControl w:val="0"/>
              <w:tabs>
                <w:tab w:val="left" w:pos="567"/>
              </w:tabs>
              <w:autoSpaceDE w:val="0"/>
              <w:autoSpaceDN w:val="0"/>
              <w:adjustRightInd w:val="0"/>
              <w:spacing w:after="0" w:line="240" w:lineRule="auto"/>
              <w:ind w:left="142" w:right="142"/>
              <w:rPr>
                <w:rFonts w:ascii="Times New Roman" w:eastAsia="Times New Roman" w:hAnsi="Times New Roman" w:cs="Times New Roman"/>
                <w:szCs w:val="20"/>
              </w:rPr>
            </w:pPr>
            <w:r>
              <w:rPr>
                <w:rFonts w:ascii="Times New Roman" w:eastAsia="Times New Roman" w:hAnsi="Times New Roman" w:cs="Times New Roman"/>
                <w:szCs w:val="20"/>
              </w:rPr>
              <w:t>s</w:t>
            </w:r>
            <w:r w:rsidRPr="002B4D9F">
              <w:rPr>
                <w:rFonts w:ascii="Times New Roman" w:eastAsia="Times New Roman" w:hAnsi="Times New Roman" w:cs="Times New Roman"/>
                <w:szCs w:val="20"/>
              </w:rPr>
              <w:t>yncope</w:t>
            </w:r>
          </w:p>
        </w:tc>
      </w:tr>
      <w:tr w:rsidR="00FC748F" w:rsidRPr="00956F16" w14:paraId="69EC0CD6" w14:textId="77777777" w:rsidTr="007E5A32">
        <w:trPr>
          <w:trHeight w:val="1023"/>
        </w:trPr>
        <w:tc>
          <w:tcPr>
            <w:tcW w:w="2400" w:type="dxa"/>
            <w:tcBorders>
              <w:top w:val="single" w:sz="4" w:space="0" w:color="auto"/>
              <w:left w:val="single" w:sz="4" w:space="0" w:color="000000"/>
              <w:bottom w:val="single" w:sz="4" w:space="0" w:color="000000"/>
              <w:right w:val="single" w:sz="4" w:space="0" w:color="000000"/>
            </w:tcBorders>
          </w:tcPr>
          <w:p w14:paraId="316A15C4"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Szívbetegségek és a szívvel kapcsolatos tünetek</w:t>
            </w:r>
          </w:p>
        </w:tc>
        <w:tc>
          <w:tcPr>
            <w:tcW w:w="3402" w:type="dxa"/>
            <w:tcBorders>
              <w:top w:val="single" w:sz="4" w:space="0" w:color="auto"/>
              <w:left w:val="single" w:sz="4" w:space="0" w:color="000000"/>
              <w:bottom w:val="single" w:sz="4" w:space="0" w:color="000000"/>
              <w:right w:val="single" w:sz="4" w:space="0" w:color="000000"/>
            </w:tcBorders>
          </w:tcPr>
          <w:p w14:paraId="7A7D2E83" w14:textId="77777777" w:rsidR="002B4D9F" w:rsidRPr="00E83289" w:rsidRDefault="002B4D9F" w:rsidP="002B4D9F">
            <w:pPr>
              <w:widowControl w:val="0"/>
              <w:tabs>
                <w:tab w:val="left" w:pos="567"/>
              </w:tabs>
              <w:autoSpaceDE w:val="0"/>
              <w:autoSpaceDN w:val="0"/>
              <w:adjustRightInd w:val="0"/>
              <w:spacing w:after="0" w:line="240" w:lineRule="auto"/>
              <w:ind w:left="142" w:right="380"/>
              <w:rPr>
                <w:rFonts w:ascii="Times New Roman" w:eastAsia="Times New Roman" w:hAnsi="Times New Roman" w:cs="Times New Roman"/>
                <w:u w:val="single"/>
              </w:rPr>
            </w:pPr>
            <w:r w:rsidRPr="00E83289">
              <w:rPr>
                <w:rFonts w:ascii="Times New Roman" w:eastAsia="Times New Roman" w:hAnsi="Times New Roman" w:cs="Times New Roman"/>
                <w:u w:val="single"/>
              </w:rPr>
              <w:t>Nem gyakori</w:t>
            </w:r>
          </w:p>
          <w:p w14:paraId="4DD1C4FD" w14:textId="5E8B4820" w:rsidR="00FC748F" w:rsidRPr="00956F16" w:rsidRDefault="002B4D9F" w:rsidP="002B4D9F">
            <w:pPr>
              <w:widowControl w:val="0"/>
              <w:tabs>
                <w:tab w:val="left" w:pos="567"/>
              </w:tabs>
              <w:autoSpaceDE w:val="0"/>
              <w:autoSpaceDN w:val="0"/>
              <w:adjustRightInd w:val="0"/>
              <w:spacing w:after="0" w:line="240" w:lineRule="auto"/>
              <w:ind w:left="142" w:right="380"/>
              <w:rPr>
                <w:rFonts w:ascii="Times New Roman" w:eastAsia="Times New Roman" w:hAnsi="Times New Roman" w:cs="Times New Roman"/>
                <w:sz w:val="24"/>
                <w:szCs w:val="24"/>
              </w:rPr>
            </w:pPr>
            <w:r w:rsidRPr="00E83289">
              <w:rPr>
                <w:rFonts w:ascii="Times New Roman" w:eastAsia="Times New Roman" w:hAnsi="Times New Roman" w:cs="Times New Roman"/>
              </w:rPr>
              <w:t>arrhythmia</w:t>
            </w:r>
            <w:r w:rsidRPr="00E83289">
              <w:rPr>
                <w:rFonts w:ascii="Times New Roman" w:eastAsia="Times New Roman" w:hAnsi="Times New Roman" w:cs="Times New Roman"/>
                <w:vertAlign w:val="superscript"/>
              </w:rPr>
              <w:t>◊</w:t>
            </w:r>
          </w:p>
        </w:tc>
        <w:tc>
          <w:tcPr>
            <w:tcW w:w="3402" w:type="dxa"/>
            <w:tcBorders>
              <w:top w:val="single" w:sz="4" w:space="0" w:color="auto"/>
              <w:left w:val="single" w:sz="4" w:space="0" w:color="000000"/>
              <w:bottom w:val="single" w:sz="4" w:space="0" w:color="000000"/>
              <w:right w:val="single" w:sz="4" w:space="0" w:color="000000"/>
            </w:tcBorders>
          </w:tcPr>
          <w:p w14:paraId="377DA33C" w14:textId="2C1486F8" w:rsidR="00FC748F" w:rsidRPr="00956F16" w:rsidRDefault="00FC748F" w:rsidP="00F36C14">
            <w:pPr>
              <w:widowControl w:val="0"/>
              <w:tabs>
                <w:tab w:val="left" w:pos="567"/>
              </w:tabs>
              <w:autoSpaceDE w:val="0"/>
              <w:autoSpaceDN w:val="0"/>
              <w:adjustRightInd w:val="0"/>
              <w:spacing w:after="0" w:line="240" w:lineRule="auto"/>
              <w:ind w:left="142" w:right="142"/>
              <w:rPr>
                <w:rFonts w:ascii="Times New Roman" w:eastAsia="Times New Roman" w:hAnsi="Times New Roman" w:cs="Times New Roman"/>
                <w:szCs w:val="20"/>
              </w:rPr>
            </w:pPr>
          </w:p>
        </w:tc>
      </w:tr>
      <w:tr w:rsidR="00FC748F" w:rsidRPr="00956F16" w14:paraId="45D9779F" w14:textId="77777777" w:rsidTr="00F36C14">
        <w:trPr>
          <w:trHeight w:val="1023"/>
        </w:trPr>
        <w:tc>
          <w:tcPr>
            <w:tcW w:w="2400" w:type="dxa"/>
            <w:tcBorders>
              <w:top w:val="single" w:sz="4" w:space="0" w:color="000000"/>
              <w:left w:val="single" w:sz="4" w:space="0" w:color="000000"/>
              <w:bottom w:val="single" w:sz="4" w:space="0" w:color="000000"/>
              <w:right w:val="single" w:sz="4" w:space="0" w:color="000000"/>
            </w:tcBorders>
          </w:tcPr>
          <w:p w14:paraId="1FB557FE"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Érbetegségek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0AFD747B"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86A57EB"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h</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zCs w:val="20"/>
              </w:rPr>
              <w:t>po</w:t>
            </w:r>
            <w:r w:rsidRPr="00956F16">
              <w:rPr>
                <w:rFonts w:ascii="Times New Roman" w:eastAsia="Times New Roman" w:hAnsi="Times New Roman" w:cs="Times New Roman"/>
                <w:spacing w:val="1"/>
                <w:szCs w:val="20"/>
              </w:rPr>
              <w:t>tonia</w:t>
            </w:r>
            <w:r w:rsidRPr="00956F16">
              <w:rPr>
                <w:rFonts w:ascii="Times New Roman" w:eastAsia="Times New Roman" w:hAnsi="Times New Roman" w:cs="Times New Roman"/>
                <w:szCs w:val="20"/>
                <w:vertAlign w:val="superscript"/>
              </w:rPr>
              <w:t>◊</w:t>
            </w:r>
          </w:p>
        </w:tc>
        <w:tc>
          <w:tcPr>
            <w:tcW w:w="3402" w:type="dxa"/>
            <w:tcBorders>
              <w:top w:val="single" w:sz="4" w:space="0" w:color="000000"/>
              <w:left w:val="single" w:sz="4" w:space="0" w:color="000000"/>
              <w:bottom w:val="single" w:sz="4" w:space="0" w:color="000000"/>
              <w:right w:val="single" w:sz="4" w:space="0" w:color="000000"/>
            </w:tcBorders>
          </w:tcPr>
          <w:p w14:paraId="62BBA5EA"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u w:val="single"/>
              </w:rPr>
              <w:t>Gyakori</w:t>
            </w:r>
          </w:p>
          <w:p w14:paraId="53D8F027" w14:textId="0EC68E9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rPr>
              <w:t>tüdőembólia</w:t>
            </w:r>
            <w:r w:rsidRPr="00956F16">
              <w:rPr>
                <w:rFonts w:ascii="Times New Roman" w:eastAsia="Times New Roman" w:hAnsi="Times New Roman" w:cs="Times New Roman"/>
                <w:szCs w:val="20"/>
                <w:vertAlign w:val="superscript"/>
              </w:rPr>
              <w:t>^,◊</w:t>
            </w:r>
            <w:r w:rsidR="00337981">
              <w:rPr>
                <w:rFonts w:ascii="Times New Roman" w:eastAsia="Times New Roman" w:hAnsi="Times New Roman" w:cs="Times New Roman"/>
                <w:szCs w:val="20"/>
              </w:rPr>
              <w:t xml:space="preserve">, </w:t>
            </w:r>
            <w:r w:rsidRPr="00956F16">
              <w:rPr>
                <w:rFonts w:ascii="Times New Roman" w:eastAsia="Times New Roman" w:hAnsi="Times New Roman" w:cs="Times New Roman"/>
                <w:szCs w:val="20"/>
              </w:rPr>
              <w:t>hypotonia</w:t>
            </w:r>
          </w:p>
          <w:p w14:paraId="4481E275"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p>
        </w:tc>
      </w:tr>
      <w:tr w:rsidR="00FC748F" w:rsidRPr="00956F16" w14:paraId="22B46330" w14:textId="77777777" w:rsidTr="00F36C14">
        <w:trPr>
          <w:trHeight w:hRule="exact" w:val="1450"/>
        </w:trPr>
        <w:tc>
          <w:tcPr>
            <w:tcW w:w="2400" w:type="dxa"/>
            <w:tcBorders>
              <w:top w:val="single" w:sz="4" w:space="0" w:color="000000"/>
              <w:left w:val="single" w:sz="4" w:space="0" w:color="000000"/>
              <w:bottom w:val="single" w:sz="4" w:space="0" w:color="000000"/>
              <w:right w:val="single" w:sz="4" w:space="0" w:color="000000"/>
            </w:tcBorders>
          </w:tcPr>
          <w:p w14:paraId="42CEF5CA" w14:textId="77777777" w:rsidR="00FC748F" w:rsidRPr="00956F16" w:rsidRDefault="00FC748F" w:rsidP="00F36C14">
            <w:pPr>
              <w:widowControl w:val="0"/>
              <w:tabs>
                <w:tab w:val="left" w:pos="567"/>
              </w:tabs>
              <w:autoSpaceDE w:val="0"/>
              <w:autoSpaceDN w:val="0"/>
              <w:adjustRightInd w:val="0"/>
              <w:spacing w:after="0" w:line="240" w:lineRule="auto"/>
              <w:ind w:left="142" w:right="627"/>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lastRenderedPageBreak/>
              <w:t>Légzőrendszeri, mellkasi és mediastinalis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18B816DC" w14:textId="6FE6268F"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304ED113" w14:textId="77777777" w:rsidR="00FC748F"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sidRPr="00337981">
              <w:rPr>
                <w:rFonts w:ascii="Times New Roman" w:eastAsia="Times New Roman" w:hAnsi="Times New Roman" w:cs="Times New Roman"/>
                <w:spacing w:val="-1"/>
                <w:szCs w:val="20"/>
              </w:rPr>
              <w:t>d</w:t>
            </w:r>
            <w:r w:rsidRPr="00337981">
              <w:rPr>
                <w:rFonts w:ascii="Times New Roman" w:eastAsia="Times New Roman" w:hAnsi="Times New Roman" w:cs="Times New Roman"/>
                <w:spacing w:val="-2"/>
                <w:szCs w:val="20"/>
              </w:rPr>
              <w:t>y</w:t>
            </w:r>
            <w:r w:rsidRPr="00337981">
              <w:rPr>
                <w:rFonts w:ascii="Times New Roman" w:eastAsia="Times New Roman" w:hAnsi="Times New Roman" w:cs="Times New Roman"/>
                <w:spacing w:val="1"/>
                <w:szCs w:val="20"/>
              </w:rPr>
              <w:t>s</w:t>
            </w:r>
            <w:r w:rsidRPr="00337981">
              <w:rPr>
                <w:rFonts w:ascii="Times New Roman" w:eastAsia="Times New Roman" w:hAnsi="Times New Roman" w:cs="Times New Roman"/>
                <w:szCs w:val="20"/>
              </w:rPr>
              <w:t>pno</w:t>
            </w:r>
            <w:r w:rsidRPr="00337981">
              <w:rPr>
                <w:rFonts w:ascii="Times New Roman" w:eastAsia="Times New Roman" w:hAnsi="Times New Roman" w:cs="Times New Roman"/>
                <w:spacing w:val="1"/>
                <w:szCs w:val="20"/>
              </w:rPr>
              <w:t>e</w:t>
            </w:r>
            <w:r w:rsidRPr="00337981">
              <w:rPr>
                <w:rFonts w:ascii="Times New Roman" w:eastAsia="Times New Roman" w:hAnsi="Times New Roman" w:cs="Times New Roman"/>
                <w:szCs w:val="20"/>
                <w:vertAlign w:val="superscript"/>
              </w:rPr>
              <w:t>◊</w:t>
            </w:r>
            <w:r w:rsidR="00337981" w:rsidRPr="00E83289">
              <w:rPr>
                <w:rFonts w:ascii="Times New Roman" w:eastAsia="Times New Roman" w:hAnsi="Times New Roman" w:cs="Times New Roman"/>
                <w:spacing w:val="1"/>
                <w:szCs w:val="20"/>
              </w:rPr>
              <w:t>, köhögés</w:t>
            </w:r>
          </w:p>
          <w:p w14:paraId="4FEB5F8B" w14:textId="77777777" w:rsidR="00337981" w:rsidRDefault="00337981"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p>
          <w:p w14:paraId="6B037F1E" w14:textId="77777777" w:rsidR="00337981" w:rsidRDefault="00337981"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E83289">
              <w:rPr>
                <w:rFonts w:ascii="Times New Roman" w:eastAsia="Times New Roman" w:hAnsi="Times New Roman" w:cs="Times New Roman"/>
                <w:spacing w:val="1"/>
                <w:szCs w:val="20"/>
                <w:u w:val="single"/>
              </w:rPr>
              <w:t>Gyakori</w:t>
            </w:r>
          </w:p>
          <w:p w14:paraId="6951AC8B" w14:textId="2AC41E03" w:rsidR="00337981" w:rsidRPr="007E5A32" w:rsidRDefault="00337981" w:rsidP="00F36C14">
            <w:pPr>
              <w:widowControl w:val="0"/>
              <w:tabs>
                <w:tab w:val="left" w:pos="567"/>
              </w:tabs>
              <w:autoSpaceDE w:val="0"/>
              <w:autoSpaceDN w:val="0"/>
              <w:adjustRightInd w:val="0"/>
              <w:spacing w:after="0" w:line="240" w:lineRule="auto"/>
              <w:ind w:left="142" w:right="-20"/>
              <w:rPr>
                <w:rFonts w:ascii="Times New Roman" w:hAnsi="Times New Roman"/>
              </w:rPr>
            </w:pPr>
            <w:r w:rsidRPr="007E5A32">
              <w:rPr>
                <w:rFonts w:ascii="Times New Roman" w:hAnsi="Times New Roman"/>
              </w:rPr>
              <w:t>oropharyngealis fájdalom, dysphonia</w:t>
            </w:r>
          </w:p>
        </w:tc>
        <w:tc>
          <w:tcPr>
            <w:tcW w:w="3402" w:type="dxa"/>
            <w:tcBorders>
              <w:top w:val="single" w:sz="4" w:space="0" w:color="000000"/>
              <w:left w:val="single" w:sz="4" w:space="0" w:color="000000"/>
              <w:bottom w:val="single" w:sz="4" w:space="0" w:color="000000"/>
              <w:right w:val="single" w:sz="4" w:space="0" w:color="000000"/>
            </w:tcBorders>
          </w:tcPr>
          <w:p w14:paraId="7D553A4B"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49AA3B5E"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d</w:t>
            </w:r>
            <w:r w:rsidRPr="00956F16">
              <w:rPr>
                <w:rFonts w:ascii="Times New Roman" w:eastAsia="Times New Roman" w:hAnsi="Times New Roman" w:cs="Times New Roman"/>
                <w:spacing w:val="-2"/>
                <w:szCs w:val="20"/>
              </w:rPr>
              <w:t>y</w:t>
            </w:r>
            <w:r w:rsidRPr="00956F16">
              <w:rPr>
                <w:rFonts w:ascii="Times New Roman" w:eastAsia="Times New Roman" w:hAnsi="Times New Roman" w:cs="Times New Roman"/>
                <w:spacing w:val="1"/>
                <w:szCs w:val="20"/>
              </w:rPr>
              <w:t>s</w:t>
            </w:r>
            <w:r w:rsidRPr="00956F16">
              <w:rPr>
                <w:rFonts w:ascii="Times New Roman" w:eastAsia="Times New Roman" w:hAnsi="Times New Roman" w:cs="Times New Roman"/>
                <w:szCs w:val="20"/>
              </w:rPr>
              <w:t>p</w:t>
            </w:r>
            <w:r w:rsidRPr="00956F16">
              <w:rPr>
                <w:rFonts w:ascii="Times New Roman" w:eastAsia="Times New Roman" w:hAnsi="Times New Roman" w:cs="Times New Roman"/>
                <w:spacing w:val="1"/>
                <w:szCs w:val="20"/>
              </w:rPr>
              <w:t>n</w:t>
            </w:r>
            <w:r w:rsidRPr="00956F16">
              <w:rPr>
                <w:rFonts w:ascii="Times New Roman" w:eastAsia="Times New Roman" w:hAnsi="Times New Roman" w:cs="Times New Roman"/>
                <w:szCs w:val="20"/>
              </w:rPr>
              <w:t>oe</w:t>
            </w:r>
            <w:r w:rsidRPr="00956F16">
              <w:rPr>
                <w:rFonts w:ascii="Times New Roman" w:eastAsia="Times New Roman" w:hAnsi="Times New Roman" w:cs="Times New Roman"/>
                <w:szCs w:val="20"/>
                <w:vertAlign w:val="superscript"/>
              </w:rPr>
              <w:t>◊</w:t>
            </w:r>
          </w:p>
        </w:tc>
      </w:tr>
      <w:tr w:rsidR="00FC748F" w:rsidRPr="00956F16" w14:paraId="71BE052B" w14:textId="77777777" w:rsidTr="00F36C14">
        <w:trPr>
          <w:trHeight w:val="1937"/>
        </w:trPr>
        <w:tc>
          <w:tcPr>
            <w:tcW w:w="2400" w:type="dxa"/>
            <w:tcBorders>
              <w:top w:val="single" w:sz="4" w:space="0" w:color="000000"/>
              <w:left w:val="single" w:sz="4" w:space="0" w:color="000000"/>
              <w:bottom w:val="single" w:sz="4" w:space="0" w:color="000000"/>
              <w:right w:val="single" w:sz="4" w:space="0" w:color="000000"/>
            </w:tcBorders>
          </w:tcPr>
          <w:p w14:paraId="7D4DDA56"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Emésztőrendszeri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2EBE1466"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26814F3B" w14:textId="77777777" w:rsidR="001E1887" w:rsidRPr="00956F16" w:rsidRDefault="001E1887" w:rsidP="001E1887">
            <w:pPr>
              <w:widowControl w:val="0"/>
              <w:tabs>
                <w:tab w:val="left" w:pos="567"/>
              </w:tabs>
              <w:autoSpaceDE w:val="0"/>
              <w:autoSpaceDN w:val="0"/>
              <w:adjustRightInd w:val="0"/>
              <w:spacing w:after="0" w:line="240" w:lineRule="auto"/>
              <w:ind w:left="142" w:right="160"/>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hasi fájdalom</w:t>
            </w:r>
            <w:r w:rsidRPr="00956F16">
              <w:rPr>
                <w:rFonts w:ascii="Times New Roman" w:eastAsia="Times New Roman" w:hAnsi="Times New Roman" w:cs="Times New Roman"/>
                <w:szCs w:val="20"/>
                <w:vertAlign w:val="superscript"/>
              </w:rPr>
              <w:t>◊</w:t>
            </w:r>
          </w:p>
          <w:p w14:paraId="4D2149F9" w14:textId="3F896D9C" w:rsidR="00FC748F" w:rsidRPr="00956F16" w:rsidRDefault="00FC748F" w:rsidP="00F36C14">
            <w:pPr>
              <w:widowControl w:val="0"/>
              <w:tabs>
                <w:tab w:val="left" w:pos="567"/>
              </w:tabs>
              <w:autoSpaceDE w:val="0"/>
              <w:autoSpaceDN w:val="0"/>
              <w:adjustRightInd w:val="0"/>
              <w:spacing w:after="0" w:line="240" w:lineRule="auto"/>
              <w:ind w:left="142" w:right="555"/>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hasmenés</w:t>
            </w:r>
            <w:r w:rsidRPr="00956F16">
              <w:rPr>
                <w:rFonts w:ascii="Times New Roman" w:eastAsia="Times New Roman" w:hAnsi="Times New Roman" w:cs="Times New Roman"/>
                <w:szCs w:val="20"/>
              </w:rPr>
              <w:t xml:space="preserve">, </w:t>
            </w:r>
            <w:r w:rsidR="001E1887" w:rsidRPr="00956F16">
              <w:rPr>
                <w:rFonts w:ascii="Times New Roman" w:eastAsia="Times New Roman" w:hAnsi="Times New Roman" w:cs="Times New Roman"/>
                <w:spacing w:val="-1"/>
                <w:szCs w:val="20"/>
              </w:rPr>
              <w:t>székrekedés</w:t>
            </w:r>
            <w:r w:rsidR="001E1887">
              <w:rPr>
                <w:rFonts w:ascii="Times New Roman" w:eastAsia="Times New Roman" w:hAnsi="Times New Roman" w:cs="Times New Roman"/>
                <w:spacing w:val="-1"/>
                <w:szCs w:val="20"/>
              </w:rPr>
              <w:t>,</w:t>
            </w:r>
            <w:r w:rsidR="001E1887" w:rsidRPr="00956F16">
              <w:rPr>
                <w:rFonts w:ascii="Times New Roman" w:eastAsia="Times New Roman" w:hAnsi="Times New Roman" w:cs="Times New Roman"/>
                <w:spacing w:val="-1"/>
                <w:szCs w:val="20"/>
              </w:rPr>
              <w:t xml:space="preserve"> </w:t>
            </w:r>
            <w:r w:rsidRPr="00956F16">
              <w:rPr>
                <w:rFonts w:ascii="Times New Roman" w:eastAsia="Times New Roman" w:hAnsi="Times New Roman" w:cs="Times New Roman"/>
                <w:spacing w:val="-1"/>
                <w:szCs w:val="20"/>
              </w:rPr>
              <w:t xml:space="preserve">hányinger, </w:t>
            </w:r>
            <w:r w:rsidRPr="00956F16">
              <w:rPr>
                <w:rFonts w:ascii="Times New Roman" w:eastAsia="Times New Roman" w:hAnsi="Times New Roman" w:cs="Times New Roman"/>
                <w:spacing w:val="2"/>
                <w:szCs w:val="20"/>
              </w:rPr>
              <w:t>hányás</w:t>
            </w:r>
            <w:r w:rsidRPr="00956F16">
              <w:rPr>
                <w:rFonts w:ascii="Times New Roman" w:eastAsia="Times New Roman" w:hAnsi="Times New Roman" w:cs="Times New Roman"/>
                <w:szCs w:val="20"/>
              </w:rPr>
              <w:t xml:space="preserve">, </w:t>
            </w:r>
            <w:r w:rsidR="001E1887">
              <w:rPr>
                <w:rFonts w:ascii="Times New Roman" w:eastAsia="Times New Roman" w:hAnsi="Times New Roman" w:cs="Times New Roman"/>
                <w:szCs w:val="20"/>
              </w:rPr>
              <w:t>dyspepsia</w:t>
            </w:r>
          </w:p>
          <w:p w14:paraId="111FA2C9" w14:textId="77777777" w:rsidR="00FC748F" w:rsidRPr="00956F16" w:rsidRDefault="00FC748F" w:rsidP="00F36C14">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05B4BDE2"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519AB639" w14:textId="6C5D1E01" w:rsidR="00FC748F" w:rsidRPr="00956F16" w:rsidRDefault="001E1887" w:rsidP="00E83289">
            <w:pPr>
              <w:widowControl w:val="0"/>
              <w:tabs>
                <w:tab w:val="left" w:pos="567"/>
              </w:tabs>
              <w:autoSpaceDE w:val="0"/>
              <w:autoSpaceDN w:val="0"/>
              <w:adjustRightInd w:val="0"/>
              <w:spacing w:after="0" w:line="240" w:lineRule="auto"/>
              <w:ind w:left="142" w:right="160"/>
              <w:rPr>
                <w:rFonts w:ascii="Times New Roman" w:eastAsia="Times New Roman" w:hAnsi="Times New Roman" w:cs="Times New Roman"/>
                <w:sz w:val="24"/>
                <w:szCs w:val="24"/>
              </w:rPr>
            </w:pPr>
            <w:r>
              <w:rPr>
                <w:rFonts w:ascii="Times New Roman" w:eastAsia="Times New Roman" w:hAnsi="Times New Roman" w:cs="Times New Roman"/>
              </w:rPr>
              <w:t>gyomortáji fájdalom</w:t>
            </w:r>
            <w:r w:rsidRPr="00E83289">
              <w:rPr>
                <w:rFonts w:ascii="Times New Roman" w:eastAsia="Times New Roman" w:hAnsi="Times New Roman" w:cs="Times New Roman"/>
              </w:rPr>
              <w:t>,</w:t>
            </w:r>
            <w:r>
              <w:rPr>
                <w:rFonts w:ascii="Times New Roman" w:eastAsia="Times New Roman" w:hAnsi="Times New Roman" w:cs="Times New Roman"/>
              </w:rPr>
              <w:t xml:space="preserve"> </w:t>
            </w:r>
            <w:r w:rsidRPr="00E83289">
              <w:rPr>
                <w:rFonts w:ascii="Times New Roman" w:eastAsia="Times New Roman" w:hAnsi="Times New Roman" w:cs="Times New Roman"/>
              </w:rPr>
              <w:t>stomatitis, szájszárazság</w:t>
            </w:r>
          </w:p>
        </w:tc>
        <w:tc>
          <w:tcPr>
            <w:tcW w:w="3402" w:type="dxa"/>
            <w:tcBorders>
              <w:top w:val="single" w:sz="4" w:space="0" w:color="000000"/>
              <w:left w:val="single" w:sz="4" w:space="0" w:color="000000"/>
              <w:bottom w:val="single" w:sz="4" w:space="0" w:color="000000"/>
              <w:right w:val="single" w:sz="4" w:space="0" w:color="000000"/>
            </w:tcBorders>
          </w:tcPr>
          <w:p w14:paraId="374D8120"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35F7FFE" w14:textId="15B02BE3" w:rsidR="00FC748F" w:rsidRPr="00956F16" w:rsidRDefault="001E1887"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zCs w:val="20"/>
              </w:rPr>
              <w:t xml:space="preserve">hasi fájdalom, </w:t>
            </w:r>
            <w:r w:rsidR="00FC748F" w:rsidRPr="00956F16">
              <w:rPr>
                <w:rFonts w:ascii="Times New Roman" w:eastAsia="Times New Roman" w:hAnsi="Times New Roman" w:cs="Times New Roman"/>
                <w:spacing w:val="-1"/>
                <w:szCs w:val="20"/>
              </w:rPr>
              <w:t>hasmenés</w:t>
            </w:r>
            <w:r w:rsidR="00FC748F" w:rsidRPr="00956F16">
              <w:rPr>
                <w:rFonts w:ascii="Times New Roman" w:eastAsia="Times New Roman" w:hAnsi="Times New Roman" w:cs="Times New Roman"/>
                <w:szCs w:val="20"/>
              </w:rPr>
              <w:t xml:space="preserve">, </w:t>
            </w:r>
            <w:r w:rsidR="00FC748F" w:rsidRPr="00956F16">
              <w:rPr>
                <w:rFonts w:ascii="Times New Roman" w:eastAsia="Times New Roman" w:hAnsi="Times New Roman" w:cs="Times New Roman"/>
                <w:spacing w:val="-1"/>
                <w:szCs w:val="20"/>
              </w:rPr>
              <w:t>székrekedés</w:t>
            </w:r>
            <w:r>
              <w:rPr>
                <w:rFonts w:ascii="Times New Roman" w:eastAsia="Times New Roman" w:hAnsi="Times New Roman" w:cs="Times New Roman"/>
                <w:spacing w:val="-1"/>
                <w:szCs w:val="20"/>
              </w:rPr>
              <w:t>, stomatitis</w:t>
            </w:r>
          </w:p>
        </w:tc>
      </w:tr>
      <w:tr w:rsidR="00FC748F" w:rsidRPr="00956F16" w14:paraId="330137F4" w14:textId="77777777" w:rsidTr="00F36C14">
        <w:trPr>
          <w:trHeight w:val="1837"/>
        </w:trPr>
        <w:tc>
          <w:tcPr>
            <w:tcW w:w="2400" w:type="dxa"/>
            <w:tcBorders>
              <w:top w:val="single" w:sz="4" w:space="0" w:color="000000"/>
              <w:left w:val="single" w:sz="4" w:space="0" w:color="000000"/>
              <w:bottom w:val="single" w:sz="4" w:space="0" w:color="000000"/>
              <w:right w:val="single" w:sz="4" w:space="0" w:color="000000"/>
            </w:tcBorders>
          </w:tcPr>
          <w:p w14:paraId="21D930EB" w14:textId="77777777" w:rsidR="00FC748F" w:rsidRPr="00956F16" w:rsidRDefault="00FC748F" w:rsidP="00F36C14">
            <w:pPr>
              <w:widowControl w:val="0"/>
              <w:tabs>
                <w:tab w:val="left" w:pos="567"/>
              </w:tabs>
              <w:autoSpaceDE w:val="0"/>
              <w:autoSpaceDN w:val="0"/>
              <w:adjustRightInd w:val="0"/>
              <w:spacing w:after="0" w:line="240" w:lineRule="auto"/>
              <w:ind w:left="142" w:right="311"/>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A bőr és a bőr alatti szövet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2436693C"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566FEFAC" w14:textId="4A8CA155"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bőrkiütések</w:t>
            </w:r>
            <w:r w:rsidR="001E1887" w:rsidRPr="00E83289">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pruritus</w:t>
            </w:r>
          </w:p>
          <w:p w14:paraId="1F4A8143"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p>
          <w:p w14:paraId="084DB0C6"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27834FB5" w14:textId="4D323603" w:rsidR="00FC748F" w:rsidRPr="00956F16" w:rsidRDefault="00B33F9B" w:rsidP="00F36C14">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r w:rsidRPr="00956F16">
              <w:rPr>
                <w:rFonts w:ascii="Times New Roman" w:eastAsia="Times New Roman" w:hAnsi="Times New Roman" w:cs="Times New Roman"/>
                <w:spacing w:val="-3"/>
                <w:szCs w:val="20"/>
              </w:rPr>
              <w:t>bőr</w:t>
            </w:r>
            <w:r w:rsidR="00BF6840" w:rsidRPr="00956F16">
              <w:rPr>
                <w:rFonts w:ascii="Times New Roman" w:eastAsia="Times New Roman" w:hAnsi="Times New Roman" w:cs="Times New Roman"/>
                <w:spacing w:val="-3"/>
                <w:szCs w:val="20"/>
              </w:rPr>
              <w:t>száraz</w:t>
            </w:r>
            <w:r w:rsidR="00BF6840">
              <w:rPr>
                <w:rFonts w:ascii="Times New Roman" w:eastAsia="Times New Roman" w:hAnsi="Times New Roman" w:cs="Times New Roman"/>
                <w:spacing w:val="-3"/>
                <w:szCs w:val="20"/>
              </w:rPr>
              <w:t>ság</w:t>
            </w:r>
            <w:r>
              <w:rPr>
                <w:rFonts w:ascii="Times New Roman" w:eastAsia="Times New Roman" w:hAnsi="Times New Roman" w:cs="Times New Roman"/>
                <w:spacing w:val="-3"/>
                <w:szCs w:val="20"/>
              </w:rPr>
              <w:t>,</w:t>
            </w:r>
            <w:r w:rsidRPr="00956F16">
              <w:rPr>
                <w:rFonts w:ascii="Times New Roman" w:eastAsia="Times New Roman" w:hAnsi="Times New Roman" w:cs="Times New Roman"/>
                <w:spacing w:val="-1"/>
                <w:szCs w:val="20"/>
              </w:rPr>
              <w:t xml:space="preserve"> </w:t>
            </w:r>
            <w:r w:rsidR="00FC748F" w:rsidRPr="00956F16">
              <w:rPr>
                <w:rFonts w:ascii="Times New Roman" w:eastAsia="Times New Roman" w:hAnsi="Times New Roman" w:cs="Times New Roman"/>
                <w:spacing w:val="-1"/>
                <w:szCs w:val="20"/>
              </w:rPr>
              <w:t xml:space="preserve">éjszakai verejtékezés, </w:t>
            </w:r>
            <w:r>
              <w:rPr>
                <w:rFonts w:ascii="Times New Roman" w:eastAsia="Times New Roman" w:hAnsi="Times New Roman" w:cs="Times New Roman"/>
                <w:spacing w:val="-1"/>
                <w:szCs w:val="20"/>
              </w:rPr>
              <w:t>erythema</w:t>
            </w:r>
          </w:p>
          <w:p w14:paraId="739599EF"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4D3F5518"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788B22A" w14:textId="77777777" w:rsidR="00B33F9B" w:rsidRPr="00956F16" w:rsidRDefault="00B33F9B" w:rsidP="00B33F9B">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sidRPr="00956F16">
              <w:rPr>
                <w:rFonts w:ascii="Times New Roman" w:eastAsia="Times New Roman" w:hAnsi="Times New Roman" w:cs="Times New Roman"/>
                <w:spacing w:val="-1"/>
                <w:szCs w:val="20"/>
              </w:rPr>
              <w:t>bőrkiütések</w:t>
            </w:r>
            <w:r w:rsidRPr="00F36C14">
              <w:rPr>
                <w:rFonts w:ascii="Times New Roman" w:eastAsia="Times New Roman" w:hAnsi="Times New Roman" w:cs="Times New Roman"/>
                <w:spacing w:val="-1"/>
                <w:szCs w:val="20"/>
                <w:vertAlign w:val="superscript"/>
              </w:rPr>
              <w:t>*</w:t>
            </w:r>
            <w:r w:rsidRPr="00956F16">
              <w:rPr>
                <w:rFonts w:ascii="Times New Roman" w:eastAsia="Times New Roman" w:hAnsi="Times New Roman" w:cs="Times New Roman"/>
                <w:spacing w:val="-1"/>
                <w:szCs w:val="20"/>
              </w:rPr>
              <w:t>, pruritus</w:t>
            </w:r>
          </w:p>
          <w:p w14:paraId="11B04985" w14:textId="05C5FD0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r>
      <w:tr w:rsidR="00FC748F" w:rsidRPr="00956F16" w14:paraId="519A06F1" w14:textId="77777777" w:rsidTr="00E83289">
        <w:trPr>
          <w:trHeight w:hRule="exact" w:val="1912"/>
        </w:trPr>
        <w:tc>
          <w:tcPr>
            <w:tcW w:w="2400" w:type="dxa"/>
            <w:tcBorders>
              <w:top w:val="single" w:sz="4" w:space="0" w:color="000000"/>
              <w:left w:val="single" w:sz="4" w:space="0" w:color="000000"/>
              <w:bottom w:val="single" w:sz="4" w:space="0" w:color="000000"/>
              <w:right w:val="single" w:sz="4" w:space="0" w:color="000000"/>
            </w:tcBorders>
          </w:tcPr>
          <w:p w14:paraId="50CC4DCD" w14:textId="77777777" w:rsidR="00FC748F" w:rsidRPr="00956F16" w:rsidRDefault="00FC748F" w:rsidP="00F36C14">
            <w:pPr>
              <w:widowControl w:val="0"/>
              <w:tabs>
                <w:tab w:val="left" w:pos="567"/>
              </w:tabs>
              <w:autoSpaceDE w:val="0"/>
              <w:autoSpaceDN w:val="0"/>
              <w:adjustRightInd w:val="0"/>
              <w:spacing w:after="0" w:line="240" w:lineRule="auto"/>
              <w:ind w:left="142" w:right="311"/>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A csont- és izomrendszer, valamint a kötőszövet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48D19A39"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2C165400" w14:textId="70379CBF"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izomgörcsök, hátfájás</w:t>
            </w:r>
            <w:r w:rsidR="00B33F9B">
              <w:rPr>
                <w:rFonts w:ascii="Times New Roman" w:eastAsia="Times New Roman" w:hAnsi="Times New Roman" w:cs="Times New Roman"/>
                <w:spacing w:val="1"/>
                <w:szCs w:val="20"/>
              </w:rPr>
              <w:t>,</w:t>
            </w:r>
            <w:r w:rsidR="00B33F9B" w:rsidRPr="00956F16">
              <w:rPr>
                <w:rFonts w:ascii="Times New Roman" w:eastAsia="Times New Roman" w:hAnsi="Times New Roman" w:cs="Times New Roman"/>
                <w:spacing w:val="1"/>
                <w:szCs w:val="20"/>
              </w:rPr>
              <w:t xml:space="preserve"> arthralgia</w:t>
            </w:r>
          </w:p>
          <w:p w14:paraId="6FA14EED" w14:textId="77777777" w:rsidR="00FC748F" w:rsidRPr="00956F16" w:rsidRDefault="00FC748F" w:rsidP="00F36C14">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1A5DCC84"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1B7BA585" w14:textId="041267C8" w:rsidR="00FC748F" w:rsidRPr="00956F16" w:rsidRDefault="00FC748F">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végtagfájdalom, izomgyengesé</w:t>
            </w:r>
            <w:r w:rsidR="00B33F9B">
              <w:rPr>
                <w:rFonts w:ascii="Times New Roman" w:eastAsia="Times New Roman" w:hAnsi="Times New Roman" w:cs="Times New Roman"/>
                <w:spacing w:val="1"/>
                <w:szCs w:val="20"/>
              </w:rPr>
              <w:t xml:space="preserve">g, </w:t>
            </w:r>
            <w:r w:rsidR="00B33F9B" w:rsidRPr="00B33F9B">
              <w:rPr>
                <w:rFonts w:ascii="Times New Roman" w:eastAsia="Times New Roman" w:hAnsi="Times New Roman" w:cs="Times New Roman"/>
                <w:spacing w:val="1"/>
                <w:szCs w:val="20"/>
              </w:rPr>
              <w:t>musculoskeletalis fájdalom, myalgia,</w:t>
            </w:r>
            <w:r w:rsidR="00B33F9B">
              <w:rPr>
                <w:rFonts w:ascii="Times New Roman" w:eastAsia="Times New Roman" w:hAnsi="Times New Roman" w:cs="Times New Roman"/>
                <w:spacing w:val="1"/>
                <w:szCs w:val="20"/>
              </w:rPr>
              <w:t xml:space="preserve"> </w:t>
            </w:r>
            <w:r w:rsidR="00B33F9B" w:rsidRPr="00B33F9B">
              <w:rPr>
                <w:rFonts w:ascii="Times New Roman" w:eastAsia="Times New Roman" w:hAnsi="Times New Roman" w:cs="Times New Roman"/>
                <w:spacing w:val="1"/>
                <w:szCs w:val="20"/>
              </w:rPr>
              <w:t>nyaki fájdalom</w:t>
            </w:r>
          </w:p>
        </w:tc>
        <w:tc>
          <w:tcPr>
            <w:tcW w:w="3402" w:type="dxa"/>
            <w:tcBorders>
              <w:top w:val="single" w:sz="4" w:space="0" w:color="000000"/>
              <w:left w:val="single" w:sz="4" w:space="0" w:color="000000"/>
              <w:bottom w:val="single" w:sz="4" w:space="0" w:color="000000"/>
              <w:right w:val="single" w:sz="4" w:space="0" w:color="000000"/>
            </w:tcBorders>
          </w:tcPr>
          <w:p w14:paraId="71899051"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45726BB0" w14:textId="55092C07" w:rsidR="00FC748F" w:rsidRPr="00956F16" w:rsidRDefault="00FC748F" w:rsidP="00F36C14">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 xml:space="preserve">izomgyengeség, </w:t>
            </w:r>
            <w:r w:rsidR="00B33F9B" w:rsidRPr="00B33F9B">
              <w:rPr>
                <w:rFonts w:ascii="Times New Roman" w:eastAsia="Times New Roman" w:hAnsi="Times New Roman" w:cs="Times New Roman"/>
                <w:spacing w:val="1"/>
                <w:szCs w:val="20"/>
              </w:rPr>
              <w:t>nyaki fájdalom</w:t>
            </w:r>
          </w:p>
        </w:tc>
      </w:tr>
      <w:tr w:rsidR="00FC748F" w:rsidRPr="00956F16" w14:paraId="2266D581" w14:textId="77777777" w:rsidTr="00F36C14">
        <w:trPr>
          <w:trHeight w:val="683"/>
        </w:trPr>
        <w:tc>
          <w:tcPr>
            <w:tcW w:w="2400" w:type="dxa"/>
            <w:tcBorders>
              <w:top w:val="single" w:sz="4" w:space="0" w:color="000000"/>
              <w:left w:val="single" w:sz="4" w:space="0" w:color="000000"/>
              <w:bottom w:val="single" w:sz="4" w:space="0" w:color="000000"/>
              <w:right w:val="single" w:sz="4" w:space="0" w:color="000000"/>
            </w:tcBorders>
          </w:tcPr>
          <w:p w14:paraId="1D093ABF"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Vese- és húgyúti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061F7A25"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009D9F3C"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39F26058" w14:textId="4F4CF9FC" w:rsidR="00FC748F" w:rsidRPr="00956F16" w:rsidRDefault="00B33F9B"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pacing w:val="1"/>
                <w:szCs w:val="20"/>
              </w:rPr>
              <w:t xml:space="preserve">akut </w:t>
            </w:r>
            <w:r w:rsidR="00FC748F" w:rsidRPr="00956F16">
              <w:rPr>
                <w:rFonts w:ascii="Times New Roman" w:eastAsia="Times New Roman" w:hAnsi="Times New Roman" w:cs="Times New Roman"/>
                <w:spacing w:val="1"/>
                <w:szCs w:val="20"/>
              </w:rPr>
              <w:t>vese</w:t>
            </w:r>
            <w:r>
              <w:rPr>
                <w:rFonts w:ascii="Times New Roman" w:eastAsia="Times New Roman" w:hAnsi="Times New Roman" w:cs="Times New Roman"/>
                <w:spacing w:val="1"/>
                <w:szCs w:val="20"/>
              </w:rPr>
              <w:t>károsodás</w:t>
            </w:r>
            <w:r w:rsidR="00FC748F" w:rsidRPr="00956F16">
              <w:rPr>
                <w:rFonts w:ascii="Times New Roman" w:eastAsia="Times New Roman" w:hAnsi="Times New Roman" w:cs="Times New Roman"/>
                <w:spacing w:val="-1"/>
                <w:szCs w:val="20"/>
                <w:vertAlign w:val="superscript"/>
                <w:lang w:val="en-GB"/>
              </w:rPr>
              <w:t>◊</w:t>
            </w:r>
          </w:p>
        </w:tc>
      </w:tr>
      <w:tr w:rsidR="00FC748F" w:rsidRPr="00956F16" w14:paraId="2D2E48FC" w14:textId="77777777" w:rsidTr="00E83289">
        <w:trPr>
          <w:trHeight w:val="1547"/>
        </w:trPr>
        <w:tc>
          <w:tcPr>
            <w:tcW w:w="2400" w:type="dxa"/>
            <w:tcBorders>
              <w:top w:val="single" w:sz="4" w:space="0" w:color="000000"/>
              <w:left w:val="single" w:sz="4" w:space="0" w:color="000000"/>
              <w:bottom w:val="single" w:sz="4" w:space="0" w:color="000000"/>
              <w:right w:val="single" w:sz="4" w:space="0" w:color="000000"/>
            </w:tcBorders>
          </w:tcPr>
          <w:p w14:paraId="5E198A62" w14:textId="77777777" w:rsidR="00FC748F" w:rsidRPr="00956F16" w:rsidRDefault="00FC748F" w:rsidP="00F36C14">
            <w:pPr>
              <w:widowControl w:val="0"/>
              <w:tabs>
                <w:tab w:val="left" w:pos="567"/>
              </w:tabs>
              <w:autoSpaceDE w:val="0"/>
              <w:autoSpaceDN w:val="0"/>
              <w:adjustRightInd w:val="0"/>
              <w:spacing w:after="0" w:line="240" w:lineRule="auto"/>
              <w:ind w:left="142" w:right="153"/>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Általános tünetek, az alkalmazás helyén fellépő reakciók</w:t>
            </w:r>
          </w:p>
        </w:tc>
        <w:tc>
          <w:tcPr>
            <w:tcW w:w="3402" w:type="dxa"/>
            <w:tcBorders>
              <w:top w:val="single" w:sz="4" w:space="0" w:color="000000"/>
              <w:left w:val="single" w:sz="4" w:space="0" w:color="000000"/>
              <w:bottom w:val="single" w:sz="4" w:space="0" w:color="000000"/>
              <w:right w:val="single" w:sz="4" w:space="0" w:color="000000"/>
            </w:tcBorders>
          </w:tcPr>
          <w:p w14:paraId="14DEA73F"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Nagyon gyakori</w:t>
            </w:r>
          </w:p>
          <w:p w14:paraId="3CC2E6F7" w14:textId="13C43FFF" w:rsidR="00FC748F" w:rsidRPr="00956F16" w:rsidRDefault="00B33F9B" w:rsidP="00F36C14">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0"/>
              </w:rPr>
            </w:pPr>
            <w:r>
              <w:rPr>
                <w:rFonts w:ascii="Times New Roman" w:eastAsia="Times New Roman" w:hAnsi="Times New Roman" w:cs="Times New Roman"/>
                <w:szCs w:val="20"/>
              </w:rPr>
              <w:t xml:space="preserve">láz, </w:t>
            </w:r>
            <w:r w:rsidR="00FC748F" w:rsidRPr="00956F16">
              <w:rPr>
                <w:rFonts w:ascii="Times New Roman" w:eastAsia="Times New Roman" w:hAnsi="Times New Roman" w:cs="Times New Roman"/>
                <w:szCs w:val="20"/>
              </w:rPr>
              <w:t>fáradtság, asthenia, perifériás oedema</w:t>
            </w:r>
          </w:p>
          <w:p w14:paraId="1C236BB9" w14:textId="77777777" w:rsidR="00FC748F" w:rsidRPr="00956F16" w:rsidRDefault="00FC748F" w:rsidP="00F36C14">
            <w:pPr>
              <w:widowControl w:val="0"/>
              <w:tabs>
                <w:tab w:val="left" w:pos="567"/>
              </w:tabs>
              <w:autoSpaceDE w:val="0"/>
              <w:autoSpaceDN w:val="0"/>
              <w:adjustRightInd w:val="0"/>
              <w:spacing w:after="0" w:line="240" w:lineRule="auto"/>
              <w:ind w:left="142"/>
              <w:rPr>
                <w:rFonts w:ascii="Times New Roman" w:eastAsia="Times New Roman" w:hAnsi="Times New Roman" w:cs="Times New Roman"/>
                <w:szCs w:val="24"/>
              </w:rPr>
            </w:pPr>
          </w:p>
          <w:p w14:paraId="15E85175"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0C89A04B" w14:textId="15BF5A16" w:rsidR="00FC748F" w:rsidRPr="00956F16" w:rsidRDefault="00B33F9B"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Pr>
                <w:rFonts w:ascii="Times New Roman" w:eastAsia="Times New Roman" w:hAnsi="Times New Roman" w:cs="Times New Roman"/>
                <w:spacing w:val="-1"/>
                <w:szCs w:val="20"/>
              </w:rPr>
              <w:t xml:space="preserve">rossz közérzet, </w:t>
            </w:r>
            <w:r w:rsidR="00FC748F" w:rsidRPr="00956F16">
              <w:rPr>
                <w:rFonts w:ascii="Times New Roman" w:eastAsia="Times New Roman" w:hAnsi="Times New Roman" w:cs="Times New Roman"/>
                <w:spacing w:val="-1"/>
                <w:szCs w:val="20"/>
              </w:rPr>
              <w:t>hidegrázás</w:t>
            </w:r>
          </w:p>
        </w:tc>
        <w:tc>
          <w:tcPr>
            <w:tcW w:w="3402" w:type="dxa"/>
            <w:tcBorders>
              <w:top w:val="single" w:sz="4" w:space="0" w:color="000000"/>
              <w:left w:val="single" w:sz="4" w:space="0" w:color="000000"/>
              <w:bottom w:val="single" w:sz="4" w:space="0" w:color="000000"/>
              <w:right w:val="single" w:sz="4" w:space="0" w:color="000000"/>
            </w:tcBorders>
          </w:tcPr>
          <w:p w14:paraId="16D705DC" w14:textId="77777777" w:rsidR="00FC748F" w:rsidRPr="00956F16" w:rsidRDefault="00FC748F"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Gyakori</w:t>
            </w:r>
          </w:p>
          <w:p w14:paraId="52088DA1" w14:textId="34AF4E0E" w:rsidR="00FC748F" w:rsidRPr="00956F16" w:rsidRDefault="00B33F9B"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fáradtság</w:t>
            </w:r>
            <w:r>
              <w:rPr>
                <w:rFonts w:ascii="Times New Roman" w:eastAsia="Times New Roman" w:hAnsi="Times New Roman" w:cs="Times New Roman"/>
                <w:szCs w:val="20"/>
              </w:rPr>
              <w:t>, asthenia</w:t>
            </w:r>
            <w:r w:rsidR="00FC748F" w:rsidRPr="00956F16">
              <w:rPr>
                <w:rFonts w:ascii="Times New Roman" w:eastAsia="Times New Roman" w:hAnsi="Times New Roman" w:cs="Times New Roman"/>
                <w:szCs w:val="20"/>
              </w:rPr>
              <w:t xml:space="preserve"> </w:t>
            </w:r>
          </w:p>
        </w:tc>
      </w:tr>
      <w:tr w:rsidR="00B33F9B" w:rsidRPr="00956F16" w14:paraId="02C84457" w14:textId="77777777" w:rsidTr="00B33F9B">
        <w:trPr>
          <w:trHeight w:val="1547"/>
        </w:trPr>
        <w:tc>
          <w:tcPr>
            <w:tcW w:w="2400" w:type="dxa"/>
            <w:tcBorders>
              <w:top w:val="single" w:sz="4" w:space="0" w:color="000000"/>
              <w:left w:val="single" w:sz="4" w:space="0" w:color="000000"/>
              <w:bottom w:val="single" w:sz="4" w:space="0" w:color="000000"/>
              <w:right w:val="single" w:sz="4" w:space="0" w:color="000000"/>
            </w:tcBorders>
          </w:tcPr>
          <w:p w14:paraId="4E9006A9" w14:textId="5FA997E9" w:rsidR="00B33F9B" w:rsidRPr="00956F16" w:rsidRDefault="003F7BE5">
            <w:pPr>
              <w:widowControl w:val="0"/>
              <w:tabs>
                <w:tab w:val="left" w:pos="567"/>
              </w:tabs>
              <w:autoSpaceDE w:val="0"/>
              <w:autoSpaceDN w:val="0"/>
              <w:adjustRightInd w:val="0"/>
              <w:spacing w:after="0" w:line="240" w:lineRule="auto"/>
              <w:ind w:left="142" w:right="153"/>
              <w:rPr>
                <w:rFonts w:ascii="Times New Roman" w:eastAsia="Times New Roman" w:hAnsi="Times New Roman" w:cs="Times New Roman"/>
                <w:b/>
                <w:bCs/>
                <w:spacing w:val="-1"/>
                <w:szCs w:val="20"/>
              </w:rPr>
            </w:pPr>
            <w:r w:rsidRPr="003F7BE5">
              <w:rPr>
                <w:rFonts w:ascii="Times New Roman" w:eastAsia="Times New Roman" w:hAnsi="Times New Roman" w:cs="Times New Roman"/>
                <w:b/>
                <w:bCs/>
                <w:spacing w:val="-1"/>
                <w:szCs w:val="20"/>
              </w:rPr>
              <w:t>Laboratóriumi és</w:t>
            </w:r>
            <w:r>
              <w:rPr>
                <w:rFonts w:ascii="Times New Roman" w:eastAsia="Times New Roman" w:hAnsi="Times New Roman" w:cs="Times New Roman"/>
                <w:b/>
                <w:bCs/>
                <w:spacing w:val="-1"/>
                <w:szCs w:val="20"/>
              </w:rPr>
              <w:t xml:space="preserve"> </w:t>
            </w:r>
            <w:r w:rsidRPr="003F7BE5">
              <w:rPr>
                <w:rFonts w:ascii="Times New Roman" w:eastAsia="Times New Roman" w:hAnsi="Times New Roman" w:cs="Times New Roman"/>
                <w:b/>
                <w:bCs/>
                <w:spacing w:val="-1"/>
                <w:szCs w:val="20"/>
              </w:rPr>
              <w:t>egyéb vizsgálatok</w:t>
            </w:r>
            <w:r>
              <w:rPr>
                <w:rFonts w:ascii="Times New Roman" w:eastAsia="Times New Roman" w:hAnsi="Times New Roman" w:cs="Times New Roman"/>
                <w:b/>
                <w:bCs/>
                <w:spacing w:val="-1"/>
                <w:szCs w:val="20"/>
              </w:rPr>
              <w:t xml:space="preserve"> </w:t>
            </w:r>
            <w:r w:rsidRPr="003F7BE5">
              <w:rPr>
                <w:rFonts w:ascii="Times New Roman" w:eastAsia="Times New Roman" w:hAnsi="Times New Roman" w:cs="Times New Roman"/>
                <w:b/>
                <w:bCs/>
                <w:spacing w:val="-1"/>
                <w:szCs w:val="20"/>
              </w:rPr>
              <w:t>eredményei</w:t>
            </w:r>
          </w:p>
        </w:tc>
        <w:tc>
          <w:tcPr>
            <w:tcW w:w="3402" w:type="dxa"/>
            <w:tcBorders>
              <w:top w:val="single" w:sz="4" w:space="0" w:color="000000"/>
              <w:left w:val="single" w:sz="4" w:space="0" w:color="000000"/>
              <w:bottom w:val="single" w:sz="4" w:space="0" w:color="000000"/>
              <w:right w:val="single" w:sz="4" w:space="0" w:color="000000"/>
            </w:tcBorders>
          </w:tcPr>
          <w:p w14:paraId="2A80C1BA" w14:textId="77777777" w:rsidR="003F7BE5" w:rsidRPr="003F7BE5" w:rsidRDefault="003F7BE5" w:rsidP="003F7BE5">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3F7BE5">
              <w:rPr>
                <w:rFonts w:ascii="Times New Roman" w:eastAsia="Times New Roman" w:hAnsi="Times New Roman" w:cs="Times New Roman"/>
                <w:spacing w:val="1"/>
                <w:szCs w:val="20"/>
                <w:u w:val="single"/>
              </w:rPr>
              <w:t>Nagyon gyakori</w:t>
            </w:r>
          </w:p>
          <w:p w14:paraId="70A78F2D" w14:textId="190620A0" w:rsidR="003F7BE5" w:rsidRDefault="003F7BE5" w:rsidP="003F7BE5">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sidRPr="00E83289">
              <w:rPr>
                <w:rFonts w:ascii="Times New Roman" w:eastAsia="Times New Roman" w:hAnsi="Times New Roman" w:cs="Times New Roman"/>
                <w:spacing w:val="1"/>
                <w:szCs w:val="20"/>
              </w:rPr>
              <w:t>Emelkedett alanin-aminotranszferáz</w:t>
            </w:r>
            <w:r>
              <w:rPr>
                <w:rFonts w:ascii="Times New Roman" w:eastAsia="Times New Roman" w:hAnsi="Times New Roman" w:cs="Times New Roman"/>
                <w:spacing w:val="1"/>
                <w:szCs w:val="20"/>
              </w:rPr>
              <w:t>-</w:t>
            </w:r>
            <w:r w:rsidRPr="00E83289">
              <w:rPr>
                <w:rFonts w:ascii="Times New Roman" w:eastAsia="Times New Roman" w:hAnsi="Times New Roman" w:cs="Times New Roman"/>
                <w:spacing w:val="1"/>
                <w:szCs w:val="20"/>
              </w:rPr>
              <w:t>szint</w:t>
            </w:r>
          </w:p>
          <w:p w14:paraId="244F14B0" w14:textId="77777777" w:rsidR="003F7BE5" w:rsidRPr="00E83289" w:rsidRDefault="003F7BE5" w:rsidP="003F7BE5">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p>
          <w:p w14:paraId="672CA928" w14:textId="77777777" w:rsidR="003F7BE5" w:rsidRPr="003F7BE5" w:rsidRDefault="003F7BE5" w:rsidP="003F7BE5">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3F7BE5">
              <w:rPr>
                <w:rFonts w:ascii="Times New Roman" w:eastAsia="Times New Roman" w:hAnsi="Times New Roman" w:cs="Times New Roman"/>
                <w:spacing w:val="1"/>
                <w:szCs w:val="20"/>
                <w:u w:val="single"/>
              </w:rPr>
              <w:t>Gyakori</w:t>
            </w:r>
          </w:p>
          <w:p w14:paraId="065C4DFA" w14:textId="305F2F14" w:rsidR="00B33F9B" w:rsidRPr="00956F16" w:rsidRDefault="003F7BE5">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E83289">
              <w:rPr>
                <w:rFonts w:ascii="Times New Roman" w:eastAsia="Times New Roman" w:hAnsi="Times New Roman" w:cs="Times New Roman"/>
                <w:spacing w:val="1"/>
                <w:szCs w:val="20"/>
              </w:rPr>
              <w:t>Testtömegcsökkenés, emelkedett</w:t>
            </w:r>
            <w:r>
              <w:rPr>
                <w:rFonts w:ascii="Times New Roman" w:eastAsia="Times New Roman" w:hAnsi="Times New Roman" w:cs="Times New Roman"/>
                <w:spacing w:val="1"/>
                <w:szCs w:val="20"/>
              </w:rPr>
              <w:t xml:space="preserve"> </w:t>
            </w:r>
            <w:r w:rsidRPr="00E83289">
              <w:rPr>
                <w:rFonts w:ascii="Times New Roman" w:eastAsia="Times New Roman" w:hAnsi="Times New Roman" w:cs="Times New Roman"/>
                <w:spacing w:val="1"/>
                <w:szCs w:val="20"/>
              </w:rPr>
              <w:t>bilirubinszint a vérben</w:t>
            </w:r>
          </w:p>
        </w:tc>
        <w:tc>
          <w:tcPr>
            <w:tcW w:w="3402" w:type="dxa"/>
            <w:tcBorders>
              <w:top w:val="single" w:sz="4" w:space="0" w:color="000000"/>
              <w:left w:val="single" w:sz="4" w:space="0" w:color="000000"/>
              <w:bottom w:val="single" w:sz="4" w:space="0" w:color="000000"/>
              <w:right w:val="single" w:sz="4" w:space="0" w:color="000000"/>
            </w:tcBorders>
          </w:tcPr>
          <w:p w14:paraId="1E28155D" w14:textId="77777777" w:rsidR="00B33F9B" w:rsidRPr="00956F16" w:rsidRDefault="00B33F9B" w:rsidP="00F36C1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p>
        </w:tc>
      </w:tr>
    </w:tbl>
    <w:p w14:paraId="0C150AD1" w14:textId="0F15539B" w:rsidR="003F7BE5" w:rsidRPr="00E83289" w:rsidRDefault="003F7BE5" w:rsidP="003F7BE5">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^Lásd 4.8</w:t>
      </w:r>
      <w:r>
        <w:rPr>
          <w:rFonts w:ascii="Times New Roman" w:eastAsia="Calibri" w:hAnsi="Times New Roman" w:cs="Times New Roman"/>
          <w:sz w:val="18"/>
          <w:szCs w:val="18"/>
        </w:rPr>
        <w:t> </w:t>
      </w:r>
      <w:r w:rsidRPr="00E83289">
        <w:rPr>
          <w:rFonts w:ascii="Times New Roman" w:eastAsia="Calibri" w:hAnsi="Times New Roman" w:cs="Times New Roman"/>
          <w:sz w:val="18"/>
          <w:szCs w:val="18"/>
        </w:rPr>
        <w:t xml:space="preserve">pont: </w:t>
      </w:r>
      <w:r>
        <w:rPr>
          <w:rFonts w:ascii="Times New Roman" w:eastAsia="Calibri" w:hAnsi="Times New Roman" w:cs="Times New Roman"/>
          <w:sz w:val="18"/>
          <w:szCs w:val="18"/>
        </w:rPr>
        <w:t>Egyes kiválasztott</w:t>
      </w:r>
      <w:r w:rsidRPr="00E83289">
        <w:rPr>
          <w:rFonts w:ascii="Times New Roman" w:eastAsia="Calibri" w:hAnsi="Times New Roman" w:cs="Times New Roman"/>
          <w:sz w:val="18"/>
          <w:szCs w:val="18"/>
        </w:rPr>
        <w:t xml:space="preserve"> mellékhatások </w:t>
      </w:r>
      <w:r>
        <w:rPr>
          <w:rFonts w:ascii="Times New Roman" w:eastAsia="Calibri" w:hAnsi="Times New Roman" w:cs="Times New Roman"/>
          <w:sz w:val="18"/>
          <w:szCs w:val="18"/>
        </w:rPr>
        <w:t>leírása</w:t>
      </w:r>
      <w:r w:rsidR="003B4C8B">
        <w:rPr>
          <w:rFonts w:ascii="Times New Roman" w:eastAsia="Calibri" w:hAnsi="Times New Roman" w:cs="Times New Roman"/>
          <w:sz w:val="18"/>
          <w:szCs w:val="18"/>
        </w:rPr>
        <w:t>.</w:t>
      </w:r>
    </w:p>
    <w:p w14:paraId="1E4C9D37" w14:textId="77777777" w:rsidR="003F7BE5" w:rsidRPr="00E83289" w:rsidRDefault="003F7BE5" w:rsidP="003F7BE5">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Follicularis lymphoma esetén alkalmazott algoritmus:</w:t>
      </w:r>
    </w:p>
    <w:p w14:paraId="7C37FDAD" w14:textId="648FA9DE" w:rsidR="003F7BE5" w:rsidRPr="00E83289" w:rsidRDefault="003F7BE5" w:rsidP="003F7BE5">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 xml:space="preserve">Kontrollált, </w:t>
      </w:r>
      <w:r w:rsidR="00270C16">
        <w:rPr>
          <w:rFonts w:ascii="Times New Roman" w:eastAsia="Calibri" w:hAnsi="Times New Roman" w:cs="Times New Roman"/>
          <w:sz w:val="18"/>
          <w:szCs w:val="18"/>
        </w:rPr>
        <w:t>3</w:t>
      </w:r>
      <w:r w:rsidR="00F432F4">
        <w:rPr>
          <w:rFonts w:ascii="Times New Roman" w:eastAsia="Calibri" w:hAnsi="Times New Roman" w:cs="Times New Roman"/>
          <w:sz w:val="18"/>
          <w:szCs w:val="18"/>
        </w:rPr>
        <w:t>.</w:t>
      </w:r>
      <w:r>
        <w:rPr>
          <w:rFonts w:ascii="Times New Roman" w:eastAsia="Calibri" w:hAnsi="Times New Roman" w:cs="Times New Roman"/>
          <w:sz w:val="18"/>
          <w:szCs w:val="18"/>
        </w:rPr>
        <w:t> </w:t>
      </w:r>
      <w:r w:rsidRPr="00E83289">
        <w:rPr>
          <w:rFonts w:ascii="Times New Roman" w:eastAsia="Calibri" w:hAnsi="Times New Roman" w:cs="Times New Roman"/>
          <w:sz w:val="18"/>
          <w:szCs w:val="18"/>
        </w:rPr>
        <w:t>fázisú vizsgálat:</w:t>
      </w:r>
    </w:p>
    <w:p w14:paraId="7733E079" w14:textId="3CF4C433" w:rsidR="003F7BE5" w:rsidRPr="00E83289" w:rsidRDefault="003F7BE5" w:rsidP="00E83289">
      <w:pPr>
        <w:pStyle w:val="Listaszerbekezds"/>
        <w:numPr>
          <w:ilvl w:val="0"/>
          <w:numId w:val="19"/>
        </w:num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NHL-007 gyógyszermellékhatások – A kezelésből eredő összes nemkívánatos esemény, amely a</w:t>
      </w:r>
      <w:r w:rsidR="004B5E05" w:rsidRPr="00E83289">
        <w:rPr>
          <w:rFonts w:ascii="Times New Roman" w:eastAsia="Calibri" w:hAnsi="Times New Roman" w:cs="Times New Roman"/>
          <w:sz w:val="18"/>
          <w:szCs w:val="18"/>
        </w:rPr>
        <w:t xml:space="preserve"> </w:t>
      </w:r>
      <w:r w:rsidRPr="00E83289">
        <w:rPr>
          <w:rFonts w:ascii="Times New Roman" w:eastAsia="Calibri" w:hAnsi="Times New Roman" w:cs="Times New Roman"/>
          <w:sz w:val="18"/>
          <w:szCs w:val="18"/>
        </w:rPr>
        <w:t>lenalidomid/rituximab-karon a vizsgálati személyek legalább 5%-ánál, és a lenalidomid és placebo között legalább</w:t>
      </w:r>
      <w:r w:rsidR="004B5E05" w:rsidRPr="00E83289">
        <w:rPr>
          <w:rFonts w:ascii="Times New Roman" w:eastAsia="Calibri" w:hAnsi="Times New Roman" w:cs="Times New Roman"/>
          <w:sz w:val="18"/>
          <w:szCs w:val="18"/>
        </w:rPr>
        <w:t xml:space="preserve"> </w:t>
      </w:r>
      <w:r w:rsidRPr="00E83289">
        <w:rPr>
          <w:rFonts w:ascii="Times New Roman" w:eastAsia="Calibri" w:hAnsi="Times New Roman" w:cs="Times New Roman"/>
          <w:sz w:val="18"/>
          <w:szCs w:val="18"/>
        </w:rPr>
        <w:t>2%-os aránykülönbséggel lépett fel – (biztonságossági populáció)</w:t>
      </w:r>
      <w:r w:rsidR="003B4C8B">
        <w:rPr>
          <w:rFonts w:ascii="Times New Roman" w:eastAsia="Calibri" w:hAnsi="Times New Roman" w:cs="Times New Roman"/>
          <w:sz w:val="18"/>
          <w:szCs w:val="18"/>
        </w:rPr>
        <w:t>;</w:t>
      </w:r>
    </w:p>
    <w:p w14:paraId="56B28B8D" w14:textId="1517B897" w:rsidR="003F7BE5" w:rsidRPr="00E83289" w:rsidRDefault="003F7BE5" w:rsidP="00E83289">
      <w:pPr>
        <w:pStyle w:val="Listaszerbekezds"/>
        <w:numPr>
          <w:ilvl w:val="0"/>
          <w:numId w:val="19"/>
        </w:num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NHL-007 3/4. fokú gyógyszermellékhatások – A kezelésből eredő összes 3. és 4.</w:t>
      </w:r>
      <w:r w:rsidR="004B5E05">
        <w:rPr>
          <w:rFonts w:ascii="Times New Roman" w:eastAsia="Calibri" w:hAnsi="Times New Roman" w:cs="Times New Roman"/>
          <w:sz w:val="18"/>
          <w:szCs w:val="18"/>
        </w:rPr>
        <w:t> </w:t>
      </w:r>
      <w:r w:rsidRPr="00E83289">
        <w:rPr>
          <w:rFonts w:ascii="Times New Roman" w:eastAsia="Calibri" w:hAnsi="Times New Roman" w:cs="Times New Roman"/>
          <w:sz w:val="18"/>
          <w:szCs w:val="18"/>
        </w:rPr>
        <w:t>súlyossági fokú nemkívánatos</w:t>
      </w:r>
      <w:r w:rsidR="004B5E05">
        <w:rPr>
          <w:rFonts w:ascii="Times New Roman" w:eastAsia="Calibri" w:hAnsi="Times New Roman" w:cs="Times New Roman"/>
          <w:sz w:val="18"/>
          <w:szCs w:val="18"/>
        </w:rPr>
        <w:t xml:space="preserve"> </w:t>
      </w:r>
      <w:r w:rsidRPr="00E83289">
        <w:rPr>
          <w:rFonts w:ascii="Times New Roman" w:eastAsia="Calibri" w:hAnsi="Times New Roman" w:cs="Times New Roman"/>
          <w:sz w:val="18"/>
          <w:szCs w:val="18"/>
        </w:rPr>
        <w:t>esemény, amely a lenalidomid-karon a vizsgálati személyek legalább 1%-ánál, és a lenalidomid és placebo között</w:t>
      </w:r>
      <w:r w:rsidR="004B5E05">
        <w:rPr>
          <w:rFonts w:ascii="Times New Roman" w:eastAsia="Calibri" w:hAnsi="Times New Roman" w:cs="Times New Roman"/>
          <w:sz w:val="18"/>
          <w:szCs w:val="18"/>
        </w:rPr>
        <w:t xml:space="preserve"> </w:t>
      </w:r>
      <w:r w:rsidRPr="00E83289">
        <w:rPr>
          <w:rFonts w:ascii="Times New Roman" w:eastAsia="Calibri" w:hAnsi="Times New Roman" w:cs="Times New Roman"/>
          <w:sz w:val="18"/>
          <w:szCs w:val="18"/>
        </w:rPr>
        <w:t>legalább 1,0%-os aránykülönbség lépett fel – (biztonságossági populáció)</w:t>
      </w:r>
      <w:r w:rsidR="003B4C8B">
        <w:rPr>
          <w:rFonts w:ascii="Times New Roman" w:eastAsia="Calibri" w:hAnsi="Times New Roman" w:cs="Times New Roman"/>
          <w:sz w:val="18"/>
          <w:szCs w:val="18"/>
        </w:rPr>
        <w:t>;</w:t>
      </w:r>
    </w:p>
    <w:p w14:paraId="118BF48B" w14:textId="4A112716" w:rsidR="003F7BE5" w:rsidRPr="00E83289" w:rsidRDefault="003F7BE5" w:rsidP="00E83289">
      <w:pPr>
        <w:pStyle w:val="Listaszerbekezds"/>
        <w:numPr>
          <w:ilvl w:val="0"/>
          <w:numId w:val="19"/>
        </w:num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lastRenderedPageBreak/>
        <w:t>NHL-007 súlyos gyógyszermellékhatások – kezelésből eredő összes nemkívánatos esemény, amely a</w:t>
      </w:r>
      <w:r w:rsidR="004B5E05">
        <w:rPr>
          <w:rFonts w:ascii="Times New Roman" w:eastAsia="Calibri" w:hAnsi="Times New Roman" w:cs="Times New Roman"/>
          <w:sz w:val="18"/>
          <w:szCs w:val="18"/>
        </w:rPr>
        <w:t xml:space="preserve"> </w:t>
      </w:r>
      <w:r w:rsidRPr="00E83289">
        <w:rPr>
          <w:rFonts w:ascii="Times New Roman" w:eastAsia="Calibri" w:hAnsi="Times New Roman" w:cs="Times New Roman"/>
          <w:sz w:val="18"/>
          <w:szCs w:val="18"/>
        </w:rPr>
        <w:t>lenalidomid/rituximab-karon a vizsgálati személyek legalább 1%-ánál, és a lenalidomid és placebo között legalább</w:t>
      </w:r>
      <w:r w:rsidR="004B5E05">
        <w:rPr>
          <w:rFonts w:ascii="Times New Roman" w:eastAsia="Calibri" w:hAnsi="Times New Roman" w:cs="Times New Roman"/>
          <w:sz w:val="18"/>
          <w:szCs w:val="18"/>
        </w:rPr>
        <w:t xml:space="preserve"> </w:t>
      </w:r>
      <w:r w:rsidRPr="00E83289">
        <w:rPr>
          <w:rFonts w:ascii="Times New Roman" w:eastAsia="Calibri" w:hAnsi="Times New Roman" w:cs="Times New Roman"/>
          <w:sz w:val="18"/>
          <w:szCs w:val="18"/>
        </w:rPr>
        <w:t>1%-os aránykülönbséggel lépett fel – (biztonságossági populáció)</w:t>
      </w:r>
      <w:r w:rsidR="003B4C8B">
        <w:rPr>
          <w:rFonts w:ascii="Times New Roman" w:eastAsia="Calibri" w:hAnsi="Times New Roman" w:cs="Times New Roman"/>
          <w:sz w:val="18"/>
          <w:szCs w:val="18"/>
        </w:rPr>
        <w:t>.</w:t>
      </w:r>
    </w:p>
    <w:p w14:paraId="41312FCB" w14:textId="22891841" w:rsidR="003F7BE5" w:rsidRPr="00E83289" w:rsidRDefault="003F7BE5" w:rsidP="003F7BE5">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 xml:space="preserve">FL egykaros, </w:t>
      </w:r>
      <w:r w:rsidR="00F432F4">
        <w:rPr>
          <w:rFonts w:ascii="Times New Roman" w:eastAsia="Calibri" w:hAnsi="Times New Roman" w:cs="Times New Roman"/>
          <w:sz w:val="18"/>
          <w:szCs w:val="18"/>
        </w:rPr>
        <w:t>3.</w:t>
      </w:r>
      <w:r w:rsidR="004B5E05">
        <w:rPr>
          <w:rFonts w:ascii="Times New Roman" w:eastAsia="Calibri" w:hAnsi="Times New Roman" w:cs="Times New Roman"/>
          <w:sz w:val="18"/>
          <w:szCs w:val="18"/>
        </w:rPr>
        <w:t> </w:t>
      </w:r>
      <w:r w:rsidRPr="00E83289">
        <w:rPr>
          <w:rFonts w:ascii="Times New Roman" w:eastAsia="Calibri" w:hAnsi="Times New Roman" w:cs="Times New Roman"/>
          <w:sz w:val="18"/>
          <w:szCs w:val="18"/>
        </w:rPr>
        <w:t>fázisú vizsgálat:</w:t>
      </w:r>
    </w:p>
    <w:p w14:paraId="76B500CC" w14:textId="5B843B42" w:rsidR="003F7BE5" w:rsidRPr="00E83289" w:rsidRDefault="003F7BE5" w:rsidP="00E83289">
      <w:pPr>
        <w:pStyle w:val="Listaszerbekezds"/>
        <w:numPr>
          <w:ilvl w:val="0"/>
          <w:numId w:val="19"/>
        </w:num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NHL-008 gyógyszermellékhatások – A kezelésből eredő összes nemkívánatos esemény, amely a vizsgálati személyek</w:t>
      </w:r>
      <w:r w:rsidR="003B4C8B">
        <w:rPr>
          <w:rFonts w:ascii="Times New Roman" w:eastAsia="Calibri" w:hAnsi="Times New Roman" w:cs="Times New Roman"/>
          <w:sz w:val="18"/>
          <w:szCs w:val="18"/>
        </w:rPr>
        <w:t xml:space="preserve"> </w:t>
      </w:r>
      <w:r w:rsidRPr="00E83289">
        <w:rPr>
          <w:rFonts w:ascii="Times New Roman" w:eastAsia="Calibri" w:hAnsi="Times New Roman" w:cs="Times New Roman"/>
          <w:sz w:val="18"/>
          <w:szCs w:val="18"/>
        </w:rPr>
        <w:t>legalább 5%-ánál fellépett</w:t>
      </w:r>
      <w:r w:rsidR="003B4C8B">
        <w:rPr>
          <w:rFonts w:ascii="Times New Roman" w:eastAsia="Calibri" w:hAnsi="Times New Roman" w:cs="Times New Roman"/>
          <w:sz w:val="18"/>
          <w:szCs w:val="18"/>
        </w:rPr>
        <w:t>;</w:t>
      </w:r>
    </w:p>
    <w:p w14:paraId="47D54BE0" w14:textId="7AE24C48" w:rsidR="003F7BE5" w:rsidRPr="00E83289" w:rsidRDefault="003F7BE5" w:rsidP="00E83289">
      <w:pPr>
        <w:pStyle w:val="Listaszerbekezds"/>
        <w:numPr>
          <w:ilvl w:val="0"/>
          <w:numId w:val="19"/>
        </w:num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NHL-008 3/4. fokú gyógyszermellékhatások – A kezelésből eredő összes 3. és 4.</w:t>
      </w:r>
      <w:r w:rsidR="003B4C8B">
        <w:rPr>
          <w:rFonts w:ascii="Times New Roman" w:eastAsia="Calibri" w:hAnsi="Times New Roman" w:cs="Times New Roman"/>
          <w:sz w:val="18"/>
          <w:szCs w:val="18"/>
        </w:rPr>
        <w:t> </w:t>
      </w:r>
      <w:r w:rsidRPr="00E83289">
        <w:rPr>
          <w:rFonts w:ascii="Times New Roman" w:eastAsia="Calibri" w:hAnsi="Times New Roman" w:cs="Times New Roman"/>
          <w:sz w:val="18"/>
          <w:szCs w:val="18"/>
        </w:rPr>
        <w:t>súlyossági fokú nemkívánatos</w:t>
      </w:r>
      <w:r w:rsidR="003B4C8B">
        <w:rPr>
          <w:rFonts w:ascii="Times New Roman" w:eastAsia="Calibri" w:hAnsi="Times New Roman" w:cs="Times New Roman"/>
          <w:sz w:val="18"/>
          <w:szCs w:val="18"/>
        </w:rPr>
        <w:t xml:space="preserve"> </w:t>
      </w:r>
      <w:r w:rsidRPr="00E83289">
        <w:rPr>
          <w:rFonts w:ascii="Times New Roman" w:eastAsia="Calibri" w:hAnsi="Times New Roman" w:cs="Times New Roman"/>
          <w:sz w:val="18"/>
          <w:szCs w:val="18"/>
        </w:rPr>
        <w:t>esemény, amely a vizsgálati személyek legalább 1%-ánál fellépett</w:t>
      </w:r>
      <w:r w:rsidR="003B4C8B">
        <w:rPr>
          <w:rFonts w:ascii="Times New Roman" w:eastAsia="Calibri" w:hAnsi="Times New Roman" w:cs="Times New Roman"/>
          <w:sz w:val="18"/>
          <w:szCs w:val="18"/>
        </w:rPr>
        <w:t>;</w:t>
      </w:r>
    </w:p>
    <w:p w14:paraId="35205555" w14:textId="56956948" w:rsidR="003F7BE5" w:rsidRPr="00E83289" w:rsidRDefault="003F7BE5" w:rsidP="00E83289">
      <w:pPr>
        <w:pStyle w:val="Listaszerbekezds"/>
        <w:numPr>
          <w:ilvl w:val="0"/>
          <w:numId w:val="19"/>
        </w:num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NHL-008 súlyos gyógyszermellékhatások – A kezelésből eredő összes súlyos nemkívánatos esemény, amely a</w:t>
      </w:r>
      <w:r w:rsidR="003B4C8B">
        <w:rPr>
          <w:rFonts w:ascii="Times New Roman" w:eastAsia="Calibri" w:hAnsi="Times New Roman" w:cs="Times New Roman"/>
          <w:sz w:val="18"/>
          <w:szCs w:val="18"/>
        </w:rPr>
        <w:t xml:space="preserve"> </w:t>
      </w:r>
      <w:r w:rsidRPr="00E83289">
        <w:rPr>
          <w:rFonts w:ascii="Times New Roman" w:eastAsia="Calibri" w:hAnsi="Times New Roman" w:cs="Times New Roman"/>
          <w:sz w:val="18"/>
          <w:szCs w:val="18"/>
        </w:rPr>
        <w:t>vizsgálati személyek legalább 1%-ánál fellépett</w:t>
      </w:r>
      <w:r w:rsidR="003B4C8B">
        <w:rPr>
          <w:rFonts w:ascii="Times New Roman" w:eastAsia="Calibri" w:hAnsi="Times New Roman" w:cs="Times New Roman"/>
          <w:sz w:val="18"/>
          <w:szCs w:val="18"/>
        </w:rPr>
        <w:t>.</w:t>
      </w:r>
    </w:p>
    <w:p w14:paraId="3476631D" w14:textId="40352844" w:rsidR="003F7BE5" w:rsidRPr="00E83289" w:rsidRDefault="003F7BE5" w:rsidP="003F7BE5">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◊Follicularis lymphoma klinikai vizsgálatokban súlyosként jelentett nemkívánatos események</w:t>
      </w:r>
      <w:r w:rsidR="003B4C8B">
        <w:rPr>
          <w:rFonts w:ascii="Times New Roman" w:eastAsia="Calibri" w:hAnsi="Times New Roman" w:cs="Times New Roman"/>
          <w:sz w:val="18"/>
          <w:szCs w:val="18"/>
        </w:rPr>
        <w:t>.</w:t>
      </w:r>
    </w:p>
    <w:p w14:paraId="3CC52315" w14:textId="52569311" w:rsidR="003F7BE5" w:rsidRPr="00E83289" w:rsidRDefault="003F7BE5" w:rsidP="003F7BE5">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 Csak súlyos nemkívánatos gyógyszermellékhatásokra vonatkozik</w:t>
      </w:r>
      <w:r w:rsidR="003B4C8B">
        <w:rPr>
          <w:rFonts w:ascii="Times New Roman" w:eastAsia="Calibri" w:hAnsi="Times New Roman" w:cs="Times New Roman"/>
          <w:sz w:val="18"/>
          <w:szCs w:val="18"/>
        </w:rPr>
        <w:t>.</w:t>
      </w:r>
    </w:p>
    <w:p w14:paraId="71DFA468" w14:textId="5E54CF43" w:rsidR="003F7BE5" w:rsidRPr="00E83289" w:rsidRDefault="003F7BE5" w:rsidP="003F7BE5">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*A kiütés magában foglalja a kiütést és a maculo-papulosus kiütést</w:t>
      </w:r>
      <w:r w:rsidR="003B4C8B">
        <w:rPr>
          <w:rFonts w:ascii="Times New Roman" w:eastAsia="Calibri" w:hAnsi="Times New Roman" w:cs="Times New Roman"/>
          <w:sz w:val="18"/>
          <w:szCs w:val="18"/>
        </w:rPr>
        <w:t>.</w:t>
      </w:r>
    </w:p>
    <w:p w14:paraId="2BB32A6F" w14:textId="7801E1BB" w:rsidR="003F7BE5" w:rsidRPr="00E83289" w:rsidRDefault="003F7BE5" w:rsidP="003F7BE5">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**A leukopenia magában foglalja leukopeniát és a csökkent fehérvérsejtszámot</w:t>
      </w:r>
      <w:r w:rsidR="003B4C8B">
        <w:rPr>
          <w:rFonts w:ascii="Times New Roman" w:eastAsia="Calibri" w:hAnsi="Times New Roman" w:cs="Times New Roman"/>
          <w:sz w:val="18"/>
          <w:szCs w:val="18"/>
        </w:rPr>
        <w:t>.</w:t>
      </w:r>
    </w:p>
    <w:p w14:paraId="5D8C51C1" w14:textId="3F69D2BD" w:rsidR="00FC748F" w:rsidRDefault="003F7BE5" w:rsidP="003F7BE5">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***A lymphopenia magában foglalja a lymphopeniát és a csökkent lymphocytaszámo</w:t>
      </w:r>
      <w:r w:rsidR="003B4C8B">
        <w:rPr>
          <w:rFonts w:ascii="Times New Roman" w:eastAsia="Calibri" w:hAnsi="Times New Roman" w:cs="Times New Roman"/>
          <w:sz w:val="18"/>
          <w:szCs w:val="18"/>
        </w:rPr>
        <w:t>t.</w:t>
      </w:r>
    </w:p>
    <w:p w14:paraId="59C66C3C" w14:textId="77777777" w:rsidR="003B4C8B" w:rsidRPr="00E83289" w:rsidRDefault="003B4C8B" w:rsidP="003F7BE5">
      <w:pPr>
        <w:spacing w:after="0" w:line="240" w:lineRule="auto"/>
        <w:rPr>
          <w:rFonts w:ascii="Times New Roman" w:eastAsia="Calibri" w:hAnsi="Times New Roman" w:cs="Times New Roman"/>
          <w:sz w:val="18"/>
          <w:szCs w:val="18"/>
        </w:rPr>
      </w:pPr>
    </w:p>
    <w:p w14:paraId="45914A87"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A forgalomba hozatalt köveően jelentett mellékhatások táblázatos összefoglalása</w:t>
      </w:r>
    </w:p>
    <w:p w14:paraId="71E4F24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pivotális klinikai vizsgálatok során azonosított fenti mellékhatások mellett az alábbi táblázat a forgalomba hozatalt követően jelentett adatokból származik.</w:t>
      </w:r>
    </w:p>
    <w:p w14:paraId="7730B5A9" w14:textId="77777777" w:rsidR="00956F16" w:rsidRPr="00956F16" w:rsidRDefault="00956F16" w:rsidP="00956F16">
      <w:pPr>
        <w:spacing w:after="0" w:line="240" w:lineRule="auto"/>
        <w:rPr>
          <w:rFonts w:ascii="Times New Roman" w:eastAsia="Calibri" w:hAnsi="Times New Roman" w:cs="Times New Roman"/>
        </w:rPr>
      </w:pPr>
    </w:p>
    <w:p w14:paraId="22B60311" w14:textId="15254A41" w:rsidR="00956F16" w:rsidRDefault="00923AB9" w:rsidP="00956F16">
      <w:pPr>
        <w:keepNext/>
        <w:spacing w:after="0" w:line="240" w:lineRule="auto"/>
        <w:rPr>
          <w:rFonts w:ascii="Times New Roman" w:eastAsia="Calibri" w:hAnsi="Times New Roman" w:cs="Times New Roman"/>
          <w:b/>
        </w:rPr>
      </w:pPr>
      <w:r>
        <w:rPr>
          <w:rFonts w:ascii="Times New Roman" w:eastAsia="Calibri" w:hAnsi="Times New Roman" w:cs="Times New Roman"/>
          <w:b/>
        </w:rPr>
        <w:t>6</w:t>
      </w:r>
      <w:r w:rsidR="00956F16" w:rsidRPr="00956F16">
        <w:rPr>
          <w:rFonts w:ascii="Times New Roman" w:eastAsia="Calibri" w:hAnsi="Times New Roman" w:cs="Times New Roman"/>
          <w:b/>
        </w:rPr>
        <w:t>. táblázat. A forgalomba hozatalt követően a lenalidomiddal kezelt betegek esetén jelentett mellékhatások</w:t>
      </w:r>
    </w:p>
    <w:p w14:paraId="16221BF9" w14:textId="77777777" w:rsidR="00B35A2D" w:rsidRPr="00956F16" w:rsidRDefault="00B35A2D" w:rsidP="00956F16">
      <w:pPr>
        <w:keepNext/>
        <w:spacing w:after="0" w:line="240" w:lineRule="auto"/>
        <w:rPr>
          <w:rFonts w:ascii="Times New Roman" w:eastAsia="Calibri" w:hAnsi="Times New Roman" w:cs="Times New Roman"/>
          <w:b/>
        </w:rPr>
      </w:pPr>
    </w:p>
    <w:tbl>
      <w:tblPr>
        <w:tblW w:w="9204" w:type="dxa"/>
        <w:tblInd w:w="5" w:type="dxa"/>
        <w:tblLayout w:type="fixed"/>
        <w:tblCellMar>
          <w:left w:w="0" w:type="dxa"/>
          <w:right w:w="0" w:type="dxa"/>
        </w:tblCellMar>
        <w:tblLook w:val="0000" w:firstRow="0" w:lastRow="0" w:firstColumn="0" w:lastColumn="0" w:noHBand="0" w:noVBand="0"/>
      </w:tblPr>
      <w:tblGrid>
        <w:gridCol w:w="2400"/>
        <w:gridCol w:w="3402"/>
        <w:gridCol w:w="3402"/>
      </w:tblGrid>
      <w:tr w:rsidR="00956F16" w:rsidRPr="00956F16" w14:paraId="652C2277" w14:textId="77777777" w:rsidTr="00694E9C">
        <w:trPr>
          <w:trHeight w:hRule="exact" w:val="955"/>
          <w:tblHeader/>
        </w:trPr>
        <w:tc>
          <w:tcPr>
            <w:tcW w:w="2400" w:type="dxa"/>
            <w:tcBorders>
              <w:top w:val="single" w:sz="4" w:space="0" w:color="000000"/>
              <w:left w:val="single" w:sz="4" w:space="0" w:color="000000"/>
              <w:bottom w:val="single" w:sz="4" w:space="0" w:color="000000"/>
              <w:right w:val="single" w:sz="4" w:space="0" w:color="000000"/>
            </w:tcBorders>
          </w:tcPr>
          <w:p w14:paraId="3BA06197" w14:textId="1A4EF57F"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Szervrendszer</w:t>
            </w:r>
            <w:r w:rsidR="005C44EF">
              <w:rPr>
                <w:rFonts w:ascii="Times New Roman" w:eastAsia="Times New Roman" w:hAnsi="Times New Roman" w:cs="Times New Roman"/>
                <w:b/>
                <w:bCs/>
                <w:szCs w:val="20"/>
              </w:rPr>
              <w:t>i kategória/ megnevezés</w:t>
            </w:r>
            <w:r w:rsidRPr="00956F16">
              <w:rPr>
                <w:rFonts w:ascii="Times New Roman" w:eastAsia="Times New Roman" w:hAnsi="Times New Roman" w:cs="Times New Roman"/>
                <w:b/>
                <w:bCs/>
                <w:szCs w:val="20"/>
              </w:rPr>
              <w:t xml:space="preserve"> </w:t>
            </w:r>
          </w:p>
        </w:tc>
        <w:tc>
          <w:tcPr>
            <w:tcW w:w="3402" w:type="dxa"/>
            <w:tcBorders>
              <w:top w:val="single" w:sz="4" w:space="0" w:color="000000"/>
              <w:left w:val="single" w:sz="4" w:space="0" w:color="000000"/>
              <w:bottom w:val="single" w:sz="4" w:space="0" w:color="000000"/>
              <w:right w:val="single" w:sz="4" w:space="0" w:color="000000"/>
            </w:tcBorders>
          </w:tcPr>
          <w:p w14:paraId="12CCC376"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Minden mellékhatás/gyakoriság</w:t>
            </w:r>
          </w:p>
        </w:tc>
        <w:tc>
          <w:tcPr>
            <w:tcW w:w="3402" w:type="dxa"/>
            <w:tcBorders>
              <w:top w:val="single" w:sz="4" w:space="0" w:color="000000"/>
              <w:left w:val="single" w:sz="4" w:space="0" w:color="000000"/>
              <w:bottom w:val="single" w:sz="4" w:space="0" w:color="000000"/>
              <w:right w:val="single" w:sz="4" w:space="0" w:color="000000"/>
            </w:tcBorders>
          </w:tcPr>
          <w:p w14:paraId="54734508"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b/>
                <w:bCs/>
                <w:spacing w:val="-1"/>
                <w:szCs w:val="20"/>
              </w:rPr>
              <w:t>3−4-es súlyossági fokú mellékhatások/gyakoriság</w:t>
            </w:r>
          </w:p>
        </w:tc>
      </w:tr>
      <w:tr w:rsidR="00956F16" w:rsidRPr="00956F16" w14:paraId="3F262ECF" w14:textId="77777777" w:rsidTr="00694E9C">
        <w:trPr>
          <w:trHeight w:val="1396"/>
        </w:trPr>
        <w:tc>
          <w:tcPr>
            <w:tcW w:w="2400" w:type="dxa"/>
            <w:tcBorders>
              <w:top w:val="single" w:sz="4" w:space="0" w:color="000000"/>
              <w:left w:val="single" w:sz="4" w:space="0" w:color="000000"/>
              <w:bottom w:val="single" w:sz="4" w:space="0" w:color="000000"/>
              <w:right w:val="single" w:sz="4" w:space="0" w:color="000000"/>
            </w:tcBorders>
          </w:tcPr>
          <w:p w14:paraId="693311E9" w14:textId="77777777" w:rsidR="00956F16" w:rsidRPr="00956F16" w:rsidRDefault="00956F16" w:rsidP="00956F16">
            <w:pPr>
              <w:spacing w:after="0" w:line="240" w:lineRule="auto"/>
              <w:rPr>
                <w:rFonts w:ascii="Times New Roman" w:eastAsia="Calibri" w:hAnsi="Times New Roman" w:cs="Times New Roman"/>
                <w:b/>
                <w:sz w:val="24"/>
                <w:szCs w:val="24"/>
              </w:rPr>
            </w:pPr>
            <w:r w:rsidRPr="00956F16">
              <w:rPr>
                <w:rFonts w:ascii="Times New Roman" w:eastAsia="Calibri" w:hAnsi="Times New Roman" w:cs="Times New Roman"/>
                <w:b/>
              </w:rPr>
              <w:t>Fertőző betegségek és parazitafertőzések</w:t>
            </w:r>
          </w:p>
        </w:tc>
        <w:tc>
          <w:tcPr>
            <w:tcW w:w="3402" w:type="dxa"/>
            <w:tcBorders>
              <w:top w:val="single" w:sz="4" w:space="0" w:color="000000"/>
              <w:left w:val="single" w:sz="4" w:space="0" w:color="000000"/>
              <w:bottom w:val="single" w:sz="4" w:space="0" w:color="000000"/>
              <w:right w:val="single" w:sz="4" w:space="0" w:color="000000"/>
            </w:tcBorders>
          </w:tcPr>
          <w:p w14:paraId="6742F9F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r w:rsidRPr="00956F16">
              <w:rPr>
                <w:rFonts w:ascii="Times New Roman" w:eastAsia="Times New Roman" w:hAnsi="Times New Roman" w:cs="Times New Roman"/>
                <w:spacing w:val="2"/>
                <w:szCs w:val="20"/>
                <w:u w:val="single"/>
              </w:rPr>
              <w:t>Nem ismert</w:t>
            </w:r>
          </w:p>
          <w:p w14:paraId="0F7BC51C" w14:textId="622CCBE5"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rPr>
              <w:t>v</w:t>
            </w:r>
            <w:r w:rsidRPr="00956F16">
              <w:rPr>
                <w:rFonts w:ascii="Times New Roman" w:eastAsia="Times New Roman" w:hAnsi="Times New Roman" w:cs="Times New Roman"/>
                <w:spacing w:val="-1"/>
                <w:szCs w:val="20"/>
              </w:rPr>
              <w:t>írusfertőzések, beleértve a herpes zoster és hepatitis B</w:t>
            </w:r>
            <w:r w:rsidR="00191E06">
              <w:rPr>
                <w:rFonts w:ascii="Times New Roman" w:eastAsia="Times New Roman" w:hAnsi="Times New Roman" w:cs="Times New Roman"/>
                <w:spacing w:val="-1"/>
                <w:szCs w:val="20"/>
              </w:rPr>
              <w:t>-</w:t>
            </w:r>
            <w:r w:rsidRPr="00956F16">
              <w:rPr>
                <w:rFonts w:ascii="Times New Roman" w:eastAsia="Times New Roman" w:hAnsi="Times New Roman" w:cs="Times New Roman"/>
                <w:spacing w:val="-1"/>
                <w:szCs w:val="20"/>
              </w:rPr>
              <w:t>vírus reaktivációt is</w:t>
            </w:r>
          </w:p>
          <w:p w14:paraId="1A4570E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p>
        </w:tc>
        <w:tc>
          <w:tcPr>
            <w:tcW w:w="3402" w:type="dxa"/>
            <w:tcBorders>
              <w:top w:val="single" w:sz="4" w:space="0" w:color="000000"/>
              <w:left w:val="single" w:sz="4" w:space="0" w:color="000000"/>
              <w:bottom w:val="single" w:sz="4" w:space="0" w:color="auto"/>
              <w:right w:val="single" w:sz="4" w:space="0" w:color="000000"/>
            </w:tcBorders>
          </w:tcPr>
          <w:p w14:paraId="750839E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szCs w:val="20"/>
                <w:u w:val="single"/>
              </w:rPr>
            </w:pPr>
            <w:r w:rsidRPr="00956F16">
              <w:rPr>
                <w:rFonts w:ascii="Times New Roman" w:eastAsia="Times New Roman" w:hAnsi="Times New Roman" w:cs="Times New Roman"/>
                <w:spacing w:val="2"/>
                <w:szCs w:val="20"/>
                <w:u w:val="single"/>
              </w:rPr>
              <w:t>Nem ismert</w:t>
            </w:r>
          </w:p>
          <w:p w14:paraId="57A369A1" w14:textId="6B970A52"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2"/>
                <w:szCs w:val="20"/>
              </w:rPr>
              <w:t>v</w:t>
            </w:r>
            <w:r w:rsidRPr="00956F16">
              <w:rPr>
                <w:rFonts w:ascii="Times New Roman" w:eastAsia="Times New Roman" w:hAnsi="Times New Roman" w:cs="Times New Roman"/>
                <w:spacing w:val="-1"/>
                <w:szCs w:val="20"/>
              </w:rPr>
              <w:t>írusfertőzések, beleértve a herpes zoster és hepatitis B</w:t>
            </w:r>
            <w:r w:rsidR="00191E06">
              <w:rPr>
                <w:rFonts w:ascii="Times New Roman" w:eastAsia="Times New Roman" w:hAnsi="Times New Roman" w:cs="Times New Roman"/>
                <w:spacing w:val="-1"/>
                <w:szCs w:val="20"/>
              </w:rPr>
              <w:t>-</w:t>
            </w:r>
            <w:r w:rsidRPr="00956F16">
              <w:rPr>
                <w:rFonts w:ascii="Times New Roman" w:eastAsia="Times New Roman" w:hAnsi="Times New Roman" w:cs="Times New Roman"/>
                <w:spacing w:val="-1"/>
                <w:szCs w:val="20"/>
              </w:rPr>
              <w:t>vírus reaktivációt is</w:t>
            </w:r>
          </w:p>
          <w:p w14:paraId="33181D3B" w14:textId="77777777" w:rsidR="00956F16" w:rsidRPr="00956F16" w:rsidRDefault="00956F16" w:rsidP="00956F16">
            <w:pPr>
              <w:widowControl w:val="0"/>
              <w:tabs>
                <w:tab w:val="left" w:pos="567"/>
              </w:tabs>
              <w:autoSpaceDE w:val="0"/>
              <w:autoSpaceDN w:val="0"/>
              <w:adjustRightInd w:val="0"/>
              <w:spacing w:after="0" w:line="240" w:lineRule="auto"/>
              <w:ind w:left="142" w:right="41"/>
              <w:rPr>
                <w:rFonts w:ascii="Times New Roman" w:eastAsia="Times New Roman" w:hAnsi="Times New Roman" w:cs="Times New Roman"/>
                <w:szCs w:val="20"/>
              </w:rPr>
            </w:pPr>
          </w:p>
        </w:tc>
      </w:tr>
      <w:tr w:rsidR="00956F16" w:rsidRPr="00956F16" w14:paraId="03015321" w14:textId="77777777" w:rsidTr="00694E9C">
        <w:trPr>
          <w:trHeight w:hRule="exact" w:val="1421"/>
        </w:trPr>
        <w:tc>
          <w:tcPr>
            <w:tcW w:w="2400" w:type="dxa"/>
            <w:tcBorders>
              <w:top w:val="single" w:sz="4" w:space="0" w:color="000000"/>
              <w:left w:val="single" w:sz="4" w:space="0" w:color="000000"/>
              <w:bottom w:val="single" w:sz="4" w:space="0" w:color="000000"/>
              <w:right w:val="single" w:sz="4" w:space="0" w:color="000000"/>
            </w:tcBorders>
          </w:tcPr>
          <w:p w14:paraId="36DE94E4" w14:textId="77777777" w:rsidR="00956F16" w:rsidRPr="00956F16" w:rsidRDefault="00956F16" w:rsidP="00956F16">
            <w:pPr>
              <w:widowControl w:val="0"/>
              <w:tabs>
                <w:tab w:val="left" w:pos="567"/>
              </w:tabs>
              <w:autoSpaceDE w:val="0"/>
              <w:autoSpaceDN w:val="0"/>
              <w:adjustRightInd w:val="0"/>
              <w:spacing w:after="0" w:line="240" w:lineRule="auto"/>
              <w:ind w:left="142" w:right="193"/>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Jó-, rosszindulatú és nem meghatározott daganatok (beleértve a cisztákat és polipokat is)</w:t>
            </w:r>
          </w:p>
        </w:tc>
        <w:tc>
          <w:tcPr>
            <w:tcW w:w="3402" w:type="dxa"/>
            <w:tcBorders>
              <w:top w:val="single" w:sz="4" w:space="0" w:color="000000"/>
              <w:left w:val="single" w:sz="4" w:space="0" w:color="000000"/>
              <w:bottom w:val="single" w:sz="4" w:space="0" w:color="000000"/>
              <w:right w:val="single" w:sz="4" w:space="0" w:color="000000"/>
            </w:tcBorders>
          </w:tcPr>
          <w:p w14:paraId="1402B29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p>
        </w:tc>
        <w:tc>
          <w:tcPr>
            <w:tcW w:w="3402" w:type="dxa"/>
            <w:tcBorders>
              <w:top w:val="single" w:sz="4" w:space="0" w:color="auto"/>
              <w:left w:val="single" w:sz="4" w:space="0" w:color="000000"/>
              <w:bottom w:val="single" w:sz="4" w:space="0" w:color="000000"/>
              <w:right w:val="single" w:sz="4" w:space="0" w:color="000000"/>
            </w:tcBorders>
          </w:tcPr>
          <w:p w14:paraId="46891FF2"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u w:val="single"/>
              </w:rPr>
            </w:pPr>
            <w:r w:rsidRPr="00956F16">
              <w:rPr>
                <w:rFonts w:ascii="Times New Roman" w:eastAsia="Times New Roman" w:hAnsi="Times New Roman" w:cs="Times New Roman"/>
                <w:u w:val="single"/>
              </w:rPr>
              <w:t>Ritka</w:t>
            </w:r>
          </w:p>
          <w:p w14:paraId="159B5465"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r w:rsidRPr="00956F16">
              <w:rPr>
                <w:rFonts w:ascii="Times New Roman" w:eastAsia="Times New Roman" w:hAnsi="Times New Roman" w:cs="Times New Roman"/>
              </w:rPr>
              <w:t>tumorlízis-szindróma</w:t>
            </w:r>
          </w:p>
        </w:tc>
      </w:tr>
      <w:tr w:rsidR="00956F16" w:rsidRPr="00956F16" w14:paraId="6F74662C" w14:textId="77777777" w:rsidTr="00694E9C">
        <w:trPr>
          <w:trHeight w:val="982"/>
        </w:trPr>
        <w:tc>
          <w:tcPr>
            <w:tcW w:w="2400" w:type="dxa"/>
            <w:tcBorders>
              <w:top w:val="single" w:sz="4" w:space="0" w:color="000000"/>
              <w:left w:val="single" w:sz="4" w:space="0" w:color="000000"/>
              <w:bottom w:val="single" w:sz="4" w:space="0" w:color="000000"/>
              <w:right w:val="single" w:sz="4" w:space="0" w:color="000000"/>
            </w:tcBorders>
          </w:tcPr>
          <w:p w14:paraId="64DEC17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Vérképzőszervi és nyirokrendszeri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50B035E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u w:val="single"/>
              </w:rPr>
            </w:pPr>
            <w:r w:rsidRPr="00956F16">
              <w:rPr>
                <w:rFonts w:ascii="Times New Roman" w:eastAsia="Times New Roman" w:hAnsi="Times New Roman" w:cs="Times New Roman"/>
                <w:spacing w:val="2"/>
                <w:u w:val="single"/>
              </w:rPr>
              <w:t>Nem ismert</w:t>
            </w:r>
          </w:p>
          <w:p w14:paraId="13113A63"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2"/>
              </w:rPr>
            </w:pPr>
            <w:r w:rsidRPr="00956F16">
              <w:rPr>
                <w:rFonts w:ascii="Times New Roman" w:eastAsia="Times New Roman" w:hAnsi="Times New Roman" w:cs="Times New Roman"/>
                <w:spacing w:val="2"/>
              </w:rPr>
              <w:t>szerzett haemophilia</w:t>
            </w:r>
          </w:p>
          <w:p w14:paraId="16F99C6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tcPr>
          <w:p w14:paraId="00F26E0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r>
      <w:tr w:rsidR="00956F16" w:rsidRPr="00956F16" w14:paraId="63E2242D" w14:textId="77777777" w:rsidTr="00694E9C">
        <w:trPr>
          <w:trHeight w:val="577"/>
        </w:trPr>
        <w:tc>
          <w:tcPr>
            <w:tcW w:w="2400" w:type="dxa"/>
            <w:tcBorders>
              <w:top w:val="single" w:sz="4" w:space="0" w:color="000000"/>
              <w:left w:val="single" w:sz="4" w:space="0" w:color="000000"/>
              <w:bottom w:val="single" w:sz="4" w:space="0" w:color="000000"/>
              <w:right w:val="single" w:sz="4" w:space="0" w:color="000000"/>
            </w:tcBorders>
          </w:tcPr>
          <w:p w14:paraId="5F809F71"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zCs w:val="20"/>
              </w:rPr>
              <w:t>Immunrendszeri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1028C401" w14:textId="77777777" w:rsidR="00923AB9" w:rsidRPr="00923AB9" w:rsidRDefault="00923AB9" w:rsidP="00923AB9">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u w:val="single"/>
              </w:rPr>
            </w:pPr>
            <w:r w:rsidRPr="00923AB9">
              <w:rPr>
                <w:rFonts w:ascii="Times New Roman" w:eastAsia="Times New Roman" w:hAnsi="Times New Roman" w:cs="Times New Roman"/>
                <w:spacing w:val="-1"/>
                <w:u w:val="single"/>
              </w:rPr>
              <w:t>Ritka</w:t>
            </w:r>
          </w:p>
          <w:p w14:paraId="4CB73329" w14:textId="7E624117" w:rsidR="00923AB9" w:rsidRPr="00E83289" w:rsidRDefault="00923AB9" w:rsidP="00923AB9">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rPr>
            </w:pPr>
            <w:r>
              <w:rPr>
                <w:rFonts w:ascii="Times New Roman" w:eastAsia="Times New Roman" w:hAnsi="Times New Roman" w:cs="Times New Roman"/>
                <w:spacing w:val="-1"/>
              </w:rPr>
              <w:t>a</w:t>
            </w:r>
            <w:r w:rsidRPr="00E83289">
              <w:rPr>
                <w:rFonts w:ascii="Times New Roman" w:eastAsia="Times New Roman" w:hAnsi="Times New Roman" w:cs="Times New Roman"/>
                <w:spacing w:val="-1"/>
              </w:rPr>
              <w:t>naphylaxiás reakció^</w:t>
            </w:r>
          </w:p>
          <w:p w14:paraId="4A8C62A0" w14:textId="77777777" w:rsidR="00923AB9" w:rsidRDefault="00923AB9" w:rsidP="00923AB9">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u w:val="single"/>
              </w:rPr>
            </w:pPr>
          </w:p>
          <w:p w14:paraId="6471A85C" w14:textId="2B327A59" w:rsidR="00956F16" w:rsidRPr="00956F16" w:rsidRDefault="00956F16" w:rsidP="00923AB9">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u w:val="single"/>
              </w:rPr>
            </w:pPr>
            <w:r w:rsidRPr="00956F16">
              <w:rPr>
                <w:rFonts w:ascii="Times New Roman" w:eastAsia="Times New Roman" w:hAnsi="Times New Roman" w:cs="Times New Roman"/>
                <w:spacing w:val="-1"/>
                <w:u w:val="single"/>
              </w:rPr>
              <w:t>Nem ismert</w:t>
            </w:r>
          </w:p>
          <w:p w14:paraId="7754CA5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szolid szervtranszplantátum kilökődése</w:t>
            </w:r>
          </w:p>
        </w:tc>
        <w:tc>
          <w:tcPr>
            <w:tcW w:w="3402" w:type="dxa"/>
            <w:tcBorders>
              <w:top w:val="single" w:sz="4" w:space="0" w:color="000000"/>
              <w:left w:val="single" w:sz="4" w:space="0" w:color="000000"/>
              <w:bottom w:val="single" w:sz="4" w:space="0" w:color="000000"/>
              <w:right w:val="single" w:sz="4" w:space="0" w:color="000000"/>
            </w:tcBorders>
          </w:tcPr>
          <w:p w14:paraId="65113D41" w14:textId="77777777" w:rsidR="00923AB9" w:rsidRPr="00923AB9" w:rsidRDefault="00923AB9" w:rsidP="00923AB9">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u w:val="single"/>
              </w:rPr>
            </w:pPr>
            <w:r w:rsidRPr="00923AB9">
              <w:rPr>
                <w:rFonts w:ascii="Times New Roman" w:eastAsia="Times New Roman" w:hAnsi="Times New Roman" w:cs="Times New Roman"/>
                <w:spacing w:val="-1"/>
                <w:u w:val="single"/>
              </w:rPr>
              <w:t>Ritka</w:t>
            </w:r>
          </w:p>
          <w:p w14:paraId="6167E22B" w14:textId="77777777" w:rsidR="00923AB9" w:rsidRPr="00F36C14" w:rsidRDefault="00923AB9" w:rsidP="00923AB9">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rPr>
            </w:pPr>
            <w:r>
              <w:rPr>
                <w:rFonts w:ascii="Times New Roman" w:eastAsia="Times New Roman" w:hAnsi="Times New Roman" w:cs="Times New Roman"/>
                <w:spacing w:val="-1"/>
              </w:rPr>
              <w:t>a</w:t>
            </w:r>
            <w:r w:rsidRPr="00F36C14">
              <w:rPr>
                <w:rFonts w:ascii="Times New Roman" w:eastAsia="Times New Roman" w:hAnsi="Times New Roman" w:cs="Times New Roman"/>
                <w:spacing w:val="-1"/>
              </w:rPr>
              <w:t>naphylaxiás reakció^</w:t>
            </w:r>
          </w:p>
          <w:p w14:paraId="0AE3E558"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r w:rsidR="00956F16" w:rsidRPr="00956F16" w14:paraId="0651E6CA" w14:textId="77777777" w:rsidTr="00694E9C">
        <w:trPr>
          <w:trHeight w:hRule="exact" w:val="562"/>
        </w:trPr>
        <w:tc>
          <w:tcPr>
            <w:tcW w:w="2400" w:type="dxa"/>
            <w:tcBorders>
              <w:top w:val="single" w:sz="4" w:space="0" w:color="000000"/>
              <w:left w:val="single" w:sz="4" w:space="0" w:color="000000"/>
              <w:bottom w:val="single" w:sz="4" w:space="0" w:color="000000"/>
              <w:right w:val="single" w:sz="4" w:space="0" w:color="000000"/>
            </w:tcBorders>
          </w:tcPr>
          <w:p w14:paraId="7592CFE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Endokrin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1C3FA16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spacing w:val="-1"/>
                <w:u w:val="single"/>
              </w:rPr>
              <w:t>Gyakori</w:t>
            </w:r>
          </w:p>
          <w:p w14:paraId="50207C7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spacing w:val="-1"/>
              </w:rPr>
              <w:t>h</w:t>
            </w:r>
            <w:r w:rsidRPr="00956F16">
              <w:rPr>
                <w:rFonts w:ascii="Times New Roman" w:eastAsia="Times New Roman" w:hAnsi="Times New Roman" w:cs="Times New Roman"/>
                <w:spacing w:val="-2"/>
              </w:rPr>
              <w:t>y</w:t>
            </w:r>
            <w:r w:rsidRPr="00956F16">
              <w:rPr>
                <w:rFonts w:ascii="Times New Roman" w:eastAsia="Times New Roman" w:hAnsi="Times New Roman" w:cs="Times New Roman"/>
              </w:rPr>
              <w:t>per</w:t>
            </w:r>
            <w:r w:rsidRPr="00956F16">
              <w:rPr>
                <w:rFonts w:ascii="Times New Roman" w:eastAsia="Times New Roman" w:hAnsi="Times New Roman" w:cs="Times New Roman"/>
                <w:spacing w:val="1"/>
              </w:rPr>
              <w:t>t</w:t>
            </w:r>
            <w:r w:rsidRPr="00956F16">
              <w:rPr>
                <w:rFonts w:ascii="Times New Roman" w:eastAsia="Times New Roman" w:hAnsi="Times New Roman" w:cs="Times New Roman"/>
              </w:rPr>
              <w:t>h</w:t>
            </w:r>
            <w:r w:rsidRPr="00956F16">
              <w:rPr>
                <w:rFonts w:ascii="Times New Roman" w:eastAsia="Times New Roman" w:hAnsi="Times New Roman" w:cs="Times New Roman"/>
                <w:spacing w:val="-2"/>
              </w:rPr>
              <w:t>y</w:t>
            </w:r>
            <w:r w:rsidRPr="00956F16">
              <w:rPr>
                <w:rFonts w:ascii="Times New Roman" w:eastAsia="Times New Roman" w:hAnsi="Times New Roman" w:cs="Times New Roman"/>
                <w:spacing w:val="1"/>
              </w:rPr>
              <w:t>reosis</w:t>
            </w:r>
          </w:p>
        </w:tc>
        <w:tc>
          <w:tcPr>
            <w:tcW w:w="3402" w:type="dxa"/>
            <w:tcBorders>
              <w:top w:val="single" w:sz="4" w:space="0" w:color="000000"/>
              <w:left w:val="single" w:sz="4" w:space="0" w:color="000000"/>
              <w:bottom w:val="single" w:sz="4" w:space="0" w:color="000000"/>
              <w:right w:val="single" w:sz="4" w:space="0" w:color="000000"/>
            </w:tcBorders>
          </w:tcPr>
          <w:p w14:paraId="09546922"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r>
      <w:tr w:rsidR="00956F16" w:rsidRPr="00956F16" w14:paraId="02A493D0" w14:textId="77777777" w:rsidTr="00694E9C">
        <w:trPr>
          <w:trHeight w:hRule="exact" w:val="1450"/>
        </w:trPr>
        <w:tc>
          <w:tcPr>
            <w:tcW w:w="2400" w:type="dxa"/>
            <w:tcBorders>
              <w:top w:val="single" w:sz="4" w:space="0" w:color="000000"/>
              <w:left w:val="single" w:sz="4" w:space="0" w:color="000000"/>
              <w:bottom w:val="single" w:sz="4" w:space="0" w:color="000000"/>
              <w:right w:val="single" w:sz="4" w:space="0" w:color="000000"/>
            </w:tcBorders>
          </w:tcPr>
          <w:p w14:paraId="0F0F9805" w14:textId="77777777" w:rsidR="00956F16" w:rsidRPr="00532CBF" w:rsidRDefault="00956F16" w:rsidP="00956F16">
            <w:pPr>
              <w:widowControl w:val="0"/>
              <w:tabs>
                <w:tab w:val="left" w:pos="567"/>
              </w:tabs>
              <w:autoSpaceDE w:val="0"/>
              <w:autoSpaceDN w:val="0"/>
              <w:adjustRightInd w:val="0"/>
              <w:spacing w:after="0" w:line="240" w:lineRule="auto"/>
              <w:ind w:left="142" w:right="627"/>
              <w:rPr>
                <w:rFonts w:ascii="Times New Roman" w:eastAsia="Times New Roman" w:hAnsi="Times New Roman" w:cs="Times New Roman"/>
                <w:szCs w:val="20"/>
              </w:rPr>
            </w:pPr>
            <w:r w:rsidRPr="00532CBF">
              <w:rPr>
                <w:rFonts w:ascii="Times New Roman" w:eastAsia="Times New Roman" w:hAnsi="Times New Roman" w:cs="Times New Roman"/>
                <w:b/>
                <w:bCs/>
                <w:spacing w:val="-1"/>
                <w:szCs w:val="20"/>
              </w:rPr>
              <w:t>Légzőrendszeri, mellkasi és mediastinalis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27BA6F5C" w14:textId="77777777" w:rsidR="00532CBF" w:rsidRDefault="00532CBF" w:rsidP="00532CBF">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u w:val="single"/>
              </w:rPr>
            </w:pPr>
            <w:r>
              <w:rPr>
                <w:rFonts w:ascii="Times New Roman" w:eastAsia="Times New Roman" w:hAnsi="Times New Roman" w:cs="Times New Roman"/>
                <w:u w:val="single"/>
              </w:rPr>
              <w:t>Nem gyakori</w:t>
            </w:r>
          </w:p>
          <w:p w14:paraId="6447B9FA" w14:textId="247A5F8D" w:rsidR="00956F16" w:rsidRPr="00532CBF" w:rsidRDefault="00716B74" w:rsidP="00532CBF">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532CBF">
              <w:rPr>
                <w:rFonts w:ascii="Times New Roman" w:eastAsia="Times New Roman" w:hAnsi="Times New Roman" w:cs="Times New Roman"/>
              </w:rPr>
              <w:t>Pulmonalis hypertonia</w:t>
            </w:r>
          </w:p>
        </w:tc>
        <w:tc>
          <w:tcPr>
            <w:tcW w:w="3402" w:type="dxa"/>
            <w:tcBorders>
              <w:top w:val="single" w:sz="4" w:space="0" w:color="000000"/>
              <w:left w:val="single" w:sz="4" w:space="0" w:color="000000"/>
              <w:bottom w:val="single" w:sz="4" w:space="0" w:color="000000"/>
              <w:right w:val="single" w:sz="4" w:space="0" w:color="000000"/>
            </w:tcBorders>
          </w:tcPr>
          <w:p w14:paraId="43620EAD" w14:textId="77777777" w:rsidR="00716B74" w:rsidRPr="00532CBF" w:rsidRDefault="00716B74" w:rsidP="00716B7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532CBF">
              <w:rPr>
                <w:rFonts w:ascii="Times New Roman" w:eastAsia="Times New Roman" w:hAnsi="Times New Roman" w:cs="Times New Roman"/>
                <w:spacing w:val="-1"/>
                <w:szCs w:val="20"/>
                <w:u w:val="single"/>
              </w:rPr>
              <w:t>Ritka</w:t>
            </w:r>
          </w:p>
          <w:p w14:paraId="493A68B3" w14:textId="23D9DF9C" w:rsidR="00716B74" w:rsidRPr="00716B74" w:rsidRDefault="00716B74" w:rsidP="00716B74">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rPr>
            </w:pPr>
            <w:r w:rsidRPr="00532CBF">
              <w:rPr>
                <w:rFonts w:ascii="Times New Roman" w:eastAsia="Times New Roman" w:hAnsi="Times New Roman" w:cs="Times New Roman"/>
                <w:spacing w:val="-1"/>
                <w:szCs w:val="20"/>
              </w:rPr>
              <w:t>Pulmonalis hypertonia</w:t>
            </w:r>
          </w:p>
          <w:p w14:paraId="78643890" w14:textId="77777777" w:rsidR="00716B74" w:rsidRDefault="00716B74"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p>
          <w:p w14:paraId="2EB69492"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u w:val="single"/>
              </w:rPr>
              <w:t>Nem ismert</w:t>
            </w:r>
          </w:p>
          <w:p w14:paraId="2D6E7C55" w14:textId="1C73EED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pacing w:val="-1"/>
                <w:szCs w:val="20"/>
              </w:rPr>
              <w:t>interstitialis pneumoni</w:t>
            </w:r>
            <w:r w:rsidR="00191E06">
              <w:rPr>
                <w:rFonts w:ascii="Times New Roman" w:eastAsia="Times New Roman" w:hAnsi="Times New Roman" w:cs="Times New Roman"/>
                <w:spacing w:val="-1"/>
                <w:szCs w:val="20"/>
              </w:rPr>
              <w:t>tis</w:t>
            </w:r>
          </w:p>
        </w:tc>
      </w:tr>
      <w:tr w:rsidR="00956F16" w:rsidRPr="00956F16" w14:paraId="6D8F1D4A" w14:textId="77777777" w:rsidTr="00694E9C">
        <w:trPr>
          <w:trHeight w:val="2157"/>
        </w:trPr>
        <w:tc>
          <w:tcPr>
            <w:tcW w:w="2400" w:type="dxa"/>
            <w:tcBorders>
              <w:top w:val="single" w:sz="4" w:space="0" w:color="000000"/>
              <w:left w:val="single" w:sz="4" w:space="0" w:color="000000"/>
              <w:bottom w:val="single" w:sz="4" w:space="0" w:color="000000"/>
              <w:right w:val="single" w:sz="4" w:space="0" w:color="000000"/>
            </w:tcBorders>
          </w:tcPr>
          <w:p w14:paraId="7EC7383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lastRenderedPageBreak/>
              <w:t>Emésztőrendszeri betegségek és tünetek</w:t>
            </w:r>
          </w:p>
        </w:tc>
        <w:tc>
          <w:tcPr>
            <w:tcW w:w="3402" w:type="dxa"/>
            <w:tcBorders>
              <w:top w:val="single" w:sz="4" w:space="0" w:color="000000"/>
              <w:left w:val="single" w:sz="4" w:space="0" w:color="000000"/>
              <w:bottom w:val="single" w:sz="4" w:space="0" w:color="000000"/>
              <w:right w:val="single" w:sz="4" w:space="0" w:color="000000"/>
            </w:tcBorders>
          </w:tcPr>
          <w:p w14:paraId="3BC5D71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p>
        </w:tc>
        <w:tc>
          <w:tcPr>
            <w:tcW w:w="3402" w:type="dxa"/>
            <w:tcBorders>
              <w:top w:val="single" w:sz="4" w:space="0" w:color="000000"/>
              <w:left w:val="single" w:sz="4" w:space="0" w:color="000000"/>
              <w:bottom w:val="single" w:sz="4" w:space="0" w:color="000000"/>
              <w:right w:val="single" w:sz="4" w:space="0" w:color="000000"/>
            </w:tcBorders>
          </w:tcPr>
          <w:p w14:paraId="2FD9E7EC"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szCs w:val="20"/>
                <w:u w:val="single"/>
              </w:rPr>
            </w:pPr>
            <w:r w:rsidRPr="00956F16">
              <w:rPr>
                <w:rFonts w:ascii="Times New Roman" w:eastAsia="Times New Roman" w:hAnsi="Times New Roman" w:cs="Times New Roman"/>
                <w:spacing w:val="-1"/>
                <w:szCs w:val="20"/>
                <w:u w:val="single"/>
              </w:rPr>
              <w:t>Nem ismert</w:t>
            </w:r>
          </w:p>
          <w:p w14:paraId="55A31CA7"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spacing w:val="-1"/>
                <w:szCs w:val="20"/>
              </w:rPr>
              <w:t>pancreatitis, gastrointestinalis perforatio (beleértve a diverticulumok, a vékonybél és a vastagbél perforatióját is)</w:t>
            </w:r>
            <w:r w:rsidRPr="00956F16">
              <w:rPr>
                <w:rFonts w:ascii="Times New Roman" w:eastAsia="Times New Roman" w:hAnsi="Times New Roman" w:cs="Times New Roman"/>
                <w:spacing w:val="-1"/>
                <w:szCs w:val="20"/>
                <w:vertAlign w:val="superscript"/>
              </w:rPr>
              <w:t>^</w:t>
            </w:r>
          </w:p>
        </w:tc>
      </w:tr>
      <w:tr w:rsidR="00956F16" w:rsidRPr="00956F16" w14:paraId="6FE8B246" w14:textId="77777777" w:rsidTr="00694E9C">
        <w:trPr>
          <w:trHeight w:val="1626"/>
        </w:trPr>
        <w:tc>
          <w:tcPr>
            <w:tcW w:w="2400" w:type="dxa"/>
            <w:tcBorders>
              <w:top w:val="single" w:sz="4" w:space="0" w:color="000000"/>
              <w:left w:val="single" w:sz="4" w:space="0" w:color="000000"/>
              <w:bottom w:val="single" w:sz="4" w:space="0" w:color="000000"/>
              <w:right w:val="single" w:sz="4" w:space="0" w:color="000000"/>
            </w:tcBorders>
          </w:tcPr>
          <w:p w14:paraId="26638BE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Cs w:val="20"/>
              </w:rPr>
            </w:pPr>
            <w:r w:rsidRPr="00956F16">
              <w:rPr>
                <w:rFonts w:ascii="Times New Roman" w:eastAsia="Times New Roman" w:hAnsi="Times New Roman" w:cs="Times New Roman"/>
                <w:b/>
                <w:bCs/>
                <w:spacing w:val="1"/>
                <w:szCs w:val="20"/>
              </w:rPr>
              <w:t>Máj- és epebetegségek, illetve tünetek</w:t>
            </w:r>
          </w:p>
        </w:tc>
        <w:tc>
          <w:tcPr>
            <w:tcW w:w="3402" w:type="dxa"/>
            <w:tcBorders>
              <w:top w:val="single" w:sz="4" w:space="0" w:color="000000"/>
              <w:left w:val="single" w:sz="4" w:space="0" w:color="000000"/>
              <w:bottom w:val="single" w:sz="4" w:space="0" w:color="000000"/>
              <w:right w:val="single" w:sz="4" w:space="0" w:color="000000"/>
            </w:tcBorders>
          </w:tcPr>
          <w:p w14:paraId="53FC009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u w:val="single"/>
              </w:rPr>
            </w:pPr>
            <w:r w:rsidRPr="00956F16">
              <w:rPr>
                <w:rFonts w:ascii="Times New Roman" w:eastAsia="Times New Roman" w:hAnsi="Times New Roman" w:cs="Times New Roman"/>
                <w:u w:val="single"/>
              </w:rPr>
              <w:t>Nem ismert</w:t>
            </w:r>
          </w:p>
          <w:p w14:paraId="05AFF74E"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akut májelégtelenség</w:t>
            </w:r>
            <w:r w:rsidRPr="00956F16">
              <w:rPr>
                <w:rFonts w:ascii="Times New Roman" w:eastAsia="Times New Roman" w:hAnsi="Times New Roman" w:cs="Times New Roman"/>
                <w:vertAlign w:val="superscript"/>
              </w:rPr>
              <w:t>^</w:t>
            </w:r>
            <w:r w:rsidRPr="00956F16">
              <w:rPr>
                <w:rFonts w:ascii="Times New Roman" w:eastAsia="Times New Roman" w:hAnsi="Times New Roman" w:cs="Times New Roman"/>
              </w:rPr>
              <w:t>, toxikus hepatitis</w:t>
            </w:r>
            <w:r w:rsidRPr="00956F16">
              <w:rPr>
                <w:rFonts w:ascii="Times New Roman" w:eastAsia="Times New Roman" w:hAnsi="Times New Roman" w:cs="Times New Roman"/>
                <w:vertAlign w:val="superscript"/>
              </w:rPr>
              <w:t>^</w:t>
            </w:r>
            <w:r w:rsidRPr="00956F16">
              <w:rPr>
                <w:rFonts w:ascii="Times New Roman" w:eastAsia="Times New Roman" w:hAnsi="Times New Roman" w:cs="Times New Roman"/>
              </w:rPr>
              <w:t>, cytolyticus hepatitis</w:t>
            </w:r>
            <w:r w:rsidRPr="00956F16">
              <w:rPr>
                <w:rFonts w:ascii="Times New Roman" w:eastAsia="Times New Roman" w:hAnsi="Times New Roman" w:cs="Times New Roman"/>
                <w:vertAlign w:val="superscript"/>
              </w:rPr>
              <w:t>^</w:t>
            </w:r>
            <w:r w:rsidRPr="00956F16">
              <w:rPr>
                <w:rFonts w:ascii="Times New Roman" w:eastAsia="Times New Roman" w:hAnsi="Times New Roman" w:cs="Times New Roman"/>
              </w:rPr>
              <w:t>, cholestaticus hepatitis</w:t>
            </w:r>
            <w:r w:rsidRPr="00956F16">
              <w:rPr>
                <w:rFonts w:ascii="Times New Roman" w:eastAsia="Times New Roman" w:hAnsi="Times New Roman" w:cs="Times New Roman"/>
                <w:vertAlign w:val="superscript"/>
              </w:rPr>
              <w:t>^</w:t>
            </w:r>
            <w:r w:rsidRPr="00956F16">
              <w:rPr>
                <w:rFonts w:ascii="Times New Roman" w:eastAsia="Times New Roman" w:hAnsi="Times New Roman" w:cs="Times New Roman"/>
              </w:rPr>
              <w:t>, kevert cytolyticus/cholestaticus hepatitis</w:t>
            </w:r>
            <w:r w:rsidRPr="00956F16">
              <w:rPr>
                <w:rFonts w:ascii="Times New Roman" w:eastAsia="Times New Roman" w:hAnsi="Times New Roman" w:cs="Times New Roman"/>
                <w:vertAlign w:val="superscript"/>
              </w:rPr>
              <w:t>^</w:t>
            </w:r>
          </w:p>
        </w:tc>
        <w:tc>
          <w:tcPr>
            <w:tcW w:w="3402" w:type="dxa"/>
            <w:tcBorders>
              <w:top w:val="single" w:sz="4" w:space="0" w:color="000000"/>
              <w:left w:val="single" w:sz="4" w:space="0" w:color="000000"/>
              <w:bottom w:val="single" w:sz="4" w:space="0" w:color="000000"/>
              <w:right w:val="single" w:sz="4" w:space="0" w:color="000000"/>
            </w:tcBorders>
          </w:tcPr>
          <w:p w14:paraId="4AAF194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u w:val="single"/>
              </w:rPr>
            </w:pPr>
            <w:r w:rsidRPr="00956F16">
              <w:rPr>
                <w:rFonts w:ascii="Times New Roman" w:eastAsia="Times New Roman" w:hAnsi="Times New Roman" w:cs="Times New Roman"/>
                <w:u w:val="single"/>
              </w:rPr>
              <w:t>Nem ismert</w:t>
            </w:r>
          </w:p>
          <w:p w14:paraId="3A692CCE" w14:textId="12791415"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akut májelégtelenség</w:t>
            </w:r>
            <w:r w:rsidRPr="00956F16">
              <w:rPr>
                <w:rFonts w:ascii="Times New Roman" w:eastAsia="Times New Roman" w:hAnsi="Times New Roman" w:cs="Times New Roman"/>
                <w:vertAlign w:val="superscript"/>
              </w:rPr>
              <w:t>^</w:t>
            </w:r>
            <w:r w:rsidRPr="00956F16">
              <w:rPr>
                <w:rFonts w:ascii="Times New Roman" w:eastAsia="Times New Roman" w:hAnsi="Times New Roman" w:cs="Times New Roman"/>
              </w:rPr>
              <w:t>, toxikus hepatitis</w:t>
            </w:r>
            <w:r w:rsidRPr="00956F16">
              <w:rPr>
                <w:rFonts w:ascii="Times New Roman" w:eastAsia="Times New Roman" w:hAnsi="Times New Roman" w:cs="Times New Roman"/>
                <w:vertAlign w:val="superscript"/>
              </w:rPr>
              <w:t>^</w:t>
            </w:r>
            <w:r w:rsidRPr="00956F16">
              <w:rPr>
                <w:rFonts w:ascii="Times New Roman" w:eastAsia="Times New Roman" w:hAnsi="Times New Roman" w:cs="Times New Roman"/>
              </w:rPr>
              <w:t xml:space="preserve"> </w:t>
            </w:r>
          </w:p>
        </w:tc>
      </w:tr>
      <w:tr w:rsidR="00956F16" w:rsidRPr="00956F16" w14:paraId="1DC70D7B" w14:textId="77777777" w:rsidTr="00694E9C">
        <w:trPr>
          <w:trHeight w:val="2967"/>
        </w:trPr>
        <w:tc>
          <w:tcPr>
            <w:tcW w:w="2400" w:type="dxa"/>
            <w:tcBorders>
              <w:top w:val="single" w:sz="4" w:space="0" w:color="000000"/>
              <w:left w:val="single" w:sz="4" w:space="0" w:color="000000"/>
              <w:bottom w:val="single" w:sz="4" w:space="0" w:color="000000"/>
              <w:right w:val="single" w:sz="4" w:space="0" w:color="000000"/>
            </w:tcBorders>
          </w:tcPr>
          <w:p w14:paraId="4D0C26A8" w14:textId="77777777" w:rsidR="00956F16" w:rsidRPr="00956F16" w:rsidRDefault="00956F16" w:rsidP="00956F16">
            <w:pPr>
              <w:widowControl w:val="0"/>
              <w:tabs>
                <w:tab w:val="left" w:pos="567"/>
              </w:tabs>
              <w:autoSpaceDE w:val="0"/>
              <w:autoSpaceDN w:val="0"/>
              <w:adjustRightInd w:val="0"/>
              <w:spacing w:after="0" w:line="240" w:lineRule="auto"/>
              <w:ind w:left="142" w:right="311"/>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A bőr és a bőr alatti szövet betegségei és tünetei</w:t>
            </w:r>
          </w:p>
        </w:tc>
        <w:tc>
          <w:tcPr>
            <w:tcW w:w="3402" w:type="dxa"/>
            <w:tcBorders>
              <w:top w:val="single" w:sz="4" w:space="0" w:color="000000"/>
              <w:left w:val="single" w:sz="4" w:space="0" w:color="000000"/>
              <w:bottom w:val="single" w:sz="4" w:space="0" w:color="000000"/>
              <w:right w:val="single" w:sz="4" w:space="0" w:color="000000"/>
            </w:tcBorders>
          </w:tcPr>
          <w:p w14:paraId="6633E55A"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p>
        </w:tc>
        <w:tc>
          <w:tcPr>
            <w:tcW w:w="3402" w:type="dxa"/>
            <w:tcBorders>
              <w:top w:val="single" w:sz="4" w:space="0" w:color="000000"/>
              <w:left w:val="single" w:sz="4" w:space="0" w:color="000000"/>
              <w:bottom w:val="single" w:sz="4" w:space="0" w:color="000000"/>
              <w:right w:val="single" w:sz="4" w:space="0" w:color="000000"/>
            </w:tcBorders>
          </w:tcPr>
          <w:p w14:paraId="6FF2A43B"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u w:val="single"/>
              </w:rPr>
            </w:pPr>
            <w:r w:rsidRPr="00956F16">
              <w:rPr>
                <w:rFonts w:ascii="Times New Roman" w:eastAsia="Times New Roman" w:hAnsi="Times New Roman" w:cs="Times New Roman"/>
                <w:spacing w:val="-1"/>
                <w:u w:val="single"/>
              </w:rPr>
              <w:t xml:space="preserve">Nem gyakori </w:t>
            </w:r>
          </w:p>
          <w:p w14:paraId="4A9352E9"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rPr>
            </w:pPr>
            <w:r w:rsidRPr="00956F16">
              <w:rPr>
                <w:rFonts w:ascii="Times New Roman" w:eastAsia="Times New Roman" w:hAnsi="Times New Roman" w:cs="Times New Roman"/>
                <w:spacing w:val="-1"/>
              </w:rPr>
              <w:t>angioödéma</w:t>
            </w:r>
          </w:p>
          <w:p w14:paraId="10E088A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u w:val="single"/>
              </w:rPr>
            </w:pPr>
          </w:p>
          <w:p w14:paraId="10E6C6CF"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u w:val="single"/>
              </w:rPr>
            </w:pPr>
            <w:r w:rsidRPr="00956F16">
              <w:rPr>
                <w:rFonts w:ascii="Times New Roman" w:eastAsia="Times New Roman" w:hAnsi="Times New Roman" w:cs="Times New Roman"/>
                <w:spacing w:val="-1"/>
                <w:u w:val="single"/>
              </w:rPr>
              <w:t>Ritka</w:t>
            </w:r>
          </w:p>
          <w:p w14:paraId="0065B4C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rPr>
            </w:pPr>
            <w:r w:rsidRPr="00956F16">
              <w:rPr>
                <w:rFonts w:ascii="Times New Roman" w:eastAsia="Times New Roman" w:hAnsi="Times New Roman" w:cs="Times New Roman"/>
                <w:spacing w:val="-1"/>
              </w:rPr>
              <w:t>Stevens–Johnson-szindróma^, toxicus epidermalis necrolysis^</w:t>
            </w:r>
          </w:p>
          <w:p w14:paraId="58D47434"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u w:val="single"/>
              </w:rPr>
            </w:pPr>
          </w:p>
          <w:p w14:paraId="697AE726"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pacing w:val="-1"/>
                <w:u w:val="single"/>
              </w:rPr>
            </w:pPr>
            <w:r w:rsidRPr="00956F16">
              <w:rPr>
                <w:rFonts w:ascii="Times New Roman" w:eastAsia="Times New Roman" w:hAnsi="Times New Roman" w:cs="Times New Roman"/>
                <w:spacing w:val="-1"/>
                <w:u w:val="single"/>
              </w:rPr>
              <w:t>Nem ismert</w:t>
            </w:r>
          </w:p>
          <w:p w14:paraId="2B02997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spacing w:val="-1"/>
              </w:rPr>
              <w:t>leukocytoclasticus vasculitis, eosinophiliával és szisztémás tünetekkel járó gyógyszerreakció (DRESS)^</w:t>
            </w:r>
          </w:p>
        </w:tc>
      </w:tr>
    </w:tbl>
    <w:p w14:paraId="785CDC94"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^Lásd 4.8 pont: Egyes kiválasztott mellékhatások leírása</w:t>
      </w:r>
    </w:p>
    <w:p w14:paraId="1D87231D" w14:textId="77777777" w:rsidR="00956F16" w:rsidRPr="00956F16" w:rsidRDefault="00956F16" w:rsidP="00956F16">
      <w:pPr>
        <w:spacing w:after="0" w:line="240" w:lineRule="auto"/>
        <w:rPr>
          <w:rFonts w:ascii="Times New Roman" w:eastAsia="Calibri" w:hAnsi="Times New Roman" w:cs="Times New Roman"/>
        </w:rPr>
      </w:pPr>
    </w:p>
    <w:p w14:paraId="645AC110"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Egyes kiválasztott mellékhatások leírása</w:t>
      </w:r>
    </w:p>
    <w:p w14:paraId="08AD5F21"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Teratogenitás</w:t>
      </w:r>
    </w:p>
    <w:p w14:paraId="7E272012"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szerkezetileg hasonló a talidomidhoz. A talidomid ismert humán teratogén hatóanyag, amely súlyos, életet veszélyeztető születési rendellenességeket okoz. A lenalidomid majmoknál a talidomidnál leírtakhoz hasonló malformációkat okozott (lásd 4.6 és 5.3 pont). Ha a lenalidomidot terhesség alatt alkalmazzák, embernél a lenalidomid teratogén hatása várható.</w:t>
      </w:r>
    </w:p>
    <w:p w14:paraId="3E063D63" w14:textId="77777777" w:rsidR="00956F16" w:rsidRPr="00956F16" w:rsidRDefault="00956F16" w:rsidP="00956F16">
      <w:pPr>
        <w:spacing w:after="0" w:line="240" w:lineRule="auto"/>
        <w:rPr>
          <w:rFonts w:ascii="Times New Roman" w:eastAsia="Calibri" w:hAnsi="Times New Roman" w:cs="Times New Roman"/>
        </w:rPr>
      </w:pPr>
    </w:p>
    <w:p w14:paraId="106DD9B5"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Neutropenia és thrombocytopenia</w:t>
      </w:r>
    </w:p>
    <w:p w14:paraId="6145A6F4" w14:textId="77777777" w:rsidR="00956F16" w:rsidRPr="00956F16" w:rsidRDefault="00956F16" w:rsidP="00956F16">
      <w:pPr>
        <w:keepNext/>
        <w:numPr>
          <w:ilvl w:val="0"/>
          <w:numId w:val="17"/>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Újonnan diagnosztizált myeloma multiplex: ASCT-n átesett, lenalidomid fenntartó kezelésben részesülő betegek</w:t>
      </w:r>
    </w:p>
    <w:p w14:paraId="4822D34E" w14:textId="269E7C1C"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ASCT-t követően alkalmazott lenalidomid fenntartó kezelés a 4-es fokozatú neutropenia nagyobb előfordulási gyakoriságával jár a placebo fenntartó kezeléshez képest (32,1% vs. 26,7% [16,1% vs.1,8% a fenntartó kezelés kezdete után] a CALGB 100104 vizsgálatban, illetve 16,4% vs. 0,7% az IFM 2005-02 vizsgálatban). A kezelés okozta mellékhatásként a CALGB 100104 vizsgálatban a betegek 2,2%-ánál, az IFM 2005-02 vizsgálatban pedig a betegek 2,4%-ánál számoltak be a lenalidomid</w:t>
      </w:r>
      <w:r w:rsidR="00104634">
        <w:rPr>
          <w:rFonts w:ascii="Times New Roman" w:eastAsia="Calibri" w:hAnsi="Times New Roman" w:cs="Times New Roman"/>
        </w:rPr>
        <w:t>-</w:t>
      </w:r>
      <w:r w:rsidRPr="00956F16">
        <w:rPr>
          <w:rFonts w:ascii="Times New Roman" w:eastAsia="Calibri" w:hAnsi="Times New Roman" w:cs="Times New Roman"/>
        </w:rPr>
        <w:t>kezelés abbahagyásához vezető neutropeniáról. 4-es fokozatú lázas neutropeniáról mindkét vizsgálatban hasonló gyakoriságokkal számoltak be a lenalidomid fenntartó kezelést alkalmazó karokon, mint a placebo fenntartó kezelést alkalmazó karokon (0,4% vs. 0,5% [0,4% vs.0,5% a fenntartó kezelés kezdete után] a CALGB 100104 vizsgálatban és 0,3% vs. 0% az IFM 2005-02 vizsgálatban).</w:t>
      </w:r>
    </w:p>
    <w:p w14:paraId="7B112A0E" w14:textId="77777777" w:rsidR="00956F16" w:rsidRPr="00956F16" w:rsidRDefault="00956F16" w:rsidP="00956F16">
      <w:pPr>
        <w:spacing w:after="0" w:line="240" w:lineRule="auto"/>
        <w:rPr>
          <w:rFonts w:ascii="Times New Roman" w:eastAsia="Calibri" w:hAnsi="Times New Roman" w:cs="Times New Roman"/>
        </w:rPr>
      </w:pPr>
    </w:p>
    <w:p w14:paraId="5C87494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Az ASCT-t követően alkalmazott lenalidomid fenntartó kezelés a 3-as vagy 4-es fokozatú thrombocytopenia nagyobb előfordulási gyakoriságával jár a placebo fenntartó kezeléshez képest </w:t>
      </w:r>
      <w:r w:rsidRPr="00956F16">
        <w:rPr>
          <w:rFonts w:ascii="Times New Roman" w:eastAsia="Calibri" w:hAnsi="Times New Roman" w:cs="Times New Roman"/>
        </w:rPr>
        <w:lastRenderedPageBreak/>
        <w:t>(37,5% vs. 30,3% [17,9% vs.4,1% a fenntartó kezelés kezdete után] a CALGB 100104 vizsgálatban és 13,0% vs. 2,9% az IFM 2005 02 vizsgálatban).</w:t>
      </w:r>
    </w:p>
    <w:p w14:paraId="4D1416AB" w14:textId="77777777" w:rsidR="00956F16" w:rsidRDefault="00956F16" w:rsidP="00956F16">
      <w:pPr>
        <w:spacing w:after="0" w:line="240" w:lineRule="auto"/>
        <w:rPr>
          <w:rFonts w:ascii="Times New Roman" w:eastAsia="Calibri" w:hAnsi="Times New Roman" w:cs="Times New Roman"/>
        </w:rPr>
      </w:pPr>
    </w:p>
    <w:p w14:paraId="4462AA00" w14:textId="290BF505" w:rsidR="00891512" w:rsidRPr="00441247" w:rsidRDefault="00891512" w:rsidP="00441247">
      <w:pPr>
        <w:keepNext/>
        <w:numPr>
          <w:ilvl w:val="0"/>
          <w:numId w:val="17"/>
        </w:numPr>
        <w:tabs>
          <w:tab w:val="left" w:pos="567"/>
        </w:tabs>
        <w:spacing w:after="0" w:line="240" w:lineRule="auto"/>
        <w:ind w:hanging="720"/>
        <w:rPr>
          <w:rFonts w:ascii="Times New Roman" w:eastAsia="Calibri" w:hAnsi="Times New Roman" w:cs="Times New Roman"/>
          <w:u w:val="single"/>
        </w:rPr>
      </w:pPr>
      <w:r w:rsidRPr="00441247">
        <w:rPr>
          <w:rFonts w:ascii="Times New Roman" w:eastAsia="Calibri" w:hAnsi="Times New Roman" w:cs="Times New Roman"/>
          <w:u w:val="single"/>
        </w:rPr>
        <w:t xml:space="preserve">Újonnan diagnosztizált myeloma multiplexben szenvedő, transzplantációra nem alkalmas betegek, akik bortezomibbal és dexametazonnal </w:t>
      </w:r>
      <w:r>
        <w:rPr>
          <w:rFonts w:ascii="Times New Roman" w:eastAsia="Calibri" w:hAnsi="Times New Roman" w:cs="Times New Roman"/>
          <w:u w:val="single"/>
        </w:rPr>
        <w:t>kombinációban adott lenalidomid</w:t>
      </w:r>
      <w:r w:rsidR="00104634">
        <w:rPr>
          <w:rFonts w:ascii="Times New Roman" w:eastAsia="Calibri" w:hAnsi="Times New Roman" w:cs="Times New Roman"/>
          <w:u w:val="single"/>
        </w:rPr>
        <w:t>-</w:t>
      </w:r>
      <w:r w:rsidRPr="00441247">
        <w:rPr>
          <w:rFonts w:ascii="Times New Roman" w:eastAsia="Calibri" w:hAnsi="Times New Roman" w:cs="Times New Roman"/>
          <w:u w:val="single"/>
        </w:rPr>
        <w:t xml:space="preserve">kezelésben részesülnek </w:t>
      </w:r>
    </w:p>
    <w:p w14:paraId="10B9495F" w14:textId="6156FB8C" w:rsidR="00891512" w:rsidRDefault="00891512" w:rsidP="00956F16">
      <w:pPr>
        <w:spacing w:after="0" w:line="240" w:lineRule="auto"/>
        <w:rPr>
          <w:rFonts w:ascii="Times New Roman" w:eastAsia="Calibri" w:hAnsi="Times New Roman" w:cs="Times New Roman"/>
        </w:rPr>
      </w:pPr>
      <w:r w:rsidRPr="00441247">
        <w:rPr>
          <w:rFonts w:ascii="Times New Roman" w:eastAsia="Calibri" w:hAnsi="Times New Roman" w:cs="Times New Roman"/>
        </w:rPr>
        <w:t>A SWOG S0777 vizsgálatban k</w:t>
      </w:r>
      <w:r>
        <w:rPr>
          <w:rFonts w:ascii="Times New Roman" w:eastAsia="Calibri" w:hAnsi="Times New Roman" w:cs="Times New Roman"/>
        </w:rPr>
        <w:t>isebb mértékben figyeltek meg 4-es</w:t>
      </w:r>
      <w:r w:rsidRPr="00441247">
        <w:rPr>
          <w:rFonts w:ascii="Times New Roman" w:eastAsia="Calibri" w:hAnsi="Times New Roman" w:cs="Times New Roman"/>
        </w:rPr>
        <w:t xml:space="preserve"> súlyossági fokú neutropeniát az R</w:t>
      </w:r>
      <w:r>
        <w:rPr>
          <w:rFonts w:ascii="Times New Roman" w:eastAsia="Calibri" w:hAnsi="Times New Roman" w:cs="Times New Roman"/>
        </w:rPr>
        <w:t>Vd-karon, mint az Rd komparátor</w:t>
      </w:r>
      <w:r w:rsidRPr="00441247">
        <w:rPr>
          <w:rFonts w:ascii="Times New Roman" w:eastAsia="Calibri" w:hAnsi="Times New Roman" w:cs="Times New Roman"/>
        </w:rPr>
        <w:t>karon (2,7% vs. 5,9%). 4</w:t>
      </w:r>
      <w:r>
        <w:rPr>
          <w:rFonts w:ascii="Times New Roman" w:eastAsia="Calibri" w:hAnsi="Times New Roman" w:cs="Times New Roman"/>
        </w:rPr>
        <w:t>-es</w:t>
      </w:r>
      <w:r w:rsidRPr="00441247">
        <w:rPr>
          <w:rFonts w:ascii="Times New Roman" w:eastAsia="Calibri" w:hAnsi="Times New Roman" w:cs="Times New Roman"/>
        </w:rPr>
        <w:t xml:space="preserve"> súlyossági fokú lázas neutropeniát hasonló gyakorisággal jelentettek az RVd-karon, mint az Rd-karon (0,0% vs. 0,4%).</w:t>
      </w:r>
    </w:p>
    <w:p w14:paraId="58225094" w14:textId="77777777" w:rsidR="00891512" w:rsidRDefault="00891512" w:rsidP="00956F16">
      <w:pPr>
        <w:spacing w:after="0" w:line="240" w:lineRule="auto"/>
        <w:rPr>
          <w:rFonts w:ascii="Times New Roman" w:eastAsia="Calibri" w:hAnsi="Times New Roman" w:cs="Times New Roman"/>
        </w:rPr>
      </w:pPr>
    </w:p>
    <w:p w14:paraId="0723A7DA" w14:textId="4AC39928" w:rsidR="00891512" w:rsidRPr="00441247" w:rsidRDefault="00891512" w:rsidP="00956F16">
      <w:pPr>
        <w:spacing w:after="0" w:line="240" w:lineRule="auto"/>
        <w:rPr>
          <w:rFonts w:ascii="Times New Roman" w:eastAsia="Calibri" w:hAnsi="Times New Roman" w:cs="Times New Roman"/>
        </w:rPr>
      </w:pPr>
      <w:r w:rsidRPr="00441247">
        <w:rPr>
          <w:rFonts w:ascii="Times New Roman" w:eastAsia="Calibri" w:hAnsi="Times New Roman" w:cs="Times New Roman"/>
        </w:rPr>
        <w:t>Na</w:t>
      </w:r>
      <w:r>
        <w:rPr>
          <w:rFonts w:ascii="Times New Roman" w:eastAsia="Calibri" w:hAnsi="Times New Roman" w:cs="Times New Roman"/>
        </w:rPr>
        <w:t>gyobb mértékben figyeltek meg 3-as vagy 4-es</w:t>
      </w:r>
      <w:r w:rsidRPr="00441247">
        <w:rPr>
          <w:rFonts w:ascii="Times New Roman" w:eastAsia="Calibri" w:hAnsi="Times New Roman" w:cs="Times New Roman"/>
        </w:rPr>
        <w:t xml:space="preserve"> súlyossági fokú thrombocytopeniát az RVd-karon, mint az Rd komparátorkaron (17,2 % vs. 9,4%).</w:t>
      </w:r>
    </w:p>
    <w:p w14:paraId="5FBF2631" w14:textId="77777777" w:rsidR="00891512" w:rsidRPr="00956F16" w:rsidRDefault="00891512" w:rsidP="00956F16">
      <w:pPr>
        <w:spacing w:after="0" w:line="240" w:lineRule="auto"/>
        <w:rPr>
          <w:rFonts w:ascii="Times New Roman" w:eastAsia="Calibri" w:hAnsi="Times New Roman" w:cs="Times New Roman"/>
        </w:rPr>
      </w:pPr>
    </w:p>
    <w:p w14:paraId="16B67617" w14:textId="666285C3" w:rsidR="00956F16" w:rsidRPr="00956F16" w:rsidRDefault="00956F16" w:rsidP="00956F16">
      <w:pPr>
        <w:keepNext/>
        <w:numPr>
          <w:ilvl w:val="0"/>
          <w:numId w:val="17"/>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Újonnan diagnosztizált myeloma multiplex: a transzplantációra nem alkalmas, dexametazonnal kombinációban adott lenalidomiddal kezelt betegek</w:t>
      </w:r>
    </w:p>
    <w:p w14:paraId="70DD0D45" w14:textId="4CD7734A"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Újonnan diagnosztizált myeloma multiplexes betegeknél a lenalidomid kombinációja dexametazonnal a 4-es fokozatú neutropenia kisebb gyakoriságával járt együtt (8,5% az Rd- és Rd18</w:t>
      </w:r>
      <w:r w:rsidR="00104634">
        <w:rPr>
          <w:rFonts w:ascii="Times New Roman" w:eastAsia="Calibri" w:hAnsi="Times New Roman" w:cs="Times New Roman"/>
        </w:rPr>
        <w:t>-</w:t>
      </w:r>
      <w:r w:rsidRPr="00956F16">
        <w:rPr>
          <w:rFonts w:ascii="Times New Roman" w:eastAsia="Calibri" w:hAnsi="Times New Roman" w:cs="Times New Roman"/>
        </w:rPr>
        <w:t>karon, szemben az MPT-karon észlelt 15%-kal). 4-es fokozatú lázas neutropeniát ritkán figyeltek meg (0,6% az Rd- és Rd18-karon, szemben az MPT-karon észlelt 0,7%-kal).</w:t>
      </w:r>
    </w:p>
    <w:p w14:paraId="6B5303C1" w14:textId="77777777" w:rsidR="00956F16" w:rsidRPr="00956F16" w:rsidRDefault="00956F16" w:rsidP="00956F16">
      <w:pPr>
        <w:spacing w:after="0" w:line="240" w:lineRule="auto"/>
        <w:rPr>
          <w:rFonts w:ascii="Times New Roman" w:eastAsia="Calibri" w:hAnsi="Times New Roman" w:cs="Times New Roman"/>
        </w:rPr>
      </w:pPr>
    </w:p>
    <w:p w14:paraId="6AC3EE55" w14:textId="1BB26EC1"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Újonnan diagnosztizált myeloma multiplexes betegeknél a lenalidomid kombinációja dexametazonnal a 3-as, iletve 4-es fokozatú thrombocytopenia kisebb gyakoriságával járt együtt (8,1% az Rd- és Rd18-karon, szemben az MPT-karon észlelt 11</w:t>
      </w:r>
      <w:r w:rsidR="00923AB9">
        <w:rPr>
          <w:rFonts w:ascii="Times New Roman" w:eastAsia="Calibri" w:hAnsi="Times New Roman" w:cs="Times New Roman"/>
        </w:rPr>
        <w:t>,1</w:t>
      </w:r>
      <w:r w:rsidRPr="00956F16">
        <w:rPr>
          <w:rFonts w:ascii="Times New Roman" w:eastAsia="Calibri" w:hAnsi="Times New Roman" w:cs="Times New Roman"/>
        </w:rPr>
        <w:t>%-kal).</w:t>
      </w:r>
    </w:p>
    <w:p w14:paraId="799B3061" w14:textId="77777777" w:rsidR="00956F16" w:rsidRPr="00956F16" w:rsidRDefault="00956F16" w:rsidP="00956F16">
      <w:pPr>
        <w:spacing w:after="0" w:line="240" w:lineRule="auto"/>
        <w:rPr>
          <w:rFonts w:ascii="Times New Roman" w:eastAsia="Calibri" w:hAnsi="Times New Roman" w:cs="Times New Roman"/>
        </w:rPr>
      </w:pPr>
    </w:p>
    <w:p w14:paraId="519C02F5" w14:textId="77777777" w:rsidR="00956F16" w:rsidRPr="00956F16" w:rsidRDefault="00956F16" w:rsidP="00956F16">
      <w:pPr>
        <w:keepNext/>
        <w:numPr>
          <w:ilvl w:val="0"/>
          <w:numId w:val="17"/>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Újonnan diagnosztizált myeloma multiplex: transzplantációra nem alkalmas, melfalánnal és prednizonnal kombinációban adott lenalidomiddal kezelt betegek</w:t>
      </w:r>
    </w:p>
    <w:p w14:paraId="692A4572" w14:textId="006EBCF9"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Újonnan diagnosztizált myeloma multiplexes betegeknél a lenalidomid kombinációja melfalánnal és prednizonnal a 4-es fokozatú neutropenia nagyobb gyakoriságával járt együtt (34,1% az MPR+R/MPR+p-karon, szemben az MPp+p-karon észlelt 7,8%-kal). A 4-es fokozatú lázas neutropenia nagyobb gyakoriságát figyelték meg (1,7% MPR+R/MPR+p-karon, szemben a MPp+p</w:t>
      </w:r>
      <w:r w:rsidR="00104634">
        <w:rPr>
          <w:rFonts w:ascii="Times New Roman" w:eastAsia="Calibri" w:hAnsi="Times New Roman" w:cs="Times New Roman"/>
        </w:rPr>
        <w:t>-</w:t>
      </w:r>
      <w:r w:rsidRPr="00956F16">
        <w:rPr>
          <w:rFonts w:ascii="Times New Roman" w:eastAsia="Calibri" w:hAnsi="Times New Roman" w:cs="Times New Roman"/>
        </w:rPr>
        <w:t>karon észlelt 0,0%-kal).</w:t>
      </w:r>
    </w:p>
    <w:p w14:paraId="15B71B74" w14:textId="77777777" w:rsidR="00956F16" w:rsidRPr="00956F16" w:rsidRDefault="00956F16" w:rsidP="00956F16">
      <w:pPr>
        <w:spacing w:after="0" w:line="240" w:lineRule="auto"/>
        <w:rPr>
          <w:rFonts w:ascii="Times New Roman" w:eastAsia="Calibri" w:hAnsi="Times New Roman" w:cs="Times New Roman"/>
        </w:rPr>
      </w:pPr>
    </w:p>
    <w:p w14:paraId="2CA50057"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melfalánnal és prednizonnal történő kombinációja újonnan diagnosztizált myeloma multiplexes betegeknél a 3-as és 4-es fokozatú thrombocytopenia nagyobb gyakoriságával jár (40,4% a MPR+R/MPR+p-vel kezelt betegeknél, szemben a MPp+p-vel kezelt betegeknél észlelt 13,7%-kal).</w:t>
      </w:r>
    </w:p>
    <w:p w14:paraId="510AE338" w14:textId="77777777" w:rsidR="00956F16" w:rsidRPr="00956F16" w:rsidRDefault="00956F16" w:rsidP="00956F16">
      <w:pPr>
        <w:spacing w:after="0" w:line="240" w:lineRule="auto"/>
        <w:rPr>
          <w:rFonts w:ascii="Times New Roman" w:eastAsia="Calibri" w:hAnsi="Times New Roman" w:cs="Times New Roman"/>
        </w:rPr>
      </w:pPr>
    </w:p>
    <w:p w14:paraId="29BBBE7A" w14:textId="77777777" w:rsidR="00956F16" w:rsidRPr="00956F16" w:rsidRDefault="00956F16" w:rsidP="00956F16">
      <w:pPr>
        <w:keepNext/>
        <w:numPr>
          <w:ilvl w:val="0"/>
          <w:numId w:val="17"/>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Myeloma multiplex: legalább egy korábbi terápiával már kezelt betegek</w:t>
      </w:r>
    </w:p>
    <w:p w14:paraId="22870DB6" w14:textId="33543CD4"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myeloma multiplexes betegek esetén a kombinált lenalidomid- és dexametazon</w:t>
      </w:r>
      <w:r w:rsidR="00104634">
        <w:rPr>
          <w:rFonts w:ascii="Times New Roman" w:eastAsia="Calibri" w:hAnsi="Times New Roman" w:cs="Times New Roman"/>
        </w:rPr>
        <w:t>-</w:t>
      </w:r>
      <w:r w:rsidRPr="00956F16">
        <w:rPr>
          <w:rFonts w:ascii="Times New Roman" w:eastAsia="Calibri" w:hAnsi="Times New Roman" w:cs="Times New Roman"/>
        </w:rPr>
        <w:t>kezelés a 4-es súlyossági fokú neutropenia nagyobb incidenciájával jár (5,1% a lenalidomiddal/dexametazonnal kezelt betegek és 0,6% a placeboval/dexametazonnal kezelt betegek esetén). Ritkán 4-es súlyossági fokú lázas neutropeniás epizódot figyeltek meg (0,6% a lenalidomiddal/dexametazonnal kezelt betegek, illetve 0,0% a placeboval/dexametazonnal kezelt betegek esetén).</w:t>
      </w:r>
    </w:p>
    <w:p w14:paraId="3225CC38" w14:textId="77777777" w:rsidR="00956F16" w:rsidRPr="00956F16" w:rsidRDefault="00956F16" w:rsidP="00956F16">
      <w:pPr>
        <w:spacing w:after="0" w:line="240" w:lineRule="auto"/>
        <w:rPr>
          <w:rFonts w:ascii="Times New Roman" w:eastAsia="Calibri" w:hAnsi="Times New Roman" w:cs="Times New Roman"/>
        </w:rPr>
      </w:pPr>
    </w:p>
    <w:p w14:paraId="6F1856A9" w14:textId="41AE567A"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myeloma multiplexes betegeknél a kombinált lenalidomid- és dexametazon</w:t>
      </w:r>
      <w:r w:rsidR="00104634">
        <w:rPr>
          <w:rFonts w:ascii="Times New Roman" w:eastAsia="Calibri" w:hAnsi="Times New Roman" w:cs="Times New Roman"/>
        </w:rPr>
        <w:t>-</w:t>
      </w:r>
      <w:r w:rsidRPr="00956F16">
        <w:rPr>
          <w:rFonts w:ascii="Times New Roman" w:eastAsia="Calibri" w:hAnsi="Times New Roman" w:cs="Times New Roman"/>
        </w:rPr>
        <w:t>kezelés 3-as és 4-es fokozatú thrombocytopenia nagyobb incidenciájával jár (9,9% és 1,4% a lenalidomiddal/dexametazonnal kezelt betegek, illetve 2,3% és 0,0% a placeboval/dexametazonnal kezelt betegek esetén).</w:t>
      </w:r>
    </w:p>
    <w:p w14:paraId="13C174D4" w14:textId="77777777" w:rsidR="00956F16" w:rsidRPr="00956F16" w:rsidRDefault="00956F16" w:rsidP="00956F16">
      <w:pPr>
        <w:spacing w:after="0" w:line="240" w:lineRule="auto"/>
        <w:rPr>
          <w:rFonts w:ascii="Times New Roman" w:eastAsia="Calibri" w:hAnsi="Times New Roman" w:cs="Times New Roman"/>
        </w:rPr>
      </w:pPr>
    </w:p>
    <w:p w14:paraId="7FAB9DFD" w14:textId="77777777" w:rsidR="00956F16" w:rsidRPr="00956F16" w:rsidRDefault="00956F16" w:rsidP="00956F16">
      <w:pPr>
        <w:keepNext/>
        <w:numPr>
          <w:ilvl w:val="0"/>
          <w:numId w:val="17"/>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Myelodysplasiás szindrómákban szenvedő betegek</w:t>
      </w:r>
    </w:p>
    <w:p w14:paraId="75D8DCDB" w14:textId="03F7DBAD"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Myelodysplasiás szindrómákban szenvedő betegek esetén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 a 3-as, illetve 4-es fokozatú neutropenia magasabb incidenciájával jár (a </w:t>
      </w:r>
      <w:r w:rsidR="00891512">
        <w:rPr>
          <w:rFonts w:ascii="Times New Roman" w:eastAsia="Calibri" w:hAnsi="Times New Roman" w:cs="Times New Roman"/>
        </w:rPr>
        <w:t>3</w:t>
      </w:r>
      <w:r w:rsidRPr="00956F16">
        <w:rPr>
          <w:rFonts w:ascii="Times New Roman" w:eastAsia="Calibri" w:hAnsi="Times New Roman" w:cs="Times New Roman"/>
        </w:rPr>
        <w:t>. fázisú vizsgálat során 74,6% a lenalidomiddal kezelt betegeknél a placebóval kezelt betegek 14,9%-ához képest). 3-as, illetve 4-es súlyossági fokú lázas neutropeniás epizódokat a lenalidomiddal kezelt betegek 2,2%-ánál figyeltek meg, a placebóval kezelt betegek 0,0%-ához képest.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 a 3-as, illetve 4-es fokozatú thrombocytopenia magasabb incidenciájával jár (a </w:t>
      </w:r>
      <w:r w:rsidR="00891512">
        <w:rPr>
          <w:rFonts w:ascii="Times New Roman" w:eastAsia="Calibri" w:hAnsi="Times New Roman" w:cs="Times New Roman"/>
        </w:rPr>
        <w:t>3</w:t>
      </w:r>
      <w:r w:rsidRPr="00956F16">
        <w:rPr>
          <w:rFonts w:ascii="Times New Roman" w:eastAsia="Calibri" w:hAnsi="Times New Roman" w:cs="Times New Roman"/>
        </w:rPr>
        <w:t>. fázisú vizsgálat során 37% a lenalidomiddal kezelt betegeknél a placebóval kezelt betegek 1,5%-ához képest).</w:t>
      </w:r>
    </w:p>
    <w:p w14:paraId="1B9DB7C5" w14:textId="77777777" w:rsidR="00956F16" w:rsidRPr="00956F16" w:rsidRDefault="00956F16" w:rsidP="00956F16">
      <w:pPr>
        <w:spacing w:after="0" w:line="240" w:lineRule="auto"/>
        <w:rPr>
          <w:rFonts w:ascii="Times New Roman" w:eastAsia="Calibri" w:hAnsi="Times New Roman" w:cs="Times New Roman"/>
        </w:rPr>
      </w:pPr>
    </w:p>
    <w:p w14:paraId="0C9FBDF0" w14:textId="77777777" w:rsidR="00956F16" w:rsidRPr="00956F16" w:rsidRDefault="00956F16" w:rsidP="00956F16">
      <w:pPr>
        <w:keepNext/>
        <w:numPr>
          <w:ilvl w:val="0"/>
          <w:numId w:val="17"/>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lastRenderedPageBreak/>
        <w:t>Köpenysejtes lymphomában szenvedő betegek</w:t>
      </w:r>
    </w:p>
    <w:p w14:paraId="67464A98" w14:textId="35D1B64E"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Köpenysejtes lymphomában szenvedő betegek esetén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 a 3-as, illetve 4-es fokozatú neutropenia magasabb incidenciájával jár (a </w:t>
      </w:r>
      <w:r w:rsidR="00891512">
        <w:rPr>
          <w:rFonts w:ascii="Times New Roman" w:eastAsia="Calibri" w:hAnsi="Times New Roman" w:cs="Times New Roman"/>
        </w:rPr>
        <w:t>2</w:t>
      </w:r>
      <w:r w:rsidRPr="00956F16">
        <w:rPr>
          <w:rFonts w:ascii="Times New Roman" w:eastAsia="Calibri" w:hAnsi="Times New Roman" w:cs="Times New Roman"/>
        </w:rPr>
        <w:t>. fázisú vizsgálat során 43,7% a lenalidomiddal kezelt betegeknél a kontrollkar betegeinek 33,7%-ához képest). 3-as, illetve 4-es fokozatú lázas neutropeniás epizódokat a lenalidomiddal kezelt betegek 6,0%-ánál figyeltek meg, a kontrollkar betegeinek 2,4%-ához képest.</w:t>
      </w:r>
    </w:p>
    <w:p w14:paraId="0EA8A215" w14:textId="10DC87E5" w:rsidR="00956F16" w:rsidRDefault="00956F16" w:rsidP="00956F16">
      <w:pPr>
        <w:spacing w:after="0" w:line="240" w:lineRule="auto"/>
        <w:rPr>
          <w:rFonts w:ascii="Times New Roman" w:eastAsia="Calibri" w:hAnsi="Times New Roman" w:cs="Times New Roman"/>
        </w:rPr>
      </w:pPr>
    </w:p>
    <w:p w14:paraId="3C4C1E0A" w14:textId="77777777" w:rsidR="0064024C" w:rsidRPr="00E83289" w:rsidRDefault="0064024C" w:rsidP="00E83289">
      <w:pPr>
        <w:keepNext/>
        <w:numPr>
          <w:ilvl w:val="0"/>
          <w:numId w:val="17"/>
        </w:numPr>
        <w:tabs>
          <w:tab w:val="left" w:pos="567"/>
        </w:tabs>
        <w:spacing w:after="0" w:line="240" w:lineRule="auto"/>
        <w:ind w:hanging="720"/>
        <w:rPr>
          <w:rFonts w:ascii="Times New Roman" w:eastAsia="Calibri" w:hAnsi="Times New Roman" w:cs="Times New Roman"/>
          <w:u w:val="single"/>
        </w:rPr>
      </w:pPr>
      <w:r w:rsidRPr="00E83289">
        <w:rPr>
          <w:rFonts w:ascii="Times New Roman" w:eastAsia="Calibri" w:hAnsi="Times New Roman" w:cs="Times New Roman"/>
          <w:u w:val="single"/>
        </w:rPr>
        <w:t>Follicularis lymphomában szenvedő betegek</w:t>
      </w:r>
    </w:p>
    <w:p w14:paraId="44204CE5" w14:textId="551ACD12" w:rsidR="0064024C" w:rsidRDefault="0064024C" w:rsidP="0064024C">
      <w:pPr>
        <w:spacing w:after="0" w:line="240" w:lineRule="auto"/>
        <w:rPr>
          <w:rFonts w:ascii="Times New Roman" w:eastAsia="Calibri" w:hAnsi="Times New Roman" w:cs="Times New Roman"/>
        </w:rPr>
      </w:pPr>
      <w:r w:rsidRPr="0064024C">
        <w:rPr>
          <w:rFonts w:ascii="Times New Roman" w:eastAsia="Calibri" w:hAnsi="Times New Roman" w:cs="Times New Roman"/>
        </w:rPr>
        <w:t>A lenalidomid és rituximab kombinációja follicularis lymphomában szenvedő populációban a 3. és</w:t>
      </w:r>
      <w:r>
        <w:rPr>
          <w:rFonts w:ascii="Times New Roman" w:eastAsia="Calibri" w:hAnsi="Times New Roman" w:cs="Times New Roman"/>
        </w:rPr>
        <w:t xml:space="preserve"> </w:t>
      </w:r>
      <w:r w:rsidRPr="0064024C">
        <w:rPr>
          <w:rFonts w:ascii="Times New Roman" w:eastAsia="Calibri" w:hAnsi="Times New Roman" w:cs="Times New Roman"/>
        </w:rPr>
        <w:t>4.</w:t>
      </w:r>
      <w:r>
        <w:rPr>
          <w:rFonts w:ascii="Times New Roman" w:eastAsia="Calibri" w:hAnsi="Times New Roman" w:cs="Times New Roman"/>
        </w:rPr>
        <w:t> </w:t>
      </w:r>
      <w:r w:rsidRPr="0064024C">
        <w:rPr>
          <w:rFonts w:ascii="Times New Roman" w:eastAsia="Calibri" w:hAnsi="Times New Roman" w:cs="Times New Roman"/>
        </w:rPr>
        <w:t>súlyossági fokú neutropenia magasabb gyakoriságával van összefüggésben (50,7% a</w:t>
      </w:r>
      <w:r>
        <w:rPr>
          <w:rFonts w:ascii="Times New Roman" w:eastAsia="Calibri" w:hAnsi="Times New Roman" w:cs="Times New Roman"/>
        </w:rPr>
        <w:t xml:space="preserve"> </w:t>
      </w:r>
      <w:r w:rsidRPr="0064024C">
        <w:rPr>
          <w:rFonts w:ascii="Times New Roman" w:eastAsia="Calibri" w:hAnsi="Times New Roman" w:cs="Times New Roman"/>
        </w:rPr>
        <w:t>lenalidomiddal/rituximabbal kezelt betegeknél, összehasonlítva a placebóval/rituximabbal kezelt</w:t>
      </w:r>
      <w:r>
        <w:rPr>
          <w:rFonts w:ascii="Times New Roman" w:eastAsia="Calibri" w:hAnsi="Times New Roman" w:cs="Times New Roman"/>
        </w:rPr>
        <w:t xml:space="preserve"> </w:t>
      </w:r>
      <w:r w:rsidRPr="0064024C">
        <w:rPr>
          <w:rFonts w:ascii="Times New Roman" w:eastAsia="Calibri" w:hAnsi="Times New Roman" w:cs="Times New Roman"/>
        </w:rPr>
        <w:t>betegeknél észlelt 12,2%-kal). Az adagolás megszakításakor, dóziscsökkentéskor és/vagy növekedési</w:t>
      </w:r>
      <w:r>
        <w:rPr>
          <w:rFonts w:ascii="Times New Roman" w:eastAsia="Calibri" w:hAnsi="Times New Roman" w:cs="Times New Roman"/>
        </w:rPr>
        <w:t xml:space="preserve"> </w:t>
      </w:r>
      <w:r w:rsidRPr="0064024C">
        <w:rPr>
          <w:rFonts w:ascii="Times New Roman" w:eastAsia="Calibri" w:hAnsi="Times New Roman" w:cs="Times New Roman"/>
        </w:rPr>
        <w:t>faktorokkal végzett szupportív kezelésre minden 3. és 4.</w:t>
      </w:r>
      <w:r>
        <w:rPr>
          <w:rFonts w:ascii="Times New Roman" w:eastAsia="Calibri" w:hAnsi="Times New Roman" w:cs="Times New Roman"/>
        </w:rPr>
        <w:t> </w:t>
      </w:r>
      <w:r w:rsidRPr="0064024C">
        <w:rPr>
          <w:rFonts w:ascii="Times New Roman" w:eastAsia="Calibri" w:hAnsi="Times New Roman" w:cs="Times New Roman"/>
        </w:rPr>
        <w:t>súlyossági fokú neutropenia reverzibilis volt.</w:t>
      </w:r>
      <w:r>
        <w:rPr>
          <w:rFonts w:ascii="Times New Roman" w:eastAsia="Calibri" w:hAnsi="Times New Roman" w:cs="Times New Roman"/>
        </w:rPr>
        <w:t xml:space="preserve"> </w:t>
      </w:r>
      <w:r w:rsidRPr="0064024C">
        <w:rPr>
          <w:rFonts w:ascii="Times New Roman" w:eastAsia="Calibri" w:hAnsi="Times New Roman" w:cs="Times New Roman"/>
        </w:rPr>
        <w:t>Ezen kívül esetenként lázas neutropéniát figyeltek meg (2,7% a lenalidomiddal/rituximabbal kezelt</w:t>
      </w:r>
      <w:r>
        <w:rPr>
          <w:rFonts w:ascii="Times New Roman" w:eastAsia="Calibri" w:hAnsi="Times New Roman" w:cs="Times New Roman"/>
        </w:rPr>
        <w:t xml:space="preserve"> </w:t>
      </w:r>
      <w:r w:rsidRPr="0064024C">
        <w:rPr>
          <w:rFonts w:ascii="Times New Roman" w:eastAsia="Calibri" w:hAnsi="Times New Roman" w:cs="Times New Roman"/>
        </w:rPr>
        <w:t>betegeknél, összehasonlítva a placebóval/rituximabbal kezelt betegeknél észlelt 0,7%-kal).</w:t>
      </w:r>
    </w:p>
    <w:p w14:paraId="003A11D2" w14:textId="77777777" w:rsidR="0064024C" w:rsidRPr="0064024C" w:rsidRDefault="0064024C" w:rsidP="0064024C">
      <w:pPr>
        <w:spacing w:after="0" w:line="240" w:lineRule="auto"/>
        <w:rPr>
          <w:rFonts w:ascii="Times New Roman" w:eastAsia="Calibri" w:hAnsi="Times New Roman" w:cs="Times New Roman"/>
        </w:rPr>
      </w:pPr>
    </w:p>
    <w:p w14:paraId="77560A0B" w14:textId="35F21F4A" w:rsidR="0064024C" w:rsidRDefault="0064024C" w:rsidP="0064024C">
      <w:pPr>
        <w:spacing w:after="0" w:line="240" w:lineRule="auto"/>
        <w:rPr>
          <w:rFonts w:ascii="Times New Roman" w:eastAsia="Calibri" w:hAnsi="Times New Roman" w:cs="Times New Roman"/>
        </w:rPr>
      </w:pPr>
      <w:r w:rsidRPr="0064024C">
        <w:rPr>
          <w:rFonts w:ascii="Times New Roman" w:eastAsia="Calibri" w:hAnsi="Times New Roman" w:cs="Times New Roman"/>
        </w:rPr>
        <w:t>A lenalidomid és rituximab kombinációja a 3. és 4.</w:t>
      </w:r>
      <w:r>
        <w:rPr>
          <w:rFonts w:ascii="Times New Roman" w:eastAsia="Calibri" w:hAnsi="Times New Roman" w:cs="Times New Roman"/>
        </w:rPr>
        <w:t> </w:t>
      </w:r>
      <w:r w:rsidRPr="0064024C">
        <w:rPr>
          <w:rFonts w:ascii="Times New Roman" w:eastAsia="Calibri" w:hAnsi="Times New Roman" w:cs="Times New Roman"/>
        </w:rPr>
        <w:t>súlyossági fokú thrombocytopeniával is</w:t>
      </w:r>
      <w:r>
        <w:rPr>
          <w:rFonts w:ascii="Times New Roman" w:eastAsia="Calibri" w:hAnsi="Times New Roman" w:cs="Times New Roman"/>
        </w:rPr>
        <w:t xml:space="preserve"> </w:t>
      </w:r>
      <w:r w:rsidRPr="0064024C">
        <w:rPr>
          <w:rFonts w:ascii="Times New Roman" w:eastAsia="Calibri" w:hAnsi="Times New Roman" w:cs="Times New Roman"/>
        </w:rPr>
        <w:t>összefüggésben van (1,4% a lenalidomiddal/rituximabbal kezelt betegeknél, összehasonlítva a</w:t>
      </w:r>
      <w:r>
        <w:rPr>
          <w:rFonts w:ascii="Times New Roman" w:eastAsia="Calibri" w:hAnsi="Times New Roman" w:cs="Times New Roman"/>
        </w:rPr>
        <w:t xml:space="preserve"> </w:t>
      </w:r>
      <w:r w:rsidRPr="0064024C">
        <w:rPr>
          <w:rFonts w:ascii="Times New Roman" w:eastAsia="Calibri" w:hAnsi="Times New Roman" w:cs="Times New Roman"/>
        </w:rPr>
        <w:t>placebóval/rituximabbal kezelt betegeknél észlelt 0%-kal).</w:t>
      </w:r>
    </w:p>
    <w:p w14:paraId="498813F0" w14:textId="77777777" w:rsidR="0064024C" w:rsidRPr="00956F16" w:rsidRDefault="0064024C" w:rsidP="0064024C">
      <w:pPr>
        <w:spacing w:after="0" w:line="240" w:lineRule="auto"/>
        <w:rPr>
          <w:rFonts w:ascii="Times New Roman" w:eastAsia="Calibri" w:hAnsi="Times New Roman" w:cs="Times New Roman"/>
        </w:rPr>
      </w:pPr>
    </w:p>
    <w:p w14:paraId="765EB294"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Vénás thromboembolia</w:t>
      </w:r>
    </w:p>
    <w:p w14:paraId="29F5C563" w14:textId="2B749D40" w:rsidR="00956F16" w:rsidRPr="00956F16" w:rsidRDefault="00956F16" w:rsidP="0064024C">
      <w:pPr>
        <w:keepNext/>
        <w:keepLines/>
        <w:spacing w:after="0" w:line="240" w:lineRule="auto"/>
        <w:rPr>
          <w:rFonts w:ascii="Times New Roman" w:eastAsia="Calibri" w:hAnsi="Times New Roman" w:cs="Times New Roman"/>
        </w:rPr>
      </w:pPr>
      <w:r w:rsidRPr="00956F16">
        <w:rPr>
          <w:rFonts w:ascii="Times New Roman" w:eastAsia="Calibri" w:hAnsi="Times New Roman" w:cs="Times New Roman"/>
        </w:rPr>
        <w:t>Myeloma multiplexben szenvedő betegeknél a lenalidomid dexametazonnal kombinációban történő alkalmazása a mélyvénás thrombosis és a tüdőembólia fokozott kockázatával jár, illetve kisebb mértékben a lenalidomid melfalánnal és prednizonnal kombinációban</w:t>
      </w:r>
      <w:r w:rsidR="00191E06">
        <w:rPr>
          <w:rFonts w:ascii="Times New Roman" w:eastAsia="Calibri" w:hAnsi="Times New Roman" w:cs="Times New Roman"/>
        </w:rPr>
        <w:t>,</w:t>
      </w:r>
      <w:r w:rsidRPr="00956F16">
        <w:rPr>
          <w:rFonts w:ascii="Times New Roman" w:eastAsia="Calibri" w:hAnsi="Times New Roman" w:cs="Times New Roman"/>
        </w:rPr>
        <w:t xml:space="preserve"> vagy a lenalidomid</w:t>
      </w:r>
      <w:r w:rsidR="0064024C">
        <w:rPr>
          <w:rFonts w:ascii="Times New Roman" w:eastAsia="Calibri" w:hAnsi="Times New Roman" w:cs="Times New Roman"/>
        </w:rPr>
        <w:t>-</w:t>
      </w:r>
      <w:r w:rsidRPr="00956F16">
        <w:rPr>
          <w:rFonts w:ascii="Times New Roman" w:eastAsia="Calibri" w:hAnsi="Times New Roman" w:cs="Times New Roman"/>
        </w:rPr>
        <w:t>monoterápiával kezelt</w:t>
      </w:r>
      <w:r w:rsidR="0064024C">
        <w:rPr>
          <w:rFonts w:ascii="Times New Roman" w:eastAsia="Calibri" w:hAnsi="Times New Roman" w:cs="Times New Roman"/>
        </w:rPr>
        <w:t>,</w:t>
      </w:r>
      <w:r w:rsidRPr="00956F16">
        <w:rPr>
          <w:rFonts w:ascii="Times New Roman" w:eastAsia="Calibri" w:hAnsi="Times New Roman" w:cs="Times New Roman"/>
        </w:rPr>
        <w:t xml:space="preserve"> myeloma multiplexben</w:t>
      </w:r>
      <w:r w:rsidR="0064024C">
        <w:rPr>
          <w:rFonts w:ascii="Times New Roman" w:eastAsia="Calibri" w:hAnsi="Times New Roman" w:cs="Times New Roman"/>
        </w:rPr>
        <w:t>,</w:t>
      </w:r>
      <w:r w:rsidRPr="00956F16">
        <w:rPr>
          <w:rFonts w:ascii="Times New Roman" w:eastAsia="Calibri" w:hAnsi="Times New Roman" w:cs="Times New Roman"/>
        </w:rPr>
        <w:t xml:space="preserve"> </w:t>
      </w:r>
      <w:r w:rsidR="0064024C" w:rsidRPr="0064024C">
        <w:rPr>
          <w:rFonts w:ascii="Times New Roman" w:eastAsia="Calibri" w:hAnsi="Times New Roman" w:cs="Times New Roman"/>
        </w:rPr>
        <w:t>myelodysplasiás szindrómákban és</w:t>
      </w:r>
      <w:r w:rsidR="0064024C">
        <w:rPr>
          <w:rFonts w:ascii="Times New Roman" w:eastAsia="Calibri" w:hAnsi="Times New Roman" w:cs="Times New Roman"/>
        </w:rPr>
        <w:t xml:space="preserve"> </w:t>
      </w:r>
      <w:r w:rsidR="0064024C" w:rsidRPr="0064024C">
        <w:rPr>
          <w:rFonts w:ascii="Times New Roman" w:eastAsia="Calibri" w:hAnsi="Times New Roman" w:cs="Times New Roman"/>
        </w:rPr>
        <w:t xml:space="preserve">köpenysejtes lymphomában </w:t>
      </w:r>
      <w:r w:rsidRPr="00956F16">
        <w:rPr>
          <w:rFonts w:ascii="Times New Roman" w:eastAsia="Calibri" w:hAnsi="Times New Roman" w:cs="Times New Roman"/>
        </w:rPr>
        <w:t>szenvedő betegeknél (lásd 4.5 pont).</w:t>
      </w:r>
    </w:p>
    <w:p w14:paraId="54A236EA"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Ezeknél a betegeknél az eritropoetikus szerek egyidejű alkalmazása vagy a kórtörténetben szereplő mélyvénás thrombosis is növelheti a thrombosis kockázatát.</w:t>
      </w:r>
    </w:p>
    <w:p w14:paraId="6E218194" w14:textId="77777777" w:rsidR="00956F16" w:rsidRPr="00956F16" w:rsidRDefault="00956F16" w:rsidP="00956F16">
      <w:pPr>
        <w:spacing w:after="0" w:line="240" w:lineRule="auto"/>
        <w:rPr>
          <w:rFonts w:ascii="Times New Roman" w:eastAsia="Calibri" w:hAnsi="Times New Roman" w:cs="Times New Roman"/>
        </w:rPr>
      </w:pPr>
    </w:p>
    <w:p w14:paraId="1674EB0D"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Myocardialis infarctus</w:t>
      </w:r>
    </w:p>
    <w:p w14:paraId="1E6A14F0"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lenalidomidot kapó betegeknél myocardialis infarctusról számoltak be, különösen azoknál, akik az ismert kockázati tényezőkkel rendelkeznek.</w:t>
      </w:r>
    </w:p>
    <w:p w14:paraId="66B1EC0A" w14:textId="77777777" w:rsidR="00956F16" w:rsidRPr="00956F16" w:rsidRDefault="00956F16" w:rsidP="00956F16">
      <w:pPr>
        <w:spacing w:after="0" w:line="240" w:lineRule="auto"/>
        <w:rPr>
          <w:rFonts w:ascii="Times New Roman" w:eastAsia="Calibri" w:hAnsi="Times New Roman" w:cs="Times New Roman"/>
        </w:rPr>
      </w:pPr>
    </w:p>
    <w:p w14:paraId="52B925F5"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Vérzéses zavarok</w:t>
      </w:r>
    </w:p>
    <w:p w14:paraId="23F1F82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vérzéses zavarok több szervrendszernél felsorolásra kerülnek: vérképzőszervi és nyirokrendszeri betegségek és tünetek; idegrendszeri betegségek és tünetek (intracranialis vérzés), légzőrendszeri, mellkasi és mediastinalis betegségek és tünetek (epistaxis), emésztőrendszeri betegségek és tünetek (fogínyvérzés, aranyeres vérzés, rectalis vérzés); vese- és húgyúti betegségek és tünetek (haematuria); sérülés, mérgezés és a beavatkozással kapcsolatos szövődmények (contusio) és érbetegségek és tünetek (ecchymosis).</w:t>
      </w:r>
    </w:p>
    <w:p w14:paraId="14CABDD4" w14:textId="77777777" w:rsidR="00956F16" w:rsidRPr="00956F16" w:rsidRDefault="00956F16" w:rsidP="00956F16">
      <w:pPr>
        <w:spacing w:after="0" w:line="240" w:lineRule="auto"/>
        <w:rPr>
          <w:rFonts w:ascii="Times New Roman" w:eastAsia="Calibri" w:hAnsi="Times New Roman" w:cs="Times New Roman"/>
        </w:rPr>
      </w:pPr>
    </w:p>
    <w:p w14:paraId="40E11B93" w14:textId="08ED3875"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Allergiás reakciók</w:t>
      </w:r>
      <w:r w:rsidR="0064024C">
        <w:rPr>
          <w:rFonts w:ascii="Times New Roman" w:eastAsia="Calibri" w:hAnsi="Times New Roman" w:cs="Times New Roman"/>
          <w:i/>
          <w:u w:val="single"/>
        </w:rPr>
        <w:t xml:space="preserve"> és súlyos bőrreakciók</w:t>
      </w:r>
    </w:p>
    <w:p w14:paraId="5FB7E26A" w14:textId="494B9A3D" w:rsidR="00956F16" w:rsidRPr="00956F16" w:rsidRDefault="0064024C" w:rsidP="00956F16">
      <w:pPr>
        <w:spacing w:after="0" w:line="240" w:lineRule="auto"/>
        <w:rPr>
          <w:rFonts w:ascii="Times New Roman" w:eastAsia="Calibri" w:hAnsi="Times New Roman" w:cs="Times New Roman"/>
        </w:rPr>
      </w:pPr>
      <w:r w:rsidRPr="0064024C">
        <w:rPr>
          <w:rFonts w:ascii="Times New Roman" w:eastAsia="Calibri" w:hAnsi="Times New Roman" w:cs="Times New Roman"/>
        </w:rPr>
        <w:t>A lenalidomiddal kezelt betegeknél beszámoltak allergiás reakciók előfordulásáról, beleértve az</w:t>
      </w:r>
      <w:r>
        <w:rPr>
          <w:rFonts w:ascii="Times New Roman" w:eastAsia="Calibri" w:hAnsi="Times New Roman" w:cs="Times New Roman"/>
        </w:rPr>
        <w:t xml:space="preserve"> </w:t>
      </w:r>
      <w:r w:rsidRPr="0064024C">
        <w:rPr>
          <w:rFonts w:ascii="Times New Roman" w:eastAsia="Calibri" w:hAnsi="Times New Roman" w:cs="Times New Roman"/>
        </w:rPr>
        <w:t>angiooedemát, anaphylaxiás reakciót és súlyos bőrreakciókat (pl. SJS, TEN és DRESS).</w:t>
      </w:r>
      <w:r w:rsidR="00191E06">
        <w:rPr>
          <w:rFonts w:ascii="Times New Roman" w:eastAsia="Calibri" w:hAnsi="Times New Roman" w:cs="Times New Roman"/>
        </w:rPr>
        <w:t xml:space="preserve"> </w:t>
      </w:r>
      <w:r w:rsidR="00956F16" w:rsidRPr="00956F16">
        <w:rPr>
          <w:rFonts w:ascii="Times New Roman" w:eastAsia="Calibri" w:hAnsi="Times New Roman" w:cs="Times New Roman"/>
        </w:rPr>
        <w:t>A szakirodalomban a lenalidomid és a talidomid közötti lehetséges keresztreakcióról számoltak be.</w:t>
      </w:r>
      <w:r w:rsidR="007D162E">
        <w:rPr>
          <w:rFonts w:ascii="Times New Roman" w:eastAsia="Calibri" w:hAnsi="Times New Roman" w:cs="Times New Roman"/>
        </w:rPr>
        <w:t xml:space="preserve"> </w:t>
      </w:r>
      <w:r w:rsidR="00956F16" w:rsidRPr="00956F16">
        <w:rPr>
          <w:rFonts w:ascii="Times New Roman" w:eastAsia="Calibri" w:hAnsi="Times New Roman" w:cs="Times New Roman"/>
        </w:rPr>
        <w:t>Azok a betegek, akiknek a kórtörténetében talidomid</w:t>
      </w:r>
      <w:r w:rsidR="00104634">
        <w:rPr>
          <w:rFonts w:ascii="Times New Roman" w:eastAsia="Calibri" w:hAnsi="Times New Roman" w:cs="Times New Roman"/>
        </w:rPr>
        <w:t>-</w:t>
      </w:r>
      <w:r w:rsidR="00956F16" w:rsidRPr="00956F16">
        <w:rPr>
          <w:rFonts w:ascii="Times New Roman" w:eastAsia="Calibri" w:hAnsi="Times New Roman" w:cs="Times New Roman"/>
        </w:rPr>
        <w:t>kezeléssel összefüggő, súlyos bőrkiütés szerepel, nem kaphatnak lenalidomidot (lásd 4.4 pont).</w:t>
      </w:r>
    </w:p>
    <w:p w14:paraId="2C75D90C" w14:textId="77777777" w:rsidR="00956F16" w:rsidRPr="00956F16" w:rsidRDefault="00956F16" w:rsidP="00956F16">
      <w:pPr>
        <w:spacing w:after="0" w:line="240" w:lineRule="auto"/>
        <w:rPr>
          <w:rFonts w:ascii="Times New Roman" w:eastAsia="Calibri" w:hAnsi="Times New Roman" w:cs="Times New Roman"/>
        </w:rPr>
      </w:pPr>
    </w:p>
    <w:p w14:paraId="40146159"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Második primer tumorok</w:t>
      </w:r>
    </w:p>
    <w:p w14:paraId="68E771D0"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klinikai vizsgálatokban a második primer malignitások (SPM) gyakoriságának növekedését figyelték meg a korábban lenalidomiddal/dexametazonnal kezelt myelomás betegeknél a kontrollcsoporthoz viszonyítva, amely főként bazálsejtes vagy laphámsejtes bőrrákos betegekből állt.</w:t>
      </w:r>
    </w:p>
    <w:p w14:paraId="12063AA4" w14:textId="77777777" w:rsidR="00956F16" w:rsidRPr="00956F16" w:rsidRDefault="00956F16" w:rsidP="00956F16">
      <w:pPr>
        <w:spacing w:after="0" w:line="240" w:lineRule="auto"/>
        <w:rPr>
          <w:rFonts w:ascii="Times New Roman" w:eastAsia="Calibri" w:hAnsi="Times New Roman" w:cs="Times New Roman"/>
        </w:rPr>
      </w:pPr>
    </w:p>
    <w:p w14:paraId="140465A5"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Akut myeloid leukemia</w:t>
      </w:r>
    </w:p>
    <w:p w14:paraId="07BC2A09" w14:textId="77777777" w:rsidR="00956F16" w:rsidRPr="00956F16" w:rsidRDefault="00956F16" w:rsidP="00956F16">
      <w:pPr>
        <w:keepNext/>
        <w:numPr>
          <w:ilvl w:val="0"/>
          <w:numId w:val="17"/>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Myeloma multiplex</w:t>
      </w:r>
    </w:p>
    <w:p w14:paraId="58A54C7F" w14:textId="7468F012"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Újonnan diagnosztizált myeloma multiplexben végzett klinikai vizsgálatok során akut myeloid leukemia eseteit figyelték meg a lenalidomidot melfalánnal kombinációban szedő betegeknél, illetve </w:t>
      </w:r>
      <w:r w:rsidRPr="00956F16">
        <w:rPr>
          <w:rFonts w:ascii="Times New Roman" w:eastAsia="Calibri" w:hAnsi="Times New Roman" w:cs="Times New Roman"/>
        </w:rPr>
        <w:lastRenderedPageBreak/>
        <w:t>közvetlenül HDM/ASCT alkalmazását követően (lásd 4.4 pont). Ezt a növekedést dexametazonnal kombinációban lenalidomidot szedő, újonnan diagnosztizált myeloma multiplexben szenvedő betegek bevonásával végzett klinikai vizsgálatok során nem figyelték meg a melfalánnal és prednizonnal kombinációban adott talidomid</w:t>
      </w:r>
      <w:r w:rsidR="00104634">
        <w:rPr>
          <w:rFonts w:ascii="Times New Roman" w:eastAsia="Calibri" w:hAnsi="Times New Roman" w:cs="Times New Roman"/>
        </w:rPr>
        <w:t>-</w:t>
      </w:r>
      <w:r w:rsidRPr="00956F16">
        <w:rPr>
          <w:rFonts w:ascii="Times New Roman" w:eastAsia="Calibri" w:hAnsi="Times New Roman" w:cs="Times New Roman"/>
        </w:rPr>
        <w:t>kezeléshez képest.</w:t>
      </w:r>
    </w:p>
    <w:p w14:paraId="58748AF0" w14:textId="77777777" w:rsidR="00956F16" w:rsidRPr="00956F16" w:rsidRDefault="00956F16" w:rsidP="00956F16">
      <w:pPr>
        <w:spacing w:after="0" w:line="240" w:lineRule="auto"/>
        <w:rPr>
          <w:rFonts w:ascii="Times New Roman" w:eastAsia="Calibri" w:hAnsi="Times New Roman" w:cs="Times New Roman"/>
        </w:rPr>
      </w:pPr>
    </w:p>
    <w:p w14:paraId="0A02FB1F" w14:textId="77777777" w:rsidR="00956F16" w:rsidRPr="00956F16" w:rsidRDefault="00956F16" w:rsidP="00956F16">
      <w:pPr>
        <w:keepNext/>
        <w:numPr>
          <w:ilvl w:val="0"/>
          <w:numId w:val="17"/>
        </w:numPr>
        <w:tabs>
          <w:tab w:val="left" w:pos="567"/>
        </w:tabs>
        <w:spacing w:after="0" w:line="240" w:lineRule="auto"/>
        <w:ind w:hanging="720"/>
        <w:rPr>
          <w:rFonts w:ascii="Times New Roman" w:eastAsia="Calibri" w:hAnsi="Times New Roman" w:cs="Times New Roman"/>
          <w:u w:val="single"/>
        </w:rPr>
      </w:pPr>
      <w:r w:rsidRPr="00956F16">
        <w:rPr>
          <w:rFonts w:ascii="Times New Roman" w:eastAsia="Calibri" w:hAnsi="Times New Roman" w:cs="Times New Roman"/>
          <w:u w:val="single"/>
        </w:rPr>
        <w:t>Myelodysplasiás szindrómák</w:t>
      </w:r>
    </w:p>
    <w:p w14:paraId="2F689740" w14:textId="577A5FD4"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kiindulási változók, köztük a komplex citogenetikai rendellenességek és a TP53-mutáció akut myeloid leukemiába történő progresszióval járnak együtt azoknál a betegeknél, akik transzfúzió</w:t>
      </w:r>
      <w:r w:rsidR="00104634">
        <w:rPr>
          <w:rFonts w:ascii="Times New Roman" w:eastAsia="Calibri" w:hAnsi="Times New Roman" w:cs="Times New Roman"/>
        </w:rPr>
        <w:t>-</w:t>
      </w:r>
      <w:r w:rsidRPr="00956F16">
        <w:rPr>
          <w:rFonts w:ascii="Times New Roman" w:eastAsia="Calibri" w:hAnsi="Times New Roman" w:cs="Times New Roman"/>
        </w:rPr>
        <w:t>dependensek és Del (5q) mutációval rendelkeznek (lásd 4.4 pont). Az akut myeloid leukemiába</w:t>
      </w:r>
      <w:r w:rsidRPr="00956F16" w:rsidDel="00FC1943">
        <w:rPr>
          <w:rFonts w:ascii="Times New Roman" w:eastAsia="Calibri" w:hAnsi="Times New Roman" w:cs="Times New Roman"/>
        </w:rPr>
        <w:t xml:space="preserve"> </w:t>
      </w:r>
      <w:r w:rsidRPr="00956F16">
        <w:rPr>
          <w:rFonts w:ascii="Times New Roman" w:eastAsia="Calibri" w:hAnsi="Times New Roman" w:cs="Times New Roman"/>
        </w:rPr>
        <w:t>történő progresszió becsült 2 éves kumulatív kockázata izolált Del (5q) mutációval rendelkező betegeknél 13,8% volt, szemben a Del (5q) mutációval és egy további citogenetikai rendellenességgel rendelkező betegek 17,3%-os, valamint a komplex kar</w:t>
      </w:r>
      <w:r w:rsidR="00D66EF9">
        <w:rPr>
          <w:rFonts w:ascii="Times New Roman" w:eastAsia="Calibri" w:hAnsi="Times New Roman" w:cs="Times New Roman"/>
        </w:rPr>
        <w:t>i</w:t>
      </w:r>
      <w:r w:rsidRPr="00956F16">
        <w:rPr>
          <w:rFonts w:ascii="Times New Roman" w:eastAsia="Calibri" w:hAnsi="Times New Roman" w:cs="Times New Roman"/>
        </w:rPr>
        <w:t>otípus</w:t>
      </w:r>
      <w:r w:rsidR="00191E06">
        <w:rPr>
          <w:rFonts w:ascii="Times New Roman" w:eastAsia="Calibri" w:hAnsi="Times New Roman" w:cs="Times New Roman"/>
        </w:rPr>
        <w:t>-</w:t>
      </w:r>
      <w:r w:rsidRPr="00956F16">
        <w:rPr>
          <w:rFonts w:ascii="Times New Roman" w:eastAsia="Calibri" w:hAnsi="Times New Roman" w:cs="Times New Roman"/>
        </w:rPr>
        <w:t>rendellenességgel rendelkezők 38,6%</w:t>
      </w:r>
      <w:r w:rsidR="00104634">
        <w:rPr>
          <w:rFonts w:ascii="Times New Roman" w:eastAsia="Calibri" w:hAnsi="Times New Roman" w:cs="Times New Roman"/>
        </w:rPr>
        <w:t>-</w:t>
      </w:r>
      <w:r w:rsidRPr="00956F16">
        <w:rPr>
          <w:rFonts w:ascii="Times New Roman" w:eastAsia="Calibri" w:hAnsi="Times New Roman" w:cs="Times New Roman"/>
        </w:rPr>
        <w:t>os gyakoriságával.</w:t>
      </w:r>
    </w:p>
    <w:p w14:paraId="5A7F348F" w14:textId="565CA4AC"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lenalidomiddal egy myelodysplasiás szindrómákban végzett klinikai vizsgálat </w:t>
      </w:r>
      <w:r w:rsidRPr="007E5A32">
        <w:rPr>
          <w:rFonts w:ascii="Times New Roman" w:hAnsi="Times New Roman"/>
          <w:i/>
        </w:rPr>
        <w:t>post-hoc</w:t>
      </w:r>
      <w:r w:rsidRPr="00956F16">
        <w:rPr>
          <w:rFonts w:ascii="Times New Roman" w:eastAsia="Calibri" w:hAnsi="Times New Roman" w:cs="Times New Roman"/>
        </w:rPr>
        <w:t xml:space="preserve"> elemzése során az akut myeloid leukemiába</w:t>
      </w:r>
      <w:r w:rsidRPr="00956F16" w:rsidDel="00FC1943">
        <w:rPr>
          <w:rFonts w:ascii="Times New Roman" w:eastAsia="Calibri" w:hAnsi="Times New Roman" w:cs="Times New Roman"/>
        </w:rPr>
        <w:t xml:space="preserve"> </w:t>
      </w:r>
      <w:r w:rsidRPr="00956F16">
        <w:rPr>
          <w:rFonts w:ascii="Times New Roman" w:eastAsia="Calibri" w:hAnsi="Times New Roman" w:cs="Times New Roman"/>
        </w:rPr>
        <w:t>történő progresszió becsült 2 éves gyakorisága 27,5% volt az IHC</w:t>
      </w:r>
      <w:r w:rsidR="00104634">
        <w:rPr>
          <w:rFonts w:ascii="Times New Roman" w:eastAsia="Calibri" w:hAnsi="Times New Roman" w:cs="Times New Roman"/>
        </w:rPr>
        <w:t>-</w:t>
      </w:r>
      <w:r w:rsidRPr="00956F16">
        <w:rPr>
          <w:rFonts w:ascii="Times New Roman" w:eastAsia="Calibri" w:hAnsi="Times New Roman" w:cs="Times New Roman"/>
        </w:rPr>
        <w:t>p53</w:t>
      </w:r>
      <w:r w:rsidR="00191E06">
        <w:rPr>
          <w:rFonts w:ascii="Times New Roman" w:eastAsia="Calibri" w:hAnsi="Times New Roman" w:cs="Times New Roman"/>
        </w:rPr>
        <w:t>-</w:t>
      </w:r>
      <w:r w:rsidRPr="00956F16">
        <w:rPr>
          <w:rFonts w:ascii="Times New Roman" w:eastAsia="Calibri" w:hAnsi="Times New Roman" w:cs="Times New Roman"/>
        </w:rPr>
        <w:t>pozitív, és 3,6% az IHC</w:t>
      </w:r>
      <w:r w:rsidR="00104634">
        <w:rPr>
          <w:rFonts w:ascii="Times New Roman" w:eastAsia="Calibri" w:hAnsi="Times New Roman" w:cs="Times New Roman"/>
        </w:rPr>
        <w:t>-</w:t>
      </w:r>
      <w:r w:rsidRPr="00956F16">
        <w:rPr>
          <w:rFonts w:ascii="Times New Roman" w:eastAsia="Calibri" w:hAnsi="Times New Roman" w:cs="Times New Roman"/>
        </w:rPr>
        <w:t>p53</w:t>
      </w:r>
      <w:r w:rsidR="00191E06">
        <w:rPr>
          <w:rFonts w:ascii="Times New Roman" w:eastAsia="Calibri" w:hAnsi="Times New Roman" w:cs="Times New Roman"/>
        </w:rPr>
        <w:t>-</w:t>
      </w:r>
      <w:r w:rsidRPr="00956F16">
        <w:rPr>
          <w:rFonts w:ascii="Times New Roman" w:eastAsia="Calibri" w:hAnsi="Times New Roman" w:cs="Times New Roman"/>
        </w:rPr>
        <w:t>negatív betegeknél (p = 0,0038). Az IHC</w:t>
      </w:r>
      <w:r w:rsidR="00104634">
        <w:rPr>
          <w:rFonts w:ascii="Times New Roman" w:eastAsia="Calibri" w:hAnsi="Times New Roman" w:cs="Times New Roman"/>
        </w:rPr>
        <w:t>-</w:t>
      </w:r>
      <w:r w:rsidRPr="00956F16">
        <w:rPr>
          <w:rFonts w:ascii="Times New Roman" w:eastAsia="Calibri" w:hAnsi="Times New Roman" w:cs="Times New Roman"/>
        </w:rPr>
        <w:t>p53</w:t>
      </w:r>
      <w:r w:rsidR="00191E06">
        <w:rPr>
          <w:rFonts w:ascii="Times New Roman" w:eastAsia="Calibri" w:hAnsi="Times New Roman" w:cs="Times New Roman"/>
        </w:rPr>
        <w:t>-</w:t>
      </w:r>
      <w:r w:rsidRPr="00956F16">
        <w:rPr>
          <w:rFonts w:ascii="Times New Roman" w:eastAsia="Calibri" w:hAnsi="Times New Roman" w:cs="Times New Roman"/>
        </w:rPr>
        <w:t>pozitív betegeknél az akut myeloid leukemiába</w:t>
      </w:r>
      <w:r w:rsidRPr="00956F16" w:rsidDel="00FC1943">
        <w:rPr>
          <w:rFonts w:ascii="Times New Roman" w:eastAsia="Calibri" w:hAnsi="Times New Roman" w:cs="Times New Roman"/>
        </w:rPr>
        <w:t xml:space="preserve"> </w:t>
      </w:r>
      <w:r w:rsidRPr="00956F16">
        <w:rPr>
          <w:rFonts w:ascii="Times New Roman" w:eastAsia="Calibri" w:hAnsi="Times New Roman" w:cs="Times New Roman"/>
        </w:rPr>
        <w:t>történő progresszió kisebb gyakoriságát figyelték meg azok között a betegek között, akiknél terápiás válaszként sikerült transzfúzió-independenciát elérni (11,1%), mint azoknál, akik nem mutattak ilyen választ (34,8%).</w:t>
      </w:r>
    </w:p>
    <w:p w14:paraId="5D1048A2" w14:textId="77777777" w:rsidR="00956F16" w:rsidRPr="00956F16" w:rsidRDefault="00956F16" w:rsidP="00956F16">
      <w:pPr>
        <w:spacing w:after="0" w:line="240" w:lineRule="auto"/>
        <w:rPr>
          <w:rFonts w:ascii="Times New Roman" w:eastAsia="Calibri" w:hAnsi="Times New Roman" w:cs="Times New Roman"/>
        </w:rPr>
      </w:pPr>
    </w:p>
    <w:p w14:paraId="54BF6443"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Májbetegségek</w:t>
      </w:r>
    </w:p>
    <w:p w14:paraId="4D765061"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forgalomba hozatalt követően a következő mellékhatásokról számoltak be (a gyakoriság nem ismert): akut májelégtelenség és cholestasis (mindkettő potenciálisan halálos), toxicus hepatitis, cytolyticus hepatitis és kevert cytolyticus/cholestaticus hepatitis.</w:t>
      </w:r>
    </w:p>
    <w:p w14:paraId="4EF6849C" w14:textId="77777777" w:rsidR="00956F16" w:rsidRPr="00956F16" w:rsidRDefault="00956F16" w:rsidP="00956F16">
      <w:pPr>
        <w:spacing w:after="0" w:line="240" w:lineRule="auto"/>
        <w:rPr>
          <w:rFonts w:ascii="Times New Roman" w:eastAsia="Calibri" w:hAnsi="Times New Roman" w:cs="Times New Roman"/>
        </w:rPr>
      </w:pPr>
    </w:p>
    <w:p w14:paraId="624A39AC"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Rhabdomyolysis</w:t>
      </w:r>
    </w:p>
    <w:p w14:paraId="549375F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Rhabdomyolysis ritka eseteit figyelték meg, köztük néhányat a lenalidomid egy sztatinnal együtt történő alkalmazása mellett.</w:t>
      </w:r>
    </w:p>
    <w:p w14:paraId="38226A70" w14:textId="77777777" w:rsidR="00956F16" w:rsidRPr="00956F16" w:rsidRDefault="00956F16" w:rsidP="00956F16">
      <w:pPr>
        <w:spacing w:after="0" w:line="240" w:lineRule="auto"/>
        <w:rPr>
          <w:rFonts w:ascii="Times New Roman" w:eastAsia="Calibri" w:hAnsi="Times New Roman" w:cs="Times New Roman"/>
        </w:rPr>
      </w:pPr>
    </w:p>
    <w:p w14:paraId="1B5A2A60"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Pajzsmirigybetegségek</w:t>
      </w:r>
    </w:p>
    <w:p w14:paraId="6D1856A0"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Hypothyreosisos és hyperthyreosisos esetekről számoltak be (lásd 4.4 pont: Pajzsmirigybetegségek).</w:t>
      </w:r>
    </w:p>
    <w:p w14:paraId="59C02957" w14:textId="77777777" w:rsidR="00956F16" w:rsidRPr="00956F16" w:rsidRDefault="00956F16" w:rsidP="00956F16">
      <w:pPr>
        <w:spacing w:after="0" w:line="240" w:lineRule="auto"/>
        <w:rPr>
          <w:rFonts w:ascii="Times New Roman" w:eastAsia="Calibri" w:hAnsi="Times New Roman" w:cs="Times New Roman"/>
        </w:rPr>
      </w:pPr>
    </w:p>
    <w:p w14:paraId="3BFEDA21" w14:textId="7021BF15"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Tumorfellángolási reakció és tumorlízis-szindróma</w:t>
      </w:r>
    </w:p>
    <w:p w14:paraId="3B02F091" w14:textId="4A151611"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Az MCL-002 vizsgálatban a lenalidomiddal kezelt betegek körülbelül 10%-a tapasztalt tumorfellángolási reakciót a kontrollkaron észlelt 0%-kal szemben. Az események többsége az 1. ciklusban lépett fel, valamennyit a kezeléssel összefüggésben állónak ítélték, és a jelentett események többsége 1. vagy 2. súlyossági fokú volt. </w:t>
      </w:r>
      <w:r w:rsidR="00337FB2">
        <w:rPr>
          <w:rFonts w:ascii="Times New Roman" w:eastAsia="Calibri" w:hAnsi="Times New Roman" w:cs="Times New Roman"/>
        </w:rPr>
        <w:t>A</w:t>
      </w:r>
      <w:r w:rsidR="00337FB2" w:rsidRPr="00956F16">
        <w:rPr>
          <w:rFonts w:ascii="Times New Roman" w:eastAsia="Calibri" w:hAnsi="Times New Roman" w:cs="Times New Roman"/>
        </w:rPr>
        <w:t xml:space="preserve"> tumorfellángolási reakciók kockázatának </w:t>
      </w:r>
      <w:r w:rsidR="00337FB2">
        <w:rPr>
          <w:rFonts w:ascii="Times New Roman" w:eastAsia="Calibri" w:hAnsi="Times New Roman" w:cs="Times New Roman"/>
        </w:rPr>
        <w:t>a</w:t>
      </w:r>
      <w:r w:rsidRPr="00956F16">
        <w:rPr>
          <w:rFonts w:ascii="Times New Roman" w:eastAsia="Calibri" w:hAnsi="Times New Roman" w:cs="Times New Roman"/>
        </w:rPr>
        <w:t>zok a betegek lehetnek kitéve, akiknél a diagnózis felállításakor magas a köpenysejtes lymphomára vonatkozó Nemzetközi Prognosztikai Index (MIPI/Mantle cell lymphoma International Prognostic Index), vagy a kezelés megkezdésekor nagy méretű (legalább egy elváltozás leghosszabb átmérője ≥ 7 cm) a daganatos elváltozás. Az MCL-002 vizsgálatban mindkét kezelési karon egy beteg esetében számoltak be tumorlízis-szindrómáról. Az MCL-001 számú kiegészítő vizsgálatban a vizsgálati alanyok körülbelül 10%-a tapasztalt tumorfellángolási reakciót, az összes jelentett esemény 1. vagy 2. súlyossági fokú volt, és az összes eseményt a kezeléssel összefüggésben állónak ítélték. Az események többsége az 1. ciklusban lépett fel. Az MCL-001 vizsgálatban nem számoltak be tumorlízis-szindrómáról (lásd 4.4 pont).</w:t>
      </w:r>
    </w:p>
    <w:p w14:paraId="7AD3B693" w14:textId="76C2CA53" w:rsidR="00956F16" w:rsidRDefault="00956F16" w:rsidP="00956F16">
      <w:pPr>
        <w:spacing w:after="0" w:line="240" w:lineRule="auto"/>
        <w:rPr>
          <w:rFonts w:ascii="Times New Roman" w:eastAsia="Calibri" w:hAnsi="Times New Roman" w:cs="Times New Roman"/>
        </w:rPr>
      </w:pPr>
    </w:p>
    <w:p w14:paraId="49474781" w14:textId="174BBCFE" w:rsidR="007D162E" w:rsidRDefault="007D162E" w:rsidP="007D162E">
      <w:pPr>
        <w:spacing w:after="0" w:line="240" w:lineRule="auto"/>
        <w:rPr>
          <w:rFonts w:ascii="Times New Roman" w:eastAsia="Calibri" w:hAnsi="Times New Roman" w:cs="Times New Roman"/>
        </w:rPr>
      </w:pPr>
      <w:r w:rsidRPr="007D162E">
        <w:rPr>
          <w:rFonts w:ascii="Times New Roman" w:eastAsia="Calibri" w:hAnsi="Times New Roman" w:cs="Times New Roman"/>
        </w:rPr>
        <w:t>Az NHL-007 vizsgálatban 19/146 (13,0%) betegnél számoltak be TFR előfordulásáról a</w:t>
      </w:r>
      <w:r>
        <w:rPr>
          <w:rFonts w:ascii="Times New Roman" w:eastAsia="Calibri" w:hAnsi="Times New Roman" w:cs="Times New Roman"/>
        </w:rPr>
        <w:t xml:space="preserve"> </w:t>
      </w:r>
      <w:r w:rsidRPr="007D162E">
        <w:rPr>
          <w:rFonts w:ascii="Times New Roman" w:eastAsia="Calibri" w:hAnsi="Times New Roman" w:cs="Times New Roman"/>
        </w:rPr>
        <w:t>lenalidomid/rituximab karon, szemben a placebo/rituximab karon észlelt 1/148 (0,7%) aránnyal. A</w:t>
      </w:r>
      <w:r>
        <w:rPr>
          <w:rFonts w:ascii="Times New Roman" w:eastAsia="Calibri" w:hAnsi="Times New Roman" w:cs="Times New Roman"/>
        </w:rPr>
        <w:t xml:space="preserve"> </w:t>
      </w:r>
      <w:r w:rsidRPr="007D162E">
        <w:rPr>
          <w:rFonts w:ascii="Times New Roman" w:eastAsia="Calibri" w:hAnsi="Times New Roman" w:cs="Times New Roman"/>
        </w:rPr>
        <w:t>lenalidomid/rituximab karon jelentett TFR-ek nagy része (19-ből 18) a kezelés első két ciklusa alatt</w:t>
      </w:r>
      <w:r>
        <w:rPr>
          <w:rFonts w:ascii="Times New Roman" w:eastAsia="Calibri" w:hAnsi="Times New Roman" w:cs="Times New Roman"/>
        </w:rPr>
        <w:t xml:space="preserve"> </w:t>
      </w:r>
      <w:r w:rsidRPr="007D162E">
        <w:rPr>
          <w:rFonts w:ascii="Times New Roman" w:eastAsia="Calibri" w:hAnsi="Times New Roman" w:cs="Times New Roman"/>
        </w:rPr>
        <w:t>fordult elő. A lenalidomid/rituximab</w:t>
      </w:r>
      <w:r w:rsidR="00BD03D8">
        <w:rPr>
          <w:rFonts w:ascii="Times New Roman" w:eastAsia="Calibri" w:hAnsi="Times New Roman" w:cs="Times New Roman"/>
        </w:rPr>
        <w:t>-</w:t>
      </w:r>
      <w:r w:rsidRPr="007D162E">
        <w:rPr>
          <w:rFonts w:ascii="Times New Roman" w:eastAsia="Calibri" w:hAnsi="Times New Roman" w:cs="Times New Roman"/>
        </w:rPr>
        <w:t>karon egy, FL-b</w:t>
      </w:r>
      <w:r w:rsidR="00BD03D8">
        <w:rPr>
          <w:rFonts w:ascii="Times New Roman" w:eastAsia="Calibri" w:hAnsi="Times New Roman" w:cs="Times New Roman"/>
        </w:rPr>
        <w:t>e</w:t>
      </w:r>
      <w:r w:rsidRPr="007D162E">
        <w:rPr>
          <w:rFonts w:ascii="Times New Roman" w:eastAsia="Calibri" w:hAnsi="Times New Roman" w:cs="Times New Roman"/>
        </w:rPr>
        <w:t>n szenvedő betegnél fordult elő 3.</w:t>
      </w:r>
      <w:r>
        <w:rPr>
          <w:rFonts w:ascii="Times New Roman" w:eastAsia="Calibri" w:hAnsi="Times New Roman" w:cs="Times New Roman"/>
        </w:rPr>
        <w:t> </w:t>
      </w:r>
      <w:r w:rsidRPr="007D162E">
        <w:rPr>
          <w:rFonts w:ascii="Times New Roman" w:eastAsia="Calibri" w:hAnsi="Times New Roman" w:cs="Times New Roman"/>
        </w:rPr>
        <w:t>súlyossági</w:t>
      </w:r>
      <w:r>
        <w:rPr>
          <w:rFonts w:ascii="Times New Roman" w:eastAsia="Calibri" w:hAnsi="Times New Roman" w:cs="Times New Roman"/>
        </w:rPr>
        <w:t xml:space="preserve"> </w:t>
      </w:r>
      <w:r w:rsidRPr="007D162E">
        <w:rPr>
          <w:rFonts w:ascii="Times New Roman" w:eastAsia="Calibri" w:hAnsi="Times New Roman" w:cs="Times New Roman"/>
        </w:rPr>
        <w:t>fokú TFR-esemény, míg a placebo/rituximab</w:t>
      </w:r>
      <w:r w:rsidR="00BD03D8">
        <w:rPr>
          <w:rFonts w:ascii="Times New Roman" w:eastAsia="Calibri" w:hAnsi="Times New Roman" w:cs="Times New Roman"/>
        </w:rPr>
        <w:t>-</w:t>
      </w:r>
      <w:r w:rsidRPr="007D162E">
        <w:rPr>
          <w:rFonts w:ascii="Times New Roman" w:eastAsia="Calibri" w:hAnsi="Times New Roman" w:cs="Times New Roman"/>
        </w:rPr>
        <w:t>karon nem fordult elő hasonló eset. Az NHL-008</w:t>
      </w:r>
      <w:r>
        <w:rPr>
          <w:rFonts w:ascii="Times New Roman" w:eastAsia="Calibri" w:hAnsi="Times New Roman" w:cs="Times New Roman"/>
        </w:rPr>
        <w:t xml:space="preserve"> </w:t>
      </w:r>
      <w:r w:rsidRPr="007D162E">
        <w:rPr>
          <w:rFonts w:ascii="Times New Roman" w:eastAsia="Calibri" w:hAnsi="Times New Roman" w:cs="Times New Roman"/>
        </w:rPr>
        <w:t>vizsgálatban 7/177 (4,0%) FL-b</w:t>
      </w:r>
      <w:r w:rsidR="00BD03D8">
        <w:rPr>
          <w:rFonts w:ascii="Times New Roman" w:eastAsia="Calibri" w:hAnsi="Times New Roman" w:cs="Times New Roman"/>
        </w:rPr>
        <w:t>e</w:t>
      </w:r>
      <w:r w:rsidRPr="007D162E">
        <w:rPr>
          <w:rFonts w:ascii="Times New Roman" w:eastAsia="Calibri" w:hAnsi="Times New Roman" w:cs="Times New Roman"/>
        </w:rPr>
        <w:t>n szenvedő betegnél számoltak be TFR előfordulásáról (3</w:t>
      </w:r>
      <w:r>
        <w:rPr>
          <w:rFonts w:ascii="Times New Roman" w:eastAsia="Calibri" w:hAnsi="Times New Roman" w:cs="Times New Roman"/>
        </w:rPr>
        <w:t> </w:t>
      </w:r>
      <w:r w:rsidRPr="007D162E">
        <w:rPr>
          <w:rFonts w:ascii="Times New Roman" w:eastAsia="Calibri" w:hAnsi="Times New Roman" w:cs="Times New Roman"/>
        </w:rPr>
        <w:t>eset volt 1.</w:t>
      </w:r>
      <w:r>
        <w:rPr>
          <w:rFonts w:ascii="Times New Roman" w:eastAsia="Calibri" w:hAnsi="Times New Roman" w:cs="Times New Roman"/>
        </w:rPr>
        <w:t> </w:t>
      </w:r>
      <w:r w:rsidRPr="007D162E">
        <w:rPr>
          <w:rFonts w:ascii="Times New Roman" w:eastAsia="Calibri" w:hAnsi="Times New Roman" w:cs="Times New Roman"/>
        </w:rPr>
        <w:t>súlyossági fokú és 4</w:t>
      </w:r>
      <w:r>
        <w:rPr>
          <w:rFonts w:ascii="Times New Roman" w:eastAsia="Calibri" w:hAnsi="Times New Roman" w:cs="Times New Roman"/>
        </w:rPr>
        <w:t> </w:t>
      </w:r>
      <w:r w:rsidRPr="007D162E">
        <w:rPr>
          <w:rFonts w:ascii="Times New Roman" w:eastAsia="Calibri" w:hAnsi="Times New Roman" w:cs="Times New Roman"/>
        </w:rPr>
        <w:t>eset volt 2.</w:t>
      </w:r>
      <w:r>
        <w:rPr>
          <w:rFonts w:ascii="Times New Roman" w:eastAsia="Calibri" w:hAnsi="Times New Roman" w:cs="Times New Roman"/>
        </w:rPr>
        <w:t> </w:t>
      </w:r>
      <w:r w:rsidRPr="007D162E">
        <w:rPr>
          <w:rFonts w:ascii="Times New Roman" w:eastAsia="Calibri" w:hAnsi="Times New Roman" w:cs="Times New Roman"/>
        </w:rPr>
        <w:t>súlyossági fokú), míg 1</w:t>
      </w:r>
      <w:r>
        <w:rPr>
          <w:rFonts w:ascii="Times New Roman" w:eastAsia="Calibri" w:hAnsi="Times New Roman" w:cs="Times New Roman"/>
        </w:rPr>
        <w:t> </w:t>
      </w:r>
      <w:r w:rsidRPr="007D162E">
        <w:rPr>
          <w:rFonts w:ascii="Times New Roman" w:eastAsia="Calibri" w:hAnsi="Times New Roman" w:cs="Times New Roman"/>
        </w:rPr>
        <w:t>esetet minősítettek súlyosnak. Az NHL-00</w:t>
      </w:r>
      <w:r>
        <w:rPr>
          <w:rFonts w:ascii="Times New Roman" w:eastAsia="Calibri" w:hAnsi="Times New Roman" w:cs="Times New Roman"/>
        </w:rPr>
        <w:t>7</w:t>
      </w:r>
      <w:r w:rsidRPr="007D162E">
        <w:t xml:space="preserve"> </w:t>
      </w:r>
      <w:r w:rsidRPr="007D162E">
        <w:rPr>
          <w:rFonts w:ascii="Times New Roman" w:eastAsia="Calibri" w:hAnsi="Times New Roman" w:cs="Times New Roman"/>
        </w:rPr>
        <w:t>vizsgálatban a lenalidomid/rituximab</w:t>
      </w:r>
      <w:r w:rsidR="00BD03D8">
        <w:rPr>
          <w:rFonts w:ascii="Times New Roman" w:eastAsia="Calibri" w:hAnsi="Times New Roman" w:cs="Times New Roman"/>
        </w:rPr>
        <w:t>-</w:t>
      </w:r>
      <w:r w:rsidRPr="007D162E">
        <w:rPr>
          <w:rFonts w:ascii="Times New Roman" w:eastAsia="Calibri" w:hAnsi="Times New Roman" w:cs="Times New Roman"/>
        </w:rPr>
        <w:t>karon 2 FL-b</w:t>
      </w:r>
      <w:r w:rsidR="00BD03D8">
        <w:rPr>
          <w:rFonts w:ascii="Times New Roman" w:eastAsia="Calibri" w:hAnsi="Times New Roman" w:cs="Times New Roman"/>
        </w:rPr>
        <w:t>e</w:t>
      </w:r>
      <w:r w:rsidRPr="007D162E">
        <w:rPr>
          <w:rFonts w:ascii="Times New Roman" w:eastAsia="Calibri" w:hAnsi="Times New Roman" w:cs="Times New Roman"/>
        </w:rPr>
        <w:t>n szenvedő betegnél fordult elő TLS (1,4%), a</w:t>
      </w:r>
      <w:r>
        <w:rPr>
          <w:rFonts w:ascii="Times New Roman" w:eastAsia="Calibri" w:hAnsi="Times New Roman" w:cs="Times New Roman"/>
        </w:rPr>
        <w:t xml:space="preserve"> </w:t>
      </w:r>
      <w:r w:rsidRPr="007D162E">
        <w:rPr>
          <w:rFonts w:ascii="Times New Roman" w:eastAsia="Calibri" w:hAnsi="Times New Roman" w:cs="Times New Roman"/>
        </w:rPr>
        <w:t>placebo/rituximab</w:t>
      </w:r>
      <w:r w:rsidR="00BD03D8">
        <w:rPr>
          <w:rFonts w:ascii="Times New Roman" w:eastAsia="Calibri" w:hAnsi="Times New Roman" w:cs="Times New Roman"/>
        </w:rPr>
        <w:t>-</w:t>
      </w:r>
      <w:r w:rsidRPr="007D162E">
        <w:rPr>
          <w:rFonts w:ascii="Times New Roman" w:eastAsia="Calibri" w:hAnsi="Times New Roman" w:cs="Times New Roman"/>
        </w:rPr>
        <w:t>karon egyetlen eset sem fordul elő a FL-b</w:t>
      </w:r>
      <w:r w:rsidR="00BD03D8">
        <w:rPr>
          <w:rFonts w:ascii="Times New Roman" w:eastAsia="Calibri" w:hAnsi="Times New Roman" w:cs="Times New Roman"/>
        </w:rPr>
        <w:t>e</w:t>
      </w:r>
      <w:r w:rsidRPr="007D162E">
        <w:rPr>
          <w:rFonts w:ascii="Times New Roman" w:eastAsia="Calibri" w:hAnsi="Times New Roman" w:cs="Times New Roman"/>
        </w:rPr>
        <w:t>n szenvedő betegeknél, és egyik betegnél</w:t>
      </w:r>
      <w:r>
        <w:rPr>
          <w:rFonts w:ascii="Times New Roman" w:eastAsia="Calibri" w:hAnsi="Times New Roman" w:cs="Times New Roman"/>
        </w:rPr>
        <w:t xml:space="preserve"> </w:t>
      </w:r>
      <w:r w:rsidRPr="007D162E">
        <w:rPr>
          <w:rFonts w:ascii="Times New Roman" w:eastAsia="Calibri" w:hAnsi="Times New Roman" w:cs="Times New Roman"/>
        </w:rPr>
        <w:t>sem volt 3. vagy 4.</w:t>
      </w:r>
      <w:r>
        <w:rPr>
          <w:rFonts w:ascii="Times New Roman" w:eastAsia="Calibri" w:hAnsi="Times New Roman" w:cs="Times New Roman"/>
        </w:rPr>
        <w:t> </w:t>
      </w:r>
      <w:r w:rsidRPr="007D162E">
        <w:rPr>
          <w:rFonts w:ascii="Times New Roman" w:eastAsia="Calibri" w:hAnsi="Times New Roman" w:cs="Times New Roman"/>
        </w:rPr>
        <w:t>súlyossági fokú a mellékhatás. Az NHL-008 vizsgálatban 1 FL-b</w:t>
      </w:r>
      <w:r w:rsidR="00BD03D8">
        <w:rPr>
          <w:rFonts w:ascii="Times New Roman" w:eastAsia="Calibri" w:hAnsi="Times New Roman" w:cs="Times New Roman"/>
        </w:rPr>
        <w:t>e</w:t>
      </w:r>
      <w:r w:rsidRPr="007D162E">
        <w:rPr>
          <w:rFonts w:ascii="Times New Roman" w:eastAsia="Calibri" w:hAnsi="Times New Roman" w:cs="Times New Roman"/>
        </w:rPr>
        <w:t xml:space="preserve">n </w:t>
      </w:r>
      <w:r w:rsidRPr="007D162E">
        <w:rPr>
          <w:rFonts w:ascii="Times New Roman" w:eastAsia="Calibri" w:hAnsi="Times New Roman" w:cs="Times New Roman"/>
        </w:rPr>
        <w:lastRenderedPageBreak/>
        <w:t>szenvedő</w:t>
      </w:r>
      <w:r>
        <w:rPr>
          <w:rFonts w:ascii="Times New Roman" w:eastAsia="Calibri" w:hAnsi="Times New Roman" w:cs="Times New Roman"/>
        </w:rPr>
        <w:t xml:space="preserve"> </w:t>
      </w:r>
      <w:r w:rsidRPr="007D162E">
        <w:rPr>
          <w:rFonts w:ascii="Times New Roman" w:eastAsia="Calibri" w:hAnsi="Times New Roman" w:cs="Times New Roman"/>
        </w:rPr>
        <w:t>betegnél fordult elő TLS (0,6%). Ezt az egyetlen esetet súlyos, 3.</w:t>
      </w:r>
      <w:r>
        <w:rPr>
          <w:rFonts w:ascii="Times New Roman" w:eastAsia="Calibri" w:hAnsi="Times New Roman" w:cs="Times New Roman"/>
        </w:rPr>
        <w:t> </w:t>
      </w:r>
      <w:r w:rsidRPr="007D162E">
        <w:rPr>
          <w:rFonts w:ascii="Times New Roman" w:eastAsia="Calibri" w:hAnsi="Times New Roman" w:cs="Times New Roman"/>
        </w:rPr>
        <w:t>fokú mellékhatásként azonosították.</w:t>
      </w:r>
      <w:r>
        <w:rPr>
          <w:rFonts w:ascii="Times New Roman" w:eastAsia="Calibri" w:hAnsi="Times New Roman" w:cs="Times New Roman"/>
        </w:rPr>
        <w:t xml:space="preserve"> </w:t>
      </w:r>
      <w:r w:rsidRPr="007D162E">
        <w:rPr>
          <w:rFonts w:ascii="Times New Roman" w:eastAsia="Calibri" w:hAnsi="Times New Roman" w:cs="Times New Roman"/>
        </w:rPr>
        <w:t>Az NHL-007 vizsgálatban egy betegnek sem kellett TFR vagy TLS miatt megszakítania a</w:t>
      </w:r>
      <w:r>
        <w:rPr>
          <w:rFonts w:ascii="Times New Roman" w:eastAsia="Calibri" w:hAnsi="Times New Roman" w:cs="Times New Roman"/>
        </w:rPr>
        <w:t xml:space="preserve"> </w:t>
      </w:r>
      <w:r w:rsidRPr="007D162E">
        <w:rPr>
          <w:rFonts w:ascii="Times New Roman" w:eastAsia="Calibri" w:hAnsi="Times New Roman" w:cs="Times New Roman"/>
        </w:rPr>
        <w:t>lenalidomid/rituximab</w:t>
      </w:r>
      <w:r w:rsidR="00BD03D8">
        <w:rPr>
          <w:rFonts w:ascii="Times New Roman" w:eastAsia="Calibri" w:hAnsi="Times New Roman" w:cs="Times New Roman"/>
        </w:rPr>
        <w:t>-</w:t>
      </w:r>
      <w:r w:rsidRPr="007D162E">
        <w:rPr>
          <w:rFonts w:ascii="Times New Roman" w:eastAsia="Calibri" w:hAnsi="Times New Roman" w:cs="Times New Roman"/>
        </w:rPr>
        <w:t>kezelést.</w:t>
      </w:r>
    </w:p>
    <w:p w14:paraId="69AAA955" w14:textId="77777777" w:rsidR="007D162E" w:rsidRPr="00956F16" w:rsidRDefault="007D162E" w:rsidP="007D162E">
      <w:pPr>
        <w:spacing w:after="0" w:line="240" w:lineRule="auto"/>
        <w:rPr>
          <w:rFonts w:ascii="Times New Roman" w:eastAsia="Calibri" w:hAnsi="Times New Roman" w:cs="Times New Roman"/>
        </w:rPr>
      </w:pPr>
    </w:p>
    <w:p w14:paraId="271025AE"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Emésztőrendszeri betegségek és tünetek</w:t>
      </w:r>
    </w:p>
    <w:p w14:paraId="31825CDA" w14:textId="4F9E0EA0"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w:t>
      </w:r>
      <w:r w:rsidR="00104634">
        <w:rPr>
          <w:rFonts w:ascii="Times New Roman" w:eastAsia="Calibri" w:hAnsi="Times New Roman" w:cs="Times New Roman"/>
        </w:rPr>
        <w:t>-</w:t>
      </w:r>
      <w:r w:rsidRPr="00956F16">
        <w:rPr>
          <w:rFonts w:ascii="Times New Roman" w:eastAsia="Calibri" w:hAnsi="Times New Roman" w:cs="Times New Roman"/>
        </w:rPr>
        <w:t>kezelés során gastrointestinalis perforatiókról számoltak be. A gastrointestinalis perforatio septicus szövődményekhez vezethet, és halálos kimenetellel járhat.</w:t>
      </w:r>
    </w:p>
    <w:p w14:paraId="7130EC76" w14:textId="77777777" w:rsidR="00956F16" w:rsidRPr="00956F16" w:rsidRDefault="00956F16" w:rsidP="00956F16">
      <w:pPr>
        <w:spacing w:after="0" w:line="240" w:lineRule="auto"/>
        <w:rPr>
          <w:rFonts w:ascii="Times New Roman" w:eastAsia="Calibri" w:hAnsi="Times New Roman" w:cs="Times New Roman"/>
        </w:rPr>
      </w:pPr>
    </w:p>
    <w:p w14:paraId="7CEC5FD4" w14:textId="77777777" w:rsidR="00956F16" w:rsidRPr="00956F16" w:rsidRDefault="00956F16" w:rsidP="00956F16">
      <w:pPr>
        <w:keepNext/>
        <w:tabs>
          <w:tab w:val="left" w:pos="567"/>
        </w:tabs>
        <w:spacing w:after="0" w:line="240" w:lineRule="auto"/>
        <w:rPr>
          <w:rFonts w:ascii="Times New Roman" w:eastAsia="Times New Roman" w:hAnsi="Times New Roman" w:cs="Times New Roman"/>
          <w:szCs w:val="20"/>
          <w:u w:val="single"/>
        </w:rPr>
      </w:pPr>
      <w:bookmarkStart w:id="1" w:name="_Hlk505622233"/>
      <w:r w:rsidRPr="00956F16">
        <w:rPr>
          <w:rFonts w:ascii="Times New Roman" w:eastAsia="Times New Roman" w:hAnsi="Times New Roman" w:cs="Times New Roman"/>
          <w:szCs w:val="20"/>
          <w:u w:val="single"/>
        </w:rPr>
        <w:t>Feltételezett mellékhatások bejelentése</w:t>
      </w:r>
    </w:p>
    <w:p w14:paraId="132536B0" w14:textId="77777777" w:rsidR="00956F16" w:rsidRPr="00956F16" w:rsidRDefault="00956F16" w:rsidP="00956F16">
      <w:pPr>
        <w:tabs>
          <w:tab w:val="left" w:pos="567"/>
        </w:tabs>
        <w:spacing w:after="0" w:line="240" w:lineRule="auto"/>
        <w:rPr>
          <w:rFonts w:ascii="Times New Roman" w:eastAsia="Times New Roman" w:hAnsi="Times New Roman" w:cs="Times New Roman"/>
          <w:szCs w:val="20"/>
        </w:rPr>
      </w:pPr>
      <w:r w:rsidRPr="00956F16">
        <w:rPr>
          <w:rFonts w:ascii="Times New Roman" w:eastAsia="Times New Roman" w:hAnsi="Times New Roman" w:cs="Times New Roman"/>
          <w:szCs w:val="20"/>
        </w:rPr>
        <w:t>A gyógyszer engedélyezését követően lényeges a feltételezett mellékhatások bejelentése, mert ez fontos eszköze annak, hogy a gyógyszer előny/kockázat profilját folyamatosan figyelemmel lehessen kísérni.</w:t>
      </w:r>
    </w:p>
    <w:p w14:paraId="15AFBC5B" w14:textId="7DA3EC5C" w:rsidR="00956F16" w:rsidRPr="00956F16" w:rsidRDefault="00956F16" w:rsidP="00956F16">
      <w:pPr>
        <w:spacing w:after="0" w:line="240" w:lineRule="auto"/>
        <w:rPr>
          <w:rFonts w:ascii="Times New Roman" w:eastAsia="Calibri" w:hAnsi="Times New Roman" w:cs="Times New Roman"/>
          <w:highlight w:val="lightGray"/>
        </w:rPr>
      </w:pPr>
      <w:r w:rsidRPr="00956F16">
        <w:rPr>
          <w:rFonts w:ascii="Times New Roman" w:eastAsia="Calibri" w:hAnsi="Times New Roman" w:cs="Times New Roman"/>
        </w:rPr>
        <w:t xml:space="preserve">Az egészségügyi szakembereket kérjük, hogy jelentsék be a feltételezett mellékhatásokat a hatóság részére az </w:t>
      </w:r>
      <w:hyperlink r:id="rId8" w:history="1">
        <w:r w:rsidRPr="007E5A32">
          <w:rPr>
            <w:rFonts w:ascii="Times New Roman" w:hAnsi="Times New Roman"/>
            <w:color w:val="0000FF"/>
            <w:highlight w:val="lightGray"/>
            <w:u w:val="single"/>
          </w:rPr>
          <w:t>V. függelékben</w:t>
        </w:r>
      </w:hyperlink>
      <w:r w:rsidRPr="007E5A32">
        <w:rPr>
          <w:rFonts w:ascii="Times New Roman" w:hAnsi="Times New Roman"/>
          <w:highlight w:val="lightGray"/>
        </w:rPr>
        <w:t xml:space="preserve"> található elérhetőségek valamelyikén keresztül</w:t>
      </w:r>
      <w:bookmarkEnd w:id="1"/>
      <w:r w:rsidRPr="00956F16">
        <w:rPr>
          <w:rFonts w:ascii="Times New Roman" w:eastAsia="Calibri" w:hAnsi="Times New Roman" w:cs="Times New Roman"/>
        </w:rPr>
        <w:t>.</w:t>
      </w:r>
    </w:p>
    <w:p w14:paraId="11D9AE4D" w14:textId="77777777" w:rsidR="00956F16" w:rsidRPr="00956F16" w:rsidRDefault="00956F16" w:rsidP="00956F16">
      <w:pPr>
        <w:spacing w:after="0" w:line="240" w:lineRule="auto"/>
        <w:rPr>
          <w:rFonts w:ascii="Times New Roman" w:eastAsia="Calibri" w:hAnsi="Times New Roman" w:cs="Times New Roman"/>
        </w:rPr>
      </w:pPr>
    </w:p>
    <w:p w14:paraId="67007F23"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4.9</w:t>
      </w:r>
      <w:r w:rsidRPr="00956F16">
        <w:rPr>
          <w:rFonts w:ascii="Times New Roman" w:eastAsia="Calibri" w:hAnsi="Times New Roman" w:cs="Times New Roman"/>
          <w:b/>
        </w:rPr>
        <w:tab/>
        <w:t>Túladagolás</w:t>
      </w:r>
    </w:p>
    <w:p w14:paraId="191A4047" w14:textId="77777777" w:rsidR="00956F16" w:rsidRPr="00956F16" w:rsidRDefault="00956F16" w:rsidP="00956F16">
      <w:pPr>
        <w:keepNext/>
        <w:spacing w:after="0" w:line="240" w:lineRule="auto"/>
        <w:rPr>
          <w:rFonts w:ascii="Times New Roman" w:eastAsia="Calibri" w:hAnsi="Times New Roman" w:cs="Times New Roman"/>
        </w:rPr>
      </w:pPr>
    </w:p>
    <w:p w14:paraId="1F20A01D"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lenalidomid-túladagolás kezeléséről nincs tapasztalat, habár néhány beteg a dózisbeállítási vizsgálatok során legfeljebb 150 mg-os dózist is kapott, illetve egyszeri dózissal végzett vizsgálatok során néhány beteg akár 400 mg-os dózist is kapott. A dóziskorlátozó toxicitás ezekben a vizsgálatokban alapvetően hematológiai jellegű volt. Túladagolás esetén a beteget támogató kezelésben kell részesíteni.</w:t>
      </w:r>
    </w:p>
    <w:p w14:paraId="41AB347A" w14:textId="77777777" w:rsidR="00956F16" w:rsidRPr="00956F16" w:rsidRDefault="00956F16" w:rsidP="00956F16">
      <w:pPr>
        <w:spacing w:after="0" w:line="240" w:lineRule="auto"/>
        <w:rPr>
          <w:rFonts w:ascii="Times New Roman" w:eastAsia="Calibri" w:hAnsi="Times New Roman" w:cs="Times New Roman"/>
        </w:rPr>
      </w:pPr>
    </w:p>
    <w:p w14:paraId="60091225" w14:textId="77777777" w:rsidR="00956F16" w:rsidRPr="00956F16" w:rsidRDefault="00956F16" w:rsidP="00956F16">
      <w:pPr>
        <w:spacing w:after="0" w:line="240" w:lineRule="auto"/>
        <w:rPr>
          <w:rFonts w:ascii="Times New Roman" w:eastAsia="Calibri" w:hAnsi="Times New Roman" w:cs="Times New Roman"/>
        </w:rPr>
      </w:pPr>
    </w:p>
    <w:p w14:paraId="570A0FE0"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5.</w:t>
      </w:r>
      <w:r w:rsidRPr="00956F16">
        <w:rPr>
          <w:rFonts w:ascii="Times New Roman" w:eastAsia="Calibri" w:hAnsi="Times New Roman" w:cs="Times New Roman"/>
          <w:b/>
        </w:rPr>
        <w:tab/>
        <w:t>FARMAKOLÓGIAI TULAJDONSÁGOK</w:t>
      </w:r>
    </w:p>
    <w:p w14:paraId="380FD692" w14:textId="77777777" w:rsidR="00956F16" w:rsidRPr="00956F16" w:rsidRDefault="00956F16" w:rsidP="00956F16">
      <w:pPr>
        <w:keepNext/>
        <w:spacing w:after="0" w:line="240" w:lineRule="auto"/>
        <w:rPr>
          <w:rFonts w:ascii="Times New Roman" w:eastAsia="Calibri" w:hAnsi="Times New Roman" w:cs="Times New Roman"/>
        </w:rPr>
      </w:pPr>
    </w:p>
    <w:p w14:paraId="52A782D8"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5.1</w:t>
      </w:r>
      <w:r w:rsidRPr="00956F16">
        <w:rPr>
          <w:rFonts w:ascii="Times New Roman" w:eastAsia="Calibri" w:hAnsi="Times New Roman" w:cs="Times New Roman"/>
          <w:b/>
        </w:rPr>
        <w:tab/>
        <w:t>Farmakodinámiás tulajdonságok</w:t>
      </w:r>
    </w:p>
    <w:p w14:paraId="7F537035" w14:textId="77777777" w:rsidR="00956F16" w:rsidRPr="00956F16" w:rsidRDefault="00956F16" w:rsidP="00956F16">
      <w:pPr>
        <w:keepNext/>
        <w:spacing w:after="0" w:line="240" w:lineRule="auto"/>
        <w:rPr>
          <w:rFonts w:ascii="Times New Roman" w:eastAsia="Calibri" w:hAnsi="Times New Roman" w:cs="Times New Roman"/>
        </w:rPr>
      </w:pPr>
    </w:p>
    <w:p w14:paraId="3F0495FE"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Farmakoterápiás csoport: Egyéb immunszuppresszánsok. ATC kód: L04AX04.</w:t>
      </w:r>
    </w:p>
    <w:p w14:paraId="2DFB0B1D" w14:textId="77777777" w:rsidR="00956F16" w:rsidRPr="00956F16" w:rsidRDefault="00956F16" w:rsidP="00956F16">
      <w:pPr>
        <w:keepNext/>
        <w:spacing w:after="0" w:line="240" w:lineRule="auto"/>
        <w:rPr>
          <w:rFonts w:ascii="Times New Roman" w:eastAsia="Calibri" w:hAnsi="Times New Roman" w:cs="Times New Roman"/>
        </w:rPr>
      </w:pPr>
    </w:p>
    <w:p w14:paraId="12E62936"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Hatásmechanizmus</w:t>
      </w:r>
    </w:p>
    <w:p w14:paraId="018C2CBC" w14:textId="77777777" w:rsidR="00BF734B" w:rsidRDefault="00BF734B" w:rsidP="00BF734B">
      <w:pPr>
        <w:keepNext/>
        <w:keepLines/>
        <w:spacing w:after="0" w:line="240" w:lineRule="auto"/>
        <w:rPr>
          <w:rFonts w:ascii="Times New Roman" w:eastAsia="Calibri" w:hAnsi="Times New Roman" w:cs="Times New Roman"/>
        </w:rPr>
      </w:pPr>
      <w:r w:rsidRPr="00BF734B">
        <w:rPr>
          <w:rFonts w:ascii="Times New Roman" w:eastAsia="Calibri" w:hAnsi="Times New Roman" w:cs="Times New Roman"/>
        </w:rPr>
        <w:t>A lenalidomid közvetlenül a cereblonhoz, az E3 ubiquitin ligáz-enzim komplexum cullin-gyűrűjéhez</w:t>
      </w:r>
      <w:r>
        <w:rPr>
          <w:rFonts w:ascii="Times New Roman" w:eastAsia="Calibri" w:hAnsi="Times New Roman" w:cs="Times New Roman"/>
        </w:rPr>
        <w:t xml:space="preserve"> </w:t>
      </w:r>
      <w:r w:rsidRPr="00BF734B">
        <w:rPr>
          <w:rFonts w:ascii="Times New Roman" w:eastAsia="Calibri" w:hAnsi="Times New Roman" w:cs="Times New Roman"/>
        </w:rPr>
        <w:t>kötődik, amely dezoxiribonukleinsav (DNS) károsodás-kötő protein 1-et (DDBI), cullin 4-et (CUL4)</w:t>
      </w:r>
      <w:r>
        <w:rPr>
          <w:rFonts w:ascii="Times New Roman" w:eastAsia="Calibri" w:hAnsi="Times New Roman" w:cs="Times New Roman"/>
        </w:rPr>
        <w:t xml:space="preserve"> </w:t>
      </w:r>
      <w:r w:rsidRPr="00BF734B">
        <w:rPr>
          <w:rFonts w:ascii="Times New Roman" w:eastAsia="Calibri" w:hAnsi="Times New Roman" w:cs="Times New Roman"/>
        </w:rPr>
        <w:t>és cullin 1-regulátorokat (Roc 1) tartalmaz. Haematopoetikus sejtekben a cereblonhoz kötődő</w:t>
      </w:r>
      <w:r>
        <w:rPr>
          <w:rFonts w:ascii="Times New Roman" w:eastAsia="Calibri" w:hAnsi="Times New Roman" w:cs="Times New Roman"/>
        </w:rPr>
        <w:t xml:space="preserve"> </w:t>
      </w:r>
      <w:r w:rsidRPr="00BF734B">
        <w:rPr>
          <w:rFonts w:ascii="Times New Roman" w:eastAsia="Calibri" w:hAnsi="Times New Roman" w:cs="Times New Roman"/>
        </w:rPr>
        <w:t>lenalidomid a lymphoid transzkripciós faktor az Aiolos és Ikaros szubsztrát proteineket toborozza, ami</w:t>
      </w:r>
      <w:r>
        <w:rPr>
          <w:rFonts w:ascii="Times New Roman" w:eastAsia="Calibri" w:hAnsi="Times New Roman" w:cs="Times New Roman"/>
        </w:rPr>
        <w:t xml:space="preserve"> </w:t>
      </w:r>
      <w:r w:rsidRPr="00BF734B">
        <w:rPr>
          <w:rFonts w:ascii="Times New Roman" w:eastAsia="Calibri" w:hAnsi="Times New Roman" w:cs="Times New Roman"/>
        </w:rPr>
        <w:t>ubiquitinálódásukhoz és ezt követő lebomlásukhoz vezet, közvetlen citotoxikus és immunmoduláló</w:t>
      </w:r>
      <w:r>
        <w:rPr>
          <w:rFonts w:ascii="Times New Roman" w:eastAsia="Calibri" w:hAnsi="Times New Roman" w:cs="Times New Roman"/>
        </w:rPr>
        <w:t xml:space="preserve"> </w:t>
      </w:r>
      <w:r w:rsidRPr="00BF734B">
        <w:rPr>
          <w:rFonts w:ascii="Times New Roman" w:eastAsia="Calibri" w:hAnsi="Times New Roman" w:cs="Times New Roman"/>
        </w:rPr>
        <w:t>hatásokat eredményezve.</w:t>
      </w:r>
    </w:p>
    <w:p w14:paraId="0E88F08F" w14:textId="36815745" w:rsidR="00BF734B" w:rsidRDefault="00BF734B" w:rsidP="00BF734B">
      <w:pPr>
        <w:keepNext/>
        <w:keepLines/>
        <w:spacing w:after="0" w:line="240" w:lineRule="auto"/>
        <w:rPr>
          <w:rFonts w:ascii="Times New Roman" w:eastAsia="Calibri" w:hAnsi="Times New Roman" w:cs="Times New Roman"/>
        </w:rPr>
      </w:pPr>
    </w:p>
    <w:p w14:paraId="20D1C3F6" w14:textId="23A3B611" w:rsidR="00BF734B" w:rsidRPr="00BF734B" w:rsidRDefault="00BF734B" w:rsidP="004541A6">
      <w:pPr>
        <w:keepNext/>
        <w:keepLines/>
        <w:spacing w:after="0" w:line="240" w:lineRule="auto"/>
        <w:rPr>
          <w:rFonts w:ascii="Times New Roman" w:eastAsia="Calibri" w:hAnsi="Times New Roman" w:cs="Times New Roman"/>
        </w:rPr>
      </w:pPr>
      <w:r w:rsidRPr="00BF734B">
        <w:rPr>
          <w:rFonts w:ascii="Times New Roman" w:eastAsia="Calibri" w:hAnsi="Times New Roman" w:cs="Times New Roman"/>
        </w:rPr>
        <w:t>A lenalidomid bizonyos haematopoetikus tumorsejtek (többek között a plazma MM tumorsejtek, a</w:t>
      </w:r>
      <w:r>
        <w:rPr>
          <w:rFonts w:ascii="Times New Roman" w:eastAsia="Calibri" w:hAnsi="Times New Roman" w:cs="Times New Roman"/>
        </w:rPr>
        <w:t xml:space="preserve"> </w:t>
      </w:r>
      <w:r w:rsidRPr="00BF734B">
        <w:rPr>
          <w:rFonts w:ascii="Times New Roman" w:eastAsia="Calibri" w:hAnsi="Times New Roman" w:cs="Times New Roman"/>
        </w:rPr>
        <w:t>follicularis lymphoma tumorsejtek és az 5-ös kromoszóma deléciójával járó tumorsejtek)</w:t>
      </w:r>
      <w:r>
        <w:rPr>
          <w:rFonts w:ascii="Times New Roman" w:eastAsia="Calibri" w:hAnsi="Times New Roman" w:cs="Times New Roman"/>
        </w:rPr>
        <w:t xml:space="preserve"> </w:t>
      </w:r>
      <w:r w:rsidRPr="00BF734B">
        <w:rPr>
          <w:rFonts w:ascii="Times New Roman" w:eastAsia="Calibri" w:hAnsi="Times New Roman" w:cs="Times New Roman"/>
        </w:rPr>
        <w:t>proliferációját gátolja, továbbá serkenti a T-sejtes és a természetes ölősejtek által közvetített sejtes</w:t>
      </w:r>
      <w:r>
        <w:rPr>
          <w:rFonts w:ascii="Times New Roman" w:eastAsia="Calibri" w:hAnsi="Times New Roman" w:cs="Times New Roman"/>
        </w:rPr>
        <w:t xml:space="preserve"> </w:t>
      </w:r>
      <w:r w:rsidRPr="00BF734B">
        <w:rPr>
          <w:rFonts w:ascii="Times New Roman" w:eastAsia="Calibri" w:hAnsi="Times New Roman" w:cs="Times New Roman"/>
        </w:rPr>
        <w:t>immunitás kialakulását, illetve növeli természetes ölősejtek, a T-sejtek és természetes ölő T-sejtek</w:t>
      </w:r>
      <w:r>
        <w:rPr>
          <w:rFonts w:ascii="Times New Roman" w:eastAsia="Calibri" w:hAnsi="Times New Roman" w:cs="Times New Roman"/>
        </w:rPr>
        <w:t xml:space="preserve"> </w:t>
      </w:r>
      <w:r w:rsidRPr="00BF734B">
        <w:rPr>
          <w:rFonts w:ascii="Times New Roman" w:eastAsia="Calibri" w:hAnsi="Times New Roman" w:cs="Times New Roman"/>
        </w:rPr>
        <w:t>számát.</w:t>
      </w:r>
      <w:r w:rsidR="004541A6">
        <w:rPr>
          <w:rFonts w:ascii="Times New Roman" w:eastAsia="Calibri" w:hAnsi="Times New Roman" w:cs="Times New Roman"/>
        </w:rPr>
        <w:t xml:space="preserve"> </w:t>
      </w:r>
      <w:r w:rsidR="00BD03D8">
        <w:rPr>
          <w:rFonts w:ascii="Times New Roman" w:eastAsia="Calibri" w:hAnsi="Times New Roman" w:cs="Times New Roman"/>
        </w:rPr>
        <w:t>Del</w:t>
      </w:r>
      <w:r w:rsidR="004541A6" w:rsidRPr="004541A6">
        <w:rPr>
          <w:rFonts w:ascii="Times New Roman" w:eastAsia="Calibri" w:hAnsi="Times New Roman" w:cs="Times New Roman"/>
        </w:rPr>
        <w:t xml:space="preserve"> (5q) myelodysplasiás szindrómákban kimutatták, hogy a </w:t>
      </w:r>
      <w:r w:rsidR="00BD03D8">
        <w:rPr>
          <w:rFonts w:ascii="Times New Roman" w:eastAsia="Calibri" w:hAnsi="Times New Roman" w:cs="Times New Roman"/>
        </w:rPr>
        <w:t>Del</w:t>
      </w:r>
      <w:r w:rsidR="004541A6" w:rsidRPr="004541A6">
        <w:rPr>
          <w:rFonts w:ascii="Times New Roman" w:eastAsia="Calibri" w:hAnsi="Times New Roman" w:cs="Times New Roman"/>
        </w:rPr>
        <w:t xml:space="preserve"> (5q) sejtek apoptózisának</w:t>
      </w:r>
      <w:r w:rsidR="004541A6">
        <w:rPr>
          <w:rFonts w:ascii="Times New Roman" w:eastAsia="Calibri" w:hAnsi="Times New Roman" w:cs="Times New Roman"/>
        </w:rPr>
        <w:t xml:space="preserve"> </w:t>
      </w:r>
      <w:r w:rsidR="004541A6" w:rsidRPr="004541A6">
        <w:rPr>
          <w:rFonts w:ascii="Times New Roman" w:eastAsia="Calibri" w:hAnsi="Times New Roman" w:cs="Times New Roman"/>
        </w:rPr>
        <w:t>fokozásával a lenalidomid szelektíven gátolja a kóros klónt.</w:t>
      </w:r>
    </w:p>
    <w:p w14:paraId="1AFDCA2F" w14:textId="6820060A" w:rsidR="00BF734B" w:rsidRDefault="00BF734B" w:rsidP="00BF734B">
      <w:pPr>
        <w:keepNext/>
        <w:keepLines/>
        <w:spacing w:after="0" w:line="240" w:lineRule="auto"/>
        <w:rPr>
          <w:rFonts w:ascii="Times New Roman" w:eastAsia="Calibri" w:hAnsi="Times New Roman" w:cs="Times New Roman"/>
        </w:rPr>
      </w:pPr>
      <w:r w:rsidRPr="00BF734B">
        <w:rPr>
          <w:rFonts w:ascii="Times New Roman" w:eastAsia="Calibri" w:hAnsi="Times New Roman" w:cs="Times New Roman"/>
        </w:rPr>
        <w:t>A lenalidomid és a rituximab kombinációja a follicularis lymphoma sejtekben fokozza az ADCC-t és a</w:t>
      </w:r>
      <w:r w:rsidR="006133D3">
        <w:rPr>
          <w:rFonts w:ascii="Times New Roman" w:eastAsia="Calibri" w:hAnsi="Times New Roman" w:cs="Times New Roman"/>
        </w:rPr>
        <w:t xml:space="preserve"> </w:t>
      </w:r>
      <w:r w:rsidRPr="00BF734B">
        <w:rPr>
          <w:rFonts w:ascii="Times New Roman" w:eastAsia="Calibri" w:hAnsi="Times New Roman" w:cs="Times New Roman"/>
        </w:rPr>
        <w:t>közvetlen tumor apoptózist</w:t>
      </w:r>
      <w:r w:rsidR="006133D3">
        <w:rPr>
          <w:rFonts w:ascii="Times New Roman" w:eastAsia="Calibri" w:hAnsi="Times New Roman" w:cs="Times New Roman"/>
        </w:rPr>
        <w:t>.</w:t>
      </w:r>
    </w:p>
    <w:p w14:paraId="22C7AFA5" w14:textId="3E967115" w:rsidR="00956F16" w:rsidRPr="00956F16" w:rsidRDefault="00956F16" w:rsidP="001F6021">
      <w:pPr>
        <w:keepNext/>
        <w:keepLines/>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hatásmechanizmusa </w:t>
      </w:r>
      <w:r w:rsidR="006133D3">
        <w:rPr>
          <w:rFonts w:ascii="Times New Roman" w:eastAsia="Calibri" w:hAnsi="Times New Roman" w:cs="Times New Roman"/>
        </w:rPr>
        <w:t xml:space="preserve">ezen kívül további aktivitásokat is magában foglal, </w:t>
      </w:r>
      <w:r w:rsidR="006133D3" w:rsidRPr="006133D3">
        <w:rPr>
          <w:rFonts w:ascii="Times New Roman" w:eastAsia="Calibri" w:hAnsi="Times New Roman" w:cs="Times New Roman"/>
        </w:rPr>
        <w:t>mint például</w:t>
      </w:r>
      <w:r w:rsidR="006133D3">
        <w:rPr>
          <w:rFonts w:ascii="Times New Roman" w:eastAsia="Calibri" w:hAnsi="Times New Roman" w:cs="Times New Roman"/>
        </w:rPr>
        <w:t xml:space="preserve"> </w:t>
      </w:r>
      <w:r w:rsidR="006133D3" w:rsidRPr="006133D3">
        <w:rPr>
          <w:rFonts w:ascii="Times New Roman" w:eastAsia="Calibri" w:hAnsi="Times New Roman" w:cs="Times New Roman"/>
        </w:rPr>
        <w:t>angiogenezist gátló és erythropoesist serkentő tulajdonságokat.</w:t>
      </w:r>
      <w:r w:rsidRPr="00956F16">
        <w:rPr>
          <w:rFonts w:ascii="Times New Roman" w:eastAsia="Calibri" w:hAnsi="Times New Roman" w:cs="Times New Roman"/>
        </w:rPr>
        <w:t xml:space="preserve"> A lenalidomid gátolja az angiogenezist az endothelsejtek migrációjának és adhéziójának, valamint a mikroerek kialakulásának gátlásával, növeli a CD34+ haematopoetikus őssejtek magzati hemoglobin termelését, és gátolja monociták proinflamatorikus citokintermelését (pl. TNF-alfa és IL-6).</w:t>
      </w:r>
    </w:p>
    <w:p w14:paraId="35A48ADA" w14:textId="77777777" w:rsidR="00956F16" w:rsidRPr="00956F16" w:rsidRDefault="00956F16" w:rsidP="00956F16">
      <w:pPr>
        <w:spacing w:after="0" w:line="240" w:lineRule="auto"/>
        <w:rPr>
          <w:rFonts w:ascii="Times New Roman" w:eastAsia="Calibri" w:hAnsi="Times New Roman" w:cs="Times New Roman"/>
        </w:rPr>
      </w:pPr>
    </w:p>
    <w:p w14:paraId="046FAE15"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Klinikai hatásosság és biztonságosság</w:t>
      </w:r>
    </w:p>
    <w:p w14:paraId="4B7609C9" w14:textId="4316630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lenalidomidot </w:t>
      </w:r>
      <w:r w:rsidR="006B06E8">
        <w:rPr>
          <w:rFonts w:ascii="Times New Roman" w:eastAsia="Calibri" w:hAnsi="Times New Roman" w:cs="Times New Roman"/>
        </w:rPr>
        <w:t>hat</w:t>
      </w:r>
      <w:r w:rsidRPr="00956F16">
        <w:rPr>
          <w:rFonts w:ascii="Times New Roman" w:eastAsia="Calibri" w:hAnsi="Times New Roman" w:cs="Times New Roman"/>
        </w:rPr>
        <w:t xml:space="preserve">, újonnan diagnosztizált myeloma multiplexben végzett </w:t>
      </w:r>
      <w:r w:rsidR="00D34ABC">
        <w:rPr>
          <w:rFonts w:ascii="Times New Roman" w:eastAsia="Calibri" w:hAnsi="Times New Roman" w:cs="Times New Roman"/>
        </w:rPr>
        <w:t>3</w:t>
      </w:r>
      <w:r w:rsidRPr="00956F16">
        <w:rPr>
          <w:rFonts w:ascii="Times New Roman" w:eastAsia="Calibri" w:hAnsi="Times New Roman" w:cs="Times New Roman"/>
        </w:rPr>
        <w:t xml:space="preserve">. fázisú vizsgálat, két, kiújult refrakter myeloma multiplexben végzett </w:t>
      </w:r>
      <w:r w:rsidR="00D34ABC">
        <w:rPr>
          <w:rFonts w:ascii="Times New Roman" w:eastAsia="Calibri" w:hAnsi="Times New Roman" w:cs="Times New Roman"/>
        </w:rPr>
        <w:t>3</w:t>
      </w:r>
      <w:r w:rsidRPr="00956F16">
        <w:rPr>
          <w:rFonts w:ascii="Times New Roman" w:eastAsia="Calibri" w:hAnsi="Times New Roman" w:cs="Times New Roman"/>
        </w:rPr>
        <w:t>. fázisú vizsgálat</w:t>
      </w:r>
      <w:r w:rsidR="001F6021">
        <w:rPr>
          <w:rFonts w:ascii="Times New Roman" w:eastAsia="Calibri" w:hAnsi="Times New Roman" w:cs="Times New Roman"/>
        </w:rPr>
        <w:t xml:space="preserve">, </w:t>
      </w:r>
      <w:r w:rsidR="004541A6" w:rsidRPr="004541A6">
        <w:rPr>
          <w:rFonts w:ascii="Times New Roman" w:eastAsia="Calibri" w:hAnsi="Times New Roman" w:cs="Times New Roman"/>
        </w:rPr>
        <w:t>egy myelodysplasiás</w:t>
      </w:r>
      <w:r w:rsidR="004541A6">
        <w:rPr>
          <w:rFonts w:ascii="Times New Roman" w:eastAsia="Calibri" w:hAnsi="Times New Roman" w:cs="Times New Roman"/>
        </w:rPr>
        <w:t xml:space="preserve"> </w:t>
      </w:r>
      <w:r w:rsidR="004541A6" w:rsidRPr="004541A6">
        <w:rPr>
          <w:rFonts w:ascii="Times New Roman" w:eastAsia="Calibri" w:hAnsi="Times New Roman" w:cs="Times New Roman"/>
        </w:rPr>
        <w:t xml:space="preserve">szindrómákban végzett </w:t>
      </w:r>
      <w:r w:rsidR="00D34ABC">
        <w:rPr>
          <w:rFonts w:ascii="Times New Roman" w:eastAsia="Calibri" w:hAnsi="Times New Roman" w:cs="Times New Roman"/>
        </w:rPr>
        <w:t>3</w:t>
      </w:r>
      <w:r w:rsidR="004541A6" w:rsidRPr="004541A6">
        <w:rPr>
          <w:rFonts w:ascii="Times New Roman" w:eastAsia="Calibri" w:hAnsi="Times New Roman" w:cs="Times New Roman"/>
        </w:rPr>
        <w:t>.</w:t>
      </w:r>
      <w:r w:rsidR="004541A6">
        <w:rPr>
          <w:rFonts w:ascii="Times New Roman" w:eastAsia="Calibri" w:hAnsi="Times New Roman" w:cs="Times New Roman"/>
        </w:rPr>
        <w:t> </w:t>
      </w:r>
      <w:r w:rsidR="004541A6" w:rsidRPr="004541A6">
        <w:rPr>
          <w:rFonts w:ascii="Times New Roman" w:eastAsia="Calibri" w:hAnsi="Times New Roman" w:cs="Times New Roman"/>
        </w:rPr>
        <w:t xml:space="preserve">fázisú és egy </w:t>
      </w:r>
      <w:r w:rsidR="00D34ABC">
        <w:rPr>
          <w:rFonts w:ascii="Times New Roman" w:eastAsia="Calibri" w:hAnsi="Times New Roman" w:cs="Times New Roman"/>
        </w:rPr>
        <w:t>2</w:t>
      </w:r>
      <w:r w:rsidR="004541A6" w:rsidRPr="004541A6">
        <w:rPr>
          <w:rFonts w:ascii="Times New Roman" w:eastAsia="Calibri" w:hAnsi="Times New Roman" w:cs="Times New Roman"/>
        </w:rPr>
        <w:t>.</w:t>
      </w:r>
      <w:r w:rsidR="004541A6">
        <w:rPr>
          <w:rFonts w:ascii="Times New Roman" w:eastAsia="Calibri" w:hAnsi="Times New Roman" w:cs="Times New Roman"/>
        </w:rPr>
        <w:t> </w:t>
      </w:r>
      <w:r w:rsidR="00D1318C" w:rsidRPr="00934095">
        <w:rPr>
          <w:rFonts w:ascii="Times New Roman" w:eastAsia="Calibri" w:hAnsi="Times New Roman" w:cs="Times New Roman"/>
        </w:rPr>
        <w:t>fázisú vizsgálat</w:t>
      </w:r>
      <w:r w:rsidR="00D1318C">
        <w:rPr>
          <w:rFonts w:ascii="Times New Roman" w:eastAsia="Calibri" w:hAnsi="Times New Roman" w:cs="Times New Roman"/>
        </w:rPr>
        <w:t>,</w:t>
      </w:r>
      <w:r w:rsidR="00D1318C" w:rsidRPr="001F6021">
        <w:rPr>
          <w:rFonts w:ascii="Times New Roman" w:eastAsia="Calibri" w:hAnsi="Times New Roman" w:cs="Times New Roman"/>
        </w:rPr>
        <w:t xml:space="preserve"> </w:t>
      </w:r>
      <w:r w:rsidR="001F6021" w:rsidRPr="001F6021">
        <w:rPr>
          <w:rFonts w:ascii="Times New Roman" w:eastAsia="Calibri" w:hAnsi="Times New Roman" w:cs="Times New Roman"/>
        </w:rPr>
        <w:t xml:space="preserve">valamint iNHL-ben végzett egy </w:t>
      </w:r>
      <w:r w:rsidR="00D34ABC">
        <w:rPr>
          <w:rFonts w:ascii="Times New Roman" w:eastAsia="Calibri" w:hAnsi="Times New Roman" w:cs="Times New Roman"/>
        </w:rPr>
        <w:t>3</w:t>
      </w:r>
      <w:r w:rsidR="001F6021" w:rsidRPr="001F6021">
        <w:rPr>
          <w:rFonts w:ascii="Times New Roman" w:eastAsia="Calibri" w:hAnsi="Times New Roman" w:cs="Times New Roman"/>
        </w:rPr>
        <w:t>.</w:t>
      </w:r>
      <w:r w:rsidR="001F6021">
        <w:rPr>
          <w:rFonts w:ascii="Times New Roman" w:eastAsia="Calibri" w:hAnsi="Times New Roman" w:cs="Times New Roman"/>
        </w:rPr>
        <w:t> </w:t>
      </w:r>
      <w:r w:rsidR="001F6021" w:rsidRPr="001F6021">
        <w:rPr>
          <w:rFonts w:ascii="Times New Roman" w:eastAsia="Calibri" w:hAnsi="Times New Roman" w:cs="Times New Roman"/>
        </w:rPr>
        <w:t xml:space="preserve">fázisú és egy </w:t>
      </w:r>
      <w:r w:rsidR="00D34ABC">
        <w:rPr>
          <w:rFonts w:ascii="Times New Roman" w:eastAsia="Calibri" w:hAnsi="Times New Roman" w:cs="Times New Roman"/>
        </w:rPr>
        <w:t>3</w:t>
      </w:r>
      <w:r w:rsidR="001F6021" w:rsidRPr="001F6021">
        <w:rPr>
          <w:rFonts w:ascii="Times New Roman" w:eastAsia="Calibri" w:hAnsi="Times New Roman" w:cs="Times New Roman"/>
        </w:rPr>
        <w:t>.b</w:t>
      </w:r>
      <w:r w:rsidR="001F6021">
        <w:rPr>
          <w:rFonts w:ascii="Times New Roman" w:eastAsia="Calibri" w:hAnsi="Times New Roman" w:cs="Times New Roman"/>
        </w:rPr>
        <w:t> </w:t>
      </w:r>
      <w:r w:rsidR="001F6021" w:rsidRPr="001F6021">
        <w:rPr>
          <w:rFonts w:ascii="Times New Roman" w:eastAsia="Calibri" w:hAnsi="Times New Roman" w:cs="Times New Roman"/>
        </w:rPr>
        <w:t>fázisú vizsgálat</w:t>
      </w:r>
      <w:r w:rsidRPr="00956F16">
        <w:rPr>
          <w:rFonts w:ascii="Times New Roman" w:eastAsia="Calibri" w:hAnsi="Times New Roman" w:cs="Times New Roman"/>
        </w:rPr>
        <w:t xml:space="preserve"> során értékelték az alábbiakban leírtak szerint.</w:t>
      </w:r>
    </w:p>
    <w:p w14:paraId="0A6239AB" w14:textId="77777777" w:rsidR="00956F16" w:rsidRPr="00956F16" w:rsidRDefault="00956F16" w:rsidP="00956F16">
      <w:pPr>
        <w:spacing w:after="0" w:line="240" w:lineRule="auto"/>
        <w:rPr>
          <w:rFonts w:ascii="Times New Roman" w:eastAsia="Calibri" w:hAnsi="Times New Roman" w:cs="Times New Roman"/>
        </w:rPr>
      </w:pPr>
    </w:p>
    <w:p w14:paraId="754AF9D5"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Újonnan diagnosztizált myeloma multiplex</w:t>
      </w:r>
    </w:p>
    <w:p w14:paraId="585F60BB" w14:textId="77777777" w:rsidR="00956F16" w:rsidRPr="00956F16" w:rsidRDefault="00956F16" w:rsidP="00956F16">
      <w:pPr>
        <w:keepNext/>
        <w:numPr>
          <w:ilvl w:val="0"/>
          <w:numId w:val="18"/>
        </w:numPr>
        <w:tabs>
          <w:tab w:val="left" w:pos="567"/>
        </w:tabs>
        <w:spacing w:after="0" w:line="240" w:lineRule="auto"/>
        <w:ind w:hanging="436"/>
        <w:rPr>
          <w:rFonts w:ascii="Times New Roman" w:eastAsia="Calibri" w:hAnsi="Times New Roman" w:cs="Times New Roman"/>
          <w:u w:val="single"/>
        </w:rPr>
      </w:pPr>
      <w:r w:rsidRPr="00956F16">
        <w:rPr>
          <w:rFonts w:ascii="Times New Roman" w:eastAsia="Calibri" w:hAnsi="Times New Roman" w:cs="Times New Roman"/>
          <w:u w:val="single"/>
        </w:rPr>
        <w:t>Lenalidomiddal végzett fenntartó kezelés ASCT-n átesett betegeknél</w:t>
      </w:r>
    </w:p>
    <w:p w14:paraId="5E0EC59E" w14:textId="33D8284F"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lenalidomiddal végzett fenntartó kezelés hatásosságát és biztonságosságát két </w:t>
      </w:r>
      <w:r w:rsidR="00F432F4">
        <w:rPr>
          <w:rFonts w:ascii="Times New Roman" w:eastAsia="Calibri" w:hAnsi="Times New Roman" w:cs="Times New Roman"/>
        </w:rPr>
        <w:t>3.</w:t>
      </w:r>
      <w:r w:rsidRPr="00956F16">
        <w:rPr>
          <w:rFonts w:ascii="Times New Roman" w:eastAsia="Calibri" w:hAnsi="Times New Roman" w:cs="Times New Roman"/>
        </w:rPr>
        <w:t> fázisú, multicentrikus, randomizált, kettős vak, 2 karú, párhuzamos csoportos, placebokontrollos vizsgálatban, a CALGB 100104 és az IFM 2005-02 vizsgálatban értékelték.</w:t>
      </w:r>
    </w:p>
    <w:p w14:paraId="77C01683" w14:textId="77777777" w:rsidR="00956F16" w:rsidRPr="00956F16" w:rsidRDefault="00956F16" w:rsidP="00956F16">
      <w:pPr>
        <w:spacing w:after="0" w:line="240" w:lineRule="auto"/>
        <w:rPr>
          <w:rFonts w:ascii="Times New Roman" w:eastAsia="Calibri" w:hAnsi="Times New Roman" w:cs="Times New Roman"/>
        </w:rPr>
      </w:pPr>
    </w:p>
    <w:p w14:paraId="1F2C90CF" w14:textId="77777777" w:rsidR="00956F16" w:rsidRPr="00956F16" w:rsidRDefault="00956F16" w:rsidP="00956F16">
      <w:pPr>
        <w:keepNext/>
        <w:spacing w:after="0" w:line="240" w:lineRule="auto"/>
        <w:rPr>
          <w:rFonts w:ascii="Times New Roman" w:eastAsia="Calibri" w:hAnsi="Times New Roman" w:cs="Times New Roman"/>
          <w:i/>
        </w:rPr>
      </w:pPr>
      <w:r w:rsidRPr="00956F16">
        <w:rPr>
          <w:rFonts w:ascii="Times New Roman" w:eastAsia="Calibri" w:hAnsi="Times New Roman" w:cs="Times New Roman"/>
          <w:i/>
        </w:rPr>
        <w:t>CALGB 100104</w:t>
      </w:r>
    </w:p>
    <w:p w14:paraId="0BBC1A5D" w14:textId="3AD7BB05"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vizsgálatba való bevonásra azok a 18</w:t>
      </w:r>
      <w:r w:rsidR="00BD03D8">
        <w:rPr>
          <w:rFonts w:ascii="Times New Roman" w:eastAsia="Calibri" w:hAnsi="Times New Roman" w:cs="Times New Roman"/>
        </w:rPr>
        <w:t>–</w:t>
      </w:r>
      <w:r w:rsidRPr="00956F16">
        <w:rPr>
          <w:rFonts w:ascii="Times New Roman" w:eastAsia="Calibri" w:hAnsi="Times New Roman" w:cs="Times New Roman"/>
        </w:rPr>
        <w:t>70</w:t>
      </w:r>
      <w:r w:rsidR="00BD03D8">
        <w:rPr>
          <w:rFonts w:ascii="Times New Roman" w:eastAsia="Calibri" w:hAnsi="Times New Roman" w:cs="Times New Roman"/>
        </w:rPr>
        <w:t> </w:t>
      </w:r>
      <w:r w:rsidRPr="00956F16">
        <w:rPr>
          <w:rFonts w:ascii="Times New Roman" w:eastAsia="Calibri" w:hAnsi="Times New Roman" w:cs="Times New Roman"/>
        </w:rPr>
        <w:t>éves, kezelést igénylő, aktív MM-ben szenvedő betegek voltak alkalmasak, akiknél a kezdeti kezelés után a betegség nem mutatott progressziót.</w:t>
      </w:r>
    </w:p>
    <w:p w14:paraId="4A4C0800" w14:textId="77777777" w:rsidR="00956F16" w:rsidRPr="00956F16" w:rsidRDefault="00956F16" w:rsidP="00956F16">
      <w:pPr>
        <w:spacing w:after="0" w:line="240" w:lineRule="auto"/>
        <w:rPr>
          <w:rFonts w:ascii="Times New Roman" w:eastAsia="Calibri" w:hAnsi="Times New Roman" w:cs="Times New Roman"/>
        </w:rPr>
      </w:pPr>
    </w:p>
    <w:p w14:paraId="61DBB3E7" w14:textId="718DE314"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betegeket az ASCT-t követő 90–100 napon belül 1:1 arányban randomizálták lenalidomiddal, vagy placebóval végzett fenntartó kezelésre. A fenntartó </w:t>
      </w:r>
      <w:r w:rsidR="00426AD5">
        <w:rPr>
          <w:rFonts w:ascii="Times New Roman" w:eastAsia="Calibri" w:hAnsi="Times New Roman" w:cs="Times New Roman"/>
        </w:rPr>
        <w:t>dózis</w:t>
      </w:r>
      <w:r w:rsidR="00426AD5" w:rsidRPr="00956F16">
        <w:rPr>
          <w:rFonts w:ascii="Times New Roman" w:eastAsia="Calibri" w:hAnsi="Times New Roman" w:cs="Times New Roman"/>
        </w:rPr>
        <w:t xml:space="preserve"> </w:t>
      </w:r>
      <w:r w:rsidRPr="00956F16">
        <w:rPr>
          <w:rFonts w:ascii="Times New Roman" w:eastAsia="Calibri" w:hAnsi="Times New Roman" w:cs="Times New Roman"/>
        </w:rPr>
        <w:t>naponta egyszer 10 mg volt az ismétlődő 28 napos ciklusok 1</w:t>
      </w:r>
      <w:r w:rsidR="00BD03D8">
        <w:rPr>
          <w:rFonts w:ascii="Times New Roman" w:eastAsia="Calibri" w:hAnsi="Times New Roman" w:cs="Times New Roman"/>
        </w:rPr>
        <w:t>.</w:t>
      </w:r>
      <w:r w:rsidRPr="00956F16">
        <w:rPr>
          <w:rFonts w:ascii="Times New Roman" w:eastAsia="Calibri" w:hAnsi="Times New Roman" w:cs="Times New Roman"/>
        </w:rPr>
        <w:t>–28. napján (amit 3 hónap után dóziskorlátozó toxicitás hiányában naponta egyszer 15 mg-ig emeltek), és a kezelést a betegség progressziójáig kellett folytatni.</w:t>
      </w:r>
    </w:p>
    <w:p w14:paraId="44917ED5" w14:textId="77777777" w:rsidR="00956F16" w:rsidRPr="00956F16" w:rsidRDefault="00956F16" w:rsidP="00956F16">
      <w:pPr>
        <w:spacing w:after="0" w:line="240" w:lineRule="auto"/>
        <w:rPr>
          <w:rFonts w:ascii="Times New Roman" w:eastAsia="Calibri" w:hAnsi="Times New Roman" w:cs="Times New Roman"/>
        </w:rPr>
      </w:pPr>
    </w:p>
    <w:p w14:paraId="1CBB8A06" w14:textId="685A53F4"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vizsgálat elsődleges hatásossági végpontja a randomizálástól a betegség progressziójáig vagy a beteg haláláig (amelyik hamarabb következett be) eltelt progressziómentes túlélés (</w:t>
      </w:r>
      <w:r w:rsidR="00BD03D8">
        <w:rPr>
          <w:rFonts w:ascii="Times New Roman" w:eastAsia="Calibri" w:hAnsi="Times New Roman" w:cs="Times New Roman"/>
        </w:rPr>
        <w:t xml:space="preserve">progression free survival, </w:t>
      </w:r>
      <w:r w:rsidRPr="00956F16">
        <w:rPr>
          <w:rFonts w:ascii="Times New Roman" w:eastAsia="Calibri" w:hAnsi="Times New Roman" w:cs="Times New Roman"/>
        </w:rPr>
        <w:t>PFS) volt. A vizsgálat statisztikai ereje nem volt elegendő a teljes túlélés végpont megítéléséhez. Összesen 460 beteget randomizáltak: 231 beteg lenalidomidot, 229 beteg pedig placebót kapott. A demográfiai és a betegséggel kapcsolatos adatok hasonlóak voltak a vizsgálat két karjánál.</w:t>
      </w:r>
    </w:p>
    <w:p w14:paraId="61AAB715" w14:textId="77777777" w:rsidR="00956F16" w:rsidRPr="00956F16" w:rsidRDefault="00956F16" w:rsidP="00956F16">
      <w:pPr>
        <w:spacing w:after="0" w:line="240" w:lineRule="auto"/>
        <w:rPr>
          <w:rFonts w:ascii="Times New Roman" w:eastAsia="Calibri" w:hAnsi="Times New Roman" w:cs="Times New Roman"/>
        </w:rPr>
      </w:pPr>
    </w:p>
    <w:p w14:paraId="6D3E9597"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PFS előre tervezett, időközi analízise küszöbének túllépése után az adatellenőrző bizottság javaslatának megfelelően megszüntették a vizsgálatban a betegek vak kezelését. A vak kezelés megszüntetése után a placebocsoport betegei a betegség progressziója előtt áttérhettek a lenalidomidra.</w:t>
      </w:r>
    </w:p>
    <w:p w14:paraId="14FDB074" w14:textId="77777777" w:rsidR="00956F16" w:rsidRPr="00956F16" w:rsidRDefault="00956F16" w:rsidP="00956F16">
      <w:pPr>
        <w:spacing w:after="0" w:line="240" w:lineRule="auto"/>
        <w:rPr>
          <w:rFonts w:ascii="Times New Roman" w:eastAsia="Calibri" w:hAnsi="Times New Roman" w:cs="Times New Roman"/>
        </w:rPr>
      </w:pPr>
    </w:p>
    <w:p w14:paraId="63670983" w14:textId="5B6EDE4B"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PFS-eredmények a vak kezelés megszüntetésekor, egy előre tervezett időközi elemzés után, 2009. december 17-ig (15,5</w:t>
      </w:r>
      <w:r w:rsidR="00BD03D8">
        <w:rPr>
          <w:rFonts w:ascii="Times New Roman" w:eastAsia="Calibri" w:hAnsi="Times New Roman" w:cs="Times New Roman"/>
        </w:rPr>
        <w:t> </w:t>
      </w:r>
      <w:r w:rsidRPr="00956F16">
        <w:rPr>
          <w:rFonts w:ascii="Times New Roman" w:eastAsia="Calibri" w:hAnsi="Times New Roman" w:cs="Times New Roman"/>
        </w:rPr>
        <w:t xml:space="preserve">hónap követés után) a betegség progressziója vagy a halál kockázatának 62%-os csökkenését mutatták a lenalidomid esetén (HR = 0,38; 95%-os CI </w:t>
      </w:r>
      <w:r w:rsidR="00BD03D8">
        <w:rPr>
          <w:rFonts w:ascii="Times New Roman" w:eastAsia="Calibri" w:hAnsi="Times New Roman" w:cs="Times New Roman"/>
        </w:rPr>
        <w:t>[</w:t>
      </w:r>
      <w:r w:rsidRPr="00956F16">
        <w:rPr>
          <w:rFonts w:ascii="Times New Roman" w:eastAsia="Calibri" w:hAnsi="Times New Roman" w:cs="Times New Roman"/>
        </w:rPr>
        <w:t>0,27; 0,54</w:t>
      </w:r>
      <w:r w:rsidR="00BD03D8">
        <w:rPr>
          <w:rFonts w:ascii="Times New Roman" w:eastAsia="Calibri" w:hAnsi="Times New Roman" w:cs="Times New Roman"/>
        </w:rPr>
        <w:t>]</w:t>
      </w:r>
      <w:r w:rsidRPr="00956F16">
        <w:rPr>
          <w:rFonts w:ascii="Times New Roman" w:eastAsia="Calibri" w:hAnsi="Times New Roman" w:cs="Times New Roman"/>
        </w:rPr>
        <w:t>; p &lt; 0,001). A medián összesített PFS 33,9 hónap volt (95%-os CI NE, NE)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karon, míg 19,0 hónap (95%-os CI </w:t>
      </w:r>
      <w:r w:rsidR="00BD03D8">
        <w:rPr>
          <w:rFonts w:ascii="Times New Roman" w:eastAsia="Calibri" w:hAnsi="Times New Roman" w:cs="Times New Roman"/>
        </w:rPr>
        <w:t>[</w:t>
      </w:r>
      <w:r w:rsidRPr="00956F16">
        <w:rPr>
          <w:rFonts w:ascii="Times New Roman" w:eastAsia="Calibri" w:hAnsi="Times New Roman" w:cs="Times New Roman"/>
        </w:rPr>
        <w:t>16,2</w:t>
      </w:r>
      <w:r w:rsidR="00BD03D8">
        <w:rPr>
          <w:rFonts w:ascii="Times New Roman" w:eastAsia="Calibri" w:hAnsi="Times New Roman" w:cs="Times New Roman"/>
        </w:rPr>
        <w:t>;</w:t>
      </w:r>
      <w:r w:rsidRPr="00956F16">
        <w:rPr>
          <w:rFonts w:ascii="Times New Roman" w:eastAsia="Calibri" w:hAnsi="Times New Roman" w:cs="Times New Roman"/>
        </w:rPr>
        <w:t xml:space="preserve"> 26,5</w:t>
      </w:r>
      <w:r w:rsidR="00BD03D8">
        <w:rPr>
          <w:rFonts w:ascii="Times New Roman" w:eastAsia="Calibri" w:hAnsi="Times New Roman" w:cs="Times New Roman"/>
        </w:rPr>
        <w:t>]</w:t>
      </w:r>
      <w:r w:rsidRPr="00956F16">
        <w:rPr>
          <w:rFonts w:ascii="Times New Roman" w:eastAsia="Calibri" w:hAnsi="Times New Roman" w:cs="Times New Roman"/>
        </w:rPr>
        <w:t>) a placebokaron.</w:t>
      </w:r>
    </w:p>
    <w:p w14:paraId="02E4C959" w14:textId="77777777" w:rsidR="00956F16" w:rsidRPr="00956F16" w:rsidRDefault="00956F16" w:rsidP="00956F16">
      <w:pPr>
        <w:spacing w:after="0" w:line="240" w:lineRule="auto"/>
        <w:rPr>
          <w:rFonts w:ascii="Times New Roman" w:eastAsia="Calibri" w:hAnsi="Times New Roman" w:cs="Times New Roman"/>
        </w:rPr>
      </w:pPr>
    </w:p>
    <w:p w14:paraId="1E0D1E3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PFS kedvezőbb alakulása megfigyelhető volt a teljes remissziót elérő betegek alcsoportjában és a teljes remissziót el nem érő betegek alcsoportjában is.</w:t>
      </w:r>
    </w:p>
    <w:p w14:paraId="784E123B" w14:textId="77777777" w:rsidR="00956F16" w:rsidRPr="00956F16" w:rsidRDefault="00956F16" w:rsidP="00956F16">
      <w:pPr>
        <w:spacing w:after="0" w:line="240" w:lineRule="auto"/>
        <w:rPr>
          <w:rFonts w:ascii="Times New Roman" w:eastAsia="Calibri" w:hAnsi="Times New Roman" w:cs="Times New Roman"/>
        </w:rPr>
      </w:pPr>
    </w:p>
    <w:p w14:paraId="661E4CE1" w14:textId="068F32D9"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vizsgálat eredményeit 2016. február 1-i adatbázis lezárási dátummal a </w:t>
      </w:r>
      <w:r w:rsidR="001070CC">
        <w:rPr>
          <w:rFonts w:ascii="Times New Roman" w:eastAsia="Calibri" w:hAnsi="Times New Roman" w:cs="Times New Roman"/>
        </w:rPr>
        <w:t>7</w:t>
      </w:r>
      <w:r w:rsidRPr="00956F16">
        <w:rPr>
          <w:rFonts w:ascii="Times New Roman" w:eastAsia="Calibri" w:hAnsi="Times New Roman" w:cs="Times New Roman"/>
        </w:rPr>
        <w:t>. táblázat mutatja be.</w:t>
      </w:r>
    </w:p>
    <w:p w14:paraId="33783FDC" w14:textId="77777777" w:rsidR="00956F16" w:rsidRPr="00956F16" w:rsidRDefault="00956F16" w:rsidP="00956F16">
      <w:pPr>
        <w:spacing w:after="0" w:line="240" w:lineRule="auto"/>
        <w:rPr>
          <w:rFonts w:ascii="Times New Roman" w:eastAsia="Calibri" w:hAnsi="Times New Roman" w:cs="Times New Roman"/>
        </w:rPr>
      </w:pPr>
    </w:p>
    <w:p w14:paraId="2736B8E2" w14:textId="3E9E61A2" w:rsidR="00956F16" w:rsidRPr="00956F16" w:rsidRDefault="001070CC" w:rsidP="00956F16">
      <w:pPr>
        <w:keepNext/>
        <w:spacing w:after="0" w:line="240" w:lineRule="auto"/>
        <w:rPr>
          <w:rFonts w:ascii="Times New Roman" w:eastAsia="Calibri" w:hAnsi="Times New Roman" w:cs="Times New Roman"/>
          <w:b/>
        </w:rPr>
      </w:pPr>
      <w:r>
        <w:rPr>
          <w:rFonts w:ascii="Times New Roman" w:eastAsia="Calibri" w:hAnsi="Times New Roman" w:cs="Times New Roman"/>
          <w:b/>
        </w:rPr>
        <w:t>7</w:t>
      </w:r>
      <w:r w:rsidR="00956F16" w:rsidRPr="00956F16">
        <w:rPr>
          <w:rFonts w:ascii="Times New Roman" w:eastAsia="Calibri" w:hAnsi="Times New Roman" w:cs="Times New Roman"/>
          <w:b/>
        </w:rPr>
        <w:t>. táblázat: Az összesített hatásossági adatok összefoglalása</w:t>
      </w:r>
    </w:p>
    <w:tbl>
      <w:tblPr>
        <w:tblW w:w="8921" w:type="dxa"/>
        <w:tblInd w:w="5" w:type="dxa"/>
        <w:tblLayout w:type="fixed"/>
        <w:tblCellMar>
          <w:left w:w="0" w:type="dxa"/>
          <w:right w:w="0" w:type="dxa"/>
        </w:tblCellMar>
        <w:tblLook w:val="0000" w:firstRow="0" w:lastRow="0" w:firstColumn="0" w:lastColumn="0" w:noHBand="0" w:noVBand="0"/>
      </w:tblPr>
      <w:tblGrid>
        <w:gridCol w:w="5135"/>
        <w:gridCol w:w="1843"/>
        <w:gridCol w:w="1943"/>
      </w:tblGrid>
      <w:tr w:rsidR="00956F16" w:rsidRPr="00956F16" w14:paraId="31CD67C9" w14:textId="77777777" w:rsidTr="00694E9C">
        <w:trPr>
          <w:trHeight w:hRule="exact" w:val="492"/>
          <w:tblHeader/>
        </w:trPr>
        <w:tc>
          <w:tcPr>
            <w:tcW w:w="5135" w:type="dxa"/>
            <w:tcBorders>
              <w:top w:val="single" w:sz="4" w:space="0" w:color="000000"/>
              <w:left w:val="single" w:sz="4" w:space="0" w:color="000000"/>
              <w:bottom w:val="single" w:sz="4" w:space="0" w:color="000000"/>
              <w:right w:val="single" w:sz="4" w:space="0" w:color="000000"/>
            </w:tcBorders>
          </w:tcPr>
          <w:p w14:paraId="795F8765" w14:textId="77777777" w:rsidR="00956F16" w:rsidRPr="00956F16" w:rsidRDefault="00956F16" w:rsidP="00956F16">
            <w:pPr>
              <w:keepNext/>
              <w:tabs>
                <w:tab w:val="left" w:pos="567"/>
              </w:tabs>
              <w:autoSpaceDE w:val="0"/>
              <w:autoSpaceDN w:val="0"/>
              <w:adjustRightInd w:val="0"/>
              <w:spacing w:after="0" w:line="240" w:lineRule="auto"/>
              <w:ind w:left="142"/>
              <w:rPr>
                <w:rFonts w:ascii="Times New Roman" w:eastAsia="Times New Roman" w:hAnsi="Times New Roman" w:cs="Times New Roman"/>
              </w:rPr>
            </w:pPr>
          </w:p>
        </w:tc>
        <w:tc>
          <w:tcPr>
            <w:tcW w:w="1843" w:type="dxa"/>
            <w:tcBorders>
              <w:top w:val="single" w:sz="4" w:space="0" w:color="000000"/>
              <w:left w:val="single" w:sz="4" w:space="0" w:color="000000"/>
              <w:bottom w:val="single" w:sz="4" w:space="0" w:color="000000"/>
              <w:right w:val="single" w:sz="4" w:space="0" w:color="000000"/>
            </w:tcBorders>
          </w:tcPr>
          <w:p w14:paraId="60DA30F7" w14:textId="77777777" w:rsidR="00956F16" w:rsidRPr="00956F16" w:rsidRDefault="00956F16" w:rsidP="00956F16">
            <w:pPr>
              <w:keepNext/>
              <w:tabs>
                <w:tab w:val="left" w:pos="567"/>
              </w:tabs>
              <w:autoSpaceDE w:val="0"/>
              <w:autoSpaceDN w:val="0"/>
              <w:adjustRightInd w:val="0"/>
              <w:spacing w:after="0" w:line="240" w:lineRule="auto"/>
              <w:jc w:val="center"/>
              <w:rPr>
                <w:rFonts w:ascii="Times New Roman" w:eastAsia="Times New Roman" w:hAnsi="Times New Roman" w:cs="Times New Roman"/>
              </w:rPr>
            </w:pPr>
            <w:r w:rsidRPr="00956F16">
              <w:rPr>
                <w:rFonts w:ascii="Times New Roman" w:eastAsia="Times New Roman" w:hAnsi="Times New Roman" w:cs="Times New Roman"/>
              </w:rPr>
              <w:t>Lenalidomid</w:t>
            </w:r>
          </w:p>
          <w:p w14:paraId="2D955690" w14:textId="77777777" w:rsidR="00956F16" w:rsidRPr="00956F16" w:rsidRDefault="00956F16" w:rsidP="00956F16">
            <w:pPr>
              <w:keepNext/>
              <w:tabs>
                <w:tab w:val="left" w:pos="567"/>
              </w:tabs>
              <w:autoSpaceDE w:val="0"/>
              <w:autoSpaceDN w:val="0"/>
              <w:adjustRightInd w:val="0"/>
              <w:spacing w:after="0" w:line="240" w:lineRule="auto"/>
              <w:jc w:val="center"/>
              <w:rPr>
                <w:rFonts w:ascii="Times New Roman" w:eastAsia="Times New Roman" w:hAnsi="Times New Roman" w:cs="Times New Roman"/>
              </w:rPr>
            </w:pPr>
            <w:r w:rsidRPr="00956F16">
              <w:rPr>
                <w:rFonts w:ascii="Times New Roman" w:eastAsia="Times New Roman" w:hAnsi="Times New Roman" w:cs="Times New Roman"/>
              </w:rPr>
              <w:t>(n =</w:t>
            </w:r>
            <w:r w:rsidRPr="00956F16">
              <w:rPr>
                <w:rFonts w:ascii="Times New Roman" w:eastAsia="Times New Roman" w:hAnsi="Times New Roman" w:cs="Times New Roman"/>
                <w:szCs w:val="20"/>
                <w:lang w:val="en-GB"/>
              </w:rPr>
              <w:t> </w:t>
            </w:r>
            <w:r w:rsidRPr="00956F16">
              <w:rPr>
                <w:rFonts w:ascii="Times New Roman" w:eastAsia="Times New Roman" w:hAnsi="Times New Roman" w:cs="Times New Roman"/>
              </w:rPr>
              <w:t>231)</w:t>
            </w:r>
          </w:p>
        </w:tc>
        <w:tc>
          <w:tcPr>
            <w:tcW w:w="1943" w:type="dxa"/>
            <w:tcBorders>
              <w:top w:val="single" w:sz="4" w:space="0" w:color="000000"/>
              <w:left w:val="single" w:sz="4" w:space="0" w:color="000000"/>
              <w:bottom w:val="single" w:sz="4" w:space="0" w:color="000000"/>
              <w:right w:val="single" w:sz="4" w:space="0" w:color="000000"/>
            </w:tcBorders>
          </w:tcPr>
          <w:p w14:paraId="55269C31" w14:textId="77777777" w:rsidR="00956F16" w:rsidRPr="00956F16" w:rsidRDefault="00956F16" w:rsidP="00956F16">
            <w:pPr>
              <w:keepNext/>
              <w:tabs>
                <w:tab w:val="left" w:pos="567"/>
              </w:tabs>
              <w:autoSpaceDE w:val="0"/>
              <w:autoSpaceDN w:val="0"/>
              <w:adjustRightInd w:val="0"/>
              <w:spacing w:after="0" w:line="240" w:lineRule="auto"/>
              <w:jc w:val="center"/>
              <w:rPr>
                <w:rFonts w:ascii="Times New Roman" w:eastAsia="Times New Roman" w:hAnsi="Times New Roman" w:cs="Times New Roman"/>
              </w:rPr>
            </w:pPr>
            <w:r w:rsidRPr="00956F16">
              <w:rPr>
                <w:rFonts w:ascii="Times New Roman" w:eastAsia="Times New Roman" w:hAnsi="Times New Roman" w:cs="Times New Roman"/>
              </w:rPr>
              <w:t>Placebo</w:t>
            </w:r>
          </w:p>
          <w:p w14:paraId="4542E163" w14:textId="77777777" w:rsidR="00956F16" w:rsidRPr="00956F16" w:rsidRDefault="00956F16" w:rsidP="00956F16">
            <w:pPr>
              <w:keepNext/>
              <w:tabs>
                <w:tab w:val="left" w:pos="567"/>
              </w:tabs>
              <w:autoSpaceDE w:val="0"/>
              <w:autoSpaceDN w:val="0"/>
              <w:adjustRightInd w:val="0"/>
              <w:spacing w:after="0" w:line="240" w:lineRule="auto"/>
              <w:jc w:val="center"/>
              <w:rPr>
                <w:rFonts w:ascii="Times New Roman" w:eastAsia="Times New Roman" w:hAnsi="Times New Roman" w:cs="Times New Roman"/>
              </w:rPr>
            </w:pPr>
            <w:r w:rsidRPr="00956F16">
              <w:rPr>
                <w:rFonts w:ascii="Times New Roman" w:eastAsia="Times New Roman" w:hAnsi="Times New Roman" w:cs="Times New Roman"/>
              </w:rPr>
              <w:t>(n = 229)</w:t>
            </w:r>
          </w:p>
        </w:tc>
      </w:tr>
      <w:tr w:rsidR="00956F16" w:rsidRPr="00956F16" w14:paraId="0478A73C" w14:textId="77777777" w:rsidTr="00694E9C">
        <w:trPr>
          <w:trHeight w:hRule="exact" w:val="525"/>
        </w:trPr>
        <w:tc>
          <w:tcPr>
            <w:tcW w:w="5135" w:type="dxa"/>
            <w:tcBorders>
              <w:top w:val="single" w:sz="4" w:space="0" w:color="000000"/>
              <w:left w:val="single" w:sz="4" w:space="0" w:color="000000"/>
              <w:bottom w:val="single" w:sz="4" w:space="0" w:color="000000"/>
              <w:right w:val="single" w:sz="4" w:space="0" w:color="000000"/>
            </w:tcBorders>
          </w:tcPr>
          <w:p w14:paraId="3013552D"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b/>
                <w:bCs/>
              </w:rPr>
              <w:t xml:space="preserve">PFS a vizsgálatot végző megítélése alapján </w:t>
            </w:r>
          </w:p>
        </w:tc>
        <w:tc>
          <w:tcPr>
            <w:tcW w:w="1843" w:type="dxa"/>
            <w:tcBorders>
              <w:top w:val="single" w:sz="4" w:space="0" w:color="000000"/>
              <w:left w:val="single" w:sz="4" w:space="0" w:color="000000"/>
              <w:bottom w:val="single" w:sz="4" w:space="0" w:color="000000"/>
              <w:right w:val="single" w:sz="4" w:space="0" w:color="000000"/>
            </w:tcBorders>
          </w:tcPr>
          <w:p w14:paraId="70B759F0" w14:textId="77777777" w:rsidR="00956F16" w:rsidRPr="00956F16" w:rsidRDefault="00956F16" w:rsidP="00956F16">
            <w:pPr>
              <w:keepNext/>
              <w:tabs>
                <w:tab w:val="left" w:pos="567"/>
              </w:tabs>
              <w:autoSpaceDE w:val="0"/>
              <w:autoSpaceDN w:val="0"/>
              <w:adjustRightInd w:val="0"/>
              <w:spacing w:after="0" w:line="240" w:lineRule="auto"/>
              <w:ind w:left="142"/>
              <w:rPr>
                <w:rFonts w:ascii="Times New Roman" w:eastAsia="Times New Roman" w:hAnsi="Times New Roman" w:cs="Times New Roman"/>
              </w:rPr>
            </w:pPr>
          </w:p>
        </w:tc>
        <w:tc>
          <w:tcPr>
            <w:tcW w:w="1943" w:type="dxa"/>
            <w:tcBorders>
              <w:top w:val="single" w:sz="4" w:space="0" w:color="000000"/>
              <w:left w:val="single" w:sz="4" w:space="0" w:color="000000"/>
              <w:bottom w:val="single" w:sz="4" w:space="0" w:color="000000"/>
              <w:right w:val="single" w:sz="4" w:space="0" w:color="000000"/>
            </w:tcBorders>
          </w:tcPr>
          <w:p w14:paraId="45024E0A" w14:textId="77777777" w:rsidR="00956F16" w:rsidRPr="00956F16" w:rsidRDefault="00956F16" w:rsidP="00956F16">
            <w:pPr>
              <w:keepNext/>
              <w:tabs>
                <w:tab w:val="left" w:pos="567"/>
              </w:tabs>
              <w:autoSpaceDE w:val="0"/>
              <w:autoSpaceDN w:val="0"/>
              <w:adjustRightInd w:val="0"/>
              <w:spacing w:after="0" w:line="240" w:lineRule="auto"/>
              <w:ind w:left="142"/>
              <w:rPr>
                <w:rFonts w:ascii="Times New Roman" w:eastAsia="Times New Roman" w:hAnsi="Times New Roman" w:cs="Times New Roman"/>
              </w:rPr>
            </w:pPr>
          </w:p>
        </w:tc>
      </w:tr>
      <w:tr w:rsidR="00956F16" w:rsidRPr="00956F16" w14:paraId="7FF8B4E4" w14:textId="77777777" w:rsidTr="00694E9C">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23B454DB" w14:textId="4752DB6E" w:rsidR="00956F16" w:rsidRPr="00956F16" w:rsidRDefault="00956F16" w:rsidP="00E83289">
            <w:pPr>
              <w:keepNext/>
              <w:tabs>
                <w:tab w:val="left" w:pos="567"/>
              </w:tabs>
              <w:spacing w:after="0" w:line="260" w:lineRule="exact"/>
              <w:ind w:left="276"/>
              <w:rPr>
                <w:rFonts w:ascii="Times New Roman" w:eastAsia="Times New Roman" w:hAnsi="Times New Roman" w:cs="Times New Roman"/>
              </w:rPr>
            </w:pPr>
            <w:r w:rsidRPr="00956F16">
              <w:rPr>
                <w:rFonts w:ascii="Times New Roman" w:eastAsia="Times New Roman" w:hAnsi="Times New Roman" w:cs="Times New Roman"/>
              </w:rPr>
              <w:t>A PFS 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ideje, hónapokban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b</w:t>
            </w:r>
          </w:p>
        </w:tc>
        <w:tc>
          <w:tcPr>
            <w:tcW w:w="1843" w:type="dxa"/>
            <w:tcBorders>
              <w:top w:val="single" w:sz="4" w:space="0" w:color="000000"/>
              <w:left w:val="single" w:sz="4" w:space="0" w:color="000000"/>
              <w:bottom w:val="single" w:sz="4" w:space="0" w:color="000000"/>
              <w:right w:val="single" w:sz="4" w:space="0" w:color="000000"/>
            </w:tcBorders>
          </w:tcPr>
          <w:p w14:paraId="582827E7" w14:textId="5D146389" w:rsidR="00956F16" w:rsidRPr="00956F16" w:rsidRDefault="00956F16" w:rsidP="00956F16">
            <w:pPr>
              <w:keepNext/>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b/>
                <w:bCs/>
              </w:rPr>
              <w:t xml:space="preserve">56,9 </w:t>
            </w:r>
            <w:r w:rsidRPr="00956F16">
              <w:rPr>
                <w:rFonts w:ascii="Times New Roman" w:eastAsia="Times New Roman" w:hAnsi="Times New Roman" w:cs="Times New Roman"/>
              </w:rPr>
              <w:t>(41,9</w:t>
            </w:r>
            <w:r w:rsidR="00F432F4">
              <w:rPr>
                <w:rFonts w:ascii="Times New Roman" w:eastAsia="Times New Roman" w:hAnsi="Times New Roman" w:cs="Times New Roman"/>
              </w:rPr>
              <w:t>;</w:t>
            </w:r>
            <w:r w:rsidRPr="00956F16">
              <w:rPr>
                <w:rFonts w:ascii="Times New Roman" w:eastAsia="Times New Roman" w:hAnsi="Times New Roman" w:cs="Times New Roman"/>
              </w:rPr>
              <w:t xml:space="preserve"> 71,7)</w:t>
            </w:r>
          </w:p>
        </w:tc>
        <w:tc>
          <w:tcPr>
            <w:tcW w:w="1943" w:type="dxa"/>
            <w:tcBorders>
              <w:top w:val="single" w:sz="4" w:space="0" w:color="000000"/>
              <w:left w:val="single" w:sz="4" w:space="0" w:color="000000"/>
              <w:bottom w:val="single" w:sz="4" w:space="0" w:color="000000"/>
              <w:right w:val="single" w:sz="4" w:space="0" w:color="000000"/>
            </w:tcBorders>
          </w:tcPr>
          <w:p w14:paraId="178FBAA9" w14:textId="723B56E2" w:rsidR="00956F16" w:rsidRPr="00956F16" w:rsidRDefault="00956F16" w:rsidP="00956F16">
            <w:pPr>
              <w:keepNext/>
              <w:tabs>
                <w:tab w:val="left" w:pos="567"/>
              </w:tabs>
              <w:autoSpaceDE w:val="0"/>
              <w:autoSpaceDN w:val="0"/>
              <w:adjustRightInd w:val="0"/>
              <w:spacing w:after="0" w:line="240" w:lineRule="auto"/>
              <w:jc w:val="center"/>
              <w:rPr>
                <w:rFonts w:ascii="Times New Roman" w:eastAsia="Times New Roman" w:hAnsi="Times New Roman" w:cs="Times New Roman"/>
              </w:rPr>
            </w:pPr>
            <w:r w:rsidRPr="00956F16">
              <w:rPr>
                <w:rFonts w:ascii="Times New Roman" w:eastAsia="Times New Roman" w:hAnsi="Times New Roman" w:cs="Times New Roman"/>
                <w:b/>
                <w:bCs/>
              </w:rPr>
              <w:t xml:space="preserve">29,4 </w:t>
            </w:r>
            <w:r w:rsidRPr="00956F16">
              <w:rPr>
                <w:rFonts w:ascii="Times New Roman" w:eastAsia="Times New Roman" w:hAnsi="Times New Roman" w:cs="Times New Roman"/>
              </w:rPr>
              <w:t>(20,7</w:t>
            </w:r>
            <w:r w:rsidR="00F432F4">
              <w:rPr>
                <w:rFonts w:ascii="Times New Roman" w:eastAsia="Times New Roman" w:hAnsi="Times New Roman" w:cs="Times New Roman"/>
              </w:rPr>
              <w:t>;</w:t>
            </w:r>
            <w:r w:rsidRPr="00956F16">
              <w:rPr>
                <w:rFonts w:ascii="Times New Roman" w:eastAsia="Times New Roman" w:hAnsi="Times New Roman" w:cs="Times New Roman"/>
              </w:rPr>
              <w:t xml:space="preserve"> 35,5)</w:t>
            </w:r>
          </w:p>
        </w:tc>
      </w:tr>
      <w:tr w:rsidR="00956F16" w:rsidRPr="00956F16" w14:paraId="52C09BCB" w14:textId="77777777" w:rsidTr="00694E9C">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03408452" w14:textId="6233C6DD" w:rsidR="00956F16" w:rsidRPr="00956F16" w:rsidRDefault="00956F16" w:rsidP="00E83289">
            <w:pPr>
              <w:keepNext/>
              <w:tabs>
                <w:tab w:val="left" w:pos="567"/>
              </w:tabs>
              <w:autoSpaceDE w:val="0"/>
              <w:autoSpaceDN w:val="0"/>
              <w:adjustRightInd w:val="0"/>
              <w:spacing w:after="0" w:line="240" w:lineRule="auto"/>
              <w:ind w:left="276" w:right="-20"/>
              <w:rPr>
                <w:rFonts w:ascii="Times New Roman" w:eastAsia="Times New Roman" w:hAnsi="Times New Roman" w:cs="Times New Roman"/>
              </w:rPr>
            </w:pPr>
            <w:r w:rsidRPr="00956F16">
              <w:rPr>
                <w:rFonts w:ascii="Times New Roman" w:eastAsia="Times New Roman" w:hAnsi="Times New Roman" w:cs="Times New Roman"/>
              </w:rPr>
              <w:t>HR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c</w:t>
            </w:r>
            <w:r w:rsidRPr="00956F16">
              <w:rPr>
                <w:rFonts w:ascii="Times New Roman" w:eastAsia="Times New Roman" w:hAnsi="Times New Roman" w:cs="Times New Roman"/>
              </w:rPr>
              <w:t>; p</w:t>
            </w:r>
            <w:r w:rsidR="00104634">
              <w:rPr>
                <w:rFonts w:ascii="Times New Roman" w:eastAsia="Times New Roman" w:hAnsi="Times New Roman" w:cs="Times New Roman"/>
              </w:rPr>
              <w:t>-</w:t>
            </w:r>
            <w:r w:rsidRPr="00956F16">
              <w:rPr>
                <w:rFonts w:ascii="Times New Roman" w:eastAsia="Times New Roman" w:hAnsi="Times New Roman" w:cs="Times New Roman"/>
              </w:rPr>
              <w:t>érték</w:t>
            </w:r>
            <w:r w:rsidRPr="00956F16">
              <w:rPr>
                <w:rFonts w:ascii="Times New Roman" w:eastAsia="Times New Roman" w:hAnsi="Times New Roman" w:cs="Times New Roman"/>
                <w:vertAlign w:val="superscript"/>
              </w:rPr>
              <w:t>d</w:t>
            </w:r>
          </w:p>
        </w:tc>
        <w:tc>
          <w:tcPr>
            <w:tcW w:w="3786" w:type="dxa"/>
            <w:gridSpan w:val="2"/>
            <w:tcBorders>
              <w:top w:val="single" w:sz="4" w:space="0" w:color="000000"/>
              <w:left w:val="single" w:sz="4" w:space="0" w:color="000000"/>
              <w:bottom w:val="single" w:sz="4" w:space="0" w:color="000000"/>
              <w:right w:val="single" w:sz="4" w:space="0" w:color="000000"/>
            </w:tcBorders>
          </w:tcPr>
          <w:p w14:paraId="5D20EA12" w14:textId="69810D51"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rPr>
            </w:pPr>
            <w:r w:rsidRPr="00956F16">
              <w:rPr>
                <w:rFonts w:ascii="Times New Roman" w:eastAsia="Times New Roman" w:hAnsi="Times New Roman" w:cs="Times New Roman"/>
                <w:b/>
                <w:bCs/>
              </w:rPr>
              <w:t xml:space="preserve">0,61 </w:t>
            </w:r>
            <w:r w:rsidRPr="00956F16">
              <w:rPr>
                <w:rFonts w:ascii="Times New Roman" w:eastAsia="Times New Roman" w:hAnsi="Times New Roman" w:cs="Times New Roman"/>
              </w:rPr>
              <w:t>(0,48</w:t>
            </w:r>
            <w:r w:rsidR="00F432F4">
              <w:rPr>
                <w:rFonts w:ascii="Times New Roman" w:eastAsia="Times New Roman" w:hAnsi="Times New Roman" w:cs="Times New Roman"/>
              </w:rPr>
              <w:t>;</w:t>
            </w:r>
            <w:r w:rsidRPr="00956F16">
              <w:rPr>
                <w:rFonts w:ascii="Times New Roman" w:eastAsia="Times New Roman" w:hAnsi="Times New Roman" w:cs="Times New Roman"/>
              </w:rPr>
              <w:t xml:space="preserve"> 0,76); &lt; 0,001</w:t>
            </w:r>
          </w:p>
        </w:tc>
      </w:tr>
      <w:tr w:rsidR="00956F16" w:rsidRPr="00956F16" w14:paraId="546C5830" w14:textId="77777777" w:rsidTr="00694E9C">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422590C4"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b/>
                <w:bCs/>
              </w:rPr>
              <w:t>PFS2</w:t>
            </w:r>
            <w:r w:rsidRPr="00956F16">
              <w:rPr>
                <w:rFonts w:ascii="Times New Roman" w:eastAsia="Times New Roman" w:hAnsi="Times New Roman" w:cs="Times New Roman"/>
                <w:b/>
                <w:bCs/>
                <w:vertAlign w:val="superscript"/>
              </w:rPr>
              <w:t>e</w:t>
            </w:r>
          </w:p>
        </w:tc>
        <w:tc>
          <w:tcPr>
            <w:tcW w:w="1843" w:type="dxa"/>
            <w:tcBorders>
              <w:top w:val="single" w:sz="4" w:space="0" w:color="000000"/>
              <w:left w:val="single" w:sz="4" w:space="0" w:color="000000"/>
              <w:bottom w:val="single" w:sz="4" w:space="0" w:color="000000"/>
              <w:right w:val="single" w:sz="4" w:space="0" w:color="000000"/>
            </w:tcBorders>
          </w:tcPr>
          <w:p w14:paraId="362F76C3" w14:textId="77777777" w:rsidR="00956F16" w:rsidRPr="00956F16" w:rsidRDefault="00956F16" w:rsidP="00956F16">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rPr>
            </w:pPr>
          </w:p>
        </w:tc>
        <w:tc>
          <w:tcPr>
            <w:tcW w:w="1943" w:type="dxa"/>
            <w:tcBorders>
              <w:top w:val="single" w:sz="4" w:space="0" w:color="000000"/>
              <w:left w:val="single" w:sz="4" w:space="0" w:color="000000"/>
              <w:bottom w:val="single" w:sz="4" w:space="0" w:color="000000"/>
              <w:right w:val="single" w:sz="4" w:space="0" w:color="000000"/>
            </w:tcBorders>
          </w:tcPr>
          <w:p w14:paraId="55EBDC39" w14:textId="77777777" w:rsidR="00956F16" w:rsidRPr="00956F16" w:rsidRDefault="00956F16" w:rsidP="00956F16">
            <w:pPr>
              <w:keepNext/>
              <w:tabs>
                <w:tab w:val="left" w:pos="567"/>
              </w:tabs>
              <w:autoSpaceDE w:val="0"/>
              <w:autoSpaceDN w:val="0"/>
              <w:adjustRightInd w:val="0"/>
              <w:spacing w:after="0" w:line="240" w:lineRule="auto"/>
              <w:jc w:val="center"/>
              <w:rPr>
                <w:rFonts w:ascii="Times New Roman" w:eastAsia="Times New Roman" w:hAnsi="Times New Roman" w:cs="Times New Roman"/>
              </w:rPr>
            </w:pPr>
          </w:p>
        </w:tc>
      </w:tr>
      <w:tr w:rsidR="00956F16" w:rsidRPr="00956F16" w14:paraId="3CC034A2" w14:textId="77777777" w:rsidTr="00694E9C">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5B800F57" w14:textId="7760FF26" w:rsidR="00956F16" w:rsidRPr="00956F16" w:rsidRDefault="00956F16" w:rsidP="00E83289">
            <w:pPr>
              <w:keepNext/>
              <w:tabs>
                <w:tab w:val="left" w:pos="567"/>
              </w:tabs>
              <w:autoSpaceDE w:val="0"/>
              <w:autoSpaceDN w:val="0"/>
              <w:adjustRightInd w:val="0"/>
              <w:spacing w:after="0" w:line="240" w:lineRule="auto"/>
              <w:ind w:left="276" w:right="-20"/>
              <w:rPr>
                <w:rFonts w:ascii="Times New Roman" w:eastAsia="Times New Roman" w:hAnsi="Times New Roman" w:cs="Times New Roman"/>
              </w:rPr>
            </w:pPr>
            <w:r w:rsidRPr="00956F16">
              <w:rPr>
                <w:rFonts w:ascii="Times New Roman" w:eastAsia="Times New Roman" w:hAnsi="Times New Roman" w:cs="Times New Roman"/>
              </w:rPr>
              <w:t>A PFS2 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ideje, hónapokban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b</w:t>
            </w:r>
          </w:p>
        </w:tc>
        <w:tc>
          <w:tcPr>
            <w:tcW w:w="1843" w:type="dxa"/>
            <w:tcBorders>
              <w:top w:val="single" w:sz="4" w:space="0" w:color="000000"/>
              <w:left w:val="single" w:sz="4" w:space="0" w:color="000000"/>
              <w:bottom w:val="single" w:sz="4" w:space="0" w:color="000000"/>
              <w:right w:val="single" w:sz="4" w:space="0" w:color="000000"/>
            </w:tcBorders>
          </w:tcPr>
          <w:p w14:paraId="5AD957A4" w14:textId="16E8C7F3" w:rsidR="00956F16" w:rsidRPr="00956F16" w:rsidRDefault="00956F16" w:rsidP="00956F16">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b/>
                <w:bCs/>
              </w:rPr>
              <w:t xml:space="preserve">80,2 </w:t>
            </w:r>
            <w:r w:rsidRPr="00956F16">
              <w:rPr>
                <w:rFonts w:ascii="Times New Roman" w:eastAsia="Times New Roman" w:hAnsi="Times New Roman" w:cs="Times New Roman"/>
              </w:rPr>
              <w:t>(63,3</w:t>
            </w:r>
            <w:r w:rsidR="00F432F4">
              <w:rPr>
                <w:rFonts w:ascii="Times New Roman" w:eastAsia="Times New Roman" w:hAnsi="Times New Roman" w:cs="Times New Roman"/>
              </w:rPr>
              <w:t>;</w:t>
            </w:r>
            <w:r w:rsidRPr="00956F16">
              <w:rPr>
                <w:rFonts w:ascii="Times New Roman" w:eastAsia="Times New Roman" w:hAnsi="Times New Roman" w:cs="Times New Roman"/>
              </w:rPr>
              <w:t xml:space="preserve"> 101,8)</w:t>
            </w:r>
          </w:p>
        </w:tc>
        <w:tc>
          <w:tcPr>
            <w:tcW w:w="1943" w:type="dxa"/>
            <w:tcBorders>
              <w:top w:val="single" w:sz="4" w:space="0" w:color="000000"/>
              <w:left w:val="single" w:sz="4" w:space="0" w:color="000000"/>
              <w:bottom w:val="single" w:sz="4" w:space="0" w:color="000000"/>
              <w:right w:val="single" w:sz="4" w:space="0" w:color="000000"/>
            </w:tcBorders>
          </w:tcPr>
          <w:p w14:paraId="5F042304" w14:textId="7B4B81DA" w:rsidR="00956F16" w:rsidRPr="00956F16" w:rsidRDefault="00956F16" w:rsidP="00956F16">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b/>
                <w:bCs/>
              </w:rPr>
              <w:t xml:space="preserve">52,8 </w:t>
            </w:r>
            <w:r w:rsidRPr="00956F16">
              <w:rPr>
                <w:rFonts w:ascii="Times New Roman" w:eastAsia="Times New Roman" w:hAnsi="Times New Roman" w:cs="Times New Roman"/>
              </w:rPr>
              <w:t>(41,3</w:t>
            </w:r>
            <w:r w:rsidR="00F432F4">
              <w:rPr>
                <w:rFonts w:ascii="Times New Roman" w:eastAsia="Times New Roman" w:hAnsi="Times New Roman" w:cs="Times New Roman"/>
              </w:rPr>
              <w:t>;</w:t>
            </w:r>
            <w:r w:rsidRPr="00956F16">
              <w:rPr>
                <w:rFonts w:ascii="Times New Roman" w:eastAsia="Times New Roman" w:hAnsi="Times New Roman" w:cs="Times New Roman"/>
              </w:rPr>
              <w:t xml:space="preserve"> 64,0)</w:t>
            </w:r>
          </w:p>
        </w:tc>
      </w:tr>
      <w:tr w:rsidR="00956F16" w:rsidRPr="00956F16" w14:paraId="4DECE30C" w14:textId="77777777" w:rsidTr="00694E9C">
        <w:trPr>
          <w:trHeight w:hRule="exact" w:val="252"/>
        </w:trPr>
        <w:tc>
          <w:tcPr>
            <w:tcW w:w="5135" w:type="dxa"/>
            <w:tcBorders>
              <w:top w:val="single" w:sz="4" w:space="0" w:color="000000"/>
              <w:left w:val="single" w:sz="4" w:space="0" w:color="000000"/>
              <w:bottom w:val="single" w:sz="4" w:space="0" w:color="000000"/>
              <w:right w:val="single" w:sz="4" w:space="0" w:color="000000"/>
            </w:tcBorders>
          </w:tcPr>
          <w:p w14:paraId="34AFFF12" w14:textId="4C8D037B" w:rsidR="00956F16" w:rsidRPr="00956F16" w:rsidRDefault="00956F16" w:rsidP="00E83289">
            <w:pPr>
              <w:keepNext/>
              <w:tabs>
                <w:tab w:val="left" w:pos="567"/>
              </w:tabs>
              <w:autoSpaceDE w:val="0"/>
              <w:autoSpaceDN w:val="0"/>
              <w:adjustRightInd w:val="0"/>
              <w:spacing w:after="0" w:line="240" w:lineRule="auto"/>
              <w:ind w:left="276" w:right="-20"/>
              <w:rPr>
                <w:rFonts w:ascii="Times New Roman" w:eastAsia="Times New Roman" w:hAnsi="Times New Roman" w:cs="Times New Roman"/>
              </w:rPr>
            </w:pPr>
            <w:r w:rsidRPr="00956F16">
              <w:rPr>
                <w:rFonts w:ascii="Times New Roman" w:eastAsia="Times New Roman" w:hAnsi="Times New Roman" w:cs="Times New Roman"/>
              </w:rPr>
              <w:t>HR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c</w:t>
            </w:r>
            <w:r w:rsidRPr="00956F16">
              <w:rPr>
                <w:rFonts w:ascii="Times New Roman" w:eastAsia="Times New Roman" w:hAnsi="Times New Roman" w:cs="Times New Roman"/>
              </w:rPr>
              <w:t>; p</w:t>
            </w:r>
            <w:r w:rsidR="00104634">
              <w:rPr>
                <w:rFonts w:ascii="Times New Roman" w:eastAsia="Times New Roman" w:hAnsi="Times New Roman" w:cs="Times New Roman"/>
              </w:rPr>
              <w:t>-</w:t>
            </w:r>
            <w:r w:rsidRPr="00956F16">
              <w:rPr>
                <w:rFonts w:ascii="Times New Roman" w:eastAsia="Times New Roman" w:hAnsi="Times New Roman" w:cs="Times New Roman"/>
              </w:rPr>
              <w:t>érték</w:t>
            </w:r>
            <w:r w:rsidRPr="00956F16">
              <w:rPr>
                <w:rFonts w:ascii="Times New Roman" w:eastAsia="Times New Roman" w:hAnsi="Times New Roman" w:cs="Times New Roman"/>
                <w:vertAlign w:val="superscript"/>
              </w:rPr>
              <w:t>d</w:t>
            </w:r>
          </w:p>
        </w:tc>
        <w:tc>
          <w:tcPr>
            <w:tcW w:w="3786" w:type="dxa"/>
            <w:gridSpan w:val="2"/>
            <w:tcBorders>
              <w:top w:val="single" w:sz="4" w:space="0" w:color="000000"/>
              <w:left w:val="single" w:sz="4" w:space="0" w:color="000000"/>
              <w:bottom w:val="single" w:sz="4" w:space="0" w:color="000000"/>
              <w:right w:val="single" w:sz="4" w:space="0" w:color="000000"/>
            </w:tcBorders>
          </w:tcPr>
          <w:p w14:paraId="5ED935AC" w14:textId="0B83DADC" w:rsidR="00956F16" w:rsidRPr="00956F16" w:rsidRDefault="00956F16" w:rsidP="00956F16">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rPr>
            </w:pPr>
            <w:r w:rsidRPr="00956F16">
              <w:rPr>
                <w:rFonts w:ascii="Times New Roman" w:eastAsia="Times New Roman" w:hAnsi="Times New Roman" w:cs="Times New Roman"/>
                <w:b/>
                <w:bCs/>
              </w:rPr>
              <w:t xml:space="preserve">0,61 </w:t>
            </w:r>
            <w:r w:rsidRPr="00956F16">
              <w:rPr>
                <w:rFonts w:ascii="Times New Roman" w:eastAsia="Times New Roman" w:hAnsi="Times New Roman" w:cs="Times New Roman"/>
              </w:rPr>
              <w:t>(0,48</w:t>
            </w:r>
            <w:r w:rsidR="00F432F4">
              <w:rPr>
                <w:rFonts w:ascii="Times New Roman" w:eastAsia="Times New Roman" w:hAnsi="Times New Roman" w:cs="Times New Roman"/>
              </w:rPr>
              <w:t>;</w:t>
            </w:r>
            <w:r w:rsidRPr="00956F16">
              <w:rPr>
                <w:rFonts w:ascii="Times New Roman" w:eastAsia="Times New Roman" w:hAnsi="Times New Roman" w:cs="Times New Roman"/>
              </w:rPr>
              <w:t xml:space="preserve"> 0,78); &lt; 0,001</w:t>
            </w:r>
          </w:p>
        </w:tc>
      </w:tr>
      <w:tr w:rsidR="00956F16" w:rsidRPr="00956F16" w14:paraId="41B401F2" w14:textId="77777777" w:rsidTr="00694E9C">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13CF1BDA"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b/>
                <w:bCs/>
              </w:rPr>
              <w:t>Teljes túlélés</w:t>
            </w:r>
          </w:p>
        </w:tc>
        <w:tc>
          <w:tcPr>
            <w:tcW w:w="1843" w:type="dxa"/>
            <w:tcBorders>
              <w:top w:val="single" w:sz="4" w:space="0" w:color="000000"/>
              <w:left w:val="single" w:sz="4" w:space="0" w:color="000000"/>
              <w:bottom w:val="single" w:sz="4" w:space="0" w:color="000000"/>
              <w:right w:val="single" w:sz="4" w:space="0" w:color="000000"/>
            </w:tcBorders>
          </w:tcPr>
          <w:p w14:paraId="0B6C4188" w14:textId="77777777" w:rsidR="00956F16" w:rsidRPr="00956F16" w:rsidRDefault="00956F16" w:rsidP="00956F16">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rPr>
            </w:pPr>
          </w:p>
        </w:tc>
        <w:tc>
          <w:tcPr>
            <w:tcW w:w="1943" w:type="dxa"/>
            <w:tcBorders>
              <w:top w:val="single" w:sz="4" w:space="0" w:color="000000"/>
              <w:left w:val="single" w:sz="4" w:space="0" w:color="000000"/>
              <w:bottom w:val="single" w:sz="4" w:space="0" w:color="000000"/>
              <w:right w:val="single" w:sz="4" w:space="0" w:color="000000"/>
            </w:tcBorders>
          </w:tcPr>
          <w:p w14:paraId="531AAEE2" w14:textId="77777777" w:rsidR="00956F16" w:rsidRPr="00956F16" w:rsidRDefault="00956F16" w:rsidP="00956F16">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rPr>
            </w:pPr>
          </w:p>
        </w:tc>
      </w:tr>
      <w:tr w:rsidR="00956F16" w:rsidRPr="00956F16" w14:paraId="615626F9" w14:textId="77777777" w:rsidTr="00694E9C">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31BB85B2" w14:textId="58CB5DF3" w:rsidR="00956F16" w:rsidRPr="00956F16" w:rsidRDefault="00956F16" w:rsidP="00E83289">
            <w:pPr>
              <w:keepNext/>
              <w:tabs>
                <w:tab w:val="left" w:pos="567"/>
              </w:tabs>
              <w:autoSpaceDE w:val="0"/>
              <w:autoSpaceDN w:val="0"/>
              <w:adjustRightInd w:val="0"/>
              <w:spacing w:after="0" w:line="240" w:lineRule="auto"/>
              <w:ind w:left="276" w:right="-20"/>
              <w:rPr>
                <w:rFonts w:ascii="Times New Roman" w:eastAsia="Times New Roman" w:hAnsi="Times New Roman" w:cs="Times New Roman"/>
              </w:rPr>
            </w:pPr>
            <w:r w:rsidRPr="00956F16">
              <w:rPr>
                <w:rFonts w:ascii="Times New Roman" w:eastAsia="Times New Roman" w:hAnsi="Times New Roman" w:cs="Times New Roman"/>
              </w:rPr>
              <w:t>Az OS 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ideje, hónapokban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b</w:t>
            </w:r>
          </w:p>
        </w:tc>
        <w:tc>
          <w:tcPr>
            <w:tcW w:w="1843" w:type="dxa"/>
            <w:tcBorders>
              <w:top w:val="single" w:sz="4" w:space="0" w:color="000000"/>
              <w:left w:val="single" w:sz="4" w:space="0" w:color="000000"/>
              <w:bottom w:val="single" w:sz="4" w:space="0" w:color="000000"/>
              <w:right w:val="single" w:sz="4" w:space="0" w:color="000000"/>
            </w:tcBorders>
          </w:tcPr>
          <w:p w14:paraId="0204BCE8" w14:textId="5C6FE32A" w:rsidR="00956F16" w:rsidRPr="00956F16" w:rsidRDefault="00956F16" w:rsidP="00956F16">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b/>
                <w:bCs/>
              </w:rPr>
              <w:t xml:space="preserve">111,0 </w:t>
            </w:r>
            <w:r w:rsidRPr="00956F16">
              <w:rPr>
                <w:rFonts w:ascii="Times New Roman" w:eastAsia="Times New Roman" w:hAnsi="Times New Roman" w:cs="Times New Roman"/>
              </w:rPr>
              <w:t>(101,8</w:t>
            </w:r>
            <w:r w:rsidR="00F432F4">
              <w:rPr>
                <w:rFonts w:ascii="Times New Roman" w:eastAsia="Times New Roman" w:hAnsi="Times New Roman" w:cs="Times New Roman"/>
              </w:rPr>
              <w:t>;</w:t>
            </w:r>
            <w:r w:rsidRPr="00956F16">
              <w:rPr>
                <w:rFonts w:ascii="Times New Roman" w:eastAsia="Times New Roman" w:hAnsi="Times New Roman" w:cs="Times New Roman"/>
              </w:rPr>
              <w:t xml:space="preserve"> NE)</w:t>
            </w:r>
          </w:p>
        </w:tc>
        <w:tc>
          <w:tcPr>
            <w:tcW w:w="1943" w:type="dxa"/>
            <w:tcBorders>
              <w:top w:val="single" w:sz="4" w:space="0" w:color="000000"/>
              <w:left w:val="single" w:sz="4" w:space="0" w:color="000000"/>
              <w:bottom w:val="single" w:sz="4" w:space="0" w:color="000000"/>
              <w:right w:val="single" w:sz="4" w:space="0" w:color="000000"/>
            </w:tcBorders>
          </w:tcPr>
          <w:p w14:paraId="0ACFCF73" w14:textId="4B6AB9C5" w:rsidR="00956F16" w:rsidRPr="00956F16" w:rsidRDefault="00956F16" w:rsidP="00956F16">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b/>
                <w:bCs/>
              </w:rPr>
              <w:t xml:space="preserve">84,2 </w:t>
            </w:r>
            <w:r w:rsidRPr="00956F16">
              <w:rPr>
                <w:rFonts w:ascii="Times New Roman" w:eastAsia="Times New Roman" w:hAnsi="Times New Roman" w:cs="Times New Roman"/>
              </w:rPr>
              <w:t>(71,0</w:t>
            </w:r>
            <w:r w:rsidR="00F432F4">
              <w:rPr>
                <w:rFonts w:ascii="Times New Roman" w:eastAsia="Times New Roman" w:hAnsi="Times New Roman" w:cs="Times New Roman"/>
              </w:rPr>
              <w:t>;</w:t>
            </w:r>
            <w:r w:rsidRPr="00956F16">
              <w:rPr>
                <w:rFonts w:ascii="Times New Roman" w:eastAsia="Times New Roman" w:hAnsi="Times New Roman" w:cs="Times New Roman"/>
              </w:rPr>
              <w:t xml:space="preserve"> 102,7)</w:t>
            </w:r>
          </w:p>
        </w:tc>
      </w:tr>
      <w:tr w:rsidR="00956F16" w:rsidRPr="00956F16" w14:paraId="5C63A986" w14:textId="77777777" w:rsidTr="00694E9C">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41221822" w14:textId="77777777" w:rsidR="00956F16" w:rsidRPr="00956F16" w:rsidRDefault="00956F16" w:rsidP="00E83289">
            <w:pPr>
              <w:keepNext/>
              <w:tabs>
                <w:tab w:val="left" w:pos="567"/>
              </w:tabs>
              <w:autoSpaceDE w:val="0"/>
              <w:autoSpaceDN w:val="0"/>
              <w:adjustRightInd w:val="0"/>
              <w:spacing w:after="0" w:line="240" w:lineRule="auto"/>
              <w:ind w:left="276" w:right="-20"/>
              <w:rPr>
                <w:rFonts w:ascii="Times New Roman" w:eastAsia="Times New Roman" w:hAnsi="Times New Roman" w:cs="Times New Roman"/>
              </w:rPr>
            </w:pPr>
            <w:r w:rsidRPr="00956F16">
              <w:rPr>
                <w:rFonts w:ascii="Times New Roman" w:eastAsia="Times New Roman" w:hAnsi="Times New Roman" w:cs="Times New Roman"/>
              </w:rPr>
              <w:t>8 éves túlélési arány, % (SE)</w:t>
            </w:r>
          </w:p>
        </w:tc>
        <w:tc>
          <w:tcPr>
            <w:tcW w:w="1843" w:type="dxa"/>
            <w:tcBorders>
              <w:top w:val="single" w:sz="4" w:space="0" w:color="000000"/>
              <w:left w:val="single" w:sz="4" w:space="0" w:color="000000"/>
              <w:bottom w:val="single" w:sz="4" w:space="0" w:color="000000"/>
              <w:right w:val="single" w:sz="4" w:space="0" w:color="000000"/>
            </w:tcBorders>
          </w:tcPr>
          <w:p w14:paraId="54049A4E" w14:textId="77777777" w:rsidR="00956F16" w:rsidRPr="00956F16" w:rsidRDefault="00956F16" w:rsidP="00956F16">
            <w:pPr>
              <w:keepNext/>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rPr>
              <w:t>60,9 (3,78)</w:t>
            </w:r>
          </w:p>
        </w:tc>
        <w:tc>
          <w:tcPr>
            <w:tcW w:w="1943" w:type="dxa"/>
            <w:tcBorders>
              <w:top w:val="single" w:sz="4" w:space="0" w:color="000000"/>
              <w:left w:val="single" w:sz="4" w:space="0" w:color="000000"/>
              <w:bottom w:val="single" w:sz="4" w:space="0" w:color="000000"/>
              <w:right w:val="single" w:sz="4" w:space="0" w:color="000000"/>
            </w:tcBorders>
          </w:tcPr>
          <w:p w14:paraId="4FA086E4" w14:textId="77777777" w:rsidR="00956F16" w:rsidRPr="00956F16" w:rsidRDefault="00956F16" w:rsidP="00956F16">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rPr>
              <w:t>44,6 (3,98)</w:t>
            </w:r>
          </w:p>
        </w:tc>
      </w:tr>
      <w:tr w:rsidR="00956F16" w:rsidRPr="00956F16" w14:paraId="3C481847" w14:textId="77777777" w:rsidTr="00694E9C">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766B6B91" w14:textId="0A3BCB62" w:rsidR="00956F16" w:rsidRPr="00956F16" w:rsidRDefault="00956F16" w:rsidP="00E83289">
            <w:pPr>
              <w:keepNext/>
              <w:tabs>
                <w:tab w:val="left" w:pos="567"/>
              </w:tabs>
              <w:autoSpaceDE w:val="0"/>
              <w:autoSpaceDN w:val="0"/>
              <w:adjustRightInd w:val="0"/>
              <w:spacing w:after="0" w:line="240" w:lineRule="auto"/>
              <w:ind w:left="276" w:right="-20"/>
              <w:rPr>
                <w:rFonts w:ascii="Times New Roman" w:eastAsia="Times New Roman" w:hAnsi="Times New Roman" w:cs="Times New Roman"/>
              </w:rPr>
            </w:pPr>
            <w:r w:rsidRPr="00956F16">
              <w:rPr>
                <w:rFonts w:ascii="Times New Roman" w:eastAsia="Times New Roman" w:hAnsi="Times New Roman" w:cs="Times New Roman"/>
              </w:rPr>
              <w:t>HR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c</w:t>
            </w:r>
            <w:r w:rsidRPr="00956F16">
              <w:rPr>
                <w:rFonts w:ascii="Times New Roman" w:eastAsia="Times New Roman" w:hAnsi="Times New Roman" w:cs="Times New Roman"/>
              </w:rPr>
              <w:t>; p</w:t>
            </w:r>
            <w:r w:rsidR="00104634">
              <w:rPr>
                <w:rFonts w:ascii="Times New Roman" w:eastAsia="Times New Roman" w:hAnsi="Times New Roman" w:cs="Times New Roman"/>
              </w:rPr>
              <w:t>-</w:t>
            </w:r>
            <w:r w:rsidRPr="00956F16">
              <w:rPr>
                <w:rFonts w:ascii="Times New Roman" w:eastAsia="Times New Roman" w:hAnsi="Times New Roman" w:cs="Times New Roman"/>
              </w:rPr>
              <w:t>érték</w:t>
            </w:r>
            <w:r w:rsidRPr="00956F16">
              <w:rPr>
                <w:rFonts w:ascii="Times New Roman" w:eastAsia="Times New Roman" w:hAnsi="Times New Roman" w:cs="Times New Roman"/>
                <w:vertAlign w:val="superscript"/>
              </w:rPr>
              <w:t>d</w:t>
            </w:r>
          </w:p>
        </w:tc>
        <w:tc>
          <w:tcPr>
            <w:tcW w:w="3786" w:type="dxa"/>
            <w:gridSpan w:val="2"/>
            <w:tcBorders>
              <w:top w:val="single" w:sz="4" w:space="0" w:color="000000"/>
              <w:left w:val="single" w:sz="4" w:space="0" w:color="000000"/>
              <w:bottom w:val="single" w:sz="4" w:space="0" w:color="000000"/>
              <w:right w:val="single" w:sz="4" w:space="0" w:color="000000"/>
            </w:tcBorders>
          </w:tcPr>
          <w:p w14:paraId="120A9D7A" w14:textId="4A5A5E34" w:rsidR="00956F16" w:rsidRPr="00956F16" w:rsidRDefault="00956F16" w:rsidP="00956F16">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b/>
                <w:bCs/>
              </w:rPr>
              <w:t xml:space="preserve">0,61 </w:t>
            </w:r>
            <w:r w:rsidRPr="00956F16">
              <w:rPr>
                <w:rFonts w:ascii="Times New Roman" w:eastAsia="Times New Roman" w:hAnsi="Times New Roman" w:cs="Times New Roman"/>
              </w:rPr>
              <w:t>(0,46</w:t>
            </w:r>
            <w:r w:rsidR="00F432F4">
              <w:rPr>
                <w:rFonts w:ascii="Times New Roman" w:eastAsia="Times New Roman" w:hAnsi="Times New Roman" w:cs="Times New Roman"/>
              </w:rPr>
              <w:t>;</w:t>
            </w:r>
            <w:r w:rsidRPr="00956F16">
              <w:rPr>
                <w:rFonts w:ascii="Times New Roman" w:eastAsia="Times New Roman" w:hAnsi="Times New Roman" w:cs="Times New Roman"/>
              </w:rPr>
              <w:t xml:space="preserve"> 0,81); &lt; 0,001</w:t>
            </w:r>
          </w:p>
        </w:tc>
      </w:tr>
      <w:tr w:rsidR="00956F16" w:rsidRPr="00956F16" w14:paraId="2BE9092F" w14:textId="77777777" w:rsidTr="00694E9C">
        <w:trPr>
          <w:trHeight w:hRule="exact" w:val="252"/>
        </w:trPr>
        <w:tc>
          <w:tcPr>
            <w:tcW w:w="5135" w:type="dxa"/>
            <w:tcBorders>
              <w:top w:val="single" w:sz="4" w:space="0" w:color="000000"/>
              <w:left w:val="single" w:sz="4" w:space="0" w:color="000000"/>
              <w:bottom w:val="single" w:sz="4" w:space="0" w:color="000000"/>
              <w:right w:val="single" w:sz="4" w:space="0" w:color="000000"/>
            </w:tcBorders>
          </w:tcPr>
          <w:p w14:paraId="34D83628" w14:textId="77777777" w:rsidR="00956F16" w:rsidRPr="00956F16" w:rsidRDefault="00956F16" w:rsidP="00956F16">
            <w:pPr>
              <w:keepNext/>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b/>
                <w:bCs/>
              </w:rPr>
              <w:t>Utánkövetés</w:t>
            </w:r>
          </w:p>
        </w:tc>
        <w:tc>
          <w:tcPr>
            <w:tcW w:w="1843" w:type="dxa"/>
            <w:tcBorders>
              <w:top w:val="single" w:sz="4" w:space="0" w:color="000000"/>
              <w:left w:val="single" w:sz="4" w:space="0" w:color="000000"/>
              <w:bottom w:val="single" w:sz="4" w:space="0" w:color="000000"/>
              <w:right w:val="single" w:sz="4" w:space="0" w:color="000000"/>
            </w:tcBorders>
          </w:tcPr>
          <w:p w14:paraId="65A2789E" w14:textId="77777777" w:rsidR="00956F16" w:rsidRPr="00956F16" w:rsidRDefault="00956F16" w:rsidP="00956F16">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rPr>
            </w:pPr>
          </w:p>
        </w:tc>
        <w:tc>
          <w:tcPr>
            <w:tcW w:w="1943" w:type="dxa"/>
            <w:tcBorders>
              <w:top w:val="single" w:sz="4" w:space="0" w:color="000000"/>
              <w:left w:val="single" w:sz="4" w:space="0" w:color="000000"/>
              <w:bottom w:val="single" w:sz="4" w:space="0" w:color="000000"/>
              <w:right w:val="single" w:sz="4" w:space="0" w:color="000000"/>
            </w:tcBorders>
          </w:tcPr>
          <w:p w14:paraId="24FA284E" w14:textId="77777777" w:rsidR="00956F16" w:rsidRPr="00956F16" w:rsidRDefault="00956F16" w:rsidP="00956F16">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rPr>
            </w:pPr>
          </w:p>
        </w:tc>
      </w:tr>
      <w:tr w:rsidR="00956F16" w:rsidRPr="00956F16" w14:paraId="38A74C28" w14:textId="77777777" w:rsidTr="00694E9C">
        <w:trPr>
          <w:trHeight w:hRule="exact" w:val="250"/>
        </w:trPr>
        <w:tc>
          <w:tcPr>
            <w:tcW w:w="5135" w:type="dxa"/>
            <w:tcBorders>
              <w:top w:val="single" w:sz="4" w:space="0" w:color="000000"/>
              <w:left w:val="single" w:sz="4" w:space="0" w:color="000000"/>
              <w:bottom w:val="single" w:sz="4" w:space="0" w:color="000000"/>
              <w:right w:val="single" w:sz="4" w:space="0" w:color="000000"/>
            </w:tcBorders>
          </w:tcPr>
          <w:p w14:paraId="2612298A" w14:textId="77777777" w:rsidR="00956F16" w:rsidRPr="00956F16" w:rsidRDefault="00956F16" w:rsidP="00E83289">
            <w:pPr>
              <w:widowControl w:val="0"/>
              <w:tabs>
                <w:tab w:val="left" w:pos="567"/>
              </w:tabs>
              <w:autoSpaceDE w:val="0"/>
              <w:autoSpaceDN w:val="0"/>
              <w:adjustRightInd w:val="0"/>
              <w:spacing w:after="0" w:line="240" w:lineRule="auto"/>
              <w:ind w:left="276" w:right="-20"/>
              <w:rPr>
                <w:rFonts w:ascii="Times New Roman" w:eastAsia="Times New Roman" w:hAnsi="Times New Roman" w:cs="Times New Roman"/>
              </w:rPr>
            </w:pPr>
            <w:r w:rsidRPr="00956F16">
              <w:rPr>
                <w:rFonts w:ascii="Times New Roman" w:eastAsia="Times New Roman" w:hAnsi="Times New Roman" w:cs="Times New Roman"/>
              </w:rPr>
              <w:t>Medián</w:t>
            </w:r>
            <w:r w:rsidRPr="00956F16">
              <w:rPr>
                <w:rFonts w:ascii="Times New Roman" w:eastAsia="Times New Roman" w:hAnsi="Times New Roman" w:cs="Times New Roman"/>
                <w:vertAlign w:val="superscript"/>
              </w:rPr>
              <w:t>f</w:t>
            </w:r>
            <w:r w:rsidRPr="00956F16">
              <w:rPr>
                <w:rFonts w:ascii="Times New Roman" w:eastAsia="Times New Roman" w:hAnsi="Times New Roman" w:cs="Times New Roman"/>
              </w:rPr>
              <w:t xml:space="preserve"> (min, max), hónap: az összes túlélő beteg</w:t>
            </w:r>
          </w:p>
        </w:tc>
        <w:tc>
          <w:tcPr>
            <w:tcW w:w="1843" w:type="dxa"/>
            <w:tcBorders>
              <w:top w:val="single" w:sz="4" w:space="0" w:color="000000"/>
              <w:left w:val="single" w:sz="4" w:space="0" w:color="000000"/>
              <w:bottom w:val="single" w:sz="4" w:space="0" w:color="000000"/>
              <w:right w:val="single" w:sz="4" w:space="0" w:color="000000"/>
            </w:tcBorders>
          </w:tcPr>
          <w:p w14:paraId="21D06854" w14:textId="07DCE063"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b/>
                <w:bCs/>
              </w:rPr>
              <w:t xml:space="preserve">81,9 </w:t>
            </w:r>
            <w:r w:rsidRPr="00956F16">
              <w:rPr>
                <w:rFonts w:ascii="Times New Roman" w:eastAsia="Times New Roman" w:hAnsi="Times New Roman" w:cs="Times New Roman"/>
              </w:rPr>
              <w:t>(0,0</w:t>
            </w:r>
            <w:r w:rsidR="00F432F4">
              <w:rPr>
                <w:rFonts w:ascii="Times New Roman" w:eastAsia="Times New Roman" w:hAnsi="Times New Roman" w:cs="Times New Roman"/>
              </w:rPr>
              <w:t>;</w:t>
            </w:r>
            <w:r w:rsidRPr="00956F16">
              <w:rPr>
                <w:rFonts w:ascii="Times New Roman" w:eastAsia="Times New Roman" w:hAnsi="Times New Roman" w:cs="Times New Roman"/>
              </w:rPr>
              <w:t xml:space="preserve"> 119,8)</w:t>
            </w:r>
          </w:p>
        </w:tc>
        <w:tc>
          <w:tcPr>
            <w:tcW w:w="1943" w:type="dxa"/>
            <w:tcBorders>
              <w:top w:val="single" w:sz="4" w:space="0" w:color="000000"/>
              <w:left w:val="single" w:sz="4" w:space="0" w:color="000000"/>
              <w:bottom w:val="single" w:sz="4" w:space="0" w:color="000000"/>
              <w:right w:val="single" w:sz="4" w:space="0" w:color="000000"/>
            </w:tcBorders>
          </w:tcPr>
          <w:p w14:paraId="533F2625" w14:textId="3F98F43B"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b/>
                <w:bCs/>
              </w:rPr>
              <w:t xml:space="preserve">81,0 </w:t>
            </w:r>
            <w:r w:rsidRPr="00956F16">
              <w:rPr>
                <w:rFonts w:ascii="Times New Roman" w:eastAsia="Times New Roman" w:hAnsi="Times New Roman" w:cs="Times New Roman"/>
              </w:rPr>
              <w:t>(4,1</w:t>
            </w:r>
            <w:r w:rsidR="00F432F4">
              <w:rPr>
                <w:rFonts w:ascii="Times New Roman" w:eastAsia="Times New Roman" w:hAnsi="Times New Roman" w:cs="Times New Roman"/>
              </w:rPr>
              <w:t>;</w:t>
            </w:r>
            <w:r w:rsidRPr="00956F16">
              <w:rPr>
                <w:rFonts w:ascii="Times New Roman" w:eastAsia="Times New Roman" w:hAnsi="Times New Roman" w:cs="Times New Roman"/>
              </w:rPr>
              <w:t xml:space="preserve"> 119,5)</w:t>
            </w:r>
          </w:p>
        </w:tc>
      </w:tr>
    </w:tbl>
    <w:p w14:paraId="052177E5" w14:textId="32F634F6"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lastRenderedPageBreak/>
        <w:t>CI = konfidenciaintervallum (confidence interval); HR = relatív hazárd (hazard ratio); max = maximum; min = minimum; NE = nem becsülhető meg (not estimable); OS = teljes tú</w:t>
      </w:r>
      <w:r w:rsidRPr="00956F16">
        <w:rPr>
          <w:rFonts w:ascii="Times New Roman" w:eastAsia="Calibri" w:hAnsi="Times New Roman" w:cs="Times New Roman"/>
          <w:sz w:val="18"/>
          <w:szCs w:val="18"/>
        </w:rPr>
        <w:lastRenderedPageBreak/>
        <w:t>lélés (overall survival); PFS = progressziómentes túlélés (progression-free survival);</w:t>
      </w:r>
    </w:p>
    <w:p w14:paraId="70014C1A" w14:textId="6E7A4F06"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a</w:t>
      </w:r>
      <w:r w:rsidRPr="00956F16">
        <w:rPr>
          <w:rFonts w:ascii="Times New Roman" w:eastAsia="Calibri" w:hAnsi="Times New Roman" w:cs="Times New Roman"/>
          <w:sz w:val="18"/>
          <w:szCs w:val="18"/>
        </w:rPr>
        <w:t xml:space="preserve"> A medián meghatározása a Kaplan</w:t>
      </w:r>
      <w:r w:rsidR="00BD03D8">
        <w:rPr>
          <w:rFonts w:ascii="Times New Roman" w:eastAsia="Calibri" w:hAnsi="Times New Roman" w:cs="Times New Roman"/>
          <w:sz w:val="18"/>
          <w:szCs w:val="18"/>
        </w:rPr>
        <w:t>–</w:t>
      </w:r>
      <w:r w:rsidRPr="00956F16">
        <w:rPr>
          <w:rFonts w:ascii="Times New Roman" w:eastAsia="Calibri" w:hAnsi="Times New Roman" w:cs="Times New Roman"/>
          <w:sz w:val="18"/>
          <w:szCs w:val="18"/>
        </w:rPr>
        <w:t>Meier</w:t>
      </w:r>
      <w:r w:rsidR="007210DA">
        <w:rPr>
          <w:rFonts w:ascii="Times New Roman" w:eastAsia="Calibri" w:hAnsi="Times New Roman" w:cs="Times New Roman"/>
          <w:sz w:val="18"/>
          <w:szCs w:val="18"/>
        </w:rPr>
        <w:t>-</w:t>
      </w:r>
      <w:r w:rsidRPr="00956F16">
        <w:rPr>
          <w:rFonts w:ascii="Times New Roman" w:eastAsia="Calibri" w:hAnsi="Times New Roman" w:cs="Times New Roman"/>
          <w:sz w:val="18"/>
          <w:szCs w:val="18"/>
        </w:rPr>
        <w:t>módszeren alapul.</w:t>
      </w:r>
    </w:p>
    <w:p w14:paraId="7CD17F52"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b</w:t>
      </w:r>
      <w:r w:rsidRPr="00956F16">
        <w:rPr>
          <w:rFonts w:ascii="Times New Roman" w:eastAsia="Calibri" w:hAnsi="Times New Roman" w:cs="Times New Roman"/>
          <w:sz w:val="18"/>
          <w:szCs w:val="18"/>
        </w:rPr>
        <w:t xml:space="preserve"> A mediánra vonatkozó 95%-os CI.</w:t>
      </w:r>
    </w:p>
    <w:p w14:paraId="0C0E72FD"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 xml:space="preserve">c </w:t>
      </w:r>
      <w:r w:rsidRPr="00956F16">
        <w:rPr>
          <w:rFonts w:ascii="Times New Roman" w:eastAsia="Calibri" w:hAnsi="Times New Roman" w:cs="Times New Roman"/>
          <w:sz w:val="18"/>
          <w:szCs w:val="18"/>
        </w:rPr>
        <w:t>A jelzett kezelési karokra vonatkozó kockázat függvényeket összehasonlító Cox-féle arányos hazárd modell alapján.</w:t>
      </w:r>
    </w:p>
    <w:p w14:paraId="215E13AD" w14:textId="4E820DF1"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d</w:t>
      </w:r>
      <w:r w:rsidRPr="00956F16">
        <w:rPr>
          <w:rFonts w:ascii="Times New Roman" w:eastAsia="Calibri" w:hAnsi="Times New Roman" w:cs="Times New Roman"/>
          <w:sz w:val="18"/>
          <w:szCs w:val="18"/>
        </w:rPr>
        <w:t xml:space="preserve"> A p</w:t>
      </w:r>
      <w:r w:rsidR="00104634">
        <w:rPr>
          <w:rFonts w:ascii="Times New Roman" w:eastAsia="Calibri" w:hAnsi="Times New Roman" w:cs="Times New Roman"/>
          <w:sz w:val="18"/>
          <w:szCs w:val="18"/>
        </w:rPr>
        <w:t>-</w:t>
      </w:r>
      <w:r w:rsidRPr="00956F16">
        <w:rPr>
          <w:rFonts w:ascii="Times New Roman" w:eastAsia="Calibri" w:hAnsi="Times New Roman" w:cs="Times New Roman"/>
          <w:sz w:val="18"/>
          <w:szCs w:val="18"/>
        </w:rPr>
        <w:t>érték a jelzett kezelési karok Kaplan</w:t>
      </w:r>
      <w:r w:rsidR="007210DA">
        <w:rPr>
          <w:rFonts w:ascii="Times New Roman" w:eastAsia="Calibri" w:hAnsi="Times New Roman" w:cs="Times New Roman"/>
          <w:sz w:val="18"/>
          <w:szCs w:val="18"/>
        </w:rPr>
        <w:t>–</w:t>
      </w:r>
      <w:r w:rsidRPr="00956F16">
        <w:rPr>
          <w:rFonts w:ascii="Times New Roman" w:eastAsia="Calibri" w:hAnsi="Times New Roman" w:cs="Times New Roman"/>
          <w:sz w:val="18"/>
          <w:szCs w:val="18"/>
        </w:rPr>
        <w:t>Meier</w:t>
      </w:r>
      <w:r w:rsidR="007210DA">
        <w:rPr>
          <w:rFonts w:ascii="Times New Roman" w:eastAsia="Calibri" w:hAnsi="Times New Roman" w:cs="Times New Roman"/>
          <w:sz w:val="18"/>
          <w:szCs w:val="18"/>
        </w:rPr>
        <w:t>-</w:t>
      </w:r>
      <w:r w:rsidRPr="00956F16">
        <w:rPr>
          <w:rFonts w:ascii="Times New Roman" w:eastAsia="Calibri" w:hAnsi="Times New Roman" w:cs="Times New Roman"/>
          <w:sz w:val="18"/>
          <w:szCs w:val="18"/>
        </w:rPr>
        <w:t>görbéi közötti különbségek nem rétegzett lograng próbáján alapul.</w:t>
      </w:r>
    </w:p>
    <w:p w14:paraId="31259D6E"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e</w:t>
      </w:r>
      <w:r w:rsidRPr="00956F16">
        <w:rPr>
          <w:rFonts w:ascii="Times New Roman" w:eastAsia="Calibri" w:hAnsi="Times New Roman" w:cs="Times New Roman"/>
          <w:sz w:val="18"/>
          <w:szCs w:val="18"/>
        </w:rPr>
        <w:t xml:space="preserve"> Feltáró végpont (PFS2). A placebokaron a vak kezelés megszüntetése után, a betegség progressziója előtt lenalidomidra áttérő betegek kezelését nem tekintették második vonalbeli terápiának.</w:t>
      </w:r>
    </w:p>
    <w:p w14:paraId="0B1546AD"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 xml:space="preserve">f </w:t>
      </w:r>
      <w:r w:rsidRPr="00956F16">
        <w:rPr>
          <w:rFonts w:ascii="Times New Roman" w:eastAsia="Calibri" w:hAnsi="Times New Roman" w:cs="Times New Roman"/>
          <w:sz w:val="18"/>
          <w:szCs w:val="18"/>
        </w:rPr>
        <w:t>ASCT után az összes túlélő vizsgálati alanynál végzett utánkövetés medián időtartama.</w:t>
      </w:r>
    </w:p>
    <w:p w14:paraId="4A4519CA"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b/>
          <w:sz w:val="18"/>
          <w:szCs w:val="18"/>
        </w:rPr>
        <w:t>Az adatbázis lezárása</w:t>
      </w:r>
      <w:r w:rsidRPr="00956F16">
        <w:rPr>
          <w:rFonts w:ascii="Times New Roman" w:eastAsia="Calibri" w:hAnsi="Times New Roman" w:cs="Times New Roman"/>
          <w:sz w:val="18"/>
          <w:szCs w:val="18"/>
        </w:rPr>
        <w:t>: 2009. december 17. és 2016. február 1.</w:t>
      </w:r>
    </w:p>
    <w:p w14:paraId="57FB2409" w14:textId="77777777" w:rsidR="00956F16" w:rsidRPr="00956F16" w:rsidRDefault="00956F16" w:rsidP="00956F16">
      <w:pPr>
        <w:spacing w:after="0" w:line="240" w:lineRule="auto"/>
        <w:rPr>
          <w:rFonts w:ascii="Times New Roman" w:eastAsia="Calibri" w:hAnsi="Times New Roman" w:cs="Times New Roman"/>
        </w:rPr>
      </w:pPr>
    </w:p>
    <w:p w14:paraId="58A25C50" w14:textId="77777777" w:rsidR="00956F16" w:rsidRPr="00956F16" w:rsidRDefault="00956F16" w:rsidP="00956F16">
      <w:pPr>
        <w:keepNext/>
        <w:spacing w:after="0" w:line="240" w:lineRule="auto"/>
        <w:rPr>
          <w:rFonts w:ascii="Times New Roman" w:eastAsia="Calibri" w:hAnsi="Times New Roman" w:cs="Times New Roman"/>
          <w:i/>
        </w:rPr>
      </w:pPr>
      <w:r w:rsidRPr="00956F16">
        <w:rPr>
          <w:rFonts w:ascii="Times New Roman" w:eastAsia="Calibri" w:hAnsi="Times New Roman" w:cs="Times New Roman"/>
          <w:i/>
        </w:rPr>
        <w:t>IFM 2005-02</w:t>
      </w:r>
    </w:p>
    <w:p w14:paraId="67BC4A3E" w14:textId="1E191D6A"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vizsgálatba való bevonásra a diagnózis felállításának időpontjában 65 évesnél fiatalabb, ASCT-n átesett, és a haematológiai értékek rendeződésének időpontjára legalább stabil terápiás választ elérő betegek voltak alkalmasak. A betegeket 2 ciklusnyi lenalidomid konszolidációs kezelés (25 mg/nap a 28 napos ciklus 1</w:t>
      </w:r>
      <w:r w:rsidR="007210DA">
        <w:rPr>
          <w:rFonts w:ascii="Times New Roman" w:eastAsia="Calibri" w:hAnsi="Times New Roman" w:cs="Times New Roman"/>
        </w:rPr>
        <w:t>.–</w:t>
      </w:r>
      <w:r w:rsidRPr="00956F16">
        <w:rPr>
          <w:rFonts w:ascii="Times New Roman" w:eastAsia="Calibri" w:hAnsi="Times New Roman" w:cs="Times New Roman"/>
        </w:rPr>
        <w:t>21. napján) után 1:1 arányban randomizálták lenalidomiddal vagy placebóval végzett fenntartó kezelésre (naponta egyszer 10 mg az ismétlődő 28 napos ciklusok 1</w:t>
      </w:r>
      <w:r w:rsidR="007210DA">
        <w:rPr>
          <w:rFonts w:ascii="Times New Roman" w:eastAsia="Calibri" w:hAnsi="Times New Roman" w:cs="Times New Roman"/>
        </w:rPr>
        <w:t>.–</w:t>
      </w:r>
      <w:r w:rsidRPr="00956F16">
        <w:rPr>
          <w:rFonts w:ascii="Times New Roman" w:eastAsia="Calibri" w:hAnsi="Times New Roman" w:cs="Times New Roman"/>
        </w:rPr>
        <w:t>28. napján, amit 3 hónap után dóziskorlátozó toxicitás hiányában naponta egyszer 15 mg-ig emeltek). A kezelést a betegség progressziójáig folytatták.</w:t>
      </w:r>
    </w:p>
    <w:p w14:paraId="3D791CEB" w14:textId="77777777" w:rsidR="00956F16" w:rsidRPr="00956F16" w:rsidRDefault="00956F16" w:rsidP="00956F16">
      <w:pPr>
        <w:spacing w:after="0" w:line="240" w:lineRule="auto"/>
        <w:rPr>
          <w:rFonts w:ascii="Times New Roman" w:eastAsia="Calibri" w:hAnsi="Times New Roman" w:cs="Times New Roman"/>
        </w:rPr>
      </w:pPr>
    </w:p>
    <w:p w14:paraId="6A572887"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vizsgálat elsődleges végpontja a randomizálástól a betegség progressziójáig vagy a beteg haláláig (amelyik hamarabb következett be) eltelt progressziómentes túlélés (PFS) volt. A vizsgálat statisztikai ereje nem volt elegendő a teljes túlélés végpont megítéléséhez. Összesen 614 beteget randomizáltak: 307 beteg lenalidomidot, 307 beteg pedig placebót kapott.</w:t>
      </w:r>
    </w:p>
    <w:p w14:paraId="2CBAB5FC" w14:textId="77777777" w:rsidR="00956F16" w:rsidRPr="00956F16" w:rsidRDefault="00956F16" w:rsidP="00956F16">
      <w:pPr>
        <w:spacing w:after="0" w:line="240" w:lineRule="auto"/>
        <w:rPr>
          <w:rFonts w:ascii="Times New Roman" w:eastAsia="Calibri" w:hAnsi="Times New Roman" w:cs="Times New Roman"/>
        </w:rPr>
      </w:pPr>
    </w:p>
    <w:p w14:paraId="11E45074" w14:textId="01608065"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PFS előre tervezett, időközi értékelése küszöbének túllépése után az adatellenőrző bizottság javaslatának megfelelően megszüntették a vizsgálatban a betegek vak kezelését. A vak kezelés megszüntetése után a placebocsoport betegei nem tértek át a lenalidomid</w:t>
      </w:r>
      <w:r w:rsidR="00104634">
        <w:rPr>
          <w:rFonts w:ascii="Times New Roman" w:eastAsia="Calibri" w:hAnsi="Times New Roman" w:cs="Times New Roman"/>
        </w:rPr>
        <w:t>-</w:t>
      </w:r>
      <w:r w:rsidRPr="00956F16">
        <w:rPr>
          <w:rFonts w:ascii="Times New Roman" w:eastAsia="Calibri" w:hAnsi="Times New Roman" w:cs="Times New Roman"/>
        </w:rPr>
        <w:t>kezelésre a betegség progressziója előtt. Biztonsági intézkedésként a lenalidomid</w:t>
      </w:r>
      <w:r w:rsidR="00104634">
        <w:rPr>
          <w:rFonts w:ascii="Times New Roman" w:eastAsia="Calibri" w:hAnsi="Times New Roman" w:cs="Times New Roman"/>
        </w:rPr>
        <w:t>-</w:t>
      </w:r>
      <w:r w:rsidRPr="00956F16">
        <w:rPr>
          <w:rFonts w:ascii="Times New Roman" w:eastAsia="Calibri" w:hAnsi="Times New Roman" w:cs="Times New Roman"/>
        </w:rPr>
        <w:t>kart megszüntették, miután különbséget találtak a második primer tumorok tekintetében (lásd 4.4 pont).</w:t>
      </w:r>
    </w:p>
    <w:p w14:paraId="7EEF25B0" w14:textId="77777777" w:rsidR="00956F16" w:rsidRPr="00956F16" w:rsidRDefault="00956F16" w:rsidP="00956F16">
      <w:pPr>
        <w:spacing w:after="0" w:line="240" w:lineRule="auto"/>
        <w:rPr>
          <w:rFonts w:ascii="Times New Roman" w:eastAsia="Calibri" w:hAnsi="Times New Roman" w:cs="Times New Roman"/>
        </w:rPr>
      </w:pPr>
    </w:p>
    <w:p w14:paraId="3785CFF1" w14:textId="1A895BB6"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PFS eredményei az előre tervezett, időközi analízise küszöbének túllépése után a vak kezelés megszüntetésekor, 2010. július 7-ig (31,4 hónap követés után), azt mutatták, hogy a betegség progressziója vagy a halál kockázata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kezelés estén 48%-kal alacsonyabb volt (HR = 0,52; 95%-os CI </w:t>
      </w:r>
      <w:r w:rsidR="007210DA">
        <w:rPr>
          <w:rFonts w:ascii="Times New Roman" w:eastAsia="Calibri" w:hAnsi="Times New Roman" w:cs="Times New Roman"/>
        </w:rPr>
        <w:t>[</w:t>
      </w:r>
      <w:r w:rsidRPr="00956F16">
        <w:rPr>
          <w:rFonts w:ascii="Times New Roman" w:eastAsia="Calibri" w:hAnsi="Times New Roman" w:cs="Times New Roman"/>
        </w:rPr>
        <w:t>0,41; 0,66</w:t>
      </w:r>
      <w:r w:rsidR="007210DA">
        <w:rPr>
          <w:rFonts w:ascii="Times New Roman" w:eastAsia="Calibri" w:hAnsi="Times New Roman" w:cs="Times New Roman"/>
        </w:rPr>
        <w:t>]</w:t>
      </w:r>
      <w:r w:rsidRPr="00956F16">
        <w:rPr>
          <w:rFonts w:ascii="Times New Roman" w:eastAsia="Calibri" w:hAnsi="Times New Roman" w:cs="Times New Roman"/>
        </w:rPr>
        <w:t xml:space="preserve">; p &lt; 0,001). A medián összesített PFS 40,1 hónap volt (95%-os CI </w:t>
      </w:r>
      <w:r w:rsidR="007210DA">
        <w:rPr>
          <w:rFonts w:ascii="Times New Roman" w:eastAsia="Calibri" w:hAnsi="Times New Roman" w:cs="Times New Roman"/>
        </w:rPr>
        <w:t>[</w:t>
      </w:r>
      <w:r w:rsidRPr="00956F16">
        <w:rPr>
          <w:rFonts w:ascii="Times New Roman" w:eastAsia="Calibri" w:hAnsi="Times New Roman" w:cs="Times New Roman"/>
        </w:rPr>
        <w:t>35,7; 42,4</w:t>
      </w:r>
      <w:r w:rsidR="007210DA">
        <w:rPr>
          <w:rFonts w:ascii="Times New Roman" w:eastAsia="Calibri" w:hAnsi="Times New Roman" w:cs="Times New Roman"/>
        </w:rPr>
        <w:t>]</w:t>
      </w:r>
      <w:r w:rsidRPr="00956F16">
        <w:rPr>
          <w:rFonts w:ascii="Times New Roman" w:eastAsia="Calibri" w:hAnsi="Times New Roman" w:cs="Times New Roman"/>
        </w:rPr>
        <w:t>)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karon, illetve 22,8 hónap (95%-os CI </w:t>
      </w:r>
      <w:r w:rsidR="007210DA">
        <w:rPr>
          <w:rFonts w:ascii="Times New Roman" w:eastAsia="Calibri" w:hAnsi="Times New Roman" w:cs="Times New Roman"/>
        </w:rPr>
        <w:t>[</w:t>
      </w:r>
      <w:r w:rsidRPr="00956F16">
        <w:rPr>
          <w:rFonts w:ascii="Times New Roman" w:eastAsia="Calibri" w:hAnsi="Times New Roman" w:cs="Times New Roman"/>
        </w:rPr>
        <w:t>20,7; 27,4</w:t>
      </w:r>
      <w:r w:rsidR="007210DA">
        <w:rPr>
          <w:rFonts w:ascii="Times New Roman" w:eastAsia="Calibri" w:hAnsi="Times New Roman" w:cs="Times New Roman"/>
        </w:rPr>
        <w:t>]</w:t>
      </w:r>
      <w:r w:rsidRPr="00956F16">
        <w:rPr>
          <w:rFonts w:ascii="Times New Roman" w:eastAsia="Calibri" w:hAnsi="Times New Roman" w:cs="Times New Roman"/>
        </w:rPr>
        <w:t>) a placebokaron.</w:t>
      </w:r>
    </w:p>
    <w:p w14:paraId="238725E5" w14:textId="77777777" w:rsidR="00956F16" w:rsidRPr="00956F16" w:rsidRDefault="00956F16" w:rsidP="00956F16">
      <w:pPr>
        <w:spacing w:after="0" w:line="240" w:lineRule="auto"/>
        <w:rPr>
          <w:rFonts w:ascii="Times New Roman" w:eastAsia="Calibri" w:hAnsi="Times New Roman" w:cs="Times New Roman"/>
        </w:rPr>
      </w:pPr>
    </w:p>
    <w:p w14:paraId="12C597C3"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PFS kedvezőbb alakulása kisebb mértékű volt a teljes remissziót elérő betegek alcsoportjában, mint a teljes remissziót el nem érő betegek alcsoportjában.</w:t>
      </w:r>
    </w:p>
    <w:p w14:paraId="415BD7F3" w14:textId="77777777" w:rsidR="00956F16" w:rsidRPr="00956F16" w:rsidRDefault="00956F16" w:rsidP="00956F16">
      <w:pPr>
        <w:spacing w:after="0" w:line="240" w:lineRule="auto"/>
        <w:rPr>
          <w:rFonts w:ascii="Times New Roman" w:eastAsia="Calibri" w:hAnsi="Times New Roman" w:cs="Times New Roman"/>
        </w:rPr>
      </w:pPr>
    </w:p>
    <w:p w14:paraId="7B786362" w14:textId="78434799"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PFS frissített értéke a 2016. február 1-ig tartó adatgyűjtés alapján (96,7 hónapos követés) továbbra is kedvezőbb PFS-t mutat: HR = 0,57 (95%-os CI </w:t>
      </w:r>
      <w:r w:rsidR="007210DA">
        <w:rPr>
          <w:rFonts w:ascii="Times New Roman" w:eastAsia="Calibri" w:hAnsi="Times New Roman" w:cs="Times New Roman"/>
        </w:rPr>
        <w:t>[</w:t>
      </w:r>
      <w:r w:rsidRPr="00956F16">
        <w:rPr>
          <w:rFonts w:ascii="Times New Roman" w:eastAsia="Calibri" w:hAnsi="Times New Roman" w:cs="Times New Roman"/>
        </w:rPr>
        <w:t>0,47; 0,68</w:t>
      </w:r>
      <w:r w:rsidR="007210DA">
        <w:rPr>
          <w:rFonts w:ascii="Times New Roman" w:eastAsia="Calibri" w:hAnsi="Times New Roman" w:cs="Times New Roman"/>
        </w:rPr>
        <w:t>]</w:t>
      </w:r>
      <w:r w:rsidRPr="00956F16">
        <w:rPr>
          <w:rFonts w:ascii="Times New Roman" w:eastAsia="Calibri" w:hAnsi="Times New Roman" w:cs="Times New Roman"/>
        </w:rPr>
        <w:t xml:space="preserve">; p &lt; 0,001). A medián összesített PFS 44,4 hónap volt (95%-os CI </w:t>
      </w:r>
      <w:r w:rsidR="007210DA">
        <w:rPr>
          <w:rFonts w:ascii="Times New Roman" w:eastAsia="Calibri" w:hAnsi="Times New Roman" w:cs="Times New Roman"/>
        </w:rPr>
        <w:t>[</w:t>
      </w:r>
      <w:r w:rsidRPr="00956F16">
        <w:rPr>
          <w:rFonts w:ascii="Times New Roman" w:eastAsia="Calibri" w:hAnsi="Times New Roman" w:cs="Times New Roman"/>
        </w:rPr>
        <w:t>39,6</w:t>
      </w:r>
      <w:r w:rsidR="007210DA">
        <w:rPr>
          <w:rFonts w:ascii="Times New Roman" w:eastAsia="Calibri" w:hAnsi="Times New Roman" w:cs="Times New Roman"/>
        </w:rPr>
        <w:t>;</w:t>
      </w:r>
      <w:r w:rsidRPr="00956F16">
        <w:rPr>
          <w:rFonts w:ascii="Times New Roman" w:eastAsia="Calibri" w:hAnsi="Times New Roman" w:cs="Times New Roman"/>
        </w:rPr>
        <w:t xml:space="preserve"> 52,0</w:t>
      </w:r>
      <w:r w:rsidR="007210DA">
        <w:rPr>
          <w:rFonts w:ascii="Times New Roman" w:eastAsia="Calibri" w:hAnsi="Times New Roman" w:cs="Times New Roman"/>
        </w:rPr>
        <w:t>]</w:t>
      </w:r>
      <w:r w:rsidRPr="00956F16">
        <w:rPr>
          <w:rFonts w:ascii="Times New Roman" w:eastAsia="Calibri" w:hAnsi="Times New Roman" w:cs="Times New Roman"/>
        </w:rPr>
        <w:t>)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karon, illetve 23,8 hónap (95%-os CI </w:t>
      </w:r>
      <w:r w:rsidR="007210DA">
        <w:rPr>
          <w:rFonts w:ascii="Times New Roman" w:eastAsia="Calibri" w:hAnsi="Times New Roman" w:cs="Times New Roman"/>
        </w:rPr>
        <w:t>[</w:t>
      </w:r>
      <w:r w:rsidRPr="00956F16">
        <w:rPr>
          <w:rFonts w:ascii="Times New Roman" w:eastAsia="Calibri" w:hAnsi="Times New Roman" w:cs="Times New Roman"/>
        </w:rPr>
        <w:t>21,2</w:t>
      </w:r>
      <w:r w:rsidR="007210DA">
        <w:rPr>
          <w:rFonts w:ascii="Times New Roman" w:eastAsia="Calibri" w:hAnsi="Times New Roman" w:cs="Times New Roman"/>
        </w:rPr>
        <w:t>; </w:t>
      </w:r>
      <w:r w:rsidRPr="00956F16">
        <w:rPr>
          <w:rFonts w:ascii="Times New Roman" w:eastAsia="Calibri" w:hAnsi="Times New Roman" w:cs="Times New Roman"/>
        </w:rPr>
        <w:t>27,3</w:t>
      </w:r>
      <w:r w:rsidR="007210DA">
        <w:rPr>
          <w:rFonts w:ascii="Times New Roman" w:eastAsia="Calibri" w:hAnsi="Times New Roman" w:cs="Times New Roman"/>
        </w:rPr>
        <w:t>]</w:t>
      </w:r>
      <w:r w:rsidRPr="00956F16">
        <w:rPr>
          <w:rFonts w:ascii="Times New Roman" w:eastAsia="Calibri" w:hAnsi="Times New Roman" w:cs="Times New Roman"/>
        </w:rPr>
        <w:t xml:space="preserve">) a placebokaron. A PFS2 esetén a megfigyelt HR 0,80 (95%-os CI </w:t>
      </w:r>
      <w:r w:rsidR="007210DA">
        <w:rPr>
          <w:rFonts w:ascii="Times New Roman" w:eastAsia="Calibri" w:hAnsi="Times New Roman" w:cs="Times New Roman"/>
        </w:rPr>
        <w:t>[</w:t>
      </w:r>
      <w:r w:rsidRPr="00956F16">
        <w:rPr>
          <w:rFonts w:ascii="Times New Roman" w:eastAsia="Calibri" w:hAnsi="Times New Roman" w:cs="Times New Roman"/>
        </w:rPr>
        <w:t>0,66; 0,98</w:t>
      </w:r>
      <w:r w:rsidR="007210DA">
        <w:rPr>
          <w:rFonts w:ascii="Times New Roman" w:eastAsia="Calibri" w:hAnsi="Times New Roman" w:cs="Times New Roman"/>
        </w:rPr>
        <w:t>]</w:t>
      </w:r>
      <w:r w:rsidRPr="00956F16">
        <w:rPr>
          <w:rFonts w:ascii="Times New Roman" w:eastAsia="Calibri" w:hAnsi="Times New Roman" w:cs="Times New Roman"/>
        </w:rPr>
        <w:t>; p = 0,026) volt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csoportban a placebóhoz képest. A medián összesített PFS2 69,9 hónap volt (95%-os CI </w:t>
      </w:r>
      <w:r w:rsidR="007210DA">
        <w:rPr>
          <w:rFonts w:ascii="Times New Roman" w:eastAsia="Calibri" w:hAnsi="Times New Roman" w:cs="Times New Roman"/>
        </w:rPr>
        <w:t>[</w:t>
      </w:r>
      <w:r w:rsidRPr="00956F16">
        <w:rPr>
          <w:rFonts w:ascii="Times New Roman" w:eastAsia="Calibri" w:hAnsi="Times New Roman" w:cs="Times New Roman"/>
        </w:rPr>
        <w:t>58,1</w:t>
      </w:r>
      <w:r w:rsidR="007210DA">
        <w:rPr>
          <w:rFonts w:ascii="Times New Roman" w:eastAsia="Calibri" w:hAnsi="Times New Roman" w:cs="Times New Roman"/>
        </w:rPr>
        <w:t>;</w:t>
      </w:r>
      <w:r w:rsidRPr="00956F16">
        <w:rPr>
          <w:rFonts w:ascii="Times New Roman" w:eastAsia="Calibri" w:hAnsi="Times New Roman" w:cs="Times New Roman"/>
        </w:rPr>
        <w:t xml:space="preserve"> 80,0</w:t>
      </w:r>
      <w:r w:rsidR="007210DA">
        <w:rPr>
          <w:rFonts w:ascii="Times New Roman" w:eastAsia="Calibri" w:hAnsi="Times New Roman" w:cs="Times New Roman"/>
        </w:rPr>
        <w:t>]</w:t>
      </w:r>
      <w:r w:rsidRPr="00956F16">
        <w:rPr>
          <w:rFonts w:ascii="Times New Roman" w:eastAsia="Calibri" w:hAnsi="Times New Roman" w:cs="Times New Roman"/>
        </w:rPr>
        <w:t>) volt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csoportban, a placebocsoportban pedig 58,4 hónap (95%-os CI </w:t>
      </w:r>
      <w:r w:rsidR="007210DA">
        <w:rPr>
          <w:rFonts w:ascii="Times New Roman" w:eastAsia="Calibri" w:hAnsi="Times New Roman" w:cs="Times New Roman"/>
        </w:rPr>
        <w:t>[</w:t>
      </w:r>
      <w:r w:rsidRPr="00956F16">
        <w:rPr>
          <w:rFonts w:ascii="Times New Roman" w:eastAsia="Calibri" w:hAnsi="Times New Roman" w:cs="Times New Roman"/>
        </w:rPr>
        <w:t>51,1</w:t>
      </w:r>
      <w:r w:rsidR="007210DA">
        <w:rPr>
          <w:rFonts w:ascii="Times New Roman" w:eastAsia="Calibri" w:hAnsi="Times New Roman" w:cs="Times New Roman"/>
        </w:rPr>
        <w:t>;</w:t>
      </w:r>
      <w:r w:rsidRPr="00956F16">
        <w:rPr>
          <w:rFonts w:ascii="Times New Roman" w:eastAsia="Calibri" w:hAnsi="Times New Roman" w:cs="Times New Roman"/>
        </w:rPr>
        <w:t xml:space="preserve"> 65,0</w:t>
      </w:r>
      <w:r w:rsidR="007210DA">
        <w:rPr>
          <w:rFonts w:ascii="Times New Roman" w:eastAsia="Calibri" w:hAnsi="Times New Roman" w:cs="Times New Roman"/>
        </w:rPr>
        <w:t>]</w:t>
      </w:r>
      <w:r w:rsidRPr="00956F16">
        <w:rPr>
          <w:rFonts w:ascii="Times New Roman" w:eastAsia="Calibri" w:hAnsi="Times New Roman" w:cs="Times New Roman"/>
        </w:rPr>
        <w:t xml:space="preserve">). A teljes túlélésre vonatkozó HR: 0,90 (95%-os CI </w:t>
      </w:r>
      <w:r w:rsidR="007210DA">
        <w:rPr>
          <w:rFonts w:ascii="Times New Roman" w:eastAsia="Calibri" w:hAnsi="Times New Roman" w:cs="Times New Roman"/>
        </w:rPr>
        <w:t>[</w:t>
      </w:r>
      <w:r w:rsidRPr="00956F16">
        <w:rPr>
          <w:rFonts w:ascii="Times New Roman" w:eastAsia="Calibri" w:hAnsi="Times New Roman" w:cs="Times New Roman"/>
        </w:rPr>
        <w:t>0,72; 1,13</w:t>
      </w:r>
      <w:r w:rsidR="007210DA">
        <w:rPr>
          <w:rFonts w:ascii="Times New Roman" w:eastAsia="Calibri" w:hAnsi="Times New Roman" w:cs="Times New Roman"/>
        </w:rPr>
        <w:t>]</w:t>
      </w:r>
      <w:r w:rsidRPr="00956F16">
        <w:rPr>
          <w:rFonts w:ascii="Times New Roman" w:eastAsia="Calibri" w:hAnsi="Times New Roman" w:cs="Times New Roman"/>
        </w:rPr>
        <w:t>; p = 0,355)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csoportban a placebóhoz képest. A teljes túlélés medián időtartama 105,9 hónap volt (95%-os CI </w:t>
      </w:r>
      <w:r w:rsidR="007210DA">
        <w:rPr>
          <w:rFonts w:ascii="Times New Roman" w:eastAsia="Calibri" w:hAnsi="Times New Roman" w:cs="Times New Roman"/>
        </w:rPr>
        <w:t>[</w:t>
      </w:r>
      <w:r w:rsidRPr="00956F16">
        <w:rPr>
          <w:rFonts w:ascii="Times New Roman" w:eastAsia="Calibri" w:hAnsi="Times New Roman" w:cs="Times New Roman"/>
        </w:rPr>
        <w:t>88,8</w:t>
      </w:r>
      <w:r w:rsidR="007210DA">
        <w:rPr>
          <w:rFonts w:ascii="Times New Roman" w:eastAsia="Calibri" w:hAnsi="Times New Roman" w:cs="Times New Roman"/>
        </w:rPr>
        <w:t>;</w:t>
      </w:r>
      <w:r w:rsidRPr="00956F16">
        <w:rPr>
          <w:rFonts w:ascii="Times New Roman" w:eastAsia="Calibri" w:hAnsi="Times New Roman" w:cs="Times New Roman"/>
        </w:rPr>
        <w:t xml:space="preserve"> NE</w:t>
      </w:r>
      <w:r w:rsidR="007210DA">
        <w:rPr>
          <w:rFonts w:ascii="Times New Roman" w:eastAsia="Calibri" w:hAnsi="Times New Roman" w:cs="Times New Roman"/>
        </w:rPr>
        <w:t>]</w:t>
      </w:r>
      <w:r w:rsidRPr="00956F16">
        <w:rPr>
          <w:rFonts w:ascii="Times New Roman" w:eastAsia="Calibri" w:hAnsi="Times New Roman" w:cs="Times New Roman"/>
        </w:rPr>
        <w:t>) a lenalidomid</w:t>
      </w:r>
      <w:r w:rsidR="00104634">
        <w:rPr>
          <w:rFonts w:ascii="Times New Roman" w:eastAsia="Calibri" w:hAnsi="Times New Roman" w:cs="Times New Roman"/>
        </w:rPr>
        <w:t>-</w:t>
      </w:r>
      <w:r w:rsidRPr="00956F16">
        <w:rPr>
          <w:rFonts w:ascii="Times New Roman" w:eastAsia="Calibri" w:hAnsi="Times New Roman" w:cs="Times New Roman"/>
        </w:rPr>
        <w:t xml:space="preserve">karon, illetve 88,1 hónap (95%-os CI </w:t>
      </w:r>
      <w:r w:rsidR="007210DA">
        <w:rPr>
          <w:rFonts w:ascii="Times New Roman" w:eastAsia="Calibri" w:hAnsi="Times New Roman" w:cs="Times New Roman"/>
        </w:rPr>
        <w:t>[</w:t>
      </w:r>
      <w:r w:rsidRPr="00956F16">
        <w:rPr>
          <w:rFonts w:ascii="Times New Roman" w:eastAsia="Calibri" w:hAnsi="Times New Roman" w:cs="Times New Roman"/>
        </w:rPr>
        <w:t>80,7</w:t>
      </w:r>
      <w:r w:rsidR="007210DA">
        <w:rPr>
          <w:rFonts w:ascii="Times New Roman" w:eastAsia="Calibri" w:hAnsi="Times New Roman" w:cs="Times New Roman"/>
        </w:rPr>
        <w:t>;</w:t>
      </w:r>
      <w:r w:rsidRPr="00956F16">
        <w:rPr>
          <w:rFonts w:ascii="Times New Roman" w:eastAsia="Calibri" w:hAnsi="Times New Roman" w:cs="Times New Roman"/>
        </w:rPr>
        <w:t xml:space="preserve"> 108,4</w:t>
      </w:r>
      <w:r w:rsidR="007210DA">
        <w:rPr>
          <w:rFonts w:ascii="Times New Roman" w:eastAsia="Calibri" w:hAnsi="Times New Roman" w:cs="Times New Roman"/>
        </w:rPr>
        <w:t>]</w:t>
      </w:r>
      <w:r w:rsidRPr="00956F16">
        <w:rPr>
          <w:rFonts w:ascii="Times New Roman" w:eastAsia="Calibri" w:hAnsi="Times New Roman" w:cs="Times New Roman"/>
        </w:rPr>
        <w:t>) a placebokaron.</w:t>
      </w:r>
    </w:p>
    <w:p w14:paraId="5489AC33" w14:textId="77777777" w:rsidR="00956F16" w:rsidRDefault="00956F16" w:rsidP="00956F16">
      <w:pPr>
        <w:spacing w:after="0" w:line="240" w:lineRule="auto"/>
        <w:rPr>
          <w:rFonts w:ascii="Times New Roman" w:eastAsia="Calibri" w:hAnsi="Times New Roman" w:cs="Times New Roman"/>
        </w:rPr>
      </w:pPr>
    </w:p>
    <w:p w14:paraId="089EA02B" w14:textId="481EC1C7" w:rsidR="002D4315" w:rsidRPr="00441247" w:rsidRDefault="00127996" w:rsidP="00441247">
      <w:pPr>
        <w:keepNext/>
        <w:numPr>
          <w:ilvl w:val="0"/>
          <w:numId w:val="18"/>
        </w:numPr>
        <w:tabs>
          <w:tab w:val="left" w:pos="567"/>
        </w:tabs>
        <w:spacing w:after="0" w:line="240" w:lineRule="auto"/>
        <w:ind w:hanging="436"/>
        <w:rPr>
          <w:rFonts w:ascii="Times New Roman" w:eastAsia="Calibri" w:hAnsi="Times New Roman" w:cs="Times New Roman"/>
          <w:u w:val="single"/>
        </w:rPr>
      </w:pPr>
      <w:r w:rsidRPr="00441247">
        <w:rPr>
          <w:rFonts w:ascii="Times New Roman" w:eastAsia="Calibri" w:hAnsi="Times New Roman" w:cs="Times New Roman"/>
          <w:u w:val="single"/>
        </w:rPr>
        <w:t xml:space="preserve">Bortezomibbal és dexametazonnal </w:t>
      </w:r>
      <w:r w:rsidR="009A1ADF">
        <w:rPr>
          <w:rFonts w:ascii="Times New Roman" w:eastAsia="Calibri" w:hAnsi="Times New Roman" w:cs="Times New Roman"/>
          <w:u w:val="single"/>
        </w:rPr>
        <w:t>kombinációban adott lenalidomid</w:t>
      </w:r>
      <w:r w:rsidR="00104634">
        <w:rPr>
          <w:rFonts w:ascii="Times New Roman" w:eastAsia="Calibri" w:hAnsi="Times New Roman" w:cs="Times New Roman"/>
          <w:u w:val="single"/>
        </w:rPr>
        <w:t>-</w:t>
      </w:r>
      <w:r w:rsidRPr="00441247">
        <w:rPr>
          <w:rFonts w:ascii="Times New Roman" w:eastAsia="Calibri" w:hAnsi="Times New Roman" w:cs="Times New Roman"/>
          <w:u w:val="single"/>
        </w:rPr>
        <w:t>kezelésben részesülő betegek, akik nem alkalmasak az őssejt-transzplantációra</w:t>
      </w:r>
    </w:p>
    <w:p w14:paraId="2054EBAE" w14:textId="5EFCB93F" w:rsidR="002D4315" w:rsidRDefault="00127996" w:rsidP="00956F16">
      <w:pPr>
        <w:spacing w:after="0" w:line="240" w:lineRule="auto"/>
        <w:rPr>
          <w:rFonts w:ascii="Times New Roman" w:hAnsi="Times New Roman" w:cs="Times New Roman"/>
        </w:rPr>
      </w:pPr>
      <w:r w:rsidRPr="00441247">
        <w:rPr>
          <w:rFonts w:ascii="Times New Roman" w:hAnsi="Times New Roman" w:cs="Times New Roman"/>
        </w:rPr>
        <w:t>A</w:t>
      </w:r>
      <w:r w:rsidR="009A1ADF">
        <w:rPr>
          <w:rFonts w:ascii="Times New Roman" w:hAnsi="Times New Roman" w:cs="Times New Roman"/>
        </w:rPr>
        <w:t xml:space="preserve"> SWOG S0777 vizsgálatban a kezdetben</w:t>
      </w:r>
      <w:r w:rsidRPr="00441247">
        <w:rPr>
          <w:rFonts w:ascii="Times New Roman" w:hAnsi="Times New Roman" w:cs="Times New Roman"/>
        </w:rPr>
        <w:t xml:space="preserve"> alkalmazott lenalidomid-dexametazon</w:t>
      </w:r>
      <w:r w:rsidR="007210DA">
        <w:rPr>
          <w:rFonts w:ascii="Times New Roman" w:hAnsi="Times New Roman" w:cs="Times New Roman"/>
        </w:rPr>
        <w:t>-</w:t>
      </w:r>
      <w:r w:rsidRPr="00441247">
        <w:rPr>
          <w:rFonts w:ascii="Times New Roman" w:hAnsi="Times New Roman" w:cs="Times New Roman"/>
        </w:rPr>
        <w:t>alapkezelés bortezomibbal történő kiegészítését értékelték, amely után folyamatos Rd-kezelést alkalmaztak a betegség progressziójáig olyan, korábban nem kezelt myeloma multiplexes betegeknél, akik vagy nem alkalmasak a transzplantációra, vagy akik alkalmasak ugyan a transzplantációra, de nem tervezik náluk azonnali őssejt-transzplantáció elvégzését.</w:t>
      </w:r>
    </w:p>
    <w:p w14:paraId="2408D463" w14:textId="77777777" w:rsidR="002D4315" w:rsidRDefault="002D4315" w:rsidP="00956F16">
      <w:pPr>
        <w:spacing w:after="0" w:line="240" w:lineRule="auto"/>
        <w:rPr>
          <w:rFonts w:ascii="Times New Roman" w:hAnsi="Times New Roman" w:cs="Times New Roman"/>
        </w:rPr>
      </w:pPr>
    </w:p>
    <w:p w14:paraId="06E3EE59" w14:textId="52134E47" w:rsidR="002D4315" w:rsidRDefault="00127996" w:rsidP="00956F16">
      <w:pPr>
        <w:spacing w:after="0" w:line="240" w:lineRule="auto"/>
        <w:rPr>
          <w:rFonts w:ascii="Times New Roman" w:hAnsi="Times New Roman" w:cs="Times New Roman"/>
        </w:rPr>
      </w:pPr>
      <w:r w:rsidRPr="00441247">
        <w:rPr>
          <w:rFonts w:ascii="Times New Roman" w:hAnsi="Times New Roman" w:cs="Times New Roman"/>
        </w:rPr>
        <w:lastRenderedPageBreak/>
        <w:t>A lenalidomid, bortezomib és dexametazo</w:t>
      </w:r>
      <w:r w:rsidR="00D50DEF">
        <w:rPr>
          <w:rFonts w:ascii="Times New Roman" w:hAnsi="Times New Roman" w:cs="Times New Roman"/>
        </w:rPr>
        <w:t>n</w:t>
      </w:r>
      <w:r w:rsidR="007210DA">
        <w:rPr>
          <w:rFonts w:ascii="Times New Roman" w:hAnsi="Times New Roman" w:cs="Times New Roman"/>
        </w:rPr>
        <w:t>-</w:t>
      </w:r>
      <w:r w:rsidR="00D50DEF">
        <w:rPr>
          <w:rFonts w:ascii="Times New Roman" w:hAnsi="Times New Roman" w:cs="Times New Roman"/>
        </w:rPr>
        <w:t xml:space="preserve"> (RVd) karon a betegek napi 25 </w:t>
      </w:r>
      <w:r w:rsidRPr="00441247">
        <w:rPr>
          <w:rFonts w:ascii="Times New Roman" w:hAnsi="Times New Roman" w:cs="Times New Roman"/>
        </w:rPr>
        <w:t xml:space="preserve">mg lenalidomidot kaptak </w:t>
      </w:r>
      <w:r w:rsidR="00D50DEF">
        <w:rPr>
          <w:rFonts w:ascii="Times New Roman" w:hAnsi="Times New Roman" w:cs="Times New Roman"/>
        </w:rPr>
        <w:t>szájon át, az ismétlődő 21 napos ciklusok 1</w:t>
      </w:r>
      <w:r w:rsidR="007210DA">
        <w:rPr>
          <w:rFonts w:ascii="Times New Roman" w:hAnsi="Times New Roman" w:cs="Times New Roman"/>
        </w:rPr>
        <w:t>.–</w:t>
      </w:r>
      <w:r w:rsidR="00D50DEF">
        <w:rPr>
          <w:rFonts w:ascii="Times New Roman" w:hAnsi="Times New Roman" w:cs="Times New Roman"/>
        </w:rPr>
        <w:t>14. napján, 1,3 </w:t>
      </w:r>
      <w:r w:rsidRPr="00441247">
        <w:rPr>
          <w:rFonts w:ascii="Times New Roman" w:hAnsi="Times New Roman" w:cs="Times New Roman"/>
        </w:rPr>
        <w:t>mg/m</w:t>
      </w:r>
      <w:r w:rsidRPr="00441247">
        <w:rPr>
          <w:rFonts w:ascii="Times" w:hAnsi="Times" w:cs="Times New Roman"/>
          <w:vertAlign w:val="superscript"/>
        </w:rPr>
        <w:t>2</w:t>
      </w:r>
      <w:r w:rsidRPr="00441247">
        <w:rPr>
          <w:rFonts w:ascii="Times New Roman" w:hAnsi="Times New Roman" w:cs="Times New Roman"/>
        </w:rPr>
        <w:t xml:space="preserve"> intravénás bortezomibot a ciklusok 1.,4., 8. </w:t>
      </w:r>
      <w:r w:rsidR="00D50DEF">
        <w:rPr>
          <w:rFonts w:ascii="Times New Roman" w:hAnsi="Times New Roman" w:cs="Times New Roman"/>
        </w:rPr>
        <w:t>és 11. napján és napi 20 </w:t>
      </w:r>
      <w:r w:rsidRPr="00441247">
        <w:rPr>
          <w:rFonts w:ascii="Times New Roman" w:hAnsi="Times New Roman" w:cs="Times New Roman"/>
        </w:rPr>
        <w:t xml:space="preserve">mg dexametazont szájon át a ciklusok 1., 2., 4., 5., 8., 9., 11. és </w:t>
      </w:r>
      <w:r w:rsidR="00D50DEF">
        <w:rPr>
          <w:rFonts w:ascii="Times New Roman" w:hAnsi="Times New Roman" w:cs="Times New Roman"/>
        </w:rPr>
        <w:t>12. napján, legfeljebb nyolc 21 napos ciklusban (24 </w:t>
      </w:r>
      <w:r w:rsidRPr="00441247">
        <w:rPr>
          <w:rFonts w:ascii="Times New Roman" w:hAnsi="Times New Roman" w:cs="Times New Roman"/>
        </w:rPr>
        <w:t>hét). A lenalidomid és dexametazon</w:t>
      </w:r>
      <w:r w:rsidR="007210DA">
        <w:rPr>
          <w:rFonts w:ascii="Times New Roman" w:hAnsi="Times New Roman" w:cs="Times New Roman"/>
        </w:rPr>
        <w:t>-</w:t>
      </w:r>
      <w:r w:rsidRPr="00441247">
        <w:rPr>
          <w:rFonts w:ascii="Times New Roman" w:hAnsi="Times New Roman" w:cs="Times New Roman"/>
        </w:rPr>
        <w:t xml:space="preserve"> (Rd) karon a </w:t>
      </w:r>
      <w:r w:rsidR="00D50DEF">
        <w:rPr>
          <w:rFonts w:ascii="Times New Roman" w:hAnsi="Times New Roman" w:cs="Times New Roman"/>
        </w:rPr>
        <w:t>betegek napi 25 </w:t>
      </w:r>
      <w:r w:rsidRPr="00441247">
        <w:rPr>
          <w:rFonts w:ascii="Times New Roman" w:hAnsi="Times New Roman" w:cs="Times New Roman"/>
        </w:rPr>
        <w:t>mg lenalidomidot kaptak szájon át, az ismétlődő</w:t>
      </w:r>
      <w:r w:rsidR="00D50DEF">
        <w:rPr>
          <w:rFonts w:ascii="Times New Roman" w:hAnsi="Times New Roman" w:cs="Times New Roman"/>
        </w:rPr>
        <w:t xml:space="preserve"> 28 napos ciklusok 1</w:t>
      </w:r>
      <w:r w:rsidR="007210DA">
        <w:rPr>
          <w:rFonts w:ascii="Times New Roman" w:hAnsi="Times New Roman" w:cs="Times New Roman"/>
        </w:rPr>
        <w:t>.</w:t>
      </w:r>
      <w:r w:rsidR="007210DA">
        <w:rPr>
          <w:rFonts w:ascii="Times New Roman" w:hAnsi="Times New Roman" w:cs="Times New Roman"/>
        </w:rPr>
        <w:noBreakHyphen/>
      </w:r>
      <w:r w:rsidR="00D50DEF">
        <w:rPr>
          <w:rFonts w:ascii="Times New Roman" w:hAnsi="Times New Roman" w:cs="Times New Roman"/>
        </w:rPr>
        <w:t>21. </w:t>
      </w:r>
      <w:r w:rsidRPr="00441247">
        <w:rPr>
          <w:rFonts w:ascii="Times New Roman" w:hAnsi="Times New Roman" w:cs="Times New Roman"/>
        </w:rPr>
        <w:t xml:space="preserve">napján, és </w:t>
      </w:r>
      <w:r w:rsidR="00D50DEF">
        <w:rPr>
          <w:rFonts w:ascii="Times New Roman" w:hAnsi="Times New Roman" w:cs="Times New Roman"/>
        </w:rPr>
        <w:t>napi 40 </w:t>
      </w:r>
      <w:r w:rsidRPr="00441247">
        <w:rPr>
          <w:rFonts w:ascii="Times New Roman" w:hAnsi="Times New Roman" w:cs="Times New Roman"/>
        </w:rPr>
        <w:t>mg dexametazont szájon á</w:t>
      </w:r>
      <w:r w:rsidR="00D50DEF">
        <w:rPr>
          <w:rFonts w:ascii="Times New Roman" w:hAnsi="Times New Roman" w:cs="Times New Roman"/>
        </w:rPr>
        <w:t>t a ciklusok 1., 8., 15. és 22. napján, legfeljebb hat 2</w:t>
      </w:r>
      <w:r w:rsidR="001070CC">
        <w:rPr>
          <w:rFonts w:ascii="Times New Roman" w:hAnsi="Times New Roman" w:cs="Times New Roman"/>
        </w:rPr>
        <w:t>8</w:t>
      </w:r>
      <w:r w:rsidR="00D50DEF">
        <w:rPr>
          <w:rFonts w:ascii="Times New Roman" w:hAnsi="Times New Roman" w:cs="Times New Roman"/>
        </w:rPr>
        <w:t> </w:t>
      </w:r>
      <w:r w:rsidRPr="00441247">
        <w:rPr>
          <w:rFonts w:ascii="Times New Roman" w:hAnsi="Times New Roman" w:cs="Times New Roman"/>
        </w:rPr>
        <w:t xml:space="preserve">napos </w:t>
      </w:r>
      <w:r w:rsidR="00D50DEF">
        <w:rPr>
          <w:rFonts w:ascii="Times New Roman" w:hAnsi="Times New Roman" w:cs="Times New Roman"/>
        </w:rPr>
        <w:t>ciklusban (24 </w:t>
      </w:r>
      <w:r w:rsidRPr="00441247">
        <w:rPr>
          <w:rFonts w:ascii="Times New Roman" w:hAnsi="Times New Roman" w:cs="Times New Roman"/>
        </w:rPr>
        <w:t xml:space="preserve">hét). A betegek mindkét karon folyamatosan </w:t>
      </w:r>
      <w:r w:rsidR="00D50DEF">
        <w:rPr>
          <w:rFonts w:ascii="Times New Roman" w:hAnsi="Times New Roman" w:cs="Times New Roman"/>
        </w:rPr>
        <w:t>kapták az Rd-kezelést: napi 25 mg</w:t>
      </w:r>
      <w:r w:rsidRPr="00441247">
        <w:rPr>
          <w:rFonts w:ascii="Times New Roman" w:hAnsi="Times New Roman" w:cs="Times New Roman"/>
        </w:rPr>
        <w:t xml:space="preserve"> szájon át adott lenalidomid</w:t>
      </w:r>
      <w:r w:rsidR="00D50DEF">
        <w:rPr>
          <w:rFonts w:ascii="Times New Roman" w:hAnsi="Times New Roman" w:cs="Times New Roman"/>
        </w:rPr>
        <w:t xml:space="preserve"> az ismétlődő ciklusok 1</w:t>
      </w:r>
      <w:r w:rsidR="007210DA">
        <w:rPr>
          <w:rFonts w:ascii="Times New Roman" w:hAnsi="Times New Roman" w:cs="Times New Roman"/>
        </w:rPr>
        <w:t>.–</w:t>
      </w:r>
      <w:r w:rsidR="00D50DEF">
        <w:rPr>
          <w:rFonts w:ascii="Times New Roman" w:hAnsi="Times New Roman" w:cs="Times New Roman"/>
        </w:rPr>
        <w:t>21. </w:t>
      </w:r>
      <w:r w:rsidRPr="00441247">
        <w:rPr>
          <w:rFonts w:ascii="Times New Roman" w:hAnsi="Times New Roman" w:cs="Times New Roman"/>
        </w:rPr>
        <w:t>napján, és napi 40</w:t>
      </w:r>
      <w:r w:rsidR="00D50DEF">
        <w:rPr>
          <w:rFonts w:ascii="Times New Roman" w:hAnsi="Times New Roman" w:cs="Times New Roman"/>
        </w:rPr>
        <w:t> </w:t>
      </w:r>
      <w:r w:rsidRPr="00441247">
        <w:rPr>
          <w:rFonts w:ascii="Times New Roman" w:hAnsi="Times New Roman" w:cs="Times New Roman"/>
        </w:rPr>
        <w:t xml:space="preserve">mg dexametazon a ciklusok </w:t>
      </w:r>
      <w:r w:rsidR="00D50DEF">
        <w:rPr>
          <w:rFonts w:ascii="Times New Roman" w:hAnsi="Times New Roman" w:cs="Times New Roman"/>
        </w:rPr>
        <w:t>1., 8., 15. és 22. </w:t>
      </w:r>
      <w:r w:rsidRPr="00441247">
        <w:rPr>
          <w:rFonts w:ascii="Times New Roman" w:hAnsi="Times New Roman" w:cs="Times New Roman"/>
        </w:rPr>
        <w:t>napján. A kezelést a betegség progressziójáig kellett folytatni.</w:t>
      </w:r>
    </w:p>
    <w:p w14:paraId="0FF6EFA6" w14:textId="77777777" w:rsidR="002D4315" w:rsidRDefault="002D4315" w:rsidP="00956F16">
      <w:pPr>
        <w:spacing w:after="0" w:line="240" w:lineRule="auto"/>
        <w:rPr>
          <w:rFonts w:ascii="Times New Roman" w:hAnsi="Times New Roman" w:cs="Times New Roman"/>
        </w:rPr>
      </w:pPr>
    </w:p>
    <w:p w14:paraId="46FA09A5" w14:textId="5383B951" w:rsidR="00127996" w:rsidRDefault="00127996" w:rsidP="00956F16">
      <w:pPr>
        <w:spacing w:after="0" w:line="240" w:lineRule="auto"/>
        <w:rPr>
          <w:rFonts w:ascii="Times New Roman" w:hAnsi="Times New Roman" w:cs="Times New Roman"/>
        </w:rPr>
      </w:pPr>
      <w:r w:rsidRPr="00441247">
        <w:rPr>
          <w:rFonts w:ascii="Times New Roman" w:hAnsi="Times New Roman" w:cs="Times New Roman"/>
        </w:rPr>
        <w:t>A vizsgálatban az elsődleges hatásossági végpont a progressziómentes túlélés (</w:t>
      </w:r>
      <w:r w:rsidR="00D50DEF">
        <w:rPr>
          <w:rFonts w:ascii="Times New Roman" w:hAnsi="Times New Roman" w:cs="Times New Roman"/>
        </w:rPr>
        <w:t>PFS) volt. Összesen 523 </w:t>
      </w:r>
      <w:r w:rsidRPr="00441247">
        <w:rPr>
          <w:rFonts w:ascii="Times New Roman" w:hAnsi="Times New Roman" w:cs="Times New Roman"/>
        </w:rPr>
        <w:t>beteget vonta</w:t>
      </w:r>
      <w:r w:rsidR="00D50DEF">
        <w:rPr>
          <w:rFonts w:ascii="Times New Roman" w:hAnsi="Times New Roman" w:cs="Times New Roman"/>
        </w:rPr>
        <w:t>k be a vizsgálatba, közülük 263 </w:t>
      </w:r>
      <w:r w:rsidRPr="00441247">
        <w:rPr>
          <w:rFonts w:ascii="Times New Roman" w:hAnsi="Times New Roman" w:cs="Times New Roman"/>
        </w:rPr>
        <w:t xml:space="preserve">beteget randomizáltak </w:t>
      </w:r>
      <w:r w:rsidR="00D50DEF">
        <w:rPr>
          <w:rFonts w:ascii="Times New Roman" w:hAnsi="Times New Roman" w:cs="Times New Roman"/>
        </w:rPr>
        <w:t>az RVd-karra és 260 </w:t>
      </w:r>
      <w:r w:rsidRPr="00441247">
        <w:rPr>
          <w:rFonts w:ascii="Times New Roman" w:hAnsi="Times New Roman" w:cs="Times New Roman"/>
        </w:rPr>
        <w:t>beteget az Rd-karra. A betegek demográfiai adatai és a betegségre vonatkozó kiindulási jellemzői kiegyensúlyozottak voltak az egyes karokon.</w:t>
      </w:r>
    </w:p>
    <w:p w14:paraId="0F5463C9" w14:textId="77777777" w:rsidR="002D4315" w:rsidRPr="00441247" w:rsidRDefault="002D4315" w:rsidP="00956F16">
      <w:pPr>
        <w:spacing w:after="0" w:line="240" w:lineRule="auto"/>
        <w:rPr>
          <w:rFonts w:ascii="Times New Roman" w:hAnsi="Times New Roman" w:cs="Times New Roman"/>
        </w:rPr>
      </w:pPr>
    </w:p>
    <w:p w14:paraId="0B325C48" w14:textId="404CCFB9" w:rsidR="002D4315" w:rsidRDefault="00127996" w:rsidP="00956F16">
      <w:pPr>
        <w:spacing w:after="0" w:line="240" w:lineRule="auto"/>
        <w:rPr>
          <w:rFonts w:ascii="Times New Roman" w:hAnsi="Times New Roman" w:cs="Times New Roman"/>
        </w:rPr>
      </w:pPr>
      <w:r w:rsidRPr="00441247">
        <w:rPr>
          <w:rFonts w:ascii="Times New Roman" w:hAnsi="Times New Roman" w:cs="Times New Roman"/>
        </w:rPr>
        <w:t>Az elsődleges elemzés el</w:t>
      </w:r>
      <w:r w:rsidR="00D50DEF">
        <w:rPr>
          <w:rFonts w:ascii="Times New Roman" w:hAnsi="Times New Roman" w:cs="Times New Roman"/>
        </w:rPr>
        <w:t>végzésének időpontjában</w:t>
      </w:r>
      <w:r w:rsidR="008C78CD">
        <w:rPr>
          <w:rFonts w:ascii="Times New Roman" w:hAnsi="Times New Roman" w:cs="Times New Roman"/>
        </w:rPr>
        <w:t>,</w:t>
      </w:r>
      <w:r w:rsidR="00D50DEF">
        <w:rPr>
          <w:rFonts w:ascii="Times New Roman" w:hAnsi="Times New Roman" w:cs="Times New Roman"/>
        </w:rPr>
        <w:t xml:space="preserve"> a 2015. </w:t>
      </w:r>
      <w:r w:rsidRPr="00441247">
        <w:rPr>
          <w:rFonts w:ascii="Times New Roman" w:hAnsi="Times New Roman" w:cs="Times New Roman"/>
        </w:rPr>
        <w:t>november 5-i záró dátummal rendelke</w:t>
      </w:r>
      <w:r w:rsidR="00D50DEF">
        <w:rPr>
          <w:rFonts w:ascii="Times New Roman" w:hAnsi="Times New Roman" w:cs="Times New Roman"/>
        </w:rPr>
        <w:t>zésre álló adatok alapján (50,6 </w:t>
      </w:r>
      <w:r w:rsidRPr="00441247">
        <w:rPr>
          <w:rFonts w:ascii="Times New Roman" w:hAnsi="Times New Roman" w:cs="Times New Roman"/>
        </w:rPr>
        <w:t>hónapos utánkövetés) az IRAC által meghatározott PFS eredmények a progresszió, illetve a halálozás 24%-os csökkenését mutatták a</w:t>
      </w:r>
      <w:r w:rsidR="00D50DEF">
        <w:rPr>
          <w:rFonts w:ascii="Times New Roman" w:hAnsi="Times New Roman" w:cs="Times New Roman"/>
        </w:rPr>
        <w:t>z RVd javára (HR </w:t>
      </w:r>
      <w:r w:rsidRPr="00441247">
        <w:rPr>
          <w:rFonts w:ascii="Times New Roman" w:hAnsi="Times New Roman" w:cs="Times New Roman"/>
        </w:rPr>
        <w:t>=</w:t>
      </w:r>
      <w:r w:rsidR="00D50DEF">
        <w:rPr>
          <w:rFonts w:ascii="Times New Roman" w:hAnsi="Times New Roman" w:cs="Times New Roman"/>
        </w:rPr>
        <w:t> </w:t>
      </w:r>
      <w:r w:rsidR="00465FB1">
        <w:rPr>
          <w:rFonts w:ascii="Times New Roman" w:hAnsi="Times New Roman" w:cs="Times New Roman"/>
        </w:rPr>
        <w:t xml:space="preserve">0,76; 95%-os CI </w:t>
      </w:r>
      <w:r w:rsidR="007210DA">
        <w:rPr>
          <w:rFonts w:ascii="Times New Roman" w:hAnsi="Times New Roman" w:cs="Times New Roman"/>
        </w:rPr>
        <w:t>[</w:t>
      </w:r>
      <w:r w:rsidR="00465FB1">
        <w:rPr>
          <w:rFonts w:ascii="Times New Roman" w:hAnsi="Times New Roman" w:cs="Times New Roman"/>
        </w:rPr>
        <w:t>0,61</w:t>
      </w:r>
      <w:r w:rsidR="007210DA">
        <w:rPr>
          <w:rFonts w:ascii="Times New Roman" w:hAnsi="Times New Roman" w:cs="Times New Roman"/>
        </w:rPr>
        <w:t>;</w:t>
      </w:r>
      <w:r w:rsidR="00465FB1">
        <w:rPr>
          <w:rFonts w:ascii="Times New Roman" w:hAnsi="Times New Roman" w:cs="Times New Roman"/>
        </w:rPr>
        <w:t xml:space="preserve"> 0,94</w:t>
      </w:r>
      <w:r w:rsidR="007210DA">
        <w:rPr>
          <w:rFonts w:ascii="Times New Roman" w:hAnsi="Times New Roman" w:cs="Times New Roman"/>
        </w:rPr>
        <w:t>]</w:t>
      </w:r>
      <w:r w:rsidR="00465FB1">
        <w:rPr>
          <w:rFonts w:ascii="Times New Roman" w:hAnsi="Times New Roman" w:cs="Times New Roman"/>
        </w:rPr>
        <w:t>; p = </w:t>
      </w:r>
      <w:r w:rsidRPr="00441247">
        <w:rPr>
          <w:rFonts w:ascii="Times New Roman" w:hAnsi="Times New Roman" w:cs="Times New Roman"/>
        </w:rPr>
        <w:t>0,010)</w:t>
      </w:r>
      <w:r w:rsidR="00465FB1">
        <w:rPr>
          <w:rFonts w:ascii="Times New Roman" w:hAnsi="Times New Roman" w:cs="Times New Roman"/>
        </w:rPr>
        <w:t xml:space="preserve">. A medián összesített PFS 42,5 hónap (95%-os CI </w:t>
      </w:r>
      <w:r w:rsidR="007210DA">
        <w:rPr>
          <w:rFonts w:ascii="Times New Roman" w:hAnsi="Times New Roman" w:cs="Times New Roman"/>
        </w:rPr>
        <w:t>[</w:t>
      </w:r>
      <w:r w:rsidR="00465FB1">
        <w:rPr>
          <w:rFonts w:ascii="Times New Roman" w:hAnsi="Times New Roman" w:cs="Times New Roman"/>
        </w:rPr>
        <w:t>34,0</w:t>
      </w:r>
      <w:r w:rsidR="007210DA">
        <w:rPr>
          <w:rFonts w:ascii="Times New Roman" w:hAnsi="Times New Roman" w:cs="Times New Roman"/>
        </w:rPr>
        <w:t>;</w:t>
      </w:r>
      <w:r w:rsidRPr="00441247">
        <w:rPr>
          <w:rFonts w:ascii="Times New Roman" w:hAnsi="Times New Roman" w:cs="Times New Roman"/>
        </w:rPr>
        <w:t xml:space="preserve"> 54,8</w:t>
      </w:r>
      <w:r w:rsidR="007210DA">
        <w:rPr>
          <w:rFonts w:ascii="Times New Roman" w:hAnsi="Times New Roman" w:cs="Times New Roman"/>
        </w:rPr>
        <w:t>]</w:t>
      </w:r>
      <w:r w:rsidRPr="00441247">
        <w:rPr>
          <w:rFonts w:ascii="Times New Roman" w:hAnsi="Times New Roman" w:cs="Times New Roman"/>
        </w:rPr>
        <w:t xml:space="preserve">) </w:t>
      </w:r>
      <w:r w:rsidR="00465FB1">
        <w:rPr>
          <w:rFonts w:ascii="Times New Roman" w:hAnsi="Times New Roman" w:cs="Times New Roman"/>
        </w:rPr>
        <w:t>volt az RVd</w:t>
      </w:r>
      <w:r w:rsidR="00104634">
        <w:rPr>
          <w:rFonts w:ascii="Times New Roman" w:hAnsi="Times New Roman" w:cs="Times New Roman"/>
        </w:rPr>
        <w:t>-</w:t>
      </w:r>
      <w:r w:rsidR="00465FB1">
        <w:rPr>
          <w:rFonts w:ascii="Times New Roman" w:hAnsi="Times New Roman" w:cs="Times New Roman"/>
        </w:rPr>
        <w:t xml:space="preserve">karon, ezzel szemben 29,9 hónap (95%-os CI </w:t>
      </w:r>
      <w:r w:rsidR="007210DA">
        <w:rPr>
          <w:rFonts w:ascii="Times New Roman" w:hAnsi="Times New Roman" w:cs="Times New Roman"/>
        </w:rPr>
        <w:t>[</w:t>
      </w:r>
      <w:r w:rsidR="00465FB1">
        <w:rPr>
          <w:rFonts w:ascii="Times New Roman" w:hAnsi="Times New Roman" w:cs="Times New Roman"/>
        </w:rPr>
        <w:t>25,6</w:t>
      </w:r>
      <w:r w:rsidR="007210DA">
        <w:rPr>
          <w:rFonts w:ascii="Times New Roman" w:hAnsi="Times New Roman" w:cs="Times New Roman"/>
        </w:rPr>
        <w:t>;</w:t>
      </w:r>
      <w:r w:rsidRPr="00441247">
        <w:rPr>
          <w:rFonts w:ascii="Times New Roman" w:hAnsi="Times New Roman" w:cs="Times New Roman"/>
        </w:rPr>
        <w:t xml:space="preserve"> 38,2</w:t>
      </w:r>
      <w:r w:rsidR="007210DA">
        <w:rPr>
          <w:rFonts w:ascii="Times New Roman" w:hAnsi="Times New Roman" w:cs="Times New Roman"/>
        </w:rPr>
        <w:t>]</w:t>
      </w:r>
      <w:r w:rsidRPr="00441247">
        <w:rPr>
          <w:rFonts w:ascii="Times New Roman" w:hAnsi="Times New Roman" w:cs="Times New Roman"/>
        </w:rPr>
        <w:t xml:space="preserve">) az Rd-karon. Ezt az előnyt az </w:t>
      </w:r>
      <w:r w:rsidR="00465FB1">
        <w:rPr>
          <w:rFonts w:ascii="Times New Roman" w:hAnsi="Times New Roman" w:cs="Times New Roman"/>
        </w:rPr>
        <w:t>őssejt</w:t>
      </w:r>
      <w:r w:rsidR="00104634">
        <w:rPr>
          <w:rFonts w:ascii="Times New Roman" w:hAnsi="Times New Roman" w:cs="Times New Roman"/>
        </w:rPr>
        <w:t>-</w:t>
      </w:r>
      <w:r w:rsidRPr="00441247">
        <w:rPr>
          <w:rFonts w:ascii="Times New Roman" w:hAnsi="Times New Roman" w:cs="Times New Roman"/>
        </w:rPr>
        <w:t>transzplantációra való alkalmasságtól függetlenül megfigyelték.</w:t>
      </w:r>
    </w:p>
    <w:p w14:paraId="0D750939" w14:textId="77777777" w:rsidR="002D4315" w:rsidRDefault="002D4315" w:rsidP="00956F16">
      <w:pPr>
        <w:spacing w:after="0" w:line="240" w:lineRule="auto"/>
        <w:rPr>
          <w:rFonts w:ascii="Times New Roman" w:hAnsi="Times New Roman" w:cs="Times New Roman"/>
        </w:rPr>
      </w:pPr>
    </w:p>
    <w:p w14:paraId="10008DD9" w14:textId="1126D3DB" w:rsidR="00127996" w:rsidRDefault="008C78CD" w:rsidP="00956F16">
      <w:pPr>
        <w:spacing w:after="0" w:line="240" w:lineRule="auto"/>
        <w:rPr>
          <w:rFonts w:ascii="Times New Roman" w:hAnsi="Times New Roman" w:cs="Times New Roman"/>
        </w:rPr>
      </w:pPr>
      <w:r>
        <w:rPr>
          <w:rFonts w:ascii="Times New Roman" w:hAnsi="Times New Roman" w:cs="Times New Roman"/>
        </w:rPr>
        <w:t xml:space="preserve">A </w:t>
      </w:r>
      <w:r w:rsidR="001070CC">
        <w:rPr>
          <w:rFonts w:ascii="Times New Roman" w:hAnsi="Times New Roman" w:cs="Times New Roman"/>
        </w:rPr>
        <w:t>8</w:t>
      </w:r>
      <w:r>
        <w:rPr>
          <w:rFonts w:ascii="Times New Roman" w:hAnsi="Times New Roman" w:cs="Times New Roman"/>
        </w:rPr>
        <w:t>. </w:t>
      </w:r>
      <w:r w:rsidR="00127996" w:rsidRPr="00441247">
        <w:rPr>
          <w:rFonts w:ascii="Times New Roman" w:hAnsi="Times New Roman" w:cs="Times New Roman"/>
        </w:rPr>
        <w:t>tábláz</w:t>
      </w:r>
      <w:r>
        <w:rPr>
          <w:rFonts w:ascii="Times New Roman" w:hAnsi="Times New Roman" w:cs="Times New Roman"/>
        </w:rPr>
        <w:t>at mutatja be a vizsgálat 2016. december </w:t>
      </w:r>
      <w:r w:rsidR="00127996" w:rsidRPr="00441247">
        <w:rPr>
          <w:rFonts w:ascii="Times New Roman" w:hAnsi="Times New Roman" w:cs="Times New Roman"/>
        </w:rPr>
        <w:t xml:space="preserve">1-jei záró dátummal rendelkezésre álló </w:t>
      </w:r>
      <w:r>
        <w:rPr>
          <w:rFonts w:ascii="Times New Roman" w:hAnsi="Times New Roman" w:cs="Times New Roman"/>
        </w:rPr>
        <w:t>eredményeit,</w:t>
      </w:r>
      <w:r w:rsidR="00127996" w:rsidRPr="00441247">
        <w:rPr>
          <w:rFonts w:ascii="Times New Roman" w:hAnsi="Times New Roman" w:cs="Times New Roman"/>
        </w:rPr>
        <w:t xml:space="preserve"> ahol a medián utánkövetési idő az összes túlélő</w:t>
      </w:r>
      <w:r>
        <w:rPr>
          <w:rFonts w:ascii="Times New Roman" w:hAnsi="Times New Roman" w:cs="Times New Roman"/>
        </w:rPr>
        <w:t xml:space="preserve"> vizsgálati alany esetében 69,0 </w:t>
      </w:r>
      <w:r w:rsidR="00127996" w:rsidRPr="00441247">
        <w:rPr>
          <w:rFonts w:ascii="Times New Roman" w:hAnsi="Times New Roman" w:cs="Times New Roman"/>
        </w:rPr>
        <w:t>hónap volt. Az RVd előnyét az őssejt-transzplantációra való alkalmasságtól függetlenül megfigyelték.</w:t>
      </w:r>
    </w:p>
    <w:p w14:paraId="0ACC8F22" w14:textId="77777777" w:rsidR="002D4315" w:rsidRDefault="002D4315" w:rsidP="00956F16">
      <w:pPr>
        <w:spacing w:after="0" w:line="240" w:lineRule="auto"/>
        <w:rPr>
          <w:rFonts w:ascii="Times New Roman" w:eastAsia="Calibri" w:hAnsi="Times New Roman" w:cs="Times New Roman"/>
        </w:rPr>
      </w:pPr>
    </w:p>
    <w:p w14:paraId="32DD7C36" w14:textId="199A3002" w:rsidR="008C78CD" w:rsidRPr="00956F16" w:rsidRDefault="001070CC" w:rsidP="008C78CD">
      <w:pPr>
        <w:keepNext/>
        <w:spacing w:after="0" w:line="240" w:lineRule="auto"/>
        <w:rPr>
          <w:rFonts w:ascii="Times New Roman" w:eastAsia="Calibri" w:hAnsi="Times New Roman" w:cs="Times New Roman"/>
          <w:b/>
        </w:rPr>
      </w:pPr>
      <w:r>
        <w:rPr>
          <w:rFonts w:ascii="Times New Roman" w:eastAsia="Calibri" w:hAnsi="Times New Roman" w:cs="Times New Roman"/>
          <w:b/>
        </w:rPr>
        <w:t>8</w:t>
      </w:r>
      <w:r w:rsidR="008C78CD" w:rsidRPr="00956F16">
        <w:rPr>
          <w:rFonts w:ascii="Times New Roman" w:eastAsia="Calibri" w:hAnsi="Times New Roman" w:cs="Times New Roman"/>
          <w:b/>
        </w:rPr>
        <w:t>. tábl</w:t>
      </w:r>
      <w:r w:rsidR="008C78CD">
        <w:rPr>
          <w:rFonts w:ascii="Times New Roman" w:eastAsia="Calibri" w:hAnsi="Times New Roman" w:cs="Times New Roman"/>
          <w:b/>
        </w:rPr>
        <w:t>ázat: Az összesített klinikai</w:t>
      </w:r>
      <w:r w:rsidR="008C78CD" w:rsidRPr="00956F16">
        <w:rPr>
          <w:rFonts w:ascii="Times New Roman" w:eastAsia="Calibri" w:hAnsi="Times New Roman" w:cs="Times New Roman"/>
          <w:b/>
        </w:rPr>
        <w:t xml:space="preserve"> adatok összefoglalása</w:t>
      </w:r>
    </w:p>
    <w:tbl>
      <w:tblPr>
        <w:tblW w:w="9072" w:type="dxa"/>
        <w:tblInd w:w="5" w:type="dxa"/>
        <w:tblLayout w:type="fixed"/>
        <w:tblCellMar>
          <w:left w:w="0" w:type="dxa"/>
          <w:right w:w="0" w:type="dxa"/>
        </w:tblCellMar>
        <w:tblLook w:val="0000" w:firstRow="0" w:lastRow="0" w:firstColumn="0" w:lastColumn="0" w:noHBand="0" w:noVBand="0"/>
      </w:tblPr>
      <w:tblGrid>
        <w:gridCol w:w="4395"/>
        <w:gridCol w:w="2409"/>
        <w:gridCol w:w="2268"/>
      </w:tblGrid>
      <w:tr w:rsidR="008C78CD" w:rsidRPr="00956F16" w14:paraId="1E69FC13" w14:textId="77777777" w:rsidTr="00441247">
        <w:trPr>
          <w:trHeight w:hRule="exact" w:val="324"/>
          <w:tblHeader/>
        </w:trPr>
        <w:tc>
          <w:tcPr>
            <w:tcW w:w="4395" w:type="dxa"/>
            <w:vMerge w:val="restart"/>
            <w:tcBorders>
              <w:top w:val="single" w:sz="4" w:space="0" w:color="000000"/>
              <w:left w:val="single" w:sz="4" w:space="0" w:color="000000"/>
              <w:right w:val="single" w:sz="4" w:space="0" w:color="000000"/>
            </w:tcBorders>
          </w:tcPr>
          <w:p w14:paraId="7B6370E8" w14:textId="77777777" w:rsidR="008C78CD" w:rsidRPr="00956F16" w:rsidRDefault="008C78CD" w:rsidP="00160418">
            <w:pPr>
              <w:keepNext/>
              <w:tabs>
                <w:tab w:val="left" w:pos="567"/>
              </w:tabs>
              <w:autoSpaceDE w:val="0"/>
              <w:autoSpaceDN w:val="0"/>
              <w:adjustRightInd w:val="0"/>
              <w:spacing w:after="0" w:line="240" w:lineRule="auto"/>
              <w:ind w:left="142"/>
              <w:rPr>
                <w:rFonts w:ascii="Times New Roman" w:eastAsia="Times New Roman" w:hAnsi="Times New Roman" w:cs="Times New Roman"/>
              </w:rPr>
            </w:pPr>
          </w:p>
        </w:tc>
        <w:tc>
          <w:tcPr>
            <w:tcW w:w="4677" w:type="dxa"/>
            <w:gridSpan w:val="2"/>
            <w:tcBorders>
              <w:top w:val="single" w:sz="4" w:space="0" w:color="000000"/>
              <w:left w:val="single" w:sz="4" w:space="0" w:color="000000"/>
              <w:bottom w:val="single" w:sz="4" w:space="0" w:color="000000"/>
              <w:right w:val="single" w:sz="4" w:space="0" w:color="000000"/>
            </w:tcBorders>
          </w:tcPr>
          <w:p w14:paraId="6D20CD1E" w14:textId="1081971F" w:rsidR="008C78CD" w:rsidRPr="00441247" w:rsidRDefault="008C78CD" w:rsidP="00160418">
            <w:pPr>
              <w:keepNext/>
              <w:tabs>
                <w:tab w:val="left" w:pos="567"/>
              </w:tabs>
              <w:autoSpaceDE w:val="0"/>
              <w:autoSpaceDN w:val="0"/>
              <w:adjustRightInd w:val="0"/>
              <w:spacing w:after="0" w:line="240" w:lineRule="auto"/>
              <w:jc w:val="center"/>
              <w:rPr>
                <w:rFonts w:ascii="Times New Roman" w:eastAsia="Times New Roman" w:hAnsi="Times New Roman" w:cs="Times New Roman"/>
                <w:b/>
              </w:rPr>
            </w:pPr>
            <w:r w:rsidRPr="00441247">
              <w:rPr>
                <w:rFonts w:ascii="Times New Roman" w:eastAsia="Times New Roman" w:hAnsi="Times New Roman" w:cs="Times New Roman"/>
                <w:b/>
              </w:rPr>
              <w:t>Kezdő kezelés</w:t>
            </w:r>
          </w:p>
        </w:tc>
      </w:tr>
      <w:tr w:rsidR="008C78CD" w:rsidRPr="00956F16" w14:paraId="015D19E7" w14:textId="77777777" w:rsidTr="00441247">
        <w:trPr>
          <w:trHeight w:hRule="exact" w:val="854"/>
          <w:tblHeader/>
        </w:trPr>
        <w:tc>
          <w:tcPr>
            <w:tcW w:w="4395" w:type="dxa"/>
            <w:vMerge/>
            <w:tcBorders>
              <w:left w:val="single" w:sz="4" w:space="0" w:color="000000"/>
              <w:bottom w:val="single" w:sz="4" w:space="0" w:color="000000"/>
              <w:right w:val="single" w:sz="4" w:space="0" w:color="000000"/>
            </w:tcBorders>
          </w:tcPr>
          <w:p w14:paraId="75F2F057" w14:textId="77777777" w:rsidR="008C78CD" w:rsidRPr="00956F16" w:rsidRDefault="008C78CD" w:rsidP="00160418">
            <w:pPr>
              <w:keepNext/>
              <w:tabs>
                <w:tab w:val="left" w:pos="567"/>
              </w:tabs>
              <w:autoSpaceDE w:val="0"/>
              <w:autoSpaceDN w:val="0"/>
              <w:adjustRightInd w:val="0"/>
              <w:spacing w:after="0" w:line="240" w:lineRule="auto"/>
              <w:ind w:left="142"/>
              <w:rPr>
                <w:rFonts w:ascii="Times New Roman" w:eastAsia="Times New Roman" w:hAnsi="Times New Roman" w:cs="Times New Roman"/>
              </w:rPr>
            </w:pPr>
          </w:p>
        </w:tc>
        <w:tc>
          <w:tcPr>
            <w:tcW w:w="2409" w:type="dxa"/>
            <w:tcBorders>
              <w:top w:val="single" w:sz="4" w:space="0" w:color="000000"/>
              <w:left w:val="single" w:sz="4" w:space="0" w:color="000000"/>
              <w:bottom w:val="single" w:sz="4" w:space="0" w:color="000000"/>
              <w:right w:val="single" w:sz="4" w:space="0" w:color="000000"/>
            </w:tcBorders>
          </w:tcPr>
          <w:p w14:paraId="5F45026C" w14:textId="77777777" w:rsidR="008C78CD" w:rsidRDefault="008C78CD" w:rsidP="00160418">
            <w:pPr>
              <w:keepNext/>
              <w:tabs>
                <w:tab w:val="left" w:pos="567"/>
              </w:tabs>
              <w:autoSpaceDE w:val="0"/>
              <w:autoSpaceDN w:val="0"/>
              <w:adjustRightInd w:val="0"/>
              <w:spacing w:after="0" w:line="240" w:lineRule="auto"/>
              <w:jc w:val="center"/>
              <w:rPr>
                <w:rFonts w:ascii="Times New Roman" w:eastAsia="Times New Roman" w:hAnsi="Times New Roman" w:cs="Times New Roman"/>
                <w:b/>
              </w:rPr>
            </w:pPr>
            <w:r w:rsidRPr="00441247">
              <w:rPr>
                <w:rFonts w:ascii="Times New Roman" w:eastAsia="Times New Roman" w:hAnsi="Times New Roman" w:cs="Times New Roman"/>
                <w:b/>
              </w:rPr>
              <w:t>RVd</w:t>
            </w:r>
          </w:p>
          <w:p w14:paraId="460E3A99" w14:textId="002D2FE3" w:rsidR="008C78CD" w:rsidRDefault="008C78CD" w:rsidP="00160418">
            <w:pPr>
              <w:keepNext/>
              <w:tabs>
                <w:tab w:val="left" w:pos="567"/>
              </w:tabs>
              <w:autoSpaceDE w:val="0"/>
              <w:autoSpaceDN w:val="0"/>
              <w:adjustRightInd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(3 </w:t>
            </w:r>
            <w:r w:rsidRPr="00441247">
              <w:rPr>
                <w:rFonts w:ascii="Times New Roman" w:eastAsia="Times New Roman" w:hAnsi="Times New Roman" w:cs="Times New Roman"/>
                <w:b/>
              </w:rPr>
              <w:t>hetes ciklusok</w:t>
            </w:r>
            <w:r>
              <w:rPr>
                <w:rFonts w:ascii="Times New Roman" w:eastAsia="Times New Roman" w:hAnsi="Times New Roman" w:cs="Times New Roman"/>
                <w:b/>
              </w:rPr>
              <w:t> </w:t>
            </w:r>
            <w:r w:rsidRPr="00441247">
              <w:rPr>
                <w:rFonts w:ascii="Times New Roman" w:eastAsia="Times New Roman" w:hAnsi="Times New Roman" w:cs="Times New Roman"/>
                <w:b/>
              </w:rPr>
              <w:t>×</w:t>
            </w:r>
            <w:r>
              <w:rPr>
                <w:rFonts w:ascii="Times New Roman" w:eastAsia="Times New Roman" w:hAnsi="Times New Roman" w:cs="Times New Roman"/>
                <w:b/>
              </w:rPr>
              <w:t> </w:t>
            </w:r>
            <w:r w:rsidRPr="00441247">
              <w:rPr>
                <w:rFonts w:ascii="Times New Roman" w:eastAsia="Times New Roman" w:hAnsi="Times New Roman" w:cs="Times New Roman"/>
                <w:b/>
              </w:rPr>
              <w:t>8)</w:t>
            </w:r>
          </w:p>
          <w:p w14:paraId="57E58BF2" w14:textId="31E13C82" w:rsidR="008C78CD" w:rsidRPr="00441247" w:rsidRDefault="008C78CD" w:rsidP="00160418">
            <w:pPr>
              <w:keepNext/>
              <w:tabs>
                <w:tab w:val="left" w:pos="567"/>
              </w:tabs>
              <w:autoSpaceDE w:val="0"/>
              <w:autoSpaceDN w:val="0"/>
              <w:adjustRightInd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(n = </w:t>
            </w:r>
            <w:r w:rsidRPr="00441247">
              <w:rPr>
                <w:rFonts w:ascii="Times New Roman" w:eastAsia="Times New Roman" w:hAnsi="Times New Roman" w:cs="Times New Roman"/>
                <w:b/>
              </w:rPr>
              <w:t>263)</w:t>
            </w:r>
          </w:p>
        </w:tc>
        <w:tc>
          <w:tcPr>
            <w:tcW w:w="2268" w:type="dxa"/>
            <w:tcBorders>
              <w:top w:val="single" w:sz="4" w:space="0" w:color="000000"/>
              <w:left w:val="single" w:sz="4" w:space="0" w:color="000000"/>
              <w:bottom w:val="single" w:sz="4" w:space="0" w:color="000000"/>
              <w:right w:val="single" w:sz="4" w:space="0" w:color="000000"/>
            </w:tcBorders>
          </w:tcPr>
          <w:p w14:paraId="6E0AC3AA" w14:textId="77777777" w:rsidR="008C78CD" w:rsidRDefault="008C78CD" w:rsidP="00160418">
            <w:pPr>
              <w:keepNext/>
              <w:tabs>
                <w:tab w:val="left" w:pos="567"/>
              </w:tabs>
              <w:autoSpaceDE w:val="0"/>
              <w:autoSpaceDN w:val="0"/>
              <w:adjustRightInd w:val="0"/>
              <w:spacing w:after="0" w:line="240" w:lineRule="auto"/>
              <w:jc w:val="center"/>
              <w:rPr>
                <w:rFonts w:ascii="Times New Roman" w:eastAsia="Times New Roman" w:hAnsi="Times New Roman" w:cs="Times New Roman"/>
                <w:b/>
              </w:rPr>
            </w:pPr>
            <w:r w:rsidRPr="00441247">
              <w:rPr>
                <w:rFonts w:ascii="Times New Roman" w:eastAsia="Times New Roman" w:hAnsi="Times New Roman" w:cs="Times New Roman"/>
                <w:b/>
              </w:rPr>
              <w:t>Rd</w:t>
            </w:r>
          </w:p>
          <w:p w14:paraId="014FCFB5" w14:textId="40259C13" w:rsidR="008C78CD" w:rsidRDefault="008C78CD" w:rsidP="00160418">
            <w:pPr>
              <w:keepNext/>
              <w:tabs>
                <w:tab w:val="left" w:pos="567"/>
              </w:tabs>
              <w:autoSpaceDE w:val="0"/>
              <w:autoSpaceDN w:val="0"/>
              <w:adjustRightInd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(4 </w:t>
            </w:r>
            <w:r w:rsidRPr="00441247">
              <w:rPr>
                <w:rFonts w:ascii="Times New Roman" w:eastAsia="Times New Roman" w:hAnsi="Times New Roman" w:cs="Times New Roman"/>
                <w:b/>
              </w:rPr>
              <w:t>hetes ciklusok</w:t>
            </w:r>
            <w:r>
              <w:rPr>
                <w:rFonts w:ascii="Times New Roman" w:eastAsia="Times New Roman" w:hAnsi="Times New Roman" w:cs="Times New Roman"/>
                <w:b/>
              </w:rPr>
              <w:t> </w:t>
            </w:r>
            <w:r w:rsidRPr="00441247">
              <w:rPr>
                <w:rFonts w:ascii="Times New Roman" w:eastAsia="Times New Roman" w:hAnsi="Times New Roman" w:cs="Times New Roman"/>
                <w:b/>
              </w:rPr>
              <w:t>×</w:t>
            </w:r>
            <w:r>
              <w:rPr>
                <w:rFonts w:ascii="Times New Roman" w:eastAsia="Times New Roman" w:hAnsi="Times New Roman" w:cs="Times New Roman"/>
                <w:b/>
              </w:rPr>
              <w:t> </w:t>
            </w:r>
            <w:r w:rsidRPr="00441247">
              <w:rPr>
                <w:rFonts w:ascii="Times New Roman" w:eastAsia="Times New Roman" w:hAnsi="Times New Roman" w:cs="Times New Roman"/>
                <w:b/>
              </w:rPr>
              <w:t>6)</w:t>
            </w:r>
          </w:p>
          <w:p w14:paraId="77227E88" w14:textId="647E3343" w:rsidR="008C78CD" w:rsidRPr="00441247" w:rsidRDefault="008C78CD" w:rsidP="00160418">
            <w:pPr>
              <w:keepNext/>
              <w:tabs>
                <w:tab w:val="left" w:pos="567"/>
              </w:tabs>
              <w:autoSpaceDE w:val="0"/>
              <w:autoSpaceDN w:val="0"/>
              <w:adjustRightInd w:val="0"/>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(n = </w:t>
            </w:r>
            <w:r w:rsidRPr="00441247">
              <w:rPr>
                <w:rFonts w:ascii="Times New Roman" w:eastAsia="Times New Roman" w:hAnsi="Times New Roman" w:cs="Times New Roman"/>
                <w:b/>
              </w:rPr>
              <w:t>260)</w:t>
            </w:r>
          </w:p>
        </w:tc>
      </w:tr>
      <w:tr w:rsidR="008C78CD" w:rsidRPr="00956F16" w14:paraId="5E9220B0" w14:textId="77777777" w:rsidTr="00441247">
        <w:trPr>
          <w:trHeight w:hRule="exact" w:val="283"/>
        </w:trPr>
        <w:tc>
          <w:tcPr>
            <w:tcW w:w="9072" w:type="dxa"/>
            <w:gridSpan w:val="3"/>
            <w:tcBorders>
              <w:top w:val="single" w:sz="4" w:space="0" w:color="000000"/>
              <w:left w:val="single" w:sz="4" w:space="0" w:color="000000"/>
              <w:bottom w:val="single" w:sz="4" w:space="0" w:color="000000"/>
              <w:right w:val="single" w:sz="4" w:space="0" w:color="000000"/>
            </w:tcBorders>
          </w:tcPr>
          <w:p w14:paraId="3DF79815" w14:textId="1E342D51" w:rsidR="008C78CD" w:rsidRPr="00441247" w:rsidRDefault="008C78CD" w:rsidP="00160418">
            <w:pPr>
              <w:keepNext/>
              <w:tabs>
                <w:tab w:val="left" w:pos="567"/>
              </w:tabs>
              <w:autoSpaceDE w:val="0"/>
              <w:autoSpaceDN w:val="0"/>
              <w:adjustRightInd w:val="0"/>
              <w:spacing w:after="0" w:line="240" w:lineRule="auto"/>
              <w:ind w:left="142"/>
              <w:rPr>
                <w:rFonts w:ascii="Times New Roman" w:eastAsia="Times New Roman" w:hAnsi="Times New Roman" w:cs="Times New Roman"/>
                <w:b/>
              </w:rPr>
            </w:pPr>
            <w:r w:rsidRPr="00441247">
              <w:rPr>
                <w:rFonts w:ascii="Times New Roman" w:eastAsia="Times New Roman" w:hAnsi="Times New Roman" w:cs="Times New Roman"/>
                <w:b/>
              </w:rPr>
              <w:t>IRAC által meghatározott PFS (hónapok)</w:t>
            </w:r>
          </w:p>
        </w:tc>
      </w:tr>
      <w:tr w:rsidR="008C78CD" w:rsidRPr="00956F16" w14:paraId="36051F7E" w14:textId="77777777" w:rsidTr="00441247">
        <w:trPr>
          <w:trHeight w:hRule="exact" w:val="250"/>
        </w:trPr>
        <w:tc>
          <w:tcPr>
            <w:tcW w:w="4395" w:type="dxa"/>
            <w:tcBorders>
              <w:top w:val="single" w:sz="4" w:space="0" w:color="000000"/>
              <w:left w:val="single" w:sz="4" w:space="0" w:color="000000"/>
              <w:bottom w:val="single" w:sz="4" w:space="0" w:color="000000"/>
              <w:right w:val="single" w:sz="4" w:space="0" w:color="000000"/>
            </w:tcBorders>
          </w:tcPr>
          <w:p w14:paraId="26FCEF95" w14:textId="5DC9BB54" w:rsidR="008C78CD" w:rsidRPr="00956F16" w:rsidRDefault="008C78CD" w:rsidP="00160418">
            <w:pPr>
              <w:keepNext/>
              <w:tabs>
                <w:tab w:val="left" w:pos="567"/>
              </w:tabs>
              <w:spacing w:after="0" w:line="260" w:lineRule="exact"/>
              <w:ind w:left="174"/>
              <w:rPr>
                <w:rFonts w:ascii="Times New Roman" w:eastAsia="Times New Roman" w:hAnsi="Times New Roman" w:cs="Times New Roman"/>
              </w:rPr>
            </w:pPr>
            <w:r w:rsidRPr="00956F16">
              <w:rPr>
                <w:rFonts w:ascii="Times New Roman" w:eastAsia="Times New Roman" w:hAnsi="Times New Roman" w:cs="Times New Roman"/>
              </w:rPr>
              <w:t>A PFS 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ideje, hónapokban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b</w:t>
            </w:r>
          </w:p>
        </w:tc>
        <w:tc>
          <w:tcPr>
            <w:tcW w:w="2409" w:type="dxa"/>
            <w:tcBorders>
              <w:top w:val="single" w:sz="4" w:space="0" w:color="000000"/>
              <w:left w:val="single" w:sz="4" w:space="0" w:color="000000"/>
              <w:bottom w:val="single" w:sz="4" w:space="0" w:color="000000"/>
              <w:right w:val="single" w:sz="4" w:space="0" w:color="000000"/>
            </w:tcBorders>
          </w:tcPr>
          <w:p w14:paraId="507FF355" w14:textId="4441F4EF" w:rsidR="008C78CD" w:rsidRPr="00956F16" w:rsidRDefault="00DF2BF9" w:rsidP="00160418">
            <w:pPr>
              <w:keepNext/>
              <w:autoSpaceDE w:val="0"/>
              <w:autoSpaceDN w:val="0"/>
              <w:adjustRightInd w:val="0"/>
              <w:spacing w:after="0" w:line="240" w:lineRule="auto"/>
              <w:ind w:right="-20"/>
              <w:jc w:val="center"/>
              <w:rPr>
                <w:rFonts w:ascii="Times New Roman" w:eastAsia="Times New Roman" w:hAnsi="Times New Roman" w:cs="Times New Roman"/>
              </w:rPr>
            </w:pPr>
            <w:r>
              <w:rPr>
                <w:rFonts w:ascii="Times New Roman" w:eastAsia="Times New Roman" w:hAnsi="Times New Roman" w:cs="Times New Roman"/>
                <w:b/>
                <w:bCs/>
              </w:rPr>
              <w:t>41,7</w:t>
            </w:r>
            <w:r w:rsidR="008C78CD" w:rsidRPr="00956F16">
              <w:rPr>
                <w:rFonts w:ascii="Times New Roman" w:eastAsia="Times New Roman" w:hAnsi="Times New Roman" w:cs="Times New Roman"/>
                <w:b/>
                <w:bCs/>
              </w:rPr>
              <w:t xml:space="preserve"> </w:t>
            </w:r>
            <w:r>
              <w:rPr>
                <w:rFonts w:ascii="Times New Roman" w:eastAsia="Times New Roman" w:hAnsi="Times New Roman" w:cs="Times New Roman"/>
              </w:rPr>
              <w:t>(33,1; 51,5</w:t>
            </w:r>
            <w:r w:rsidR="008C78CD" w:rsidRPr="00956F16">
              <w:rPr>
                <w:rFonts w:ascii="Times New Roman" w:eastAsia="Times New Roman" w:hAnsi="Times New Roman" w:cs="Times New Roman"/>
              </w:rPr>
              <w:t>)</w:t>
            </w:r>
          </w:p>
        </w:tc>
        <w:tc>
          <w:tcPr>
            <w:tcW w:w="2268" w:type="dxa"/>
            <w:tcBorders>
              <w:top w:val="single" w:sz="4" w:space="0" w:color="000000"/>
              <w:left w:val="single" w:sz="4" w:space="0" w:color="000000"/>
              <w:bottom w:val="single" w:sz="4" w:space="0" w:color="000000"/>
              <w:right w:val="single" w:sz="4" w:space="0" w:color="000000"/>
            </w:tcBorders>
          </w:tcPr>
          <w:p w14:paraId="57A6D34D" w14:textId="7A474C12" w:rsidR="008C78CD" w:rsidRPr="00956F16" w:rsidRDefault="00DF2BF9" w:rsidP="00160418">
            <w:pPr>
              <w:keepNext/>
              <w:tabs>
                <w:tab w:val="left" w:pos="567"/>
              </w:tabs>
              <w:autoSpaceDE w:val="0"/>
              <w:autoSpaceDN w:val="0"/>
              <w:adjustRightInd w:val="0"/>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29,7</w:t>
            </w:r>
            <w:r w:rsidR="008C78CD" w:rsidRPr="00956F16">
              <w:rPr>
                <w:rFonts w:ascii="Times New Roman" w:eastAsia="Times New Roman" w:hAnsi="Times New Roman" w:cs="Times New Roman"/>
                <w:b/>
                <w:bCs/>
              </w:rPr>
              <w:t xml:space="preserve"> </w:t>
            </w:r>
            <w:r>
              <w:rPr>
                <w:rFonts w:ascii="Times New Roman" w:eastAsia="Times New Roman" w:hAnsi="Times New Roman" w:cs="Times New Roman"/>
              </w:rPr>
              <w:t>(24,2; 37,8</w:t>
            </w:r>
            <w:r w:rsidR="008C78CD" w:rsidRPr="00956F16">
              <w:rPr>
                <w:rFonts w:ascii="Times New Roman" w:eastAsia="Times New Roman" w:hAnsi="Times New Roman" w:cs="Times New Roman"/>
              </w:rPr>
              <w:t>)</w:t>
            </w:r>
          </w:p>
        </w:tc>
      </w:tr>
      <w:tr w:rsidR="008C78CD" w:rsidRPr="00956F16" w14:paraId="0C6F69B4" w14:textId="77777777" w:rsidTr="00441247">
        <w:trPr>
          <w:trHeight w:hRule="exact" w:val="250"/>
        </w:trPr>
        <w:tc>
          <w:tcPr>
            <w:tcW w:w="4395" w:type="dxa"/>
            <w:tcBorders>
              <w:top w:val="single" w:sz="4" w:space="0" w:color="000000"/>
              <w:left w:val="single" w:sz="4" w:space="0" w:color="000000"/>
              <w:bottom w:val="single" w:sz="4" w:space="0" w:color="000000"/>
              <w:right w:val="single" w:sz="4" w:space="0" w:color="000000"/>
            </w:tcBorders>
          </w:tcPr>
          <w:p w14:paraId="7D95FB89" w14:textId="5616C1EE" w:rsidR="008C78CD" w:rsidRPr="00956F16" w:rsidRDefault="008C78CD" w:rsidP="00160418">
            <w:pPr>
              <w:keepNext/>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HR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c</w:t>
            </w:r>
            <w:r w:rsidRPr="00956F16">
              <w:rPr>
                <w:rFonts w:ascii="Times New Roman" w:eastAsia="Times New Roman" w:hAnsi="Times New Roman" w:cs="Times New Roman"/>
              </w:rPr>
              <w:t>; p</w:t>
            </w:r>
            <w:r w:rsidR="00104634">
              <w:rPr>
                <w:rFonts w:ascii="Times New Roman" w:eastAsia="Times New Roman" w:hAnsi="Times New Roman" w:cs="Times New Roman"/>
              </w:rPr>
              <w:t>-</w:t>
            </w:r>
            <w:r w:rsidRPr="00956F16">
              <w:rPr>
                <w:rFonts w:ascii="Times New Roman" w:eastAsia="Times New Roman" w:hAnsi="Times New Roman" w:cs="Times New Roman"/>
              </w:rPr>
              <w:t>érték</w:t>
            </w:r>
            <w:r w:rsidRPr="00956F16">
              <w:rPr>
                <w:rFonts w:ascii="Times New Roman" w:eastAsia="Times New Roman" w:hAnsi="Times New Roman" w:cs="Times New Roman"/>
                <w:vertAlign w:val="superscript"/>
              </w:rPr>
              <w:t>d</w:t>
            </w:r>
          </w:p>
        </w:tc>
        <w:tc>
          <w:tcPr>
            <w:tcW w:w="4677" w:type="dxa"/>
            <w:gridSpan w:val="2"/>
            <w:tcBorders>
              <w:top w:val="single" w:sz="4" w:space="0" w:color="000000"/>
              <w:left w:val="single" w:sz="4" w:space="0" w:color="000000"/>
              <w:bottom w:val="single" w:sz="4" w:space="0" w:color="000000"/>
              <w:right w:val="single" w:sz="4" w:space="0" w:color="000000"/>
            </w:tcBorders>
          </w:tcPr>
          <w:p w14:paraId="7DDFC402" w14:textId="6AB4A2F5" w:rsidR="008C78CD" w:rsidRPr="00956F16" w:rsidRDefault="00DF2BF9">
            <w:pPr>
              <w:keepNext/>
              <w:tabs>
                <w:tab w:val="left" w:pos="567"/>
              </w:tabs>
              <w:autoSpaceDE w:val="0"/>
              <w:autoSpaceDN w:val="0"/>
              <w:adjustRightInd w:val="0"/>
              <w:spacing w:after="0" w:line="240" w:lineRule="auto"/>
              <w:ind w:left="142" w:right="-20"/>
              <w:jc w:val="center"/>
              <w:rPr>
                <w:rFonts w:ascii="Times New Roman" w:eastAsia="Times New Roman" w:hAnsi="Times New Roman" w:cs="Times New Roman"/>
              </w:rPr>
            </w:pPr>
            <w:r>
              <w:rPr>
                <w:rFonts w:ascii="Times New Roman" w:eastAsia="Times New Roman" w:hAnsi="Times New Roman" w:cs="Times New Roman"/>
                <w:b/>
                <w:bCs/>
              </w:rPr>
              <w:t>0,76</w:t>
            </w:r>
            <w:r w:rsidR="008C78CD" w:rsidRPr="00956F16">
              <w:rPr>
                <w:rFonts w:ascii="Times New Roman" w:eastAsia="Times New Roman" w:hAnsi="Times New Roman" w:cs="Times New Roman"/>
                <w:b/>
                <w:bCs/>
              </w:rPr>
              <w:t xml:space="preserve"> </w:t>
            </w:r>
            <w:r>
              <w:rPr>
                <w:rFonts w:ascii="Times New Roman" w:eastAsia="Times New Roman" w:hAnsi="Times New Roman" w:cs="Times New Roman"/>
              </w:rPr>
              <w:t>(0,62; 0,94); 0,010</w:t>
            </w:r>
          </w:p>
        </w:tc>
      </w:tr>
      <w:tr w:rsidR="00DF2BF9" w:rsidRPr="00956F16" w14:paraId="26734264" w14:textId="77777777" w:rsidTr="00160418">
        <w:trPr>
          <w:trHeight w:hRule="exact" w:val="250"/>
        </w:trPr>
        <w:tc>
          <w:tcPr>
            <w:tcW w:w="9072" w:type="dxa"/>
            <w:gridSpan w:val="3"/>
            <w:tcBorders>
              <w:top w:val="single" w:sz="4" w:space="0" w:color="000000"/>
              <w:left w:val="single" w:sz="4" w:space="0" w:color="000000"/>
              <w:bottom w:val="single" w:sz="4" w:space="0" w:color="000000"/>
              <w:right w:val="single" w:sz="4" w:space="0" w:color="000000"/>
            </w:tcBorders>
          </w:tcPr>
          <w:p w14:paraId="209F9DBE" w14:textId="02E4206C" w:rsidR="00DF2BF9" w:rsidRPr="00956F16" w:rsidRDefault="00DF2BF9" w:rsidP="00441247">
            <w:pPr>
              <w:keepNext/>
              <w:tabs>
                <w:tab w:val="left" w:pos="567"/>
              </w:tabs>
              <w:autoSpaceDE w:val="0"/>
              <w:autoSpaceDN w:val="0"/>
              <w:adjustRightInd w:val="0"/>
              <w:spacing w:after="0" w:line="240" w:lineRule="auto"/>
              <w:ind w:left="142"/>
              <w:rPr>
                <w:rFonts w:ascii="Times New Roman" w:eastAsia="Times New Roman" w:hAnsi="Times New Roman" w:cs="Times New Roman"/>
              </w:rPr>
            </w:pPr>
            <w:r w:rsidRPr="00956F16">
              <w:rPr>
                <w:rFonts w:ascii="Times New Roman" w:eastAsia="Times New Roman" w:hAnsi="Times New Roman" w:cs="Times New Roman"/>
                <w:b/>
                <w:bCs/>
              </w:rPr>
              <w:t>Teljes túlélés</w:t>
            </w:r>
            <w:r>
              <w:rPr>
                <w:rFonts w:ascii="Times New Roman" w:eastAsia="Times New Roman" w:hAnsi="Times New Roman" w:cs="Times New Roman"/>
                <w:b/>
                <w:bCs/>
              </w:rPr>
              <w:t xml:space="preserve"> (hónapok)</w:t>
            </w:r>
          </w:p>
        </w:tc>
      </w:tr>
      <w:tr w:rsidR="008C78CD" w:rsidRPr="00956F16" w14:paraId="42FA2FAA" w14:textId="77777777" w:rsidTr="00441247">
        <w:trPr>
          <w:trHeight w:hRule="exact" w:val="250"/>
        </w:trPr>
        <w:tc>
          <w:tcPr>
            <w:tcW w:w="4395" w:type="dxa"/>
            <w:tcBorders>
              <w:top w:val="single" w:sz="4" w:space="0" w:color="000000"/>
              <w:left w:val="single" w:sz="4" w:space="0" w:color="000000"/>
              <w:bottom w:val="single" w:sz="4" w:space="0" w:color="000000"/>
              <w:right w:val="single" w:sz="4" w:space="0" w:color="000000"/>
            </w:tcBorders>
          </w:tcPr>
          <w:p w14:paraId="2EC6AAEE" w14:textId="421AACD7" w:rsidR="008C78CD" w:rsidRPr="00956F16" w:rsidRDefault="008C78CD" w:rsidP="00160418">
            <w:pPr>
              <w:keepNext/>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Az OS 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ideje, hónapokban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b</w:t>
            </w:r>
          </w:p>
        </w:tc>
        <w:tc>
          <w:tcPr>
            <w:tcW w:w="2409" w:type="dxa"/>
            <w:tcBorders>
              <w:top w:val="single" w:sz="4" w:space="0" w:color="000000"/>
              <w:left w:val="single" w:sz="4" w:space="0" w:color="000000"/>
              <w:bottom w:val="single" w:sz="4" w:space="0" w:color="000000"/>
              <w:right w:val="single" w:sz="4" w:space="0" w:color="000000"/>
            </w:tcBorders>
          </w:tcPr>
          <w:p w14:paraId="16983392" w14:textId="681BCA54" w:rsidR="008C78CD" w:rsidRPr="00956F16" w:rsidRDefault="00DF2BF9">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Pr>
                <w:rFonts w:ascii="Times New Roman" w:eastAsia="Times New Roman" w:hAnsi="Times New Roman" w:cs="Times New Roman"/>
                <w:b/>
                <w:bCs/>
              </w:rPr>
              <w:t>89,1</w:t>
            </w:r>
            <w:r w:rsidR="008C78CD" w:rsidRPr="00956F16">
              <w:rPr>
                <w:rFonts w:ascii="Times New Roman" w:eastAsia="Times New Roman" w:hAnsi="Times New Roman" w:cs="Times New Roman"/>
                <w:b/>
                <w:bCs/>
              </w:rPr>
              <w:t xml:space="preserve"> </w:t>
            </w:r>
            <w:r>
              <w:rPr>
                <w:rFonts w:ascii="Times New Roman" w:eastAsia="Times New Roman" w:hAnsi="Times New Roman" w:cs="Times New Roman"/>
              </w:rPr>
              <w:t>(76,1;</w:t>
            </w:r>
            <w:r w:rsidR="008C78CD" w:rsidRPr="00956F16">
              <w:rPr>
                <w:rFonts w:ascii="Times New Roman" w:eastAsia="Times New Roman" w:hAnsi="Times New Roman" w:cs="Times New Roman"/>
              </w:rPr>
              <w:t xml:space="preserve"> NE)</w:t>
            </w:r>
          </w:p>
        </w:tc>
        <w:tc>
          <w:tcPr>
            <w:tcW w:w="2268" w:type="dxa"/>
            <w:tcBorders>
              <w:top w:val="single" w:sz="4" w:space="0" w:color="000000"/>
              <w:left w:val="single" w:sz="4" w:space="0" w:color="000000"/>
              <w:bottom w:val="single" w:sz="4" w:space="0" w:color="000000"/>
              <w:right w:val="single" w:sz="4" w:space="0" w:color="000000"/>
            </w:tcBorders>
          </w:tcPr>
          <w:p w14:paraId="67FF29F9" w14:textId="78A3B365" w:rsidR="008C78CD" w:rsidRPr="00956F16" w:rsidRDefault="00DF2BF9">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Pr>
                <w:rFonts w:ascii="Times New Roman" w:eastAsia="Times New Roman" w:hAnsi="Times New Roman" w:cs="Times New Roman"/>
                <w:b/>
                <w:bCs/>
              </w:rPr>
              <w:t>67</w:t>
            </w:r>
            <w:r w:rsidR="008C78CD" w:rsidRPr="00956F16">
              <w:rPr>
                <w:rFonts w:ascii="Times New Roman" w:eastAsia="Times New Roman" w:hAnsi="Times New Roman" w:cs="Times New Roman"/>
                <w:b/>
                <w:bCs/>
              </w:rPr>
              <w:t xml:space="preserve">,2 </w:t>
            </w:r>
            <w:r>
              <w:rPr>
                <w:rFonts w:ascii="Times New Roman" w:eastAsia="Times New Roman" w:hAnsi="Times New Roman" w:cs="Times New Roman"/>
              </w:rPr>
              <w:t>(58,4; 90,8</w:t>
            </w:r>
            <w:r w:rsidR="008C78CD" w:rsidRPr="00956F16">
              <w:rPr>
                <w:rFonts w:ascii="Times New Roman" w:eastAsia="Times New Roman" w:hAnsi="Times New Roman" w:cs="Times New Roman"/>
              </w:rPr>
              <w:t>)</w:t>
            </w:r>
          </w:p>
        </w:tc>
      </w:tr>
      <w:tr w:rsidR="008C78CD" w:rsidRPr="00956F16" w14:paraId="7F9FB16B" w14:textId="77777777" w:rsidTr="00441247">
        <w:trPr>
          <w:trHeight w:hRule="exact" w:val="250"/>
        </w:trPr>
        <w:tc>
          <w:tcPr>
            <w:tcW w:w="4395" w:type="dxa"/>
            <w:tcBorders>
              <w:top w:val="single" w:sz="4" w:space="0" w:color="000000"/>
              <w:left w:val="single" w:sz="4" w:space="0" w:color="000000"/>
              <w:bottom w:val="single" w:sz="4" w:space="0" w:color="000000"/>
              <w:right w:val="single" w:sz="4" w:space="0" w:color="000000"/>
            </w:tcBorders>
          </w:tcPr>
          <w:p w14:paraId="6050D5F2" w14:textId="15A1BE7F" w:rsidR="008C78CD" w:rsidRPr="00956F16" w:rsidRDefault="008C78CD" w:rsidP="00160418">
            <w:pPr>
              <w:keepNext/>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HR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c</w:t>
            </w:r>
            <w:r w:rsidRPr="00956F16">
              <w:rPr>
                <w:rFonts w:ascii="Times New Roman" w:eastAsia="Times New Roman" w:hAnsi="Times New Roman" w:cs="Times New Roman"/>
              </w:rPr>
              <w:t xml:space="preserve"> ; p</w:t>
            </w:r>
            <w:r w:rsidR="00104634">
              <w:rPr>
                <w:rFonts w:ascii="Times New Roman" w:eastAsia="Times New Roman" w:hAnsi="Times New Roman" w:cs="Times New Roman"/>
              </w:rPr>
              <w:t>-</w:t>
            </w:r>
            <w:r w:rsidRPr="00956F16">
              <w:rPr>
                <w:rFonts w:ascii="Times New Roman" w:eastAsia="Times New Roman" w:hAnsi="Times New Roman" w:cs="Times New Roman"/>
              </w:rPr>
              <w:t>érték</w:t>
            </w:r>
            <w:r w:rsidR="009C23E8">
              <w:rPr>
                <w:rFonts w:ascii="Times New Roman" w:eastAsia="Times New Roman" w:hAnsi="Times New Roman" w:cs="Times New Roman"/>
                <w:vertAlign w:val="superscript"/>
              </w:rPr>
              <w:t>d</w:t>
            </w:r>
          </w:p>
        </w:tc>
        <w:tc>
          <w:tcPr>
            <w:tcW w:w="4677" w:type="dxa"/>
            <w:gridSpan w:val="2"/>
            <w:tcBorders>
              <w:top w:val="single" w:sz="4" w:space="0" w:color="000000"/>
              <w:left w:val="single" w:sz="4" w:space="0" w:color="000000"/>
              <w:bottom w:val="single" w:sz="4" w:space="0" w:color="000000"/>
              <w:right w:val="single" w:sz="4" w:space="0" w:color="000000"/>
            </w:tcBorders>
          </w:tcPr>
          <w:p w14:paraId="182C8965" w14:textId="491A0EAE" w:rsidR="008C78CD" w:rsidRPr="00956F16" w:rsidRDefault="00DF2BF9">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Pr>
                <w:rFonts w:ascii="Times New Roman" w:eastAsia="Times New Roman" w:hAnsi="Times New Roman" w:cs="Times New Roman"/>
                <w:b/>
                <w:bCs/>
              </w:rPr>
              <w:t>0,72</w:t>
            </w:r>
            <w:r w:rsidR="008C78CD" w:rsidRPr="00956F16">
              <w:rPr>
                <w:rFonts w:ascii="Times New Roman" w:eastAsia="Times New Roman" w:hAnsi="Times New Roman" w:cs="Times New Roman"/>
                <w:b/>
                <w:bCs/>
              </w:rPr>
              <w:t xml:space="preserve"> </w:t>
            </w:r>
            <w:r>
              <w:rPr>
                <w:rFonts w:ascii="Times New Roman" w:eastAsia="Times New Roman" w:hAnsi="Times New Roman" w:cs="Times New Roman"/>
              </w:rPr>
              <w:t>(0,56; 0,94); 0,013</w:t>
            </w:r>
          </w:p>
        </w:tc>
      </w:tr>
      <w:tr w:rsidR="00DF2BF9" w:rsidRPr="00956F16" w14:paraId="2AD0904A" w14:textId="77777777" w:rsidTr="00160418">
        <w:trPr>
          <w:trHeight w:hRule="exact" w:val="252"/>
        </w:trPr>
        <w:tc>
          <w:tcPr>
            <w:tcW w:w="9072" w:type="dxa"/>
            <w:gridSpan w:val="3"/>
            <w:tcBorders>
              <w:top w:val="single" w:sz="4" w:space="0" w:color="000000"/>
              <w:left w:val="single" w:sz="4" w:space="0" w:color="000000"/>
              <w:bottom w:val="single" w:sz="4" w:space="0" w:color="000000"/>
              <w:right w:val="single" w:sz="4" w:space="0" w:color="000000"/>
            </w:tcBorders>
          </w:tcPr>
          <w:p w14:paraId="4181C788" w14:textId="1EAEB126" w:rsidR="00DF2BF9" w:rsidRPr="00956F16" w:rsidRDefault="00DF2BF9" w:rsidP="00441247">
            <w:pPr>
              <w:keepNext/>
              <w:tabs>
                <w:tab w:val="left" w:pos="567"/>
              </w:tabs>
              <w:autoSpaceDE w:val="0"/>
              <w:autoSpaceDN w:val="0"/>
              <w:adjustRightInd w:val="0"/>
              <w:spacing w:after="0" w:line="240" w:lineRule="auto"/>
              <w:ind w:left="142"/>
              <w:rPr>
                <w:rFonts w:ascii="Times New Roman" w:eastAsia="Times New Roman" w:hAnsi="Times New Roman" w:cs="Times New Roman"/>
              </w:rPr>
            </w:pPr>
            <w:r w:rsidRPr="00441247">
              <w:rPr>
                <w:rFonts w:ascii="Times New Roman" w:eastAsia="Times New Roman" w:hAnsi="Times New Roman" w:cs="Times New Roman"/>
                <w:b/>
              </w:rPr>
              <w:t>Válasz – n (%)</w:t>
            </w:r>
          </w:p>
        </w:tc>
      </w:tr>
      <w:tr w:rsidR="00DF2BF9" w:rsidRPr="00956F16" w14:paraId="013180A1" w14:textId="77777777" w:rsidTr="008C78CD">
        <w:trPr>
          <w:trHeight w:hRule="exact" w:val="252"/>
        </w:trPr>
        <w:tc>
          <w:tcPr>
            <w:tcW w:w="4395" w:type="dxa"/>
            <w:tcBorders>
              <w:top w:val="single" w:sz="4" w:space="0" w:color="000000"/>
              <w:left w:val="single" w:sz="4" w:space="0" w:color="000000"/>
              <w:bottom w:val="single" w:sz="4" w:space="0" w:color="000000"/>
              <w:right w:val="single" w:sz="4" w:space="0" w:color="000000"/>
            </w:tcBorders>
          </w:tcPr>
          <w:p w14:paraId="070177C3" w14:textId="31D0DA79" w:rsidR="00DF2BF9" w:rsidRPr="00956F16" w:rsidRDefault="00DF2BF9" w:rsidP="00160418">
            <w:pPr>
              <w:keepNext/>
              <w:tabs>
                <w:tab w:val="left" w:pos="567"/>
              </w:tabs>
              <w:autoSpaceDE w:val="0"/>
              <w:autoSpaceDN w:val="0"/>
              <w:adjustRightInd w:val="0"/>
              <w:spacing w:after="0" w:line="240" w:lineRule="auto"/>
              <w:ind w:left="142" w:right="-20"/>
              <w:rPr>
                <w:rFonts w:ascii="Times New Roman" w:eastAsia="Times New Roman" w:hAnsi="Times New Roman" w:cs="Times New Roman"/>
                <w:b/>
                <w:bCs/>
              </w:rPr>
            </w:pPr>
            <w:r w:rsidRPr="00441247">
              <w:rPr>
                <w:rFonts w:ascii="Times New Roman" w:eastAsia="Times New Roman" w:hAnsi="Times New Roman" w:cs="Times New Roman"/>
              </w:rPr>
              <w:t>Összesített válasz: CR, VGPR vagy PR</w:t>
            </w:r>
          </w:p>
        </w:tc>
        <w:tc>
          <w:tcPr>
            <w:tcW w:w="2409" w:type="dxa"/>
            <w:tcBorders>
              <w:top w:val="single" w:sz="4" w:space="0" w:color="000000"/>
              <w:left w:val="single" w:sz="4" w:space="0" w:color="000000"/>
              <w:bottom w:val="single" w:sz="4" w:space="0" w:color="000000"/>
              <w:right w:val="single" w:sz="4" w:space="0" w:color="000000"/>
            </w:tcBorders>
          </w:tcPr>
          <w:p w14:paraId="5E5C2477" w14:textId="15B57143" w:rsidR="00DF2BF9" w:rsidRPr="00956F16" w:rsidRDefault="00DF2BF9">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rPr>
            </w:pPr>
            <w:r>
              <w:rPr>
                <w:rFonts w:ascii="Times New Roman" w:eastAsia="Times New Roman" w:hAnsi="Times New Roman" w:cs="Times New Roman"/>
              </w:rPr>
              <w:t>199 (75,</w:t>
            </w:r>
            <w:r w:rsidRPr="00441247">
              <w:rPr>
                <w:rFonts w:ascii="Times New Roman" w:eastAsia="Times New Roman" w:hAnsi="Times New Roman" w:cs="Times New Roman"/>
              </w:rPr>
              <w:t>7)</w:t>
            </w:r>
          </w:p>
        </w:tc>
        <w:tc>
          <w:tcPr>
            <w:tcW w:w="2268" w:type="dxa"/>
            <w:tcBorders>
              <w:top w:val="single" w:sz="4" w:space="0" w:color="000000"/>
              <w:left w:val="single" w:sz="4" w:space="0" w:color="000000"/>
              <w:bottom w:val="single" w:sz="4" w:space="0" w:color="000000"/>
              <w:right w:val="single" w:sz="4" w:space="0" w:color="000000"/>
            </w:tcBorders>
          </w:tcPr>
          <w:p w14:paraId="0FEFE504" w14:textId="63D8A349" w:rsidR="00DF2BF9" w:rsidRPr="00956F16" w:rsidRDefault="00DF2BF9" w:rsidP="00160418">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rPr>
            </w:pPr>
            <w:r w:rsidRPr="00441247">
              <w:rPr>
                <w:rFonts w:ascii="Times New Roman" w:eastAsia="Times New Roman" w:hAnsi="Times New Roman" w:cs="Times New Roman"/>
              </w:rPr>
              <w:t xml:space="preserve">170 </w:t>
            </w:r>
            <w:r>
              <w:rPr>
                <w:rFonts w:ascii="Times New Roman" w:eastAsia="Times New Roman" w:hAnsi="Times New Roman" w:cs="Times New Roman"/>
              </w:rPr>
              <w:t>(65,</w:t>
            </w:r>
            <w:r w:rsidRPr="00441247">
              <w:rPr>
                <w:rFonts w:ascii="Times New Roman" w:eastAsia="Times New Roman" w:hAnsi="Times New Roman" w:cs="Times New Roman"/>
              </w:rPr>
              <w:t>4)</w:t>
            </w:r>
          </w:p>
        </w:tc>
      </w:tr>
      <w:tr w:rsidR="00DF2BF9" w:rsidRPr="00956F16" w14:paraId="159BF409" w14:textId="77777777" w:rsidTr="008C78CD">
        <w:trPr>
          <w:trHeight w:hRule="exact" w:val="252"/>
        </w:trPr>
        <w:tc>
          <w:tcPr>
            <w:tcW w:w="4395" w:type="dxa"/>
            <w:tcBorders>
              <w:top w:val="single" w:sz="4" w:space="0" w:color="000000"/>
              <w:left w:val="single" w:sz="4" w:space="0" w:color="000000"/>
              <w:bottom w:val="single" w:sz="4" w:space="0" w:color="000000"/>
              <w:right w:val="single" w:sz="4" w:space="0" w:color="000000"/>
            </w:tcBorders>
          </w:tcPr>
          <w:p w14:paraId="57711E97" w14:textId="4DD63888" w:rsidR="00DF2BF9" w:rsidRPr="00956F16" w:rsidRDefault="00DF2BF9" w:rsidP="00160418">
            <w:pPr>
              <w:keepNext/>
              <w:tabs>
                <w:tab w:val="left" w:pos="567"/>
              </w:tabs>
              <w:autoSpaceDE w:val="0"/>
              <w:autoSpaceDN w:val="0"/>
              <w:adjustRightInd w:val="0"/>
              <w:spacing w:after="0" w:line="240" w:lineRule="auto"/>
              <w:ind w:left="142" w:right="-20"/>
              <w:rPr>
                <w:rFonts w:ascii="Times New Roman" w:eastAsia="Times New Roman" w:hAnsi="Times New Roman" w:cs="Times New Roman"/>
                <w:b/>
                <w:bCs/>
              </w:rPr>
            </w:pPr>
            <w:r>
              <w:rPr>
                <w:rFonts w:ascii="Times New Roman" w:eastAsia="Times New Roman" w:hAnsi="Times New Roman" w:cs="Times New Roman"/>
              </w:rPr>
              <w:t>≥ </w:t>
            </w:r>
            <w:r w:rsidRPr="00441247">
              <w:rPr>
                <w:rFonts w:ascii="Times New Roman" w:eastAsia="Times New Roman" w:hAnsi="Times New Roman" w:cs="Times New Roman"/>
              </w:rPr>
              <w:t>VGPR</w:t>
            </w:r>
          </w:p>
        </w:tc>
        <w:tc>
          <w:tcPr>
            <w:tcW w:w="2409" w:type="dxa"/>
            <w:tcBorders>
              <w:top w:val="single" w:sz="4" w:space="0" w:color="000000"/>
              <w:left w:val="single" w:sz="4" w:space="0" w:color="000000"/>
              <w:bottom w:val="single" w:sz="4" w:space="0" w:color="000000"/>
              <w:right w:val="single" w:sz="4" w:space="0" w:color="000000"/>
            </w:tcBorders>
          </w:tcPr>
          <w:p w14:paraId="29AF718E" w14:textId="6ABA363F" w:rsidR="00DF2BF9" w:rsidRPr="00956F16" w:rsidRDefault="00DF2BF9" w:rsidP="00160418">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rPr>
            </w:pPr>
            <w:r>
              <w:rPr>
                <w:rFonts w:ascii="Times New Roman" w:eastAsia="Times New Roman" w:hAnsi="Times New Roman" w:cs="Times New Roman"/>
              </w:rPr>
              <w:t>153 (58,</w:t>
            </w:r>
            <w:r w:rsidRPr="00441247">
              <w:rPr>
                <w:rFonts w:ascii="Times New Roman" w:eastAsia="Times New Roman" w:hAnsi="Times New Roman" w:cs="Times New Roman"/>
              </w:rPr>
              <w:t>2)</w:t>
            </w:r>
          </w:p>
        </w:tc>
        <w:tc>
          <w:tcPr>
            <w:tcW w:w="2268" w:type="dxa"/>
            <w:tcBorders>
              <w:top w:val="single" w:sz="4" w:space="0" w:color="000000"/>
              <w:left w:val="single" w:sz="4" w:space="0" w:color="000000"/>
              <w:bottom w:val="single" w:sz="4" w:space="0" w:color="000000"/>
              <w:right w:val="single" w:sz="4" w:space="0" w:color="000000"/>
            </w:tcBorders>
          </w:tcPr>
          <w:p w14:paraId="4AA4213D" w14:textId="71BD48DE" w:rsidR="00DF2BF9" w:rsidRPr="00956F16" w:rsidRDefault="00DF2BF9" w:rsidP="00160418">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rPr>
            </w:pPr>
            <w:r>
              <w:rPr>
                <w:rFonts w:ascii="Times New Roman" w:eastAsia="Times New Roman" w:hAnsi="Times New Roman" w:cs="Times New Roman"/>
              </w:rPr>
              <w:t>83 (31,</w:t>
            </w:r>
            <w:r w:rsidRPr="00441247">
              <w:rPr>
                <w:rFonts w:ascii="Times New Roman" w:eastAsia="Times New Roman" w:hAnsi="Times New Roman" w:cs="Times New Roman"/>
              </w:rPr>
              <w:t>9)</w:t>
            </w:r>
          </w:p>
        </w:tc>
      </w:tr>
      <w:tr w:rsidR="00DF2BF9" w:rsidRPr="00956F16" w14:paraId="43C696A8" w14:textId="77777777" w:rsidTr="008C78CD">
        <w:trPr>
          <w:trHeight w:hRule="exact" w:val="252"/>
        </w:trPr>
        <w:tc>
          <w:tcPr>
            <w:tcW w:w="4395" w:type="dxa"/>
            <w:tcBorders>
              <w:top w:val="single" w:sz="4" w:space="0" w:color="000000"/>
              <w:left w:val="single" w:sz="4" w:space="0" w:color="000000"/>
              <w:bottom w:val="single" w:sz="4" w:space="0" w:color="000000"/>
              <w:right w:val="single" w:sz="4" w:space="0" w:color="000000"/>
            </w:tcBorders>
          </w:tcPr>
          <w:p w14:paraId="787CF592" w14:textId="05A1601E" w:rsidR="00DF2BF9" w:rsidRPr="00956F16" w:rsidRDefault="00DF2BF9" w:rsidP="00160418">
            <w:pPr>
              <w:keepNext/>
              <w:tabs>
                <w:tab w:val="left" w:pos="567"/>
              </w:tabs>
              <w:autoSpaceDE w:val="0"/>
              <w:autoSpaceDN w:val="0"/>
              <w:adjustRightInd w:val="0"/>
              <w:spacing w:after="0" w:line="240" w:lineRule="auto"/>
              <w:ind w:left="142" w:right="-20"/>
              <w:rPr>
                <w:rFonts w:ascii="Times New Roman" w:eastAsia="Times New Roman" w:hAnsi="Times New Roman" w:cs="Times New Roman"/>
                <w:b/>
                <w:bCs/>
              </w:rPr>
            </w:pPr>
            <w:r w:rsidRPr="00956F16">
              <w:rPr>
                <w:rFonts w:ascii="Times New Roman" w:eastAsia="Times New Roman" w:hAnsi="Times New Roman" w:cs="Times New Roman"/>
                <w:b/>
                <w:bCs/>
              </w:rPr>
              <w:t>Utánkövetés</w:t>
            </w:r>
            <w:r>
              <w:rPr>
                <w:rFonts w:ascii="Times New Roman" w:eastAsia="Times New Roman" w:hAnsi="Times New Roman" w:cs="Times New Roman"/>
                <w:b/>
                <w:bCs/>
              </w:rPr>
              <w:t xml:space="preserve"> (hónap)</w:t>
            </w:r>
          </w:p>
        </w:tc>
        <w:tc>
          <w:tcPr>
            <w:tcW w:w="2409" w:type="dxa"/>
            <w:tcBorders>
              <w:top w:val="single" w:sz="4" w:space="0" w:color="000000"/>
              <w:left w:val="single" w:sz="4" w:space="0" w:color="000000"/>
              <w:bottom w:val="single" w:sz="4" w:space="0" w:color="000000"/>
              <w:right w:val="single" w:sz="4" w:space="0" w:color="000000"/>
            </w:tcBorders>
          </w:tcPr>
          <w:p w14:paraId="6CE5E430" w14:textId="77777777" w:rsidR="00DF2BF9" w:rsidRPr="00956F16" w:rsidRDefault="00DF2BF9" w:rsidP="00160418">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rPr>
            </w:pPr>
          </w:p>
        </w:tc>
        <w:tc>
          <w:tcPr>
            <w:tcW w:w="2268" w:type="dxa"/>
            <w:tcBorders>
              <w:top w:val="single" w:sz="4" w:space="0" w:color="000000"/>
              <w:left w:val="single" w:sz="4" w:space="0" w:color="000000"/>
              <w:bottom w:val="single" w:sz="4" w:space="0" w:color="000000"/>
              <w:right w:val="single" w:sz="4" w:space="0" w:color="000000"/>
            </w:tcBorders>
          </w:tcPr>
          <w:p w14:paraId="4A6FF2E8" w14:textId="77777777" w:rsidR="00DF2BF9" w:rsidRPr="00956F16" w:rsidRDefault="00DF2BF9" w:rsidP="00160418">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rPr>
            </w:pPr>
          </w:p>
        </w:tc>
      </w:tr>
      <w:tr w:rsidR="00E566EB" w:rsidRPr="00956F16" w14:paraId="4225FC94" w14:textId="77777777" w:rsidTr="00441247">
        <w:trPr>
          <w:trHeight w:hRule="exact" w:val="250"/>
        </w:trPr>
        <w:tc>
          <w:tcPr>
            <w:tcW w:w="4395" w:type="dxa"/>
            <w:tcBorders>
              <w:top w:val="single" w:sz="4" w:space="0" w:color="000000"/>
              <w:left w:val="single" w:sz="4" w:space="0" w:color="000000"/>
              <w:bottom w:val="single" w:sz="4" w:space="0" w:color="000000"/>
              <w:right w:val="single" w:sz="4" w:space="0" w:color="000000"/>
            </w:tcBorders>
          </w:tcPr>
          <w:p w14:paraId="1E3C1F3B" w14:textId="2ECEBA86" w:rsidR="00E566EB" w:rsidRPr="00956F16" w:rsidRDefault="00E566EB">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Medián</w:t>
            </w:r>
            <w:r w:rsidR="009C23E8">
              <w:rPr>
                <w:rFonts w:ascii="Times New Roman" w:eastAsia="Times New Roman" w:hAnsi="Times New Roman" w:cs="Times New Roman"/>
                <w:vertAlign w:val="superscript"/>
              </w:rPr>
              <w:t>e</w:t>
            </w:r>
            <w:r>
              <w:rPr>
                <w:rFonts w:ascii="Times New Roman" w:eastAsia="Times New Roman" w:hAnsi="Times New Roman" w:cs="Times New Roman"/>
              </w:rPr>
              <w:t xml:space="preserve"> (min, max)</w:t>
            </w:r>
            <w:r w:rsidRPr="00956F16">
              <w:rPr>
                <w:rFonts w:ascii="Times New Roman" w:eastAsia="Times New Roman" w:hAnsi="Times New Roman" w:cs="Times New Roman"/>
              </w:rPr>
              <w:t xml:space="preserve">: </w:t>
            </w:r>
            <w:r>
              <w:rPr>
                <w:rFonts w:ascii="Times New Roman" w:eastAsia="Times New Roman" w:hAnsi="Times New Roman" w:cs="Times New Roman"/>
              </w:rPr>
              <w:t>összes beteg</w:t>
            </w:r>
          </w:p>
        </w:tc>
        <w:tc>
          <w:tcPr>
            <w:tcW w:w="2409" w:type="dxa"/>
            <w:tcBorders>
              <w:top w:val="single" w:sz="4" w:space="0" w:color="000000"/>
              <w:left w:val="single" w:sz="4" w:space="0" w:color="000000"/>
              <w:bottom w:val="single" w:sz="4" w:space="0" w:color="000000"/>
              <w:right w:val="single" w:sz="4" w:space="0" w:color="000000"/>
            </w:tcBorders>
          </w:tcPr>
          <w:p w14:paraId="0386E4B1" w14:textId="31F923DD" w:rsidR="00E566EB" w:rsidRPr="00956F16" w:rsidRDefault="00E566EB" w:rsidP="00160418">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Pr>
                <w:rFonts w:ascii="Times New Roman" w:eastAsia="Times New Roman" w:hAnsi="Times New Roman" w:cs="Times New Roman"/>
              </w:rPr>
              <w:t>61,6 (0,2; 99,</w:t>
            </w:r>
            <w:r w:rsidRPr="00441247">
              <w:rPr>
                <w:rFonts w:ascii="Times New Roman" w:eastAsia="Times New Roman" w:hAnsi="Times New Roman" w:cs="Times New Roman"/>
              </w:rPr>
              <w:t>4)</w:t>
            </w:r>
          </w:p>
        </w:tc>
        <w:tc>
          <w:tcPr>
            <w:tcW w:w="2268" w:type="dxa"/>
            <w:tcBorders>
              <w:top w:val="single" w:sz="4" w:space="0" w:color="000000"/>
              <w:left w:val="single" w:sz="4" w:space="0" w:color="000000"/>
              <w:bottom w:val="single" w:sz="4" w:space="0" w:color="000000"/>
              <w:right w:val="single" w:sz="4" w:space="0" w:color="000000"/>
            </w:tcBorders>
          </w:tcPr>
          <w:p w14:paraId="69000E00" w14:textId="45ED9ECB" w:rsidR="00E566EB" w:rsidRPr="00956F16" w:rsidRDefault="00E566EB">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Pr>
                <w:rFonts w:ascii="Times New Roman" w:eastAsia="Times New Roman" w:hAnsi="Times New Roman" w:cs="Times New Roman"/>
              </w:rPr>
              <w:t>59,4 (0,</w:t>
            </w:r>
            <w:r w:rsidRPr="00441247">
              <w:rPr>
                <w:rFonts w:ascii="Times New Roman" w:eastAsia="Times New Roman" w:hAnsi="Times New Roman" w:cs="Times New Roman"/>
              </w:rPr>
              <w:t>4</w:t>
            </w:r>
            <w:r>
              <w:rPr>
                <w:rFonts w:ascii="Times New Roman" w:eastAsia="Times New Roman" w:hAnsi="Times New Roman" w:cs="Times New Roman"/>
              </w:rPr>
              <w:t>; 99,</w:t>
            </w:r>
            <w:r w:rsidRPr="00441247">
              <w:rPr>
                <w:rFonts w:ascii="Times New Roman" w:eastAsia="Times New Roman" w:hAnsi="Times New Roman" w:cs="Times New Roman"/>
              </w:rPr>
              <w:t>1)</w:t>
            </w:r>
          </w:p>
        </w:tc>
      </w:tr>
    </w:tbl>
    <w:p w14:paraId="465786CB" w14:textId="5B5214F5" w:rsidR="008C78CD" w:rsidRPr="00956F16" w:rsidRDefault="008C78CD" w:rsidP="008C78CD">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CI = konfidenciaintervallum (confidence interval); HR = relatív hazárd (hazard ratio); max = maximum; min = minimum; NE = nem becsülhető meg (not estimable); OS = teljes túlélés (overall survival); PFS = progressziómentes túlélés (progression-free survival)</w:t>
      </w:r>
      <w:r w:rsidR="00E566EB" w:rsidRPr="00441247">
        <w:rPr>
          <w:rFonts w:ascii="Times New Roman" w:eastAsia="Calibri" w:hAnsi="Times New Roman" w:cs="Times New Roman"/>
          <w:sz w:val="18"/>
          <w:szCs w:val="18"/>
        </w:rPr>
        <w:t>.</w:t>
      </w:r>
    </w:p>
    <w:p w14:paraId="26DAE919" w14:textId="0F1A9BC6" w:rsidR="008C78CD" w:rsidRPr="00956F16" w:rsidRDefault="009C23E8" w:rsidP="008C78CD">
      <w:pPr>
        <w:spacing w:after="0" w:line="240" w:lineRule="auto"/>
        <w:rPr>
          <w:rFonts w:ascii="Times New Roman" w:eastAsia="Calibri" w:hAnsi="Times New Roman" w:cs="Times New Roman"/>
          <w:sz w:val="18"/>
          <w:szCs w:val="18"/>
        </w:rPr>
      </w:pPr>
      <w:r>
        <w:rPr>
          <w:rFonts w:ascii="Times New Roman" w:eastAsia="Calibri" w:hAnsi="Times New Roman" w:cs="Times New Roman"/>
          <w:sz w:val="18"/>
          <w:szCs w:val="18"/>
          <w:vertAlign w:val="superscript"/>
        </w:rPr>
        <w:t>a</w:t>
      </w:r>
      <w:r w:rsidR="00E566EB" w:rsidRPr="00956F16">
        <w:rPr>
          <w:rFonts w:ascii="Times New Roman" w:eastAsia="Calibri" w:hAnsi="Times New Roman" w:cs="Times New Roman"/>
          <w:sz w:val="18"/>
          <w:szCs w:val="18"/>
        </w:rPr>
        <w:t xml:space="preserve"> </w:t>
      </w:r>
      <w:r w:rsidR="008C78CD" w:rsidRPr="00956F16">
        <w:rPr>
          <w:rFonts w:ascii="Times New Roman" w:eastAsia="Calibri" w:hAnsi="Times New Roman" w:cs="Times New Roman"/>
          <w:sz w:val="18"/>
          <w:szCs w:val="18"/>
        </w:rPr>
        <w:t>A medián meghatározása a Kaplan</w:t>
      </w:r>
      <w:r w:rsidR="007210DA">
        <w:rPr>
          <w:rFonts w:ascii="Times New Roman" w:eastAsia="Calibri" w:hAnsi="Times New Roman" w:cs="Times New Roman"/>
          <w:sz w:val="18"/>
          <w:szCs w:val="18"/>
        </w:rPr>
        <w:t>–</w:t>
      </w:r>
      <w:r w:rsidR="008C78CD" w:rsidRPr="00956F16">
        <w:rPr>
          <w:rFonts w:ascii="Times New Roman" w:eastAsia="Calibri" w:hAnsi="Times New Roman" w:cs="Times New Roman"/>
          <w:sz w:val="18"/>
          <w:szCs w:val="18"/>
        </w:rPr>
        <w:t>Meier</w:t>
      </w:r>
      <w:r w:rsidR="007210DA">
        <w:rPr>
          <w:rFonts w:ascii="Times New Roman" w:eastAsia="Calibri" w:hAnsi="Times New Roman" w:cs="Times New Roman"/>
          <w:sz w:val="18"/>
          <w:szCs w:val="18"/>
        </w:rPr>
        <w:t>-</w:t>
      </w:r>
      <w:r w:rsidR="008C78CD" w:rsidRPr="00956F16">
        <w:rPr>
          <w:rFonts w:ascii="Times New Roman" w:eastAsia="Calibri" w:hAnsi="Times New Roman" w:cs="Times New Roman"/>
          <w:sz w:val="18"/>
          <w:szCs w:val="18"/>
        </w:rPr>
        <w:t>módszeren alapul.</w:t>
      </w:r>
    </w:p>
    <w:p w14:paraId="6CE6965B" w14:textId="7FF6607B" w:rsidR="00E566EB" w:rsidRDefault="009C23E8" w:rsidP="00956F16">
      <w:pPr>
        <w:spacing w:after="0" w:line="240" w:lineRule="auto"/>
        <w:rPr>
          <w:rFonts w:ascii="Times New Roman" w:eastAsia="Calibri" w:hAnsi="Times New Roman" w:cs="Times New Roman"/>
          <w:sz w:val="18"/>
          <w:szCs w:val="18"/>
        </w:rPr>
      </w:pPr>
      <w:r>
        <w:rPr>
          <w:rFonts w:ascii="Times" w:eastAsia="Calibri" w:hAnsi="Times" w:cs="Times New Roman"/>
          <w:sz w:val="18"/>
          <w:szCs w:val="18"/>
          <w:vertAlign w:val="superscript"/>
        </w:rPr>
        <w:t>b</w:t>
      </w:r>
      <w:r w:rsidR="00E566EB" w:rsidRPr="00441247">
        <w:rPr>
          <w:rFonts w:ascii="Times" w:eastAsia="Calibri" w:hAnsi="Times" w:cs="Times New Roman"/>
          <w:sz w:val="18"/>
          <w:szCs w:val="18"/>
          <w:vertAlign w:val="superscript"/>
        </w:rPr>
        <w:t xml:space="preserve"> </w:t>
      </w:r>
      <w:r w:rsidR="00E566EB" w:rsidRPr="00441247">
        <w:rPr>
          <w:rFonts w:ascii="Times New Roman" w:eastAsia="Calibri" w:hAnsi="Times New Roman" w:cs="Times New Roman"/>
          <w:sz w:val="18"/>
          <w:szCs w:val="18"/>
        </w:rPr>
        <w:t>Kétoldalú 95%-os CI a medián idő körül.</w:t>
      </w:r>
    </w:p>
    <w:p w14:paraId="05853C4D" w14:textId="29E03B2E" w:rsidR="00E566EB" w:rsidRDefault="009C23E8" w:rsidP="00956F16">
      <w:pPr>
        <w:spacing w:after="0" w:line="240" w:lineRule="auto"/>
        <w:rPr>
          <w:rFonts w:ascii="Times New Roman" w:eastAsia="Calibri" w:hAnsi="Times New Roman" w:cs="Times New Roman"/>
          <w:sz w:val="18"/>
          <w:szCs w:val="18"/>
        </w:rPr>
      </w:pPr>
      <w:r>
        <w:rPr>
          <w:rFonts w:ascii="Times" w:eastAsia="Calibri" w:hAnsi="Times" w:cs="Times New Roman"/>
          <w:sz w:val="18"/>
          <w:szCs w:val="18"/>
          <w:vertAlign w:val="superscript"/>
        </w:rPr>
        <w:t>c</w:t>
      </w:r>
      <w:r w:rsidR="00E566EB" w:rsidRPr="00441247">
        <w:rPr>
          <w:rFonts w:ascii="Times" w:eastAsia="Calibri" w:hAnsi="Times" w:cs="Times New Roman"/>
          <w:sz w:val="18"/>
          <w:szCs w:val="18"/>
          <w:vertAlign w:val="superscript"/>
        </w:rPr>
        <w:t xml:space="preserve"> </w:t>
      </w:r>
      <w:r w:rsidR="00E566EB" w:rsidRPr="00441247">
        <w:rPr>
          <w:rFonts w:ascii="Times New Roman" w:eastAsia="Calibri" w:hAnsi="Times New Roman" w:cs="Times New Roman"/>
          <w:sz w:val="18"/>
          <w:szCs w:val="18"/>
        </w:rPr>
        <w:t>A kezelési karokra (RVd:Rd) vonatkozó kockázat függvényeket összehasonlító nem rétegzett Cox-féle arányos hazárd modell alapján.</w:t>
      </w:r>
    </w:p>
    <w:p w14:paraId="72131C3F" w14:textId="1A4B2E27" w:rsidR="000C0238" w:rsidRDefault="009C23E8" w:rsidP="00956F16">
      <w:pPr>
        <w:spacing w:after="0" w:line="240" w:lineRule="auto"/>
        <w:rPr>
          <w:rFonts w:ascii="Times New Roman" w:eastAsia="Calibri" w:hAnsi="Times New Roman" w:cs="Times New Roman"/>
          <w:sz w:val="18"/>
          <w:szCs w:val="18"/>
        </w:rPr>
      </w:pPr>
      <w:r>
        <w:rPr>
          <w:rFonts w:ascii="Times" w:eastAsia="Calibri" w:hAnsi="Times" w:cs="Times New Roman"/>
          <w:sz w:val="18"/>
          <w:szCs w:val="18"/>
          <w:vertAlign w:val="superscript"/>
        </w:rPr>
        <w:t>d</w:t>
      </w:r>
      <w:r w:rsidR="00E566EB" w:rsidRPr="00441247">
        <w:rPr>
          <w:rFonts w:ascii="Times" w:eastAsia="Calibri" w:hAnsi="Times" w:cs="Times New Roman"/>
          <w:sz w:val="18"/>
          <w:szCs w:val="18"/>
          <w:vertAlign w:val="superscript"/>
        </w:rPr>
        <w:t xml:space="preserve"> </w:t>
      </w:r>
      <w:r w:rsidR="00E566EB" w:rsidRPr="00441247">
        <w:rPr>
          <w:rFonts w:ascii="Times New Roman" w:eastAsia="Calibri" w:hAnsi="Times New Roman" w:cs="Times New Roman"/>
          <w:sz w:val="18"/>
          <w:szCs w:val="18"/>
        </w:rPr>
        <w:t>A p-érték nem rétegzett lograng-próbán alapul.</w:t>
      </w:r>
    </w:p>
    <w:p w14:paraId="05A572A4" w14:textId="51364ADC" w:rsidR="00E566EB" w:rsidRDefault="000C0238" w:rsidP="000C0238">
      <w:pPr>
        <w:spacing w:after="0" w:line="240" w:lineRule="auto"/>
        <w:rPr>
          <w:rFonts w:ascii="Times New Roman" w:eastAsia="Calibri" w:hAnsi="Times New Roman" w:cs="Times New Roman"/>
          <w:sz w:val="18"/>
          <w:szCs w:val="18"/>
        </w:rPr>
      </w:pPr>
      <w:r>
        <w:rPr>
          <w:rFonts w:ascii="Times" w:eastAsia="Calibri" w:hAnsi="Times" w:cs="Times New Roman"/>
          <w:sz w:val="18"/>
          <w:szCs w:val="18"/>
          <w:vertAlign w:val="superscript"/>
        </w:rPr>
        <w:t xml:space="preserve">e </w:t>
      </w:r>
      <w:r w:rsidRPr="000C0238">
        <w:rPr>
          <w:rFonts w:ascii="Times New Roman" w:eastAsia="Calibri" w:hAnsi="Times New Roman" w:cs="Times New Roman"/>
          <w:sz w:val="18"/>
          <w:szCs w:val="18"/>
        </w:rPr>
        <w:t>A medián utánkövetést a randomizáció dátumától számították</w:t>
      </w:r>
      <w:r>
        <w:rPr>
          <w:rFonts w:ascii="Times New Roman" w:eastAsia="Calibri" w:hAnsi="Times New Roman" w:cs="Times New Roman"/>
          <w:sz w:val="18"/>
          <w:szCs w:val="18"/>
        </w:rPr>
        <w:t>.</w:t>
      </w:r>
    </w:p>
    <w:p w14:paraId="1DD4A538" w14:textId="23BF0629" w:rsidR="00E566EB" w:rsidRDefault="00E566EB" w:rsidP="00956F16">
      <w:pPr>
        <w:spacing w:after="0" w:line="240" w:lineRule="auto"/>
        <w:rPr>
          <w:rFonts w:ascii="Times New Roman" w:eastAsia="Calibri" w:hAnsi="Times New Roman" w:cs="Times New Roman"/>
          <w:sz w:val="18"/>
          <w:szCs w:val="18"/>
        </w:rPr>
      </w:pPr>
      <w:r w:rsidRPr="00441247">
        <w:rPr>
          <w:rFonts w:ascii="Times New Roman" w:eastAsia="Calibri" w:hAnsi="Times New Roman" w:cs="Times New Roman"/>
          <w:sz w:val="18"/>
          <w:szCs w:val="18"/>
        </w:rPr>
        <w:t>Az adatbázis lezár</w:t>
      </w:r>
      <w:r w:rsidR="003331B6">
        <w:rPr>
          <w:rFonts w:ascii="Times New Roman" w:eastAsia="Calibri" w:hAnsi="Times New Roman" w:cs="Times New Roman"/>
          <w:sz w:val="18"/>
          <w:szCs w:val="18"/>
        </w:rPr>
        <w:t xml:space="preserve">ásának dátuma = 2016. december </w:t>
      </w:r>
      <w:r w:rsidRPr="00441247">
        <w:rPr>
          <w:rFonts w:ascii="Times New Roman" w:eastAsia="Calibri" w:hAnsi="Times New Roman" w:cs="Times New Roman"/>
          <w:sz w:val="18"/>
          <w:szCs w:val="18"/>
        </w:rPr>
        <w:t>1.</w:t>
      </w:r>
    </w:p>
    <w:p w14:paraId="1FB054BB" w14:textId="77777777" w:rsidR="00E566EB" w:rsidRDefault="00E566EB" w:rsidP="00956F16">
      <w:pPr>
        <w:spacing w:after="0" w:line="240" w:lineRule="auto"/>
        <w:rPr>
          <w:rFonts w:ascii="Times New Roman" w:eastAsia="Calibri" w:hAnsi="Times New Roman" w:cs="Times New Roman"/>
          <w:sz w:val="18"/>
          <w:szCs w:val="18"/>
        </w:rPr>
      </w:pPr>
    </w:p>
    <w:p w14:paraId="401E7374" w14:textId="6AD087B9" w:rsidR="00E566EB" w:rsidRPr="00441247" w:rsidRDefault="00E566EB" w:rsidP="00956F16">
      <w:pPr>
        <w:spacing w:after="0" w:line="240" w:lineRule="auto"/>
        <w:rPr>
          <w:rFonts w:ascii="Times New Roman" w:eastAsia="Calibri" w:hAnsi="Times New Roman" w:cs="Times New Roman"/>
        </w:rPr>
      </w:pPr>
      <w:r>
        <w:rPr>
          <w:rFonts w:ascii="Times New Roman" w:eastAsia="Calibri" w:hAnsi="Times New Roman" w:cs="Times New Roman"/>
        </w:rPr>
        <w:t>A 2018. május </w:t>
      </w:r>
      <w:r w:rsidRPr="00441247">
        <w:rPr>
          <w:rFonts w:ascii="Times New Roman" w:eastAsia="Calibri" w:hAnsi="Times New Roman" w:cs="Times New Roman"/>
        </w:rPr>
        <w:t>1-i záró dátummal</w:t>
      </w:r>
      <w:r>
        <w:rPr>
          <w:rFonts w:ascii="Times New Roman" w:eastAsia="Calibri" w:hAnsi="Times New Roman" w:cs="Times New Roman"/>
        </w:rPr>
        <w:t xml:space="preserve"> frissített OS eredmények (84,2 </w:t>
      </w:r>
      <w:r w:rsidRPr="00441247">
        <w:rPr>
          <w:rFonts w:ascii="Times New Roman" w:eastAsia="Calibri" w:hAnsi="Times New Roman" w:cs="Times New Roman"/>
        </w:rPr>
        <w:t>hónapos medián utánkövetés a túlélő vizsgálati alanyoknál) továbbra is előnyt igazolnak az OS tekintetében az RVd javára: HR</w:t>
      </w:r>
      <w:r>
        <w:rPr>
          <w:rFonts w:ascii="Times New Roman" w:eastAsia="Calibri" w:hAnsi="Times New Roman" w:cs="Times New Roman"/>
        </w:rPr>
        <w:t> </w:t>
      </w:r>
      <w:r w:rsidRPr="00441247">
        <w:rPr>
          <w:rFonts w:ascii="Times New Roman" w:eastAsia="Calibri" w:hAnsi="Times New Roman" w:cs="Times New Roman"/>
        </w:rPr>
        <w:t>=</w:t>
      </w:r>
      <w:r>
        <w:rPr>
          <w:rFonts w:ascii="Times New Roman" w:eastAsia="Calibri" w:hAnsi="Times New Roman" w:cs="Times New Roman"/>
        </w:rPr>
        <w:t xml:space="preserve"> 0,73 (95%-os CI </w:t>
      </w:r>
      <w:r w:rsidR="007210DA">
        <w:rPr>
          <w:rFonts w:ascii="Times New Roman" w:eastAsia="Calibri" w:hAnsi="Times New Roman" w:cs="Times New Roman"/>
        </w:rPr>
        <w:t>[</w:t>
      </w:r>
      <w:r>
        <w:rPr>
          <w:rFonts w:ascii="Times New Roman" w:eastAsia="Calibri" w:hAnsi="Times New Roman" w:cs="Times New Roman"/>
        </w:rPr>
        <w:t>0,57; 0,94</w:t>
      </w:r>
      <w:r w:rsidR="007210DA">
        <w:rPr>
          <w:rFonts w:ascii="Times New Roman" w:eastAsia="Calibri" w:hAnsi="Times New Roman" w:cs="Times New Roman"/>
        </w:rPr>
        <w:t>]</w:t>
      </w:r>
      <w:r>
        <w:rPr>
          <w:rFonts w:ascii="Times New Roman" w:eastAsia="Calibri" w:hAnsi="Times New Roman" w:cs="Times New Roman"/>
        </w:rPr>
        <w:t>; p = 0,014). A 7 </w:t>
      </w:r>
      <w:r w:rsidRPr="00441247">
        <w:rPr>
          <w:rFonts w:ascii="Times New Roman" w:eastAsia="Calibri" w:hAnsi="Times New Roman" w:cs="Times New Roman"/>
        </w:rPr>
        <w:t>év elteltével életben lévő vizsgálati alanyok aránya 54,7% volt az RVd-karon, ezzel szemben 44,7% az Rd-karon.</w:t>
      </w:r>
    </w:p>
    <w:p w14:paraId="4DB91E7E" w14:textId="77777777" w:rsidR="00E566EB" w:rsidRPr="00441247" w:rsidRDefault="00E566EB" w:rsidP="00956F16">
      <w:pPr>
        <w:spacing w:after="0" w:line="240" w:lineRule="auto"/>
        <w:rPr>
          <w:rFonts w:ascii="Times New Roman" w:eastAsia="Calibri" w:hAnsi="Times New Roman" w:cs="Times New Roman"/>
          <w:sz w:val="18"/>
          <w:szCs w:val="18"/>
        </w:rPr>
      </w:pPr>
    </w:p>
    <w:p w14:paraId="409FF546" w14:textId="77777777" w:rsidR="00956F16" w:rsidRPr="00956F16" w:rsidRDefault="00956F16" w:rsidP="00956F16">
      <w:pPr>
        <w:keepNext/>
        <w:numPr>
          <w:ilvl w:val="0"/>
          <w:numId w:val="18"/>
        </w:numPr>
        <w:tabs>
          <w:tab w:val="left" w:pos="567"/>
        </w:tabs>
        <w:spacing w:after="0" w:line="240" w:lineRule="auto"/>
        <w:ind w:hanging="436"/>
        <w:rPr>
          <w:rFonts w:ascii="Times New Roman" w:eastAsia="Calibri" w:hAnsi="Times New Roman" w:cs="Times New Roman"/>
          <w:u w:val="single"/>
        </w:rPr>
      </w:pPr>
      <w:r w:rsidRPr="00956F16">
        <w:rPr>
          <w:rFonts w:ascii="Times New Roman" w:eastAsia="Calibri" w:hAnsi="Times New Roman" w:cs="Times New Roman"/>
          <w:u w:val="single"/>
        </w:rPr>
        <w:lastRenderedPageBreak/>
        <w:t>A lenalidomid dexametazonnal kombinációban őssejt-transzplantációra nem alkalmas betegeknél</w:t>
      </w:r>
    </w:p>
    <w:p w14:paraId="5391429D" w14:textId="0E6C85C6"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biztonságosságát és hatásosságát egy </w:t>
      </w:r>
      <w:r w:rsidR="003601C7">
        <w:rPr>
          <w:rFonts w:ascii="Times New Roman" w:eastAsia="Calibri" w:hAnsi="Times New Roman" w:cs="Times New Roman"/>
        </w:rPr>
        <w:t>3.</w:t>
      </w:r>
      <w:r w:rsidRPr="00956F16">
        <w:rPr>
          <w:rFonts w:ascii="Times New Roman" w:eastAsia="Calibri" w:hAnsi="Times New Roman" w:cs="Times New Roman"/>
        </w:rPr>
        <w:t> fázisú, multicentrikus, randomizált, nyílt elrendezésű, három karos vizsgálatban (MM-020) értékelték 65 éves vagy annál idősebb betegeknél, illetve olyan 65 évesnél fiatalabb betegeknél, akik nem voltak alkalmasak őssejt-transzplantációra, mivel nem egyeztek bele az őssejt-transzplantációba, vagy a költségek miatt vagy egyéb okokból az őssejt-transzplantáció nem volt elérhető számukra. A vizsgálat során (MM-020) a két különböző ideig (vagyis a betegség progressziójáig [Rd-kar], vagy legfeljebb tizennyolc 28 napos cikluson át [72 hét, Rd18-kar]) alkalmazott lenalidomid és dexametazon kombinációt (Rd) hasonlították össze a legfeljebb tizenkét 42 napos cikluson át (72 hét) adott melfalán, prednizon és talidomid kombinációval (MPT). A vizsgálatra alkalmas betegeket a 3 kezelési kar egyikére randomizálták (1:1:1 arányban). A betegeket a randomizáció során rétegezték az életkoruk (≤ 75 év vs. &gt; 75 év), a stádium (I-es és II-es ISS</w:t>
      </w:r>
      <w:r w:rsidR="007210DA">
        <w:rPr>
          <w:rFonts w:ascii="Times New Roman" w:eastAsia="Calibri" w:hAnsi="Times New Roman" w:cs="Times New Roman"/>
        </w:rPr>
        <w:t>-</w:t>
      </w:r>
      <w:r w:rsidRPr="00956F16">
        <w:rPr>
          <w:rFonts w:ascii="Times New Roman" w:eastAsia="Calibri" w:hAnsi="Times New Roman" w:cs="Times New Roman"/>
        </w:rPr>
        <w:t>stádium, vs. III.</w:t>
      </w:r>
      <w:r w:rsidR="007210DA">
        <w:rPr>
          <w:rFonts w:ascii="Times New Roman" w:eastAsia="Calibri" w:hAnsi="Times New Roman" w:cs="Times New Roman"/>
        </w:rPr>
        <w:t> </w:t>
      </w:r>
      <w:r w:rsidRPr="00956F16">
        <w:rPr>
          <w:rFonts w:ascii="Times New Roman" w:eastAsia="Calibri" w:hAnsi="Times New Roman" w:cs="Times New Roman"/>
        </w:rPr>
        <w:t>stádium), valamint az ország szerint.</w:t>
      </w:r>
    </w:p>
    <w:p w14:paraId="06B5661E" w14:textId="77777777" w:rsidR="00956F16" w:rsidRPr="00956F16" w:rsidRDefault="00956F16" w:rsidP="00956F16">
      <w:pPr>
        <w:spacing w:after="0" w:line="240" w:lineRule="auto"/>
        <w:rPr>
          <w:rFonts w:ascii="Times New Roman" w:eastAsia="Calibri" w:hAnsi="Times New Roman" w:cs="Times New Roman"/>
        </w:rPr>
      </w:pPr>
    </w:p>
    <w:p w14:paraId="781B41A5" w14:textId="72421D75"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Rd- és a Rd18-karon a betegek naponta egyszer 25 mg lenalidomidot szedtek a 28 napos ciklusok 1</w:t>
      </w:r>
      <w:r w:rsidR="007210DA">
        <w:rPr>
          <w:rFonts w:ascii="Times New Roman" w:eastAsia="Calibri" w:hAnsi="Times New Roman" w:cs="Times New Roman"/>
        </w:rPr>
        <w:t>.–</w:t>
      </w:r>
      <w:r w:rsidRPr="00956F16">
        <w:rPr>
          <w:rFonts w:ascii="Times New Roman" w:eastAsia="Calibri" w:hAnsi="Times New Roman" w:cs="Times New Roman"/>
        </w:rPr>
        <w:t>21. napján, a protokoll szerint. 40 mg dexametazont adagoltak naponta egyszer, mindegyik 28 napos ciklus 1., 8., 15. és 22. napján. Az Rd- és az Rd18-karon az életkor és a veseműködés szerint módosították a kezdő dózist és a kezelési rendet (lásd 4.2 pont). A 75 évesnél idősebb betegek 20 mg</w:t>
      </w:r>
      <w:r w:rsidR="00104634">
        <w:rPr>
          <w:rFonts w:ascii="Times New Roman" w:eastAsia="Calibri" w:hAnsi="Times New Roman" w:cs="Times New Roman"/>
        </w:rPr>
        <w:t>-</w:t>
      </w:r>
      <w:r w:rsidRPr="00956F16">
        <w:rPr>
          <w:rFonts w:ascii="Times New Roman" w:eastAsia="Calibri" w:hAnsi="Times New Roman" w:cs="Times New Roman"/>
        </w:rPr>
        <w:t>os dexametazon dózist kaptak naponta egyszer mindegyik 28 napos ciklus 1., 8., 15. és 22. napján. A vizsgálat során valamennyi beteg profilaktikus antikoagulációs kezelésben részesült (alacsony molekulasúlyú heparin, warfarin, heparin, kis dózisú acetilszalicilsav).</w:t>
      </w:r>
    </w:p>
    <w:p w14:paraId="48B25259" w14:textId="77777777" w:rsidR="00956F16" w:rsidRPr="00956F16" w:rsidRDefault="00956F16" w:rsidP="00956F16">
      <w:pPr>
        <w:spacing w:after="0" w:line="240" w:lineRule="auto"/>
        <w:rPr>
          <w:rFonts w:ascii="Times New Roman" w:eastAsia="Calibri" w:hAnsi="Times New Roman" w:cs="Times New Roman"/>
        </w:rPr>
      </w:pPr>
    </w:p>
    <w:p w14:paraId="7C0E0076" w14:textId="6D70FAA0"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vizsgálat elsődleges hatásossági végpontja a progressziómentes túlélés (PFS) volt. Összesen 1623 beteget vontak be a vizsgálatba, közülük 535 beteget randomizáltak az Rd-karra, 541 beteget az Rd18-karra és 547 beteget az MPT-karra. A betegek demográfiai adatai és a betegségre vonatkozó kiindulási jellemzői mindhárom karon hasonlóak voltak. A vizsgálati alanyoknál általában előrehaladott stádiumú betegség állt fenn: a teljes vizsgálati populáció 41%-ának volt az ISS szerinti III. stádiumú betegsége, és 9%-ánál állt fenn súlyos</w:t>
      </w:r>
      <w:r w:rsidR="004D1937">
        <w:rPr>
          <w:rFonts w:ascii="Times New Roman" w:eastAsia="Calibri" w:hAnsi="Times New Roman" w:cs="Times New Roman"/>
        </w:rPr>
        <w:t xml:space="preserve"> fokú</w:t>
      </w:r>
      <w:r w:rsidRPr="00956F16">
        <w:rPr>
          <w:rFonts w:ascii="Times New Roman" w:eastAsia="Calibri" w:hAnsi="Times New Roman" w:cs="Times New Roman"/>
        </w:rPr>
        <w:t xml:space="preserve"> vesekárosodás (kreatinine-clearance [</w:t>
      </w:r>
      <w:r w:rsidR="009B7272">
        <w:rPr>
          <w:rFonts w:ascii="Times New Roman" w:eastAsia="Calibri" w:hAnsi="Times New Roman" w:cs="Times New Roman"/>
        </w:rPr>
        <w:t>CrCl</w:t>
      </w:r>
      <w:r w:rsidRPr="00956F16">
        <w:rPr>
          <w:rFonts w:ascii="Times New Roman" w:eastAsia="Calibri" w:hAnsi="Times New Roman" w:cs="Times New Roman"/>
        </w:rPr>
        <w:t>r] &lt; 30 ml/perc). A medián életkor a 3</w:t>
      </w:r>
      <w:r w:rsidR="007210DA">
        <w:rPr>
          <w:rFonts w:ascii="Times New Roman" w:eastAsia="Calibri" w:hAnsi="Times New Roman" w:cs="Times New Roman"/>
        </w:rPr>
        <w:t> </w:t>
      </w:r>
      <w:r w:rsidRPr="00956F16">
        <w:rPr>
          <w:rFonts w:ascii="Times New Roman" w:eastAsia="Calibri" w:hAnsi="Times New Roman" w:cs="Times New Roman"/>
        </w:rPr>
        <w:t>karon 73 év volt.</w:t>
      </w:r>
    </w:p>
    <w:p w14:paraId="4034B0CB" w14:textId="77777777" w:rsidR="00956F16" w:rsidRPr="00956F16" w:rsidRDefault="00956F16" w:rsidP="00956F16">
      <w:pPr>
        <w:spacing w:after="0" w:line="240" w:lineRule="auto"/>
        <w:rPr>
          <w:rFonts w:ascii="Times New Roman" w:eastAsia="Calibri" w:hAnsi="Times New Roman" w:cs="Times New Roman"/>
        </w:rPr>
      </w:pPr>
    </w:p>
    <w:p w14:paraId="406F3463" w14:textId="2AE2B8B5"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PFS, PFS2 és OS 2014. március 3-i adatbázis lezárási dátummal elvégzett frissített elemzése tekintetében, ahol a medián utánkövetési idő valamennyi túlélő vizsgálati személy esetében 45,5 hónap volt, a vizsgálat eredményeit a </w:t>
      </w:r>
      <w:r w:rsidR="000C0238">
        <w:rPr>
          <w:rFonts w:ascii="Times New Roman" w:eastAsia="Calibri" w:hAnsi="Times New Roman" w:cs="Times New Roman"/>
        </w:rPr>
        <w:t>9</w:t>
      </w:r>
      <w:r w:rsidRPr="00956F16">
        <w:rPr>
          <w:rFonts w:ascii="Times New Roman" w:eastAsia="Calibri" w:hAnsi="Times New Roman" w:cs="Times New Roman"/>
        </w:rPr>
        <w:t>. táblázat mutatja be:</w:t>
      </w:r>
    </w:p>
    <w:p w14:paraId="05398F3D" w14:textId="77777777" w:rsidR="00956F16" w:rsidRPr="00956F16" w:rsidRDefault="00956F16" w:rsidP="00956F16">
      <w:pPr>
        <w:spacing w:after="0" w:line="240" w:lineRule="auto"/>
        <w:rPr>
          <w:rFonts w:ascii="Times New Roman" w:eastAsia="Calibri" w:hAnsi="Times New Roman" w:cs="Times New Roman"/>
        </w:rPr>
      </w:pPr>
    </w:p>
    <w:p w14:paraId="0C38BF66" w14:textId="56D4C8FA" w:rsidR="00956F16" w:rsidRPr="00956F16" w:rsidRDefault="000C0238" w:rsidP="00956F16">
      <w:pPr>
        <w:keepNext/>
        <w:spacing w:after="0" w:line="240" w:lineRule="auto"/>
        <w:rPr>
          <w:rFonts w:ascii="Times New Roman" w:eastAsia="Calibri" w:hAnsi="Times New Roman" w:cs="Times New Roman"/>
          <w:b/>
        </w:rPr>
      </w:pPr>
      <w:r>
        <w:rPr>
          <w:rFonts w:ascii="Times New Roman" w:eastAsia="Calibri" w:hAnsi="Times New Roman" w:cs="Times New Roman"/>
          <w:b/>
        </w:rPr>
        <w:t>9</w:t>
      </w:r>
      <w:r w:rsidR="00956F16" w:rsidRPr="00956F16">
        <w:rPr>
          <w:rFonts w:ascii="Times New Roman" w:eastAsia="Calibri" w:hAnsi="Times New Roman" w:cs="Times New Roman"/>
          <w:b/>
        </w:rPr>
        <w:t>. táblázat. Az összesített hatásossági adatok összefoglalása</w:t>
      </w:r>
    </w:p>
    <w:tbl>
      <w:tblPr>
        <w:tblW w:w="9356" w:type="dxa"/>
        <w:tblInd w:w="-5" w:type="dxa"/>
        <w:tblLayout w:type="fixed"/>
        <w:tblCellMar>
          <w:left w:w="0" w:type="dxa"/>
          <w:right w:w="0" w:type="dxa"/>
        </w:tblCellMar>
        <w:tblLook w:val="0000" w:firstRow="0" w:lastRow="0" w:firstColumn="0" w:lastColumn="0" w:noHBand="0" w:noVBand="0"/>
      </w:tblPr>
      <w:tblGrid>
        <w:gridCol w:w="4253"/>
        <w:gridCol w:w="1701"/>
        <w:gridCol w:w="1701"/>
        <w:gridCol w:w="1701"/>
      </w:tblGrid>
      <w:tr w:rsidR="00956F16" w:rsidRPr="00956F16" w14:paraId="28A4DB10" w14:textId="77777777" w:rsidTr="00E83289">
        <w:trPr>
          <w:trHeight w:hRule="exact" w:val="537"/>
          <w:tblHeader/>
        </w:trPr>
        <w:tc>
          <w:tcPr>
            <w:tcW w:w="4253" w:type="dxa"/>
            <w:tcBorders>
              <w:top w:val="single" w:sz="4" w:space="0" w:color="auto"/>
              <w:left w:val="single" w:sz="4" w:space="0" w:color="auto"/>
              <w:bottom w:val="single" w:sz="4" w:space="0" w:color="auto"/>
              <w:right w:val="single" w:sz="8" w:space="0" w:color="000000"/>
            </w:tcBorders>
          </w:tcPr>
          <w:p w14:paraId="78137448" w14:textId="77777777" w:rsidR="00956F16" w:rsidRPr="00956F16" w:rsidRDefault="00956F16" w:rsidP="00956F16">
            <w:pPr>
              <w:widowControl w:val="0"/>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c>
          <w:tcPr>
            <w:tcW w:w="1701" w:type="dxa"/>
            <w:tcBorders>
              <w:top w:val="single" w:sz="4" w:space="0" w:color="auto"/>
              <w:left w:val="single" w:sz="8" w:space="0" w:color="000000"/>
              <w:bottom w:val="single" w:sz="4" w:space="0" w:color="auto"/>
              <w:right w:val="single" w:sz="8" w:space="0" w:color="000000"/>
            </w:tcBorders>
          </w:tcPr>
          <w:p w14:paraId="1D60F242"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Cs w:val="20"/>
              </w:rPr>
            </w:pPr>
            <w:r w:rsidRPr="00956F16">
              <w:rPr>
                <w:rFonts w:ascii="Times New Roman" w:eastAsia="Times New Roman" w:hAnsi="Times New Roman" w:cs="Times New Roman"/>
                <w:b/>
                <w:bCs/>
                <w:szCs w:val="20"/>
              </w:rPr>
              <w:t>Rd</w:t>
            </w:r>
          </w:p>
          <w:p w14:paraId="2B3A8A72"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(n = 535)</w:t>
            </w:r>
          </w:p>
        </w:tc>
        <w:tc>
          <w:tcPr>
            <w:tcW w:w="1701" w:type="dxa"/>
            <w:tcBorders>
              <w:top w:val="single" w:sz="4" w:space="0" w:color="auto"/>
              <w:left w:val="single" w:sz="8" w:space="0" w:color="000000"/>
              <w:bottom w:val="single" w:sz="4" w:space="0" w:color="auto"/>
              <w:right w:val="single" w:sz="8" w:space="0" w:color="000000"/>
            </w:tcBorders>
          </w:tcPr>
          <w:p w14:paraId="7FDE014A" w14:textId="77777777" w:rsidR="00956F16" w:rsidRPr="00956F16" w:rsidRDefault="00956F16" w:rsidP="00956F16">
            <w:pPr>
              <w:widowControl w:val="0"/>
              <w:tabs>
                <w:tab w:val="left" w:pos="567"/>
              </w:tabs>
              <w:autoSpaceDE w:val="0"/>
              <w:autoSpaceDN w:val="0"/>
              <w:adjustRightInd w:val="0"/>
              <w:spacing w:after="0" w:line="240" w:lineRule="auto"/>
              <w:ind w:right="41"/>
              <w:jc w:val="center"/>
              <w:rPr>
                <w:rFonts w:ascii="Times New Roman" w:eastAsia="Times New Roman" w:hAnsi="Times New Roman" w:cs="Times New Roman"/>
                <w:szCs w:val="20"/>
              </w:rPr>
            </w:pPr>
            <w:r w:rsidRPr="00956F16">
              <w:rPr>
                <w:rFonts w:ascii="Times New Roman" w:eastAsia="Times New Roman" w:hAnsi="Times New Roman" w:cs="Times New Roman"/>
                <w:b/>
                <w:bCs/>
                <w:szCs w:val="20"/>
              </w:rPr>
              <w:t>Rd18</w:t>
            </w:r>
          </w:p>
          <w:p w14:paraId="02E477D6" w14:textId="77777777" w:rsidR="00956F16" w:rsidRPr="00956F16" w:rsidRDefault="00956F16" w:rsidP="00956F16">
            <w:pPr>
              <w:widowControl w:val="0"/>
              <w:tabs>
                <w:tab w:val="left" w:pos="567"/>
              </w:tabs>
              <w:autoSpaceDE w:val="0"/>
              <w:autoSpaceDN w:val="0"/>
              <w:adjustRightInd w:val="0"/>
              <w:spacing w:after="0" w:line="240" w:lineRule="auto"/>
              <w:ind w:right="41"/>
              <w:jc w:val="center"/>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(n = 541)</w:t>
            </w:r>
          </w:p>
        </w:tc>
        <w:tc>
          <w:tcPr>
            <w:tcW w:w="1701" w:type="dxa"/>
            <w:tcBorders>
              <w:top w:val="single" w:sz="4" w:space="0" w:color="auto"/>
              <w:left w:val="single" w:sz="8" w:space="0" w:color="000000"/>
              <w:bottom w:val="single" w:sz="4" w:space="0" w:color="auto"/>
              <w:right w:val="single" w:sz="4" w:space="0" w:color="auto"/>
            </w:tcBorders>
          </w:tcPr>
          <w:p w14:paraId="11D5FB47"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Cs w:val="20"/>
              </w:rPr>
            </w:pPr>
            <w:r w:rsidRPr="00956F16">
              <w:rPr>
                <w:rFonts w:ascii="Times New Roman" w:eastAsia="Times New Roman" w:hAnsi="Times New Roman" w:cs="Times New Roman"/>
                <w:b/>
                <w:bCs/>
                <w:szCs w:val="20"/>
              </w:rPr>
              <w:t>MPT</w:t>
            </w:r>
          </w:p>
          <w:p w14:paraId="59157E8D"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b/>
                <w:bCs/>
                <w:szCs w:val="20"/>
              </w:rPr>
              <w:t>(n = 547)</w:t>
            </w:r>
          </w:p>
        </w:tc>
      </w:tr>
      <w:tr w:rsidR="00956F16" w:rsidRPr="00956F16" w14:paraId="6727215A" w14:textId="77777777" w:rsidTr="00694E9C">
        <w:trPr>
          <w:trHeight w:hRule="exact" w:val="694"/>
        </w:trPr>
        <w:tc>
          <w:tcPr>
            <w:tcW w:w="4253" w:type="dxa"/>
            <w:tcBorders>
              <w:top w:val="single" w:sz="4" w:space="0" w:color="auto"/>
              <w:left w:val="single" w:sz="8" w:space="0" w:color="000000"/>
              <w:bottom w:val="single" w:sz="8" w:space="0" w:color="000000"/>
              <w:right w:val="single" w:sz="8" w:space="0" w:color="000000"/>
            </w:tcBorders>
          </w:tcPr>
          <w:p w14:paraId="5774C79B" w14:textId="224BC656" w:rsidR="00956F16" w:rsidRPr="00956F16" w:rsidRDefault="00956F16" w:rsidP="00956F16">
            <w:pPr>
              <w:widowControl w:val="0"/>
              <w:tabs>
                <w:tab w:val="left" w:pos="567"/>
              </w:tabs>
              <w:autoSpaceDE w:val="0"/>
              <w:autoSpaceDN w:val="0"/>
              <w:adjustRightInd w:val="0"/>
              <w:spacing w:after="0" w:line="240" w:lineRule="auto"/>
              <w:ind w:left="47" w:right="-20"/>
              <w:rPr>
                <w:rFonts w:ascii="Times New Roman" w:eastAsia="Times New Roman" w:hAnsi="Times New Roman" w:cs="Times New Roman"/>
                <w:sz w:val="24"/>
                <w:szCs w:val="24"/>
              </w:rPr>
            </w:pPr>
            <w:r w:rsidRPr="00956F16">
              <w:rPr>
                <w:rFonts w:ascii="Times New Roman" w:eastAsia="Times New Roman" w:hAnsi="Times New Roman" w:cs="Times New Roman"/>
                <w:b/>
                <w:bCs/>
              </w:rPr>
              <w:t>PFS a vizsgálatot végző megítélése alapján</w:t>
            </w:r>
            <w:r w:rsidRPr="007E5A32">
              <w:rPr>
                <w:rFonts w:ascii="Times New Roman" w:hAnsi="Times New Roman"/>
              </w:rPr>
              <w:t xml:space="preserve"> </w:t>
            </w:r>
            <w:r w:rsidRPr="00956F16">
              <w:rPr>
                <w:rFonts w:ascii="Times New Roman" w:eastAsia="Times New Roman" w:hAnsi="Times New Roman" w:cs="Times New Roman"/>
                <w:b/>
                <w:bCs/>
                <w:szCs w:val="20"/>
              </w:rPr>
              <w:t>(hónap)</w:t>
            </w:r>
          </w:p>
        </w:tc>
        <w:tc>
          <w:tcPr>
            <w:tcW w:w="1701" w:type="dxa"/>
            <w:tcBorders>
              <w:top w:val="single" w:sz="4" w:space="0" w:color="auto"/>
              <w:left w:val="single" w:sz="8" w:space="0" w:color="000000"/>
              <w:bottom w:val="single" w:sz="8" w:space="0" w:color="000000"/>
              <w:right w:val="single" w:sz="8" w:space="0" w:color="000000"/>
            </w:tcBorders>
          </w:tcPr>
          <w:p w14:paraId="361A7A7F"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p>
        </w:tc>
        <w:tc>
          <w:tcPr>
            <w:tcW w:w="1701" w:type="dxa"/>
            <w:tcBorders>
              <w:top w:val="single" w:sz="4" w:space="0" w:color="auto"/>
              <w:left w:val="single" w:sz="8" w:space="0" w:color="000000"/>
              <w:bottom w:val="single" w:sz="8" w:space="0" w:color="000000"/>
              <w:right w:val="single" w:sz="8" w:space="0" w:color="000000"/>
            </w:tcBorders>
          </w:tcPr>
          <w:p w14:paraId="30DA3746" w14:textId="77777777" w:rsidR="00956F16" w:rsidRPr="00956F16" w:rsidRDefault="00956F16" w:rsidP="00956F16">
            <w:pPr>
              <w:widowControl w:val="0"/>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p>
        </w:tc>
        <w:tc>
          <w:tcPr>
            <w:tcW w:w="1701" w:type="dxa"/>
            <w:tcBorders>
              <w:top w:val="single" w:sz="4" w:space="0" w:color="auto"/>
              <w:left w:val="single" w:sz="8" w:space="0" w:color="000000"/>
              <w:bottom w:val="single" w:sz="8" w:space="0" w:color="000000"/>
              <w:right w:val="single" w:sz="8" w:space="0" w:color="000000"/>
            </w:tcBorders>
          </w:tcPr>
          <w:p w14:paraId="3E8749CD"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p>
        </w:tc>
      </w:tr>
      <w:tr w:rsidR="00956F16" w:rsidRPr="00956F16" w14:paraId="1F924F88" w14:textId="77777777" w:rsidTr="007E5A32">
        <w:trPr>
          <w:trHeight w:hRule="exact" w:val="545"/>
        </w:trPr>
        <w:tc>
          <w:tcPr>
            <w:tcW w:w="4253" w:type="dxa"/>
            <w:tcBorders>
              <w:top w:val="single" w:sz="8" w:space="0" w:color="000000"/>
              <w:left w:val="single" w:sz="8" w:space="0" w:color="000000"/>
              <w:bottom w:val="single" w:sz="8" w:space="0" w:color="000000"/>
              <w:right w:val="single" w:sz="8" w:space="0" w:color="000000"/>
            </w:tcBorders>
          </w:tcPr>
          <w:p w14:paraId="50FAC63C" w14:textId="50048E9C" w:rsidR="00843AAD"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A PFS 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ideje, hónapokban</w:t>
            </w:r>
          </w:p>
          <w:p w14:paraId="63375867" w14:textId="59DFC771"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b</w:t>
            </w:r>
          </w:p>
        </w:tc>
        <w:tc>
          <w:tcPr>
            <w:tcW w:w="1701" w:type="dxa"/>
            <w:tcBorders>
              <w:top w:val="single" w:sz="8" w:space="0" w:color="000000"/>
              <w:left w:val="single" w:sz="8" w:space="0" w:color="000000"/>
              <w:bottom w:val="single" w:sz="8" w:space="0" w:color="000000"/>
              <w:right w:val="single" w:sz="8" w:space="0" w:color="000000"/>
            </w:tcBorders>
          </w:tcPr>
          <w:p w14:paraId="5D475809" w14:textId="3C2EF4C3"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26,0 (20,7</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29,7)</w:t>
            </w:r>
          </w:p>
        </w:tc>
        <w:tc>
          <w:tcPr>
            <w:tcW w:w="1701" w:type="dxa"/>
            <w:tcBorders>
              <w:top w:val="single" w:sz="8" w:space="0" w:color="000000"/>
              <w:left w:val="single" w:sz="8" w:space="0" w:color="000000"/>
              <w:bottom w:val="single" w:sz="8" w:space="0" w:color="000000"/>
              <w:right w:val="single" w:sz="8" w:space="0" w:color="000000"/>
            </w:tcBorders>
          </w:tcPr>
          <w:p w14:paraId="15092B56" w14:textId="7070C3CA" w:rsidR="00956F16" w:rsidRPr="00956F16" w:rsidRDefault="00956F16" w:rsidP="00956F16">
            <w:pPr>
              <w:widowControl w:val="0"/>
              <w:tabs>
                <w:tab w:val="left" w:pos="567"/>
              </w:tabs>
              <w:autoSpaceDE w:val="0"/>
              <w:autoSpaceDN w:val="0"/>
              <w:adjustRightInd w:val="0"/>
              <w:spacing w:after="0" w:line="240" w:lineRule="auto"/>
              <w:ind w:left="142"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21,0 (19,7</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22,4)</w:t>
            </w:r>
          </w:p>
        </w:tc>
        <w:tc>
          <w:tcPr>
            <w:tcW w:w="1701" w:type="dxa"/>
            <w:tcBorders>
              <w:top w:val="single" w:sz="8" w:space="0" w:color="000000"/>
              <w:left w:val="single" w:sz="8" w:space="0" w:color="000000"/>
              <w:bottom w:val="single" w:sz="8" w:space="0" w:color="000000"/>
              <w:right w:val="single" w:sz="8" w:space="0" w:color="000000"/>
            </w:tcBorders>
          </w:tcPr>
          <w:p w14:paraId="1BD04275" w14:textId="31140C41"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21,9 (19,8</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23,9)</w:t>
            </w:r>
          </w:p>
        </w:tc>
      </w:tr>
      <w:tr w:rsidR="00956F16" w:rsidRPr="00956F16" w14:paraId="532D6179" w14:textId="77777777" w:rsidTr="00694E9C">
        <w:trPr>
          <w:trHeight w:hRule="exact" w:val="271"/>
        </w:trPr>
        <w:tc>
          <w:tcPr>
            <w:tcW w:w="4253" w:type="dxa"/>
            <w:tcBorders>
              <w:top w:val="single" w:sz="8" w:space="0" w:color="000000"/>
              <w:left w:val="single" w:sz="8" w:space="0" w:color="000000"/>
              <w:bottom w:val="single" w:sz="8" w:space="0" w:color="000000"/>
              <w:right w:val="single" w:sz="8" w:space="0" w:color="000000"/>
            </w:tcBorders>
          </w:tcPr>
          <w:p w14:paraId="4B01E3C1" w14:textId="24F4EDF6"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HR [95%</w:t>
            </w:r>
            <w:r w:rsidR="00843AAD">
              <w:rPr>
                <w:rFonts w:ascii="Times New Roman" w:eastAsia="Times New Roman" w:hAnsi="Times New Roman" w:cs="Times New Roman"/>
              </w:rPr>
              <w:t>-os</w:t>
            </w:r>
            <w:r w:rsidRPr="00956F16">
              <w:rPr>
                <w:rFonts w:ascii="Times New Roman" w:eastAsia="Times New Roman" w:hAnsi="Times New Roman" w:cs="Times New Roman"/>
                <w:szCs w:val="20"/>
              </w:rPr>
              <w:t xml:space="preserve"> CI]</w:t>
            </w:r>
            <w:r w:rsidRPr="00956F16">
              <w:rPr>
                <w:rFonts w:ascii="Times" w:eastAsia="Times New Roman" w:hAnsi="Times" w:cs="Times New Roman"/>
                <w:sz w:val="14"/>
                <w:szCs w:val="14"/>
                <w:vertAlign w:val="superscript"/>
              </w:rPr>
              <w:t>c</w:t>
            </w:r>
            <w:r w:rsidRPr="00956F16">
              <w:rPr>
                <w:rFonts w:ascii="Times New Roman" w:eastAsia="Times New Roman" w:hAnsi="Times New Roman" w:cs="Times New Roman"/>
                <w:szCs w:val="20"/>
              </w:rPr>
              <w:t>; p</w:t>
            </w:r>
            <w:r w:rsidR="00104634">
              <w:rPr>
                <w:rFonts w:ascii="Times New Roman" w:eastAsia="Times New Roman" w:hAnsi="Times New Roman" w:cs="Times New Roman"/>
              </w:rPr>
              <w:t>-</w:t>
            </w:r>
            <w:r w:rsidRPr="00956F16">
              <w:rPr>
                <w:rFonts w:ascii="Times New Roman" w:eastAsia="Times New Roman" w:hAnsi="Times New Roman" w:cs="Times New Roman"/>
              </w:rPr>
              <w:t>érték</w:t>
            </w:r>
            <w:r w:rsidRPr="00956F16">
              <w:rPr>
                <w:rFonts w:ascii="Times New Roman" w:eastAsia="Times New Roman" w:hAnsi="Times New Roman" w:cs="Times New Roman"/>
                <w:vertAlign w:val="superscript"/>
              </w:rPr>
              <w:t>d</w:t>
            </w:r>
          </w:p>
        </w:tc>
        <w:tc>
          <w:tcPr>
            <w:tcW w:w="1701" w:type="dxa"/>
            <w:tcBorders>
              <w:top w:val="single" w:sz="8" w:space="0" w:color="000000"/>
              <w:left w:val="single" w:sz="8" w:space="0" w:color="000000"/>
              <w:bottom w:val="single" w:sz="8" w:space="0" w:color="000000"/>
              <w:right w:val="single" w:sz="8" w:space="0" w:color="000000"/>
            </w:tcBorders>
          </w:tcPr>
          <w:p w14:paraId="228B4AAB"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4BC36A5" w14:textId="77777777" w:rsidR="00956F16" w:rsidRPr="00956F16" w:rsidRDefault="00956F16" w:rsidP="00956F16">
            <w:pPr>
              <w:widowControl w:val="0"/>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3893E71"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p>
        </w:tc>
      </w:tr>
      <w:tr w:rsidR="00956F16" w:rsidRPr="00956F16" w14:paraId="438B9857"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0F01326E"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Rd vs. MPT</w:t>
            </w:r>
          </w:p>
        </w:tc>
        <w:tc>
          <w:tcPr>
            <w:tcW w:w="5103" w:type="dxa"/>
            <w:gridSpan w:val="3"/>
            <w:tcBorders>
              <w:top w:val="single" w:sz="8" w:space="0" w:color="000000"/>
              <w:left w:val="single" w:sz="8" w:space="0" w:color="000000"/>
              <w:bottom w:val="single" w:sz="8" w:space="0" w:color="000000"/>
              <w:right w:val="single" w:sz="8" w:space="0" w:color="000000"/>
            </w:tcBorders>
          </w:tcPr>
          <w:p w14:paraId="3BF866C6" w14:textId="6926D46E"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0,69 (0,59</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0,80); &lt; 0,001</w:t>
            </w:r>
          </w:p>
        </w:tc>
      </w:tr>
      <w:tr w:rsidR="00956F16" w:rsidRPr="00956F16" w14:paraId="03E722D2"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5D601659"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Rd vs. Rd18</w:t>
            </w:r>
          </w:p>
        </w:tc>
        <w:tc>
          <w:tcPr>
            <w:tcW w:w="5103" w:type="dxa"/>
            <w:gridSpan w:val="3"/>
            <w:tcBorders>
              <w:top w:val="single" w:sz="8" w:space="0" w:color="000000"/>
              <w:left w:val="single" w:sz="8" w:space="0" w:color="000000"/>
              <w:bottom w:val="single" w:sz="8" w:space="0" w:color="000000"/>
              <w:right w:val="single" w:sz="8" w:space="0" w:color="000000"/>
            </w:tcBorders>
          </w:tcPr>
          <w:p w14:paraId="4A463EE1" w14:textId="11B0705B"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0,71 (0,61</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0,83); &lt; 0,001</w:t>
            </w:r>
          </w:p>
        </w:tc>
      </w:tr>
      <w:tr w:rsidR="00956F16" w:rsidRPr="00956F16" w14:paraId="41CF4FE8"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552F870A"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Rd18 vs. MPT</w:t>
            </w:r>
          </w:p>
        </w:tc>
        <w:tc>
          <w:tcPr>
            <w:tcW w:w="5103" w:type="dxa"/>
            <w:gridSpan w:val="3"/>
            <w:tcBorders>
              <w:top w:val="single" w:sz="8" w:space="0" w:color="000000"/>
              <w:left w:val="single" w:sz="8" w:space="0" w:color="000000"/>
              <w:bottom w:val="single" w:sz="8" w:space="0" w:color="000000"/>
              <w:right w:val="single" w:sz="8" w:space="0" w:color="000000"/>
            </w:tcBorders>
          </w:tcPr>
          <w:p w14:paraId="1B5C5FAE" w14:textId="38D31838"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0,99 (0,86</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1,14); 0,866</w:t>
            </w:r>
          </w:p>
        </w:tc>
      </w:tr>
      <w:tr w:rsidR="00956F16" w:rsidRPr="00956F16" w14:paraId="43281E2D" w14:textId="77777777" w:rsidTr="00694E9C">
        <w:trPr>
          <w:trHeight w:hRule="exact" w:val="288"/>
        </w:trPr>
        <w:tc>
          <w:tcPr>
            <w:tcW w:w="4253" w:type="dxa"/>
            <w:tcBorders>
              <w:top w:val="single" w:sz="8" w:space="0" w:color="000000"/>
              <w:left w:val="single" w:sz="8" w:space="0" w:color="000000"/>
              <w:bottom w:val="single" w:sz="8" w:space="0" w:color="000000"/>
              <w:right w:val="single" w:sz="8" w:space="0" w:color="000000"/>
            </w:tcBorders>
          </w:tcPr>
          <w:p w14:paraId="49394BE0" w14:textId="6359BD9F" w:rsidR="00956F16" w:rsidRPr="00956F16" w:rsidRDefault="00956F16" w:rsidP="00956F16">
            <w:pPr>
              <w:widowControl w:val="0"/>
              <w:tabs>
                <w:tab w:val="left" w:pos="567"/>
              </w:tabs>
              <w:autoSpaceDE w:val="0"/>
              <w:autoSpaceDN w:val="0"/>
              <w:adjustRightInd w:val="0"/>
              <w:spacing w:after="0" w:line="240" w:lineRule="auto"/>
              <w:ind w:left="47" w:right="-20"/>
              <w:rPr>
                <w:rFonts w:ascii="Times New Roman" w:eastAsia="Times New Roman" w:hAnsi="Times New Roman" w:cs="Times New Roman"/>
              </w:rPr>
            </w:pPr>
            <w:r w:rsidRPr="00956F16">
              <w:rPr>
                <w:rFonts w:ascii="Times New Roman" w:eastAsia="Times New Roman" w:hAnsi="Times New Roman" w:cs="Times New Roman"/>
                <w:b/>
                <w:bCs/>
              </w:rPr>
              <w:t>PFS2</w:t>
            </w:r>
            <w:r w:rsidRPr="00956F16">
              <w:rPr>
                <w:rFonts w:ascii="Times New Roman" w:eastAsia="Times New Roman" w:hAnsi="Times New Roman" w:cs="Times New Roman"/>
                <w:b/>
                <w:bCs/>
                <w:vertAlign w:val="superscript"/>
              </w:rPr>
              <w:t>e</w:t>
            </w:r>
            <w:r w:rsidRPr="00956F16">
              <w:rPr>
                <w:rFonts w:ascii="Times New Roman" w:eastAsia="Times New Roman" w:hAnsi="Times New Roman" w:cs="Times New Roman"/>
                <w:b/>
                <w:bCs/>
              </w:rPr>
              <w:t xml:space="preserve"> (hónap)</w:t>
            </w:r>
          </w:p>
        </w:tc>
        <w:tc>
          <w:tcPr>
            <w:tcW w:w="1701" w:type="dxa"/>
            <w:tcBorders>
              <w:top w:val="single" w:sz="8" w:space="0" w:color="000000"/>
              <w:left w:val="single" w:sz="8" w:space="0" w:color="000000"/>
              <w:bottom w:val="single" w:sz="8" w:space="0" w:color="000000"/>
              <w:right w:val="single" w:sz="4" w:space="0" w:color="000000"/>
            </w:tcBorders>
          </w:tcPr>
          <w:p w14:paraId="3620ACFD"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p>
        </w:tc>
        <w:tc>
          <w:tcPr>
            <w:tcW w:w="1701" w:type="dxa"/>
            <w:tcBorders>
              <w:top w:val="single" w:sz="8" w:space="0" w:color="000000"/>
              <w:left w:val="single" w:sz="4" w:space="0" w:color="000000"/>
              <w:bottom w:val="single" w:sz="8" w:space="0" w:color="000000"/>
              <w:right w:val="single" w:sz="4" w:space="0" w:color="000000"/>
            </w:tcBorders>
          </w:tcPr>
          <w:p w14:paraId="1E992CDF" w14:textId="77777777" w:rsidR="00956F16" w:rsidRPr="00956F16" w:rsidRDefault="00956F16" w:rsidP="00956F16">
            <w:pPr>
              <w:widowControl w:val="0"/>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p>
        </w:tc>
        <w:tc>
          <w:tcPr>
            <w:tcW w:w="1701" w:type="dxa"/>
            <w:tcBorders>
              <w:top w:val="single" w:sz="8" w:space="0" w:color="000000"/>
              <w:left w:val="single" w:sz="4" w:space="0" w:color="000000"/>
              <w:bottom w:val="single" w:sz="8" w:space="0" w:color="000000"/>
              <w:right w:val="single" w:sz="8" w:space="0" w:color="000000"/>
            </w:tcBorders>
          </w:tcPr>
          <w:p w14:paraId="755B1B02"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p>
        </w:tc>
      </w:tr>
      <w:tr w:rsidR="00934095" w:rsidRPr="00956F16" w14:paraId="6A61470D" w14:textId="77777777" w:rsidTr="00934095">
        <w:trPr>
          <w:trHeight w:hRule="exact" w:val="597"/>
        </w:trPr>
        <w:tc>
          <w:tcPr>
            <w:tcW w:w="4253" w:type="dxa"/>
            <w:tcBorders>
              <w:top w:val="single" w:sz="8" w:space="0" w:color="000000"/>
              <w:left w:val="single" w:sz="8" w:space="0" w:color="000000"/>
              <w:bottom w:val="single" w:sz="8" w:space="0" w:color="000000"/>
              <w:right w:val="single" w:sz="8" w:space="0" w:color="000000"/>
            </w:tcBorders>
          </w:tcPr>
          <w:p w14:paraId="73D9A7C9" w14:textId="04CC7301" w:rsidR="00843AAD"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A PFS2 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ideje, hónapokban</w:t>
            </w:r>
          </w:p>
          <w:p w14:paraId="751A8753" w14:textId="3264929B"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b</w:t>
            </w:r>
          </w:p>
        </w:tc>
        <w:tc>
          <w:tcPr>
            <w:tcW w:w="1701" w:type="dxa"/>
            <w:tcBorders>
              <w:top w:val="single" w:sz="8" w:space="0" w:color="000000"/>
              <w:left w:val="single" w:sz="8" w:space="0" w:color="000000"/>
              <w:bottom w:val="single" w:sz="8" w:space="0" w:color="000000"/>
              <w:right w:val="single" w:sz="4" w:space="0" w:color="000000"/>
            </w:tcBorders>
          </w:tcPr>
          <w:p w14:paraId="15C67956" w14:textId="1554E8EC"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42,9 (38,1</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47,4)</w:t>
            </w:r>
          </w:p>
        </w:tc>
        <w:tc>
          <w:tcPr>
            <w:tcW w:w="1701" w:type="dxa"/>
            <w:tcBorders>
              <w:top w:val="single" w:sz="8" w:space="0" w:color="000000"/>
              <w:left w:val="single" w:sz="4" w:space="0" w:color="000000"/>
              <w:bottom w:val="single" w:sz="8" w:space="0" w:color="000000"/>
              <w:right w:val="single" w:sz="4" w:space="0" w:color="000000"/>
            </w:tcBorders>
          </w:tcPr>
          <w:p w14:paraId="7A298738" w14:textId="757871A2"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40,0 (36,2</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44,2)</w:t>
            </w:r>
          </w:p>
        </w:tc>
        <w:tc>
          <w:tcPr>
            <w:tcW w:w="1701" w:type="dxa"/>
            <w:tcBorders>
              <w:top w:val="single" w:sz="8" w:space="0" w:color="000000"/>
              <w:left w:val="single" w:sz="4" w:space="0" w:color="000000"/>
              <w:bottom w:val="single" w:sz="8" w:space="0" w:color="000000"/>
              <w:right w:val="single" w:sz="8" w:space="0" w:color="000000"/>
            </w:tcBorders>
          </w:tcPr>
          <w:p w14:paraId="26356B47" w14:textId="28AC5421"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35,0 (30,4</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37,8)</w:t>
            </w:r>
          </w:p>
        </w:tc>
      </w:tr>
      <w:tr w:rsidR="00956F16" w:rsidRPr="00956F16" w14:paraId="7E9669EC"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30EFA9C5" w14:textId="0CBBF976"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HR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c</w:t>
            </w:r>
            <w:r w:rsidRPr="00956F16">
              <w:rPr>
                <w:rFonts w:ascii="Times New Roman" w:eastAsia="Times New Roman" w:hAnsi="Times New Roman" w:cs="Times New Roman"/>
              </w:rPr>
              <w:t>; p</w:t>
            </w:r>
            <w:r w:rsidR="00104634">
              <w:rPr>
                <w:rFonts w:ascii="Times New Roman" w:eastAsia="Times New Roman" w:hAnsi="Times New Roman" w:cs="Times New Roman"/>
              </w:rPr>
              <w:t>-</w:t>
            </w:r>
            <w:r w:rsidRPr="00956F16">
              <w:rPr>
                <w:rFonts w:ascii="Times New Roman" w:eastAsia="Times New Roman" w:hAnsi="Times New Roman" w:cs="Times New Roman"/>
              </w:rPr>
              <w:t>érték</w:t>
            </w:r>
            <w:r w:rsidRPr="00956F16">
              <w:rPr>
                <w:rFonts w:ascii="Times New Roman" w:eastAsia="Times New Roman" w:hAnsi="Times New Roman" w:cs="Times New Roman"/>
                <w:vertAlign w:val="superscript"/>
              </w:rPr>
              <w:t>d</w:t>
            </w:r>
          </w:p>
        </w:tc>
        <w:tc>
          <w:tcPr>
            <w:tcW w:w="1701" w:type="dxa"/>
            <w:tcBorders>
              <w:top w:val="single" w:sz="8" w:space="0" w:color="000000"/>
              <w:left w:val="single" w:sz="8" w:space="0" w:color="000000"/>
              <w:bottom w:val="single" w:sz="8" w:space="0" w:color="000000"/>
              <w:right w:val="single" w:sz="4" w:space="0" w:color="000000"/>
            </w:tcBorders>
          </w:tcPr>
          <w:p w14:paraId="7550C18E"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p>
        </w:tc>
        <w:tc>
          <w:tcPr>
            <w:tcW w:w="1701" w:type="dxa"/>
            <w:tcBorders>
              <w:top w:val="single" w:sz="8" w:space="0" w:color="000000"/>
              <w:left w:val="single" w:sz="4" w:space="0" w:color="000000"/>
              <w:bottom w:val="single" w:sz="8" w:space="0" w:color="000000"/>
              <w:right w:val="single" w:sz="4" w:space="0" w:color="000000"/>
            </w:tcBorders>
          </w:tcPr>
          <w:p w14:paraId="361E605E" w14:textId="77777777" w:rsidR="00956F16" w:rsidRPr="00956F16" w:rsidRDefault="00956F16" w:rsidP="00956F16">
            <w:pPr>
              <w:widowControl w:val="0"/>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p>
        </w:tc>
        <w:tc>
          <w:tcPr>
            <w:tcW w:w="1701" w:type="dxa"/>
            <w:tcBorders>
              <w:top w:val="single" w:sz="8" w:space="0" w:color="000000"/>
              <w:left w:val="single" w:sz="4" w:space="0" w:color="000000"/>
              <w:bottom w:val="single" w:sz="8" w:space="0" w:color="000000"/>
              <w:right w:val="single" w:sz="8" w:space="0" w:color="000000"/>
            </w:tcBorders>
          </w:tcPr>
          <w:p w14:paraId="4663D2AF"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p>
        </w:tc>
      </w:tr>
      <w:tr w:rsidR="00956F16" w:rsidRPr="00956F16" w14:paraId="6541107A"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6B6A8794"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Rd vs MPT</w:t>
            </w:r>
          </w:p>
        </w:tc>
        <w:tc>
          <w:tcPr>
            <w:tcW w:w="5103" w:type="dxa"/>
            <w:gridSpan w:val="3"/>
            <w:tcBorders>
              <w:top w:val="single" w:sz="8" w:space="0" w:color="000000"/>
              <w:left w:val="single" w:sz="8" w:space="0" w:color="000000"/>
              <w:bottom w:val="single" w:sz="8" w:space="0" w:color="000000"/>
              <w:right w:val="single" w:sz="8" w:space="0" w:color="000000"/>
            </w:tcBorders>
          </w:tcPr>
          <w:p w14:paraId="70E03AEA" w14:textId="76244EA0"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0,74 (0,63</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0,86); &lt; 0,001</w:t>
            </w:r>
          </w:p>
        </w:tc>
      </w:tr>
      <w:tr w:rsidR="00956F16" w:rsidRPr="00956F16" w14:paraId="773732DA" w14:textId="77777777" w:rsidTr="00694E9C">
        <w:trPr>
          <w:trHeight w:hRule="exact" w:val="271"/>
        </w:trPr>
        <w:tc>
          <w:tcPr>
            <w:tcW w:w="4253" w:type="dxa"/>
            <w:tcBorders>
              <w:top w:val="single" w:sz="8" w:space="0" w:color="000000"/>
              <w:left w:val="single" w:sz="8" w:space="0" w:color="000000"/>
              <w:bottom w:val="single" w:sz="8" w:space="0" w:color="000000"/>
              <w:right w:val="single" w:sz="8" w:space="0" w:color="000000"/>
            </w:tcBorders>
          </w:tcPr>
          <w:p w14:paraId="0C2200B3"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Rd vs Rd18</w:t>
            </w:r>
          </w:p>
        </w:tc>
        <w:tc>
          <w:tcPr>
            <w:tcW w:w="5103" w:type="dxa"/>
            <w:gridSpan w:val="3"/>
            <w:tcBorders>
              <w:top w:val="single" w:sz="8" w:space="0" w:color="000000"/>
              <w:left w:val="single" w:sz="8" w:space="0" w:color="000000"/>
              <w:bottom w:val="single" w:sz="8" w:space="0" w:color="000000"/>
              <w:right w:val="single" w:sz="8" w:space="0" w:color="000000"/>
            </w:tcBorders>
          </w:tcPr>
          <w:p w14:paraId="0F81877B" w14:textId="69E94BC1"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0,92 (0,78</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1,08); 0,316</w:t>
            </w:r>
          </w:p>
        </w:tc>
      </w:tr>
      <w:tr w:rsidR="00956F16" w:rsidRPr="00956F16" w14:paraId="6501B48D"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1BA6C5BD"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Rd18 vs MPT</w:t>
            </w:r>
          </w:p>
        </w:tc>
        <w:tc>
          <w:tcPr>
            <w:tcW w:w="5103" w:type="dxa"/>
            <w:gridSpan w:val="3"/>
            <w:tcBorders>
              <w:top w:val="single" w:sz="8" w:space="0" w:color="000000"/>
              <w:left w:val="single" w:sz="8" w:space="0" w:color="000000"/>
              <w:bottom w:val="single" w:sz="8" w:space="0" w:color="000000"/>
              <w:right w:val="single" w:sz="8" w:space="0" w:color="000000"/>
            </w:tcBorders>
          </w:tcPr>
          <w:p w14:paraId="67FCB6E7" w14:textId="360C203A"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0,80 (0,69</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0,93); 0,004</w:t>
            </w:r>
          </w:p>
        </w:tc>
      </w:tr>
      <w:tr w:rsidR="00956F16" w:rsidRPr="00956F16" w14:paraId="51D77C27"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0D787000" w14:textId="77777777" w:rsidR="00956F16" w:rsidRPr="00956F16" w:rsidRDefault="00956F16" w:rsidP="007E5A32">
            <w:pPr>
              <w:keepNext/>
              <w:tabs>
                <w:tab w:val="left" w:pos="567"/>
              </w:tabs>
              <w:autoSpaceDE w:val="0"/>
              <w:autoSpaceDN w:val="0"/>
              <w:adjustRightInd w:val="0"/>
              <w:spacing w:after="0" w:line="240" w:lineRule="auto"/>
              <w:ind w:left="47" w:right="-20"/>
              <w:rPr>
                <w:rFonts w:ascii="Times New Roman" w:eastAsia="Times New Roman" w:hAnsi="Times New Roman" w:cs="Times New Roman"/>
                <w:sz w:val="24"/>
                <w:szCs w:val="24"/>
              </w:rPr>
            </w:pPr>
            <w:r w:rsidRPr="00956F16">
              <w:rPr>
                <w:rFonts w:ascii="Times New Roman" w:eastAsia="Times New Roman" w:hAnsi="Times New Roman" w:cs="Times New Roman"/>
                <w:b/>
                <w:bCs/>
              </w:rPr>
              <w:lastRenderedPageBreak/>
              <w:t>Teljes túlélés (OS)</w:t>
            </w:r>
            <w:r w:rsidRPr="00956F16">
              <w:rPr>
                <w:rFonts w:ascii="Times New Roman" w:eastAsia="Times New Roman" w:hAnsi="Times New Roman" w:cs="Times New Roman"/>
                <w:b/>
                <w:bCs/>
                <w:szCs w:val="20"/>
              </w:rPr>
              <w:t xml:space="preserve"> (hónap)</w:t>
            </w:r>
          </w:p>
        </w:tc>
        <w:tc>
          <w:tcPr>
            <w:tcW w:w="1701" w:type="dxa"/>
            <w:tcBorders>
              <w:top w:val="single" w:sz="8" w:space="0" w:color="000000"/>
              <w:left w:val="single" w:sz="8" w:space="0" w:color="000000"/>
              <w:bottom w:val="single" w:sz="8" w:space="0" w:color="000000"/>
              <w:right w:val="single" w:sz="8" w:space="0" w:color="000000"/>
            </w:tcBorders>
          </w:tcPr>
          <w:p w14:paraId="606D5D41" w14:textId="77777777" w:rsidR="00956F16" w:rsidRPr="00956F16" w:rsidRDefault="00956F16" w:rsidP="007E5A32">
            <w:pPr>
              <w:keepNext/>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E9F7BBA" w14:textId="77777777" w:rsidR="00956F16" w:rsidRPr="00956F16" w:rsidRDefault="00956F16" w:rsidP="007E5A32">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275A64BD" w14:textId="77777777" w:rsidR="00956F16" w:rsidRPr="00956F16" w:rsidRDefault="00956F16" w:rsidP="007E5A32">
            <w:pPr>
              <w:keepNext/>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p>
        </w:tc>
      </w:tr>
      <w:tr w:rsidR="00956F16" w:rsidRPr="00956F16" w14:paraId="5410C301" w14:textId="77777777" w:rsidTr="00694E9C">
        <w:trPr>
          <w:trHeight w:hRule="exact" w:val="271"/>
        </w:trPr>
        <w:tc>
          <w:tcPr>
            <w:tcW w:w="4253" w:type="dxa"/>
            <w:tcBorders>
              <w:top w:val="single" w:sz="8" w:space="0" w:color="000000"/>
              <w:left w:val="single" w:sz="8" w:space="0" w:color="000000"/>
              <w:bottom w:val="single" w:sz="8" w:space="0" w:color="000000"/>
              <w:right w:val="single" w:sz="8" w:space="0" w:color="000000"/>
            </w:tcBorders>
          </w:tcPr>
          <w:p w14:paraId="52C2C7AC" w14:textId="225DD147" w:rsidR="00956F16" w:rsidRPr="00956F16" w:rsidRDefault="00956F16" w:rsidP="007E5A32">
            <w:pPr>
              <w:keepNext/>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Az OS 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ideje, hónapokban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b</w:t>
            </w:r>
          </w:p>
        </w:tc>
        <w:tc>
          <w:tcPr>
            <w:tcW w:w="1701" w:type="dxa"/>
            <w:tcBorders>
              <w:top w:val="single" w:sz="8" w:space="0" w:color="000000"/>
              <w:left w:val="single" w:sz="8" w:space="0" w:color="000000"/>
              <w:bottom w:val="single" w:sz="8" w:space="0" w:color="000000"/>
              <w:right w:val="single" w:sz="8" w:space="0" w:color="000000"/>
            </w:tcBorders>
          </w:tcPr>
          <w:p w14:paraId="1572F3B8" w14:textId="0A3D273E" w:rsidR="00956F16" w:rsidRPr="00956F16" w:rsidRDefault="00956F16" w:rsidP="007E5A32">
            <w:pPr>
              <w:keepNext/>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58,9 (56,0</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NE)</w:t>
            </w:r>
          </w:p>
        </w:tc>
        <w:tc>
          <w:tcPr>
            <w:tcW w:w="1701" w:type="dxa"/>
            <w:tcBorders>
              <w:top w:val="single" w:sz="8" w:space="0" w:color="000000"/>
              <w:left w:val="single" w:sz="8" w:space="0" w:color="000000"/>
              <w:bottom w:val="single" w:sz="8" w:space="0" w:color="000000"/>
              <w:right w:val="single" w:sz="8" w:space="0" w:color="000000"/>
            </w:tcBorders>
          </w:tcPr>
          <w:p w14:paraId="75FC9256" w14:textId="671724A7" w:rsidR="00956F16" w:rsidRPr="00956F16" w:rsidRDefault="00956F16" w:rsidP="007E5A32">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56,7 (50,1</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NE)</w:t>
            </w:r>
          </w:p>
        </w:tc>
        <w:tc>
          <w:tcPr>
            <w:tcW w:w="1701" w:type="dxa"/>
            <w:tcBorders>
              <w:top w:val="single" w:sz="8" w:space="0" w:color="000000"/>
              <w:left w:val="single" w:sz="8" w:space="0" w:color="000000"/>
              <w:bottom w:val="single" w:sz="8" w:space="0" w:color="000000"/>
              <w:right w:val="single" w:sz="8" w:space="0" w:color="000000"/>
            </w:tcBorders>
          </w:tcPr>
          <w:p w14:paraId="7586EBCB" w14:textId="7DE5FE2B" w:rsidR="00956F16" w:rsidRPr="00956F16" w:rsidRDefault="00956F16" w:rsidP="007E5A32">
            <w:pPr>
              <w:keepNext/>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48,5 (44,2</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52,0)</w:t>
            </w:r>
          </w:p>
        </w:tc>
      </w:tr>
      <w:tr w:rsidR="00956F16" w:rsidRPr="00956F16" w14:paraId="36656F42"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2215EBBC" w14:textId="17DF17D4" w:rsidR="00956F16" w:rsidRPr="00956F16" w:rsidRDefault="00956F16" w:rsidP="007E5A32">
            <w:pPr>
              <w:keepNext/>
              <w:tabs>
                <w:tab w:val="left" w:pos="567"/>
              </w:tabs>
              <w:autoSpaceDE w:val="0"/>
              <w:autoSpaceDN w:val="0"/>
              <w:adjustRightInd w:val="0"/>
              <w:spacing w:after="0" w:line="240" w:lineRule="auto"/>
              <w:ind w:left="142" w:right="-20"/>
              <w:rPr>
                <w:rFonts w:ascii="Times New Roman" w:eastAsia="Times New Roman" w:hAnsi="Times New Roman" w:cs="Times New Roman"/>
              </w:rPr>
            </w:pPr>
            <w:r w:rsidRPr="00956F16">
              <w:rPr>
                <w:rFonts w:ascii="Times New Roman" w:eastAsia="Times New Roman" w:hAnsi="Times New Roman" w:cs="Times New Roman"/>
              </w:rPr>
              <w:t>HR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c</w:t>
            </w:r>
            <w:r w:rsidRPr="00956F16">
              <w:rPr>
                <w:rFonts w:ascii="Times New Roman" w:eastAsia="Times New Roman" w:hAnsi="Times New Roman" w:cs="Times New Roman"/>
              </w:rPr>
              <w:t>; p</w:t>
            </w:r>
            <w:r w:rsidR="00104634">
              <w:rPr>
                <w:rFonts w:ascii="Times New Roman" w:eastAsia="Times New Roman" w:hAnsi="Times New Roman" w:cs="Times New Roman"/>
              </w:rPr>
              <w:t>-</w:t>
            </w:r>
            <w:r w:rsidRPr="00956F16">
              <w:rPr>
                <w:rFonts w:ascii="Times New Roman" w:eastAsia="Times New Roman" w:hAnsi="Times New Roman" w:cs="Times New Roman"/>
              </w:rPr>
              <w:t>érték</w:t>
            </w:r>
            <w:r w:rsidRPr="00956F16">
              <w:rPr>
                <w:rFonts w:ascii="Times New Roman" w:eastAsia="Times New Roman" w:hAnsi="Times New Roman" w:cs="Times New Roman"/>
                <w:vertAlign w:val="superscript"/>
              </w:rPr>
              <w:t>d</w:t>
            </w:r>
          </w:p>
        </w:tc>
        <w:tc>
          <w:tcPr>
            <w:tcW w:w="1701" w:type="dxa"/>
            <w:tcBorders>
              <w:top w:val="single" w:sz="8" w:space="0" w:color="000000"/>
              <w:left w:val="single" w:sz="8" w:space="0" w:color="000000"/>
              <w:bottom w:val="single" w:sz="8" w:space="0" w:color="000000"/>
              <w:right w:val="single" w:sz="8" w:space="0" w:color="000000"/>
            </w:tcBorders>
          </w:tcPr>
          <w:p w14:paraId="3E015421" w14:textId="77777777" w:rsidR="00956F16" w:rsidRPr="00956F16" w:rsidRDefault="00956F16" w:rsidP="007E5A32">
            <w:pPr>
              <w:keepNext/>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4053EBE" w14:textId="77777777" w:rsidR="00956F16" w:rsidRPr="00956F16" w:rsidRDefault="00956F16" w:rsidP="007E5A32">
            <w:pPr>
              <w:keepNext/>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6844E72C" w14:textId="77777777" w:rsidR="00956F16" w:rsidRPr="00956F16" w:rsidRDefault="00956F16" w:rsidP="007E5A32">
            <w:pPr>
              <w:keepNext/>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p>
        </w:tc>
      </w:tr>
      <w:tr w:rsidR="00956F16" w:rsidRPr="00956F16" w14:paraId="27EAF5AE"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6C69FC82"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Rd vs. MPT</w:t>
            </w:r>
          </w:p>
        </w:tc>
        <w:tc>
          <w:tcPr>
            <w:tcW w:w="5103" w:type="dxa"/>
            <w:gridSpan w:val="3"/>
            <w:tcBorders>
              <w:top w:val="single" w:sz="8" w:space="0" w:color="000000"/>
              <w:left w:val="single" w:sz="8" w:space="0" w:color="000000"/>
              <w:bottom w:val="single" w:sz="8" w:space="0" w:color="000000"/>
              <w:right w:val="single" w:sz="8" w:space="0" w:color="000000"/>
            </w:tcBorders>
          </w:tcPr>
          <w:p w14:paraId="3908F6A5" w14:textId="7B54C036"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0,75 (0,62</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0,90); 0,002</w:t>
            </w:r>
          </w:p>
        </w:tc>
      </w:tr>
      <w:tr w:rsidR="00956F16" w:rsidRPr="00956F16" w14:paraId="7E007F1F"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7BDFD09A"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Rd vs. Rd18</w:t>
            </w:r>
          </w:p>
        </w:tc>
        <w:tc>
          <w:tcPr>
            <w:tcW w:w="5103" w:type="dxa"/>
            <w:gridSpan w:val="3"/>
            <w:tcBorders>
              <w:top w:val="single" w:sz="8" w:space="0" w:color="000000"/>
              <w:left w:val="single" w:sz="8" w:space="0" w:color="000000"/>
              <w:bottom w:val="single" w:sz="8" w:space="0" w:color="000000"/>
              <w:right w:val="single" w:sz="8" w:space="0" w:color="000000"/>
            </w:tcBorders>
          </w:tcPr>
          <w:p w14:paraId="54528D38" w14:textId="7D5EDCE9"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0,91 (0,75</w:t>
            </w:r>
            <w:r w:rsidR="00F432F4">
              <w:rPr>
                <w:rFonts w:ascii="Times New Roman" w:eastAsia="Times New Roman" w:hAnsi="Times New Roman" w:cs="Times New Roman"/>
              </w:rPr>
              <w:t>;</w:t>
            </w:r>
            <w:r w:rsidRPr="00956F16">
              <w:rPr>
                <w:rFonts w:ascii="Times New Roman" w:eastAsia="Times New Roman" w:hAnsi="Times New Roman" w:cs="Times New Roman"/>
                <w:szCs w:val="20"/>
              </w:rPr>
              <w:t xml:space="preserve"> 1,09); 0,305</w:t>
            </w:r>
          </w:p>
        </w:tc>
      </w:tr>
      <w:tr w:rsidR="00956F16" w:rsidRPr="00956F16" w14:paraId="76A27D15" w14:textId="77777777" w:rsidTr="00694E9C">
        <w:trPr>
          <w:trHeight w:hRule="exact" w:val="271"/>
        </w:trPr>
        <w:tc>
          <w:tcPr>
            <w:tcW w:w="4253" w:type="dxa"/>
            <w:tcBorders>
              <w:top w:val="single" w:sz="8" w:space="0" w:color="000000"/>
              <w:left w:val="single" w:sz="8" w:space="0" w:color="000000"/>
              <w:bottom w:val="single" w:sz="8" w:space="0" w:color="000000"/>
              <w:right w:val="single" w:sz="8" w:space="0" w:color="000000"/>
            </w:tcBorders>
          </w:tcPr>
          <w:p w14:paraId="7419CA09"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Rd18 vs. MPT</w:t>
            </w:r>
          </w:p>
        </w:tc>
        <w:tc>
          <w:tcPr>
            <w:tcW w:w="5103" w:type="dxa"/>
            <w:gridSpan w:val="3"/>
            <w:tcBorders>
              <w:top w:val="single" w:sz="8" w:space="0" w:color="000000"/>
              <w:left w:val="single" w:sz="8" w:space="0" w:color="000000"/>
              <w:bottom w:val="single" w:sz="8" w:space="0" w:color="000000"/>
              <w:right w:val="single" w:sz="8" w:space="0" w:color="000000"/>
            </w:tcBorders>
          </w:tcPr>
          <w:p w14:paraId="1C68AC30" w14:textId="3B4DDC3E"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0,83 (0,69</w:t>
            </w:r>
            <w:r w:rsidR="007A649D">
              <w:rPr>
                <w:rFonts w:ascii="Times New Roman" w:eastAsia="Times New Roman" w:hAnsi="Times New Roman" w:cs="Times New Roman"/>
              </w:rPr>
              <w:t>;</w:t>
            </w:r>
            <w:r w:rsidRPr="00956F16">
              <w:rPr>
                <w:rFonts w:ascii="Times New Roman" w:eastAsia="Times New Roman" w:hAnsi="Times New Roman" w:cs="Times New Roman"/>
                <w:szCs w:val="20"/>
              </w:rPr>
              <w:t xml:space="preserve"> 0,99); 0,034</w:t>
            </w:r>
          </w:p>
        </w:tc>
      </w:tr>
      <w:tr w:rsidR="00956F16" w:rsidRPr="00956F16" w14:paraId="16B26ADE"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52A5920D" w14:textId="77777777" w:rsidR="00956F16" w:rsidRPr="00956F16" w:rsidRDefault="00956F16" w:rsidP="00956F16">
            <w:pPr>
              <w:widowControl w:val="0"/>
              <w:tabs>
                <w:tab w:val="left" w:pos="567"/>
              </w:tabs>
              <w:autoSpaceDE w:val="0"/>
              <w:autoSpaceDN w:val="0"/>
              <w:adjustRightInd w:val="0"/>
              <w:spacing w:after="0" w:line="240" w:lineRule="auto"/>
              <w:ind w:left="142"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Utánkövetés (hónap)</w:t>
            </w:r>
          </w:p>
        </w:tc>
        <w:tc>
          <w:tcPr>
            <w:tcW w:w="1701" w:type="dxa"/>
            <w:tcBorders>
              <w:top w:val="single" w:sz="8" w:space="0" w:color="000000"/>
              <w:left w:val="single" w:sz="8" w:space="0" w:color="000000"/>
              <w:bottom w:val="single" w:sz="8" w:space="0" w:color="000000"/>
              <w:right w:val="single" w:sz="8" w:space="0" w:color="000000"/>
            </w:tcBorders>
          </w:tcPr>
          <w:p w14:paraId="34E0EDA4"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34097C27" w14:textId="77777777" w:rsidR="00956F16" w:rsidRPr="00956F16" w:rsidRDefault="00956F16" w:rsidP="00956F16">
            <w:pPr>
              <w:widowControl w:val="0"/>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6AECBA42"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p>
        </w:tc>
      </w:tr>
      <w:tr w:rsidR="00956F16" w:rsidRPr="00956F16" w14:paraId="3C528E97"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55BA87E9"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rPr>
            </w:pPr>
            <w:r w:rsidRPr="00956F16">
              <w:rPr>
                <w:rFonts w:ascii="Times New Roman" w:eastAsia="Times New Roman" w:hAnsi="Times New Roman" w:cs="Times New Roman"/>
              </w:rPr>
              <w:t>Medián</w:t>
            </w:r>
            <w:r w:rsidRPr="00956F16">
              <w:rPr>
                <w:rFonts w:ascii="Times New Roman" w:eastAsia="Times New Roman" w:hAnsi="Times New Roman" w:cs="Times New Roman"/>
                <w:vertAlign w:val="superscript"/>
              </w:rPr>
              <w:t>f</w:t>
            </w:r>
            <w:r w:rsidRPr="00956F16">
              <w:rPr>
                <w:rFonts w:ascii="Times New Roman" w:eastAsia="Times New Roman" w:hAnsi="Times New Roman" w:cs="Times New Roman"/>
              </w:rPr>
              <w:t xml:space="preserve"> (min, max.): az összes beteg</w:t>
            </w:r>
          </w:p>
        </w:tc>
        <w:tc>
          <w:tcPr>
            <w:tcW w:w="1701" w:type="dxa"/>
            <w:tcBorders>
              <w:top w:val="single" w:sz="8" w:space="0" w:color="000000"/>
              <w:left w:val="single" w:sz="8" w:space="0" w:color="000000"/>
              <w:bottom w:val="single" w:sz="8" w:space="0" w:color="000000"/>
              <w:right w:val="single" w:sz="8" w:space="0" w:color="000000"/>
            </w:tcBorders>
          </w:tcPr>
          <w:p w14:paraId="6FFCD780" w14:textId="35070B45"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40,8 (0,0</w:t>
            </w:r>
            <w:r w:rsidR="007A649D">
              <w:rPr>
                <w:rFonts w:ascii="Times New Roman" w:eastAsia="Times New Roman" w:hAnsi="Times New Roman" w:cs="Times New Roman"/>
              </w:rPr>
              <w:t>;</w:t>
            </w:r>
            <w:r w:rsidRPr="00956F16">
              <w:rPr>
                <w:rFonts w:ascii="Times New Roman" w:eastAsia="Times New Roman" w:hAnsi="Times New Roman" w:cs="Times New Roman"/>
                <w:szCs w:val="20"/>
              </w:rPr>
              <w:t xml:space="preserve"> 65,9)</w:t>
            </w:r>
          </w:p>
        </w:tc>
        <w:tc>
          <w:tcPr>
            <w:tcW w:w="1701" w:type="dxa"/>
            <w:tcBorders>
              <w:top w:val="single" w:sz="8" w:space="0" w:color="000000"/>
              <w:left w:val="single" w:sz="8" w:space="0" w:color="000000"/>
              <w:bottom w:val="single" w:sz="8" w:space="0" w:color="000000"/>
              <w:right w:val="single" w:sz="8" w:space="0" w:color="000000"/>
            </w:tcBorders>
          </w:tcPr>
          <w:p w14:paraId="51E42BE1" w14:textId="6A481A40"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40,1 (0,4</w:t>
            </w:r>
            <w:r w:rsidR="007A649D">
              <w:rPr>
                <w:rFonts w:ascii="Times New Roman" w:eastAsia="Times New Roman" w:hAnsi="Times New Roman" w:cs="Times New Roman"/>
              </w:rPr>
              <w:t>;</w:t>
            </w:r>
            <w:r w:rsidRPr="00956F16">
              <w:rPr>
                <w:rFonts w:ascii="Times New Roman" w:eastAsia="Times New Roman" w:hAnsi="Times New Roman" w:cs="Times New Roman"/>
                <w:szCs w:val="20"/>
              </w:rPr>
              <w:t xml:space="preserve"> 65,7)</w:t>
            </w:r>
          </w:p>
        </w:tc>
        <w:tc>
          <w:tcPr>
            <w:tcW w:w="1701" w:type="dxa"/>
            <w:tcBorders>
              <w:top w:val="single" w:sz="8" w:space="0" w:color="000000"/>
              <w:left w:val="single" w:sz="8" w:space="0" w:color="000000"/>
              <w:bottom w:val="single" w:sz="8" w:space="0" w:color="000000"/>
              <w:right w:val="single" w:sz="8" w:space="0" w:color="000000"/>
            </w:tcBorders>
          </w:tcPr>
          <w:p w14:paraId="3974439C" w14:textId="6B23EE53"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38,7 (0,0</w:t>
            </w:r>
            <w:r w:rsidR="007A649D">
              <w:rPr>
                <w:rFonts w:ascii="Times New Roman" w:eastAsia="Times New Roman" w:hAnsi="Times New Roman" w:cs="Times New Roman"/>
              </w:rPr>
              <w:t>;</w:t>
            </w:r>
            <w:r w:rsidRPr="00956F16">
              <w:rPr>
                <w:rFonts w:ascii="Times New Roman" w:eastAsia="Times New Roman" w:hAnsi="Times New Roman" w:cs="Times New Roman"/>
                <w:szCs w:val="20"/>
              </w:rPr>
              <w:t xml:space="preserve"> 64,2)</w:t>
            </w:r>
          </w:p>
        </w:tc>
      </w:tr>
      <w:tr w:rsidR="00956F16" w:rsidRPr="00956F16" w14:paraId="7B218DCC" w14:textId="77777777" w:rsidTr="00694E9C">
        <w:trPr>
          <w:trHeight w:hRule="exact" w:val="273"/>
        </w:trPr>
        <w:tc>
          <w:tcPr>
            <w:tcW w:w="4253" w:type="dxa"/>
            <w:tcBorders>
              <w:top w:val="single" w:sz="8" w:space="0" w:color="000000"/>
              <w:left w:val="single" w:sz="8" w:space="0" w:color="000000"/>
              <w:bottom w:val="single" w:sz="8" w:space="0" w:color="000000"/>
              <w:right w:val="single" w:sz="8" w:space="0" w:color="000000"/>
            </w:tcBorders>
          </w:tcPr>
          <w:p w14:paraId="4635054E" w14:textId="77777777" w:rsidR="00956F16" w:rsidRPr="00956F16" w:rsidRDefault="00956F16" w:rsidP="00956F16">
            <w:pPr>
              <w:widowControl w:val="0"/>
              <w:tabs>
                <w:tab w:val="left" w:pos="567"/>
              </w:tabs>
              <w:autoSpaceDE w:val="0"/>
              <w:autoSpaceDN w:val="0"/>
              <w:adjustRightInd w:val="0"/>
              <w:spacing w:after="0" w:line="240" w:lineRule="auto"/>
              <w:ind w:left="47" w:right="-20"/>
              <w:rPr>
                <w:rFonts w:ascii="Times New Roman" w:eastAsia="Times New Roman" w:hAnsi="Times New Roman" w:cs="Times New Roman"/>
              </w:rPr>
            </w:pPr>
            <w:r w:rsidRPr="00956F16">
              <w:rPr>
                <w:rFonts w:ascii="Times New Roman" w:eastAsia="Times New Roman" w:hAnsi="Times New Roman" w:cs="Times New Roman"/>
                <w:b/>
                <w:bCs/>
              </w:rPr>
              <w:t>Myeloma válasz</w:t>
            </w:r>
            <w:r w:rsidRPr="00956F16">
              <w:rPr>
                <w:rFonts w:ascii="Times" w:eastAsia="Times New Roman" w:hAnsi="Times" w:cs="Times New Roman"/>
                <w:b/>
                <w:bCs/>
                <w:vertAlign w:val="superscript"/>
              </w:rPr>
              <w:t>g</w:t>
            </w:r>
            <w:r w:rsidRPr="00956F16">
              <w:rPr>
                <w:rFonts w:ascii="Times New Roman" w:eastAsia="Times New Roman" w:hAnsi="Times New Roman" w:cs="Times New Roman"/>
              </w:rPr>
              <w:t xml:space="preserve"> </w:t>
            </w:r>
            <w:r w:rsidRPr="00956F16">
              <w:rPr>
                <w:rFonts w:ascii="Times New Roman" w:eastAsia="Times New Roman" w:hAnsi="Times New Roman" w:cs="Times New Roman"/>
                <w:b/>
                <w:bCs/>
              </w:rPr>
              <w:t>n (%)</w:t>
            </w:r>
          </w:p>
        </w:tc>
        <w:tc>
          <w:tcPr>
            <w:tcW w:w="1701" w:type="dxa"/>
            <w:tcBorders>
              <w:top w:val="single" w:sz="8" w:space="0" w:color="000000"/>
              <w:left w:val="single" w:sz="8" w:space="0" w:color="000000"/>
              <w:bottom w:val="single" w:sz="8" w:space="0" w:color="000000"/>
              <w:right w:val="single" w:sz="8" w:space="0" w:color="000000"/>
            </w:tcBorders>
          </w:tcPr>
          <w:p w14:paraId="7B1961FD"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17D13341" w14:textId="77777777" w:rsidR="00956F16" w:rsidRPr="00956F16" w:rsidRDefault="00956F16" w:rsidP="00956F16">
            <w:pPr>
              <w:widowControl w:val="0"/>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4FA80055"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p>
        </w:tc>
      </w:tr>
      <w:tr w:rsidR="00956F16" w:rsidRPr="00956F16" w14:paraId="0AF6D3B0" w14:textId="77777777" w:rsidTr="00694E9C">
        <w:trPr>
          <w:trHeight w:hRule="exact" w:val="271"/>
        </w:trPr>
        <w:tc>
          <w:tcPr>
            <w:tcW w:w="4253" w:type="dxa"/>
            <w:tcBorders>
              <w:top w:val="single" w:sz="8" w:space="0" w:color="000000"/>
              <w:left w:val="single" w:sz="8" w:space="0" w:color="000000"/>
              <w:bottom w:val="single" w:sz="8" w:space="0" w:color="000000"/>
              <w:right w:val="single" w:sz="8" w:space="0" w:color="000000"/>
            </w:tcBorders>
          </w:tcPr>
          <w:p w14:paraId="5149D1E8"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CR</w:t>
            </w:r>
          </w:p>
        </w:tc>
        <w:tc>
          <w:tcPr>
            <w:tcW w:w="1701" w:type="dxa"/>
            <w:tcBorders>
              <w:top w:val="single" w:sz="8" w:space="0" w:color="000000"/>
              <w:left w:val="single" w:sz="8" w:space="0" w:color="000000"/>
              <w:bottom w:val="single" w:sz="8" w:space="0" w:color="000000"/>
              <w:right w:val="single" w:sz="8" w:space="0" w:color="000000"/>
            </w:tcBorders>
          </w:tcPr>
          <w:p w14:paraId="1806826E"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81 (15,1)</w:t>
            </w:r>
          </w:p>
        </w:tc>
        <w:tc>
          <w:tcPr>
            <w:tcW w:w="1701" w:type="dxa"/>
            <w:tcBorders>
              <w:top w:val="single" w:sz="8" w:space="0" w:color="000000"/>
              <w:left w:val="single" w:sz="8" w:space="0" w:color="000000"/>
              <w:bottom w:val="single" w:sz="8" w:space="0" w:color="000000"/>
              <w:right w:val="single" w:sz="8" w:space="0" w:color="000000"/>
            </w:tcBorders>
          </w:tcPr>
          <w:p w14:paraId="4CC684EF"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77 (14,2)</w:t>
            </w:r>
          </w:p>
        </w:tc>
        <w:tc>
          <w:tcPr>
            <w:tcW w:w="1701" w:type="dxa"/>
            <w:tcBorders>
              <w:top w:val="single" w:sz="8" w:space="0" w:color="000000"/>
              <w:left w:val="single" w:sz="8" w:space="0" w:color="000000"/>
              <w:bottom w:val="single" w:sz="8" w:space="0" w:color="000000"/>
              <w:right w:val="single" w:sz="8" w:space="0" w:color="000000"/>
            </w:tcBorders>
          </w:tcPr>
          <w:p w14:paraId="76E6AFE5"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51 (9,3)</w:t>
            </w:r>
          </w:p>
        </w:tc>
      </w:tr>
      <w:tr w:rsidR="00956F16" w:rsidRPr="00956F16" w14:paraId="24394A60"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3A23C534"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VGPR</w:t>
            </w:r>
          </w:p>
        </w:tc>
        <w:tc>
          <w:tcPr>
            <w:tcW w:w="1701" w:type="dxa"/>
            <w:tcBorders>
              <w:top w:val="single" w:sz="8" w:space="0" w:color="000000"/>
              <w:left w:val="single" w:sz="8" w:space="0" w:color="000000"/>
              <w:bottom w:val="single" w:sz="8" w:space="0" w:color="000000"/>
              <w:right w:val="single" w:sz="8" w:space="0" w:color="000000"/>
            </w:tcBorders>
          </w:tcPr>
          <w:p w14:paraId="0951338F"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152 (28,4)</w:t>
            </w:r>
          </w:p>
        </w:tc>
        <w:tc>
          <w:tcPr>
            <w:tcW w:w="1701" w:type="dxa"/>
            <w:tcBorders>
              <w:top w:val="single" w:sz="8" w:space="0" w:color="000000"/>
              <w:left w:val="single" w:sz="8" w:space="0" w:color="000000"/>
              <w:bottom w:val="single" w:sz="8" w:space="0" w:color="000000"/>
              <w:right w:val="single" w:sz="8" w:space="0" w:color="000000"/>
            </w:tcBorders>
          </w:tcPr>
          <w:p w14:paraId="0B33BC5C"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154 (28,5)</w:t>
            </w:r>
          </w:p>
        </w:tc>
        <w:tc>
          <w:tcPr>
            <w:tcW w:w="1701" w:type="dxa"/>
            <w:tcBorders>
              <w:top w:val="single" w:sz="8" w:space="0" w:color="000000"/>
              <w:left w:val="single" w:sz="8" w:space="0" w:color="000000"/>
              <w:bottom w:val="single" w:sz="8" w:space="0" w:color="000000"/>
              <w:right w:val="single" w:sz="8" w:space="0" w:color="000000"/>
            </w:tcBorders>
          </w:tcPr>
          <w:p w14:paraId="5ACDCCDE"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103 (18,8)</w:t>
            </w:r>
          </w:p>
        </w:tc>
      </w:tr>
      <w:tr w:rsidR="00956F16" w:rsidRPr="00956F16" w14:paraId="5FF04EE4"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44E703AA"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PR</w:t>
            </w:r>
          </w:p>
        </w:tc>
        <w:tc>
          <w:tcPr>
            <w:tcW w:w="1701" w:type="dxa"/>
            <w:tcBorders>
              <w:top w:val="single" w:sz="8" w:space="0" w:color="000000"/>
              <w:left w:val="single" w:sz="8" w:space="0" w:color="000000"/>
              <w:bottom w:val="single" w:sz="8" w:space="0" w:color="000000"/>
              <w:right w:val="single" w:sz="8" w:space="0" w:color="000000"/>
            </w:tcBorders>
          </w:tcPr>
          <w:p w14:paraId="6D8472D6"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169 (31,6)</w:t>
            </w:r>
          </w:p>
        </w:tc>
        <w:tc>
          <w:tcPr>
            <w:tcW w:w="1701" w:type="dxa"/>
            <w:tcBorders>
              <w:top w:val="single" w:sz="8" w:space="0" w:color="000000"/>
              <w:left w:val="single" w:sz="8" w:space="0" w:color="000000"/>
              <w:bottom w:val="single" w:sz="8" w:space="0" w:color="000000"/>
              <w:right w:val="single" w:sz="8" w:space="0" w:color="000000"/>
            </w:tcBorders>
          </w:tcPr>
          <w:p w14:paraId="0D367308"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166 (30,7)</w:t>
            </w:r>
          </w:p>
        </w:tc>
        <w:tc>
          <w:tcPr>
            <w:tcW w:w="1701" w:type="dxa"/>
            <w:tcBorders>
              <w:top w:val="single" w:sz="8" w:space="0" w:color="000000"/>
              <w:left w:val="single" w:sz="8" w:space="0" w:color="000000"/>
              <w:bottom w:val="single" w:sz="8" w:space="0" w:color="000000"/>
              <w:right w:val="single" w:sz="8" w:space="0" w:color="000000"/>
            </w:tcBorders>
          </w:tcPr>
          <w:p w14:paraId="7CE7B3F9"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187 (34,2)</w:t>
            </w:r>
          </w:p>
        </w:tc>
      </w:tr>
      <w:tr w:rsidR="00956F16" w:rsidRPr="00956F16" w14:paraId="23A05326"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210F6F59" w14:textId="77777777"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sz w:val="24"/>
                <w:szCs w:val="24"/>
              </w:rPr>
            </w:pPr>
            <w:r w:rsidRPr="00956F16">
              <w:rPr>
                <w:rFonts w:ascii="Times New Roman" w:eastAsia="Times New Roman" w:hAnsi="Times New Roman" w:cs="Times New Roman"/>
                <w:szCs w:val="20"/>
              </w:rPr>
              <w:t>Összesített válasz: CR, VGPR, vagy PR</w:t>
            </w:r>
          </w:p>
        </w:tc>
        <w:tc>
          <w:tcPr>
            <w:tcW w:w="1701" w:type="dxa"/>
            <w:tcBorders>
              <w:top w:val="single" w:sz="8" w:space="0" w:color="000000"/>
              <w:left w:val="single" w:sz="8" w:space="0" w:color="000000"/>
              <w:bottom w:val="single" w:sz="8" w:space="0" w:color="000000"/>
              <w:right w:val="single" w:sz="8" w:space="0" w:color="000000"/>
            </w:tcBorders>
          </w:tcPr>
          <w:p w14:paraId="682F8019"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402 (75,1)</w:t>
            </w:r>
          </w:p>
        </w:tc>
        <w:tc>
          <w:tcPr>
            <w:tcW w:w="1701" w:type="dxa"/>
            <w:tcBorders>
              <w:top w:val="single" w:sz="8" w:space="0" w:color="000000"/>
              <w:left w:val="single" w:sz="8" w:space="0" w:color="000000"/>
              <w:bottom w:val="single" w:sz="8" w:space="0" w:color="000000"/>
              <w:right w:val="single" w:sz="8" w:space="0" w:color="000000"/>
            </w:tcBorders>
          </w:tcPr>
          <w:p w14:paraId="015225F6"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397 (73,4)</w:t>
            </w:r>
          </w:p>
        </w:tc>
        <w:tc>
          <w:tcPr>
            <w:tcW w:w="1701" w:type="dxa"/>
            <w:tcBorders>
              <w:top w:val="single" w:sz="8" w:space="0" w:color="000000"/>
              <w:left w:val="single" w:sz="8" w:space="0" w:color="000000"/>
              <w:bottom w:val="single" w:sz="8" w:space="0" w:color="000000"/>
              <w:right w:val="single" w:sz="8" w:space="0" w:color="000000"/>
            </w:tcBorders>
          </w:tcPr>
          <w:p w14:paraId="478710E7"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341 (62,3)</w:t>
            </w:r>
          </w:p>
        </w:tc>
      </w:tr>
      <w:tr w:rsidR="00956F16" w:rsidRPr="00956F16" w14:paraId="08282CB7" w14:textId="77777777" w:rsidTr="00694E9C">
        <w:trPr>
          <w:trHeight w:hRule="exact" w:val="288"/>
        </w:trPr>
        <w:tc>
          <w:tcPr>
            <w:tcW w:w="4253" w:type="dxa"/>
            <w:tcBorders>
              <w:top w:val="single" w:sz="8" w:space="0" w:color="000000"/>
              <w:left w:val="single" w:sz="8" w:space="0" w:color="000000"/>
              <w:bottom w:val="single" w:sz="8" w:space="0" w:color="000000"/>
              <w:right w:val="single" w:sz="8" w:space="0" w:color="000000"/>
            </w:tcBorders>
          </w:tcPr>
          <w:p w14:paraId="58A2A6F4" w14:textId="64A1CFE5" w:rsidR="00956F16" w:rsidRPr="00956F16" w:rsidRDefault="00956F16" w:rsidP="00956F16">
            <w:pPr>
              <w:widowControl w:val="0"/>
              <w:tabs>
                <w:tab w:val="left" w:pos="567"/>
              </w:tabs>
              <w:autoSpaceDE w:val="0"/>
              <w:autoSpaceDN w:val="0"/>
              <w:adjustRightInd w:val="0"/>
              <w:spacing w:after="0" w:line="240" w:lineRule="auto"/>
              <w:ind w:left="47" w:right="-20"/>
              <w:rPr>
                <w:rFonts w:ascii="Times New Roman" w:eastAsia="Times New Roman" w:hAnsi="Times New Roman" w:cs="Times New Roman"/>
              </w:rPr>
            </w:pPr>
            <w:r w:rsidRPr="00956F16">
              <w:rPr>
                <w:rFonts w:ascii="Times New Roman" w:eastAsia="Times New Roman" w:hAnsi="Times New Roman" w:cs="Times New Roman"/>
                <w:b/>
                <w:bCs/>
              </w:rPr>
              <w:t>A válasz időtartama</w:t>
            </w:r>
            <w:r w:rsidR="00430504">
              <w:rPr>
                <w:rFonts w:ascii="Times New Roman" w:eastAsia="Times New Roman" w:hAnsi="Times New Roman" w:cs="Times New Roman"/>
                <w:b/>
                <w:bCs/>
              </w:rPr>
              <w:t xml:space="preserve"> </w:t>
            </w:r>
            <w:r w:rsidRPr="00956F16">
              <w:rPr>
                <w:rFonts w:ascii="Times New Roman" w:eastAsia="Times New Roman" w:hAnsi="Times New Roman" w:cs="Times New Roman"/>
                <w:b/>
                <w:bCs/>
              </w:rPr>
              <w:t xml:space="preserve">(hónap) </w:t>
            </w:r>
            <w:r w:rsidRPr="00956F16">
              <w:rPr>
                <w:rFonts w:ascii="Times New Roman" w:eastAsia="Times New Roman" w:hAnsi="Times New Roman" w:cs="Times New Roman"/>
                <w:b/>
                <w:vertAlign w:val="superscript"/>
              </w:rPr>
              <w:t>h</w:t>
            </w:r>
          </w:p>
        </w:tc>
        <w:tc>
          <w:tcPr>
            <w:tcW w:w="1701" w:type="dxa"/>
            <w:tcBorders>
              <w:top w:val="single" w:sz="8" w:space="0" w:color="000000"/>
              <w:left w:val="single" w:sz="8" w:space="0" w:color="000000"/>
              <w:bottom w:val="single" w:sz="8" w:space="0" w:color="000000"/>
              <w:right w:val="single" w:sz="8" w:space="0" w:color="000000"/>
            </w:tcBorders>
          </w:tcPr>
          <w:p w14:paraId="72EBC9C9" w14:textId="77777777"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5AA91A7B" w14:textId="77777777" w:rsidR="00956F16" w:rsidRPr="00956F16" w:rsidRDefault="00956F16" w:rsidP="00956F16">
            <w:pPr>
              <w:widowControl w:val="0"/>
              <w:tabs>
                <w:tab w:val="left" w:pos="567"/>
              </w:tabs>
              <w:autoSpaceDE w:val="0"/>
              <w:autoSpaceDN w:val="0"/>
              <w:adjustRightInd w:val="0"/>
              <w:spacing w:after="0" w:line="240" w:lineRule="auto"/>
              <w:ind w:left="142"/>
              <w:jc w:val="center"/>
              <w:rPr>
                <w:rFonts w:ascii="Times New Roman" w:eastAsia="Times New Roman" w:hAnsi="Times New Roman" w:cs="Times New Roman"/>
                <w:sz w:val="24"/>
                <w:szCs w:val="24"/>
              </w:rPr>
            </w:pPr>
          </w:p>
        </w:tc>
        <w:tc>
          <w:tcPr>
            <w:tcW w:w="1701" w:type="dxa"/>
            <w:tcBorders>
              <w:top w:val="single" w:sz="8" w:space="0" w:color="000000"/>
              <w:left w:val="single" w:sz="8" w:space="0" w:color="000000"/>
              <w:bottom w:val="single" w:sz="8" w:space="0" w:color="000000"/>
              <w:right w:val="single" w:sz="8" w:space="0" w:color="000000"/>
            </w:tcBorders>
          </w:tcPr>
          <w:p w14:paraId="2469C145" w14:textId="777777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p>
        </w:tc>
      </w:tr>
      <w:tr w:rsidR="00956F16" w:rsidRPr="00956F16" w14:paraId="169CAD3C" w14:textId="77777777" w:rsidTr="00694E9C">
        <w:trPr>
          <w:trHeight w:hRule="exact" w:val="274"/>
        </w:trPr>
        <w:tc>
          <w:tcPr>
            <w:tcW w:w="4253" w:type="dxa"/>
            <w:tcBorders>
              <w:top w:val="single" w:sz="8" w:space="0" w:color="000000"/>
              <w:left w:val="single" w:sz="8" w:space="0" w:color="000000"/>
              <w:bottom w:val="single" w:sz="8" w:space="0" w:color="000000"/>
              <w:right w:val="single" w:sz="8" w:space="0" w:color="000000"/>
            </w:tcBorders>
          </w:tcPr>
          <w:p w14:paraId="08482840" w14:textId="2EB160A8" w:rsidR="00956F16" w:rsidRPr="00956F16" w:rsidRDefault="00956F16" w:rsidP="00956F16">
            <w:pPr>
              <w:widowControl w:val="0"/>
              <w:tabs>
                <w:tab w:val="left" w:pos="567"/>
              </w:tabs>
              <w:autoSpaceDE w:val="0"/>
              <w:autoSpaceDN w:val="0"/>
              <w:adjustRightInd w:val="0"/>
              <w:spacing w:after="0" w:line="240" w:lineRule="auto"/>
              <w:ind w:left="331" w:right="-20"/>
              <w:rPr>
                <w:rFonts w:ascii="Times New Roman" w:eastAsia="Times New Roman" w:hAnsi="Times New Roman" w:cs="Times New Roman"/>
              </w:rPr>
            </w:pPr>
            <w:r w:rsidRPr="00956F16">
              <w:rPr>
                <w:rFonts w:ascii="Times New Roman" w:eastAsia="Times New Roman" w:hAnsi="Times New Roman" w:cs="Times New Roman"/>
              </w:rPr>
              <w:t>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(95%</w:t>
            </w:r>
            <w:r w:rsidR="00843AAD">
              <w:rPr>
                <w:rFonts w:ascii="Times New Roman" w:eastAsia="Times New Roman" w:hAnsi="Times New Roman" w:cs="Times New Roman"/>
              </w:rPr>
              <w:t>-os</w:t>
            </w:r>
            <w:r w:rsidRPr="00956F16">
              <w:rPr>
                <w:rFonts w:ascii="Times New Roman" w:eastAsia="Times New Roman" w:hAnsi="Times New Roman" w:cs="Times New Roman"/>
              </w:rPr>
              <w:t xml:space="preserve"> CI)</w:t>
            </w:r>
            <w:r w:rsidRPr="00956F16">
              <w:rPr>
                <w:rFonts w:ascii="Times New Roman" w:eastAsia="Times New Roman" w:hAnsi="Times New Roman" w:cs="Times New Roman"/>
                <w:vertAlign w:val="superscript"/>
              </w:rPr>
              <w:t>b</w:t>
            </w:r>
          </w:p>
        </w:tc>
        <w:tc>
          <w:tcPr>
            <w:tcW w:w="1701" w:type="dxa"/>
            <w:tcBorders>
              <w:top w:val="single" w:sz="8" w:space="0" w:color="000000"/>
              <w:left w:val="single" w:sz="8" w:space="0" w:color="000000"/>
              <w:bottom w:val="single" w:sz="8" w:space="0" w:color="000000"/>
              <w:right w:val="single" w:sz="8" w:space="0" w:color="000000"/>
            </w:tcBorders>
          </w:tcPr>
          <w:p w14:paraId="533CC277" w14:textId="5C7AE7A1" w:rsidR="00956F16" w:rsidRPr="00956F16" w:rsidRDefault="00956F16" w:rsidP="00956F16">
            <w:pPr>
              <w:widowControl w:val="0"/>
              <w:tabs>
                <w:tab w:val="left" w:pos="567"/>
              </w:tabs>
              <w:autoSpaceDE w:val="0"/>
              <w:autoSpaceDN w:val="0"/>
              <w:adjustRightInd w:val="0"/>
              <w:spacing w:after="0" w:line="240" w:lineRule="auto"/>
              <w:ind w:right="5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35,0 (27,9</w:t>
            </w:r>
            <w:r w:rsidR="007A649D">
              <w:rPr>
                <w:rFonts w:ascii="Times New Roman" w:eastAsia="Times New Roman" w:hAnsi="Times New Roman" w:cs="Times New Roman"/>
              </w:rPr>
              <w:t>;</w:t>
            </w:r>
            <w:r w:rsidRPr="00956F16">
              <w:rPr>
                <w:rFonts w:ascii="Times New Roman" w:eastAsia="Times New Roman" w:hAnsi="Times New Roman" w:cs="Times New Roman"/>
                <w:szCs w:val="20"/>
              </w:rPr>
              <w:t xml:space="preserve"> 43,4)</w:t>
            </w:r>
          </w:p>
        </w:tc>
        <w:tc>
          <w:tcPr>
            <w:tcW w:w="1701" w:type="dxa"/>
            <w:tcBorders>
              <w:top w:val="single" w:sz="8" w:space="0" w:color="000000"/>
              <w:left w:val="single" w:sz="8" w:space="0" w:color="000000"/>
              <w:bottom w:val="single" w:sz="8" w:space="0" w:color="000000"/>
              <w:right w:val="single" w:sz="8" w:space="0" w:color="000000"/>
            </w:tcBorders>
          </w:tcPr>
          <w:p w14:paraId="5CFD374E" w14:textId="7214E08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22,1 (20,3</w:t>
            </w:r>
            <w:r w:rsidR="007A649D">
              <w:rPr>
                <w:rFonts w:ascii="Times New Roman" w:eastAsia="Times New Roman" w:hAnsi="Times New Roman" w:cs="Times New Roman"/>
              </w:rPr>
              <w:t>;</w:t>
            </w:r>
            <w:r w:rsidRPr="00956F16">
              <w:rPr>
                <w:rFonts w:ascii="Times New Roman" w:eastAsia="Times New Roman" w:hAnsi="Times New Roman" w:cs="Times New Roman"/>
                <w:szCs w:val="20"/>
              </w:rPr>
              <w:t xml:space="preserve"> 24,0)</w:t>
            </w:r>
          </w:p>
        </w:tc>
        <w:tc>
          <w:tcPr>
            <w:tcW w:w="1701" w:type="dxa"/>
            <w:tcBorders>
              <w:top w:val="single" w:sz="8" w:space="0" w:color="000000"/>
              <w:left w:val="single" w:sz="8" w:space="0" w:color="000000"/>
              <w:bottom w:val="single" w:sz="8" w:space="0" w:color="000000"/>
              <w:right w:val="single" w:sz="8" w:space="0" w:color="000000"/>
            </w:tcBorders>
          </w:tcPr>
          <w:p w14:paraId="793F90A3" w14:textId="25F6A177" w:rsidR="00956F16" w:rsidRPr="00956F16" w:rsidRDefault="00956F16" w:rsidP="00956F16">
            <w:pPr>
              <w:widowControl w:val="0"/>
              <w:tabs>
                <w:tab w:val="left" w:pos="567"/>
              </w:tabs>
              <w:autoSpaceDE w:val="0"/>
              <w:autoSpaceDN w:val="0"/>
              <w:adjustRightInd w:val="0"/>
              <w:spacing w:after="0" w:line="240" w:lineRule="auto"/>
              <w:ind w:right="27"/>
              <w:jc w:val="center"/>
              <w:rPr>
                <w:rFonts w:ascii="Times New Roman" w:eastAsia="Times New Roman" w:hAnsi="Times New Roman" w:cs="Times New Roman"/>
                <w:sz w:val="24"/>
                <w:szCs w:val="24"/>
              </w:rPr>
            </w:pPr>
            <w:r w:rsidRPr="00956F16">
              <w:rPr>
                <w:rFonts w:ascii="Times New Roman" w:eastAsia="Times New Roman" w:hAnsi="Times New Roman" w:cs="Times New Roman"/>
                <w:szCs w:val="20"/>
              </w:rPr>
              <w:t>22,3 (20,2</w:t>
            </w:r>
            <w:r w:rsidR="007A649D">
              <w:rPr>
                <w:rFonts w:ascii="Times New Roman" w:eastAsia="Times New Roman" w:hAnsi="Times New Roman" w:cs="Times New Roman"/>
              </w:rPr>
              <w:t>;</w:t>
            </w:r>
            <w:r w:rsidRPr="00956F16">
              <w:rPr>
                <w:rFonts w:ascii="Times New Roman" w:eastAsia="Times New Roman" w:hAnsi="Times New Roman" w:cs="Times New Roman"/>
                <w:szCs w:val="20"/>
              </w:rPr>
              <w:t xml:space="preserve"> 24,9)</w:t>
            </w:r>
          </w:p>
        </w:tc>
      </w:tr>
    </w:tbl>
    <w:p w14:paraId="13AE9F8E" w14:textId="65D5C60D" w:rsidR="00956F16" w:rsidRPr="00956F16" w:rsidRDefault="00956F16" w:rsidP="00956F16">
      <w:pPr>
        <w:spacing w:after="0" w:line="240" w:lineRule="auto"/>
        <w:rPr>
          <w:rFonts w:ascii="Times New Roman" w:eastAsia="Calibri" w:hAnsi="Times New Roman" w:cs="Times New Roman"/>
          <w:sz w:val="18"/>
          <w:szCs w:val="18"/>
        </w:rPr>
      </w:pPr>
      <w:r w:rsidRPr="00625BB2">
        <w:rPr>
          <w:rFonts w:ascii="Times New Roman" w:eastAsia="Calibri" w:hAnsi="Times New Roman" w:cs="Times New Roman"/>
          <w:sz w:val="18"/>
          <w:szCs w:val="18"/>
        </w:rPr>
        <w:t>AMT = myeloma elleni terápia;</w:t>
      </w:r>
      <w:r w:rsidRPr="00062594">
        <w:rPr>
          <w:rFonts w:ascii="Times New Roman" w:eastAsia="Calibri" w:hAnsi="Times New Roman" w:cs="Times New Roman"/>
          <w:sz w:val="18"/>
          <w:szCs w:val="18"/>
        </w:rPr>
        <w:t xml:space="preserve"> CI = konfidenciaintervallum (confidence interval); CR = teljes válasz (complete response); d = kis dózisú dexametazon;HR = relatív hazárd (hazard ratio</w:t>
      </w:r>
      <w:r w:rsidRPr="00625BB2">
        <w:rPr>
          <w:rFonts w:ascii="Times New Roman" w:eastAsia="Calibri" w:hAnsi="Times New Roman" w:cs="Times New Roman"/>
          <w:sz w:val="18"/>
          <w:szCs w:val="18"/>
        </w:rPr>
        <w:t>);</w:t>
      </w:r>
      <w:r w:rsidRPr="00062594">
        <w:rPr>
          <w:rFonts w:ascii="Times New Roman" w:eastAsia="Calibri" w:hAnsi="Times New Roman" w:cs="Times New Roman"/>
          <w:sz w:val="18"/>
          <w:szCs w:val="18"/>
        </w:rPr>
        <w:t xml:space="preserve"> M = melfalán; max = maximum; min = minimum; </w:t>
      </w:r>
      <w:r w:rsidRPr="00625BB2">
        <w:rPr>
          <w:rFonts w:ascii="Times New Roman" w:eastAsia="Calibri" w:hAnsi="Times New Roman" w:cs="Times New Roman"/>
          <w:sz w:val="18"/>
          <w:szCs w:val="18"/>
        </w:rPr>
        <w:t>NE = nem határozható meg (not estimable</w:t>
      </w:r>
      <w:r w:rsidRPr="00062594">
        <w:rPr>
          <w:rFonts w:ascii="Times New Roman" w:eastAsia="Calibri" w:hAnsi="Times New Roman" w:cs="Times New Roman"/>
          <w:sz w:val="18"/>
          <w:szCs w:val="18"/>
        </w:rPr>
        <w:t>)</w:t>
      </w:r>
      <w:r w:rsidRPr="00956F16">
        <w:rPr>
          <w:rFonts w:ascii="Times New Roman" w:eastAsia="Calibri" w:hAnsi="Times New Roman" w:cs="Times New Roman"/>
          <w:sz w:val="18"/>
          <w:szCs w:val="18"/>
        </w:rPr>
        <w:t xml:space="preserve">; OS = teljes túlélés (overall survival); P = prednizon; PFS = progressziómentes túlélés (progression-free survival); PR = részleges válasz (partial response); R = lenalidomid; Rd = a progresszió dokumentálásáig adott Rd; Rd18 </w:t>
      </w:r>
      <w:r w:rsidR="000C0238" w:rsidRPr="000C0238">
        <w:rPr>
          <w:rFonts w:ascii="Times New Roman" w:eastAsia="Calibri" w:hAnsi="Times New Roman" w:cs="Times New Roman"/>
          <w:sz w:val="18"/>
          <w:szCs w:val="18"/>
        </w:rPr>
        <w:t xml:space="preserve">≤ </w:t>
      </w:r>
      <w:r w:rsidRPr="00956F16">
        <w:rPr>
          <w:rFonts w:ascii="Times New Roman" w:eastAsia="Calibri" w:hAnsi="Times New Roman" w:cs="Times New Roman"/>
          <w:sz w:val="18"/>
          <w:szCs w:val="18"/>
        </w:rPr>
        <w:t xml:space="preserve"> 18 cikluson át adott Rd; SE = standard hiba (standard error); T = talidomid; VGPR = nagyon jó részleges válasz (very good partial response); vs = versus.</w:t>
      </w:r>
    </w:p>
    <w:p w14:paraId="2D2BCC60" w14:textId="252148DB"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a</w:t>
      </w:r>
      <w:r w:rsidRPr="00956F16">
        <w:rPr>
          <w:rFonts w:ascii="Times New Roman" w:eastAsia="Calibri" w:hAnsi="Times New Roman" w:cs="Times New Roman"/>
          <w:sz w:val="18"/>
          <w:szCs w:val="18"/>
        </w:rPr>
        <w:t xml:space="preserve"> A medián meghatározása a Kaplan</w:t>
      </w:r>
      <w:r w:rsidR="007210DA">
        <w:rPr>
          <w:rFonts w:ascii="Times New Roman" w:eastAsia="Calibri" w:hAnsi="Times New Roman" w:cs="Times New Roman"/>
          <w:sz w:val="18"/>
          <w:szCs w:val="18"/>
        </w:rPr>
        <w:t>–</w:t>
      </w:r>
      <w:r w:rsidRPr="00956F16">
        <w:rPr>
          <w:rFonts w:ascii="Times New Roman" w:eastAsia="Calibri" w:hAnsi="Times New Roman" w:cs="Times New Roman"/>
          <w:sz w:val="18"/>
          <w:szCs w:val="18"/>
        </w:rPr>
        <w:t>Meier</w:t>
      </w:r>
      <w:r w:rsidR="007210DA">
        <w:rPr>
          <w:rFonts w:ascii="Times New Roman" w:eastAsia="Calibri" w:hAnsi="Times New Roman" w:cs="Times New Roman"/>
          <w:sz w:val="18"/>
          <w:szCs w:val="18"/>
        </w:rPr>
        <w:t>-</w:t>
      </w:r>
      <w:r w:rsidRPr="00956F16">
        <w:rPr>
          <w:rFonts w:ascii="Times New Roman" w:eastAsia="Calibri" w:hAnsi="Times New Roman" w:cs="Times New Roman"/>
          <w:sz w:val="18"/>
          <w:szCs w:val="18"/>
        </w:rPr>
        <w:t>módszeren alapul.</w:t>
      </w:r>
    </w:p>
    <w:p w14:paraId="044C44C9"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 xml:space="preserve">b </w:t>
      </w:r>
      <w:r w:rsidRPr="00956F16">
        <w:rPr>
          <w:rFonts w:ascii="Times New Roman" w:eastAsia="Calibri" w:hAnsi="Times New Roman" w:cs="Times New Roman"/>
          <w:sz w:val="18"/>
          <w:szCs w:val="18"/>
        </w:rPr>
        <w:t>A medián 95%-os CI-a.</w:t>
      </w:r>
    </w:p>
    <w:p w14:paraId="7CF7988D"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c</w:t>
      </w:r>
      <w:r w:rsidRPr="00956F16">
        <w:rPr>
          <w:rFonts w:ascii="Times New Roman" w:eastAsia="Calibri" w:hAnsi="Times New Roman" w:cs="Times New Roman"/>
          <w:sz w:val="18"/>
          <w:szCs w:val="18"/>
        </w:rPr>
        <w:t xml:space="preserve"> A jelzett kezelési karokra vonatkozó kockázat-függvényeket összehasonlító Cox-féle arányos hazárd modell alapján.</w:t>
      </w:r>
    </w:p>
    <w:p w14:paraId="41A448A4" w14:textId="30090823"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d</w:t>
      </w:r>
      <w:r w:rsidRPr="00956F16">
        <w:rPr>
          <w:rFonts w:ascii="Times New Roman" w:eastAsia="Calibri" w:hAnsi="Times New Roman" w:cs="Times New Roman"/>
          <w:sz w:val="18"/>
          <w:szCs w:val="18"/>
        </w:rPr>
        <w:t xml:space="preserve"> A p-érték a jelzett kezelési karok Kaplan</w:t>
      </w:r>
      <w:r w:rsidR="007210DA">
        <w:rPr>
          <w:rFonts w:ascii="Times New Roman" w:eastAsia="Calibri" w:hAnsi="Times New Roman" w:cs="Times New Roman"/>
          <w:sz w:val="18"/>
          <w:szCs w:val="18"/>
        </w:rPr>
        <w:t>–</w:t>
      </w:r>
      <w:r w:rsidRPr="00956F16">
        <w:rPr>
          <w:rFonts w:ascii="Times New Roman" w:eastAsia="Calibri" w:hAnsi="Times New Roman" w:cs="Times New Roman"/>
          <w:sz w:val="18"/>
          <w:szCs w:val="18"/>
        </w:rPr>
        <w:t>Meier</w:t>
      </w:r>
      <w:r w:rsidR="007210DA">
        <w:rPr>
          <w:rFonts w:ascii="Times New Roman" w:eastAsia="Calibri" w:hAnsi="Times New Roman" w:cs="Times New Roman"/>
          <w:sz w:val="18"/>
          <w:szCs w:val="18"/>
        </w:rPr>
        <w:t>-</w:t>
      </w:r>
      <w:r w:rsidRPr="00956F16">
        <w:rPr>
          <w:rFonts w:ascii="Times New Roman" w:eastAsia="Calibri" w:hAnsi="Times New Roman" w:cs="Times New Roman"/>
          <w:sz w:val="18"/>
          <w:szCs w:val="18"/>
        </w:rPr>
        <w:t>görbéi közötti különbségek nem rétegzett lograng próbáján alapul.</w:t>
      </w:r>
    </w:p>
    <w:p w14:paraId="56839950"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e</w:t>
      </w:r>
      <w:r w:rsidRPr="00956F16">
        <w:rPr>
          <w:rFonts w:ascii="Times New Roman" w:eastAsia="Calibri" w:hAnsi="Times New Roman" w:cs="Times New Roman"/>
          <w:sz w:val="18"/>
          <w:szCs w:val="18"/>
        </w:rPr>
        <w:t xml:space="preserve"> Feltáró végpont (PFS2).</w:t>
      </w:r>
    </w:p>
    <w:p w14:paraId="119D74D2"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f</w:t>
      </w:r>
      <w:r w:rsidRPr="00956F16">
        <w:rPr>
          <w:rFonts w:ascii="Times New Roman" w:eastAsia="Calibri" w:hAnsi="Times New Roman" w:cs="Times New Roman"/>
          <w:sz w:val="18"/>
          <w:szCs w:val="18"/>
        </w:rPr>
        <w:t xml:space="preserve"> A medián egyváltozós statisztikai adat az adatok kizárására végzett korrekció nélkül.</w:t>
      </w:r>
    </w:p>
    <w:p w14:paraId="60975F33" w14:textId="3405889B"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g</w:t>
      </w:r>
      <w:r w:rsidRPr="00956F16">
        <w:rPr>
          <w:rFonts w:ascii="Times New Roman" w:eastAsia="Calibri" w:hAnsi="Times New Roman" w:cs="Times New Roman"/>
          <w:sz w:val="18"/>
          <w:szCs w:val="18"/>
        </w:rPr>
        <w:t xml:space="preserve"> A vizsgálat kezelési fázisa során a legkedvezőbbnek ítélt válasz (az egyes válaszkategóriák meghatározásait illetően</w:t>
      </w:r>
      <w:r w:rsidR="002103C2">
        <w:rPr>
          <w:rFonts w:ascii="Times New Roman" w:eastAsia="Calibri" w:hAnsi="Times New Roman" w:cs="Times New Roman"/>
          <w:sz w:val="18"/>
          <w:szCs w:val="18"/>
        </w:rPr>
        <w:t xml:space="preserve"> az</w:t>
      </w:r>
      <w:r w:rsidRPr="00956F16">
        <w:rPr>
          <w:rFonts w:ascii="Times New Roman" w:eastAsia="Calibri" w:hAnsi="Times New Roman" w:cs="Times New Roman"/>
          <w:sz w:val="18"/>
          <w:szCs w:val="18"/>
        </w:rPr>
        <w:t xml:space="preserve"> </w:t>
      </w:r>
      <w:r w:rsidR="002103C2">
        <w:rPr>
          <w:rFonts w:ascii="Times New Roman" w:eastAsia="Calibri" w:hAnsi="Times New Roman" w:cs="Times New Roman"/>
          <w:sz w:val="18"/>
          <w:szCs w:val="18"/>
        </w:rPr>
        <w:t>a</w:t>
      </w:r>
      <w:r w:rsidRPr="00956F16">
        <w:rPr>
          <w:rFonts w:ascii="Times New Roman" w:eastAsia="Calibri" w:hAnsi="Times New Roman" w:cs="Times New Roman"/>
          <w:sz w:val="18"/>
          <w:szCs w:val="18"/>
        </w:rPr>
        <w:t>datbázis lezárásának dátuma = 2013. május 24.)</w:t>
      </w:r>
    </w:p>
    <w:p w14:paraId="2A2C093C"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h</w:t>
      </w:r>
      <w:r w:rsidRPr="00956F16">
        <w:rPr>
          <w:rFonts w:ascii="Times New Roman" w:eastAsia="Calibri" w:hAnsi="Times New Roman" w:cs="Times New Roman"/>
          <w:sz w:val="18"/>
          <w:szCs w:val="18"/>
        </w:rPr>
        <w:t xml:space="preserve"> Az adatbázis lezárása: 2013. május 24.</w:t>
      </w:r>
    </w:p>
    <w:p w14:paraId="766B173D" w14:textId="77777777" w:rsidR="00956F16" w:rsidRPr="00956F16" w:rsidRDefault="00956F16" w:rsidP="00956F16">
      <w:pPr>
        <w:spacing w:after="0" w:line="240" w:lineRule="auto"/>
        <w:rPr>
          <w:rFonts w:ascii="Times New Roman" w:eastAsia="Calibri" w:hAnsi="Times New Roman" w:cs="Times New Roman"/>
        </w:rPr>
      </w:pPr>
    </w:p>
    <w:p w14:paraId="05677434" w14:textId="77777777" w:rsidR="00956F16" w:rsidRPr="00956F16" w:rsidRDefault="00956F16" w:rsidP="00956F16">
      <w:pPr>
        <w:keepNext/>
        <w:numPr>
          <w:ilvl w:val="0"/>
          <w:numId w:val="18"/>
        </w:numPr>
        <w:tabs>
          <w:tab w:val="left" w:pos="567"/>
        </w:tabs>
        <w:spacing w:after="0" w:line="240" w:lineRule="auto"/>
        <w:ind w:hanging="436"/>
        <w:rPr>
          <w:rFonts w:ascii="Times New Roman" w:eastAsia="Calibri" w:hAnsi="Times New Roman" w:cs="Times New Roman"/>
          <w:u w:val="single"/>
        </w:rPr>
      </w:pPr>
      <w:r w:rsidRPr="00956F16">
        <w:rPr>
          <w:rFonts w:ascii="Times New Roman" w:eastAsia="Calibri" w:hAnsi="Times New Roman" w:cs="Times New Roman"/>
          <w:u w:val="single"/>
        </w:rPr>
        <w:t>A transzplantációra nem alkalmas betegeknél melfalánnal és prednizonnal kombinációban alkalmazott lenalidomid, majd fenntartó terápia</w:t>
      </w:r>
    </w:p>
    <w:p w14:paraId="6CE197E0" w14:textId="79A6005E"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biztonságosságát és hatásosságát egy </w:t>
      </w:r>
      <w:r w:rsidR="003601C7">
        <w:rPr>
          <w:rFonts w:ascii="Times New Roman" w:eastAsia="Calibri" w:hAnsi="Times New Roman" w:cs="Times New Roman"/>
        </w:rPr>
        <w:t>3</w:t>
      </w:r>
      <w:r w:rsidRPr="00956F16">
        <w:rPr>
          <w:rFonts w:ascii="Times New Roman" w:eastAsia="Calibri" w:hAnsi="Times New Roman" w:cs="Times New Roman"/>
        </w:rPr>
        <w:t>. fázisú, multicentrikus, randomizált, kettős vak, 3</w:t>
      </w:r>
      <w:r w:rsidR="002103C2">
        <w:rPr>
          <w:rFonts w:ascii="Times New Roman" w:eastAsia="Calibri" w:hAnsi="Times New Roman" w:cs="Times New Roman"/>
        </w:rPr>
        <w:t> </w:t>
      </w:r>
      <w:r w:rsidRPr="00956F16">
        <w:rPr>
          <w:rFonts w:ascii="Times New Roman" w:eastAsia="Calibri" w:hAnsi="Times New Roman" w:cs="Times New Roman"/>
        </w:rPr>
        <w:t>karú vizsgálatban (MM-015) értékelték, amelyet 65 éves vagy annál idősebb betegekkel végeztek, akiknek a szérum kreatininszintje 2,5 mg/dl alatt volt. A vizsgálatban a melfalánnal és prednizonnal kombinációban alkalmazott lenalidomid</w:t>
      </w:r>
      <w:r w:rsidR="00104634">
        <w:rPr>
          <w:rFonts w:ascii="Times New Roman" w:eastAsia="Calibri" w:hAnsi="Times New Roman" w:cs="Times New Roman"/>
        </w:rPr>
        <w:t>-</w:t>
      </w:r>
      <w:r w:rsidRPr="00956F16">
        <w:rPr>
          <w:rFonts w:ascii="Times New Roman" w:eastAsia="Calibri" w:hAnsi="Times New Roman" w:cs="Times New Roman"/>
        </w:rPr>
        <w:t>kezelést (MPR) – a betegség progressziójáig alkalmazott fenntartó lenalidomid</w:t>
      </w:r>
      <w:r w:rsidR="00104634">
        <w:rPr>
          <w:rFonts w:ascii="Times New Roman" w:eastAsia="Calibri" w:hAnsi="Times New Roman" w:cs="Times New Roman"/>
        </w:rPr>
        <w:t>-</w:t>
      </w:r>
      <w:r w:rsidRPr="00956F16">
        <w:rPr>
          <w:rFonts w:ascii="Times New Roman" w:eastAsia="Calibri" w:hAnsi="Times New Roman" w:cs="Times New Roman"/>
        </w:rPr>
        <w:t>terápiával vagy anélkül – hasonlították össze melfalán-prednizon-kezeléssel legfeljebb 9 cikluson át. A betegeket 1:1:1 arányban randomizálták a 3 kezelési kar egyikére. A betegeket a randomizálás során életkor (≤ 75 vs. &gt; 75 év) és stádium (ISS; I. és II. vs. III. stádium) szerint rétegezték.</w:t>
      </w:r>
    </w:p>
    <w:p w14:paraId="258C53EE" w14:textId="77777777" w:rsidR="00956F16" w:rsidRPr="00956F16" w:rsidRDefault="00956F16" w:rsidP="00956F16">
      <w:pPr>
        <w:spacing w:after="0" w:line="240" w:lineRule="auto"/>
        <w:rPr>
          <w:rFonts w:ascii="Times New Roman" w:eastAsia="Calibri" w:hAnsi="Times New Roman" w:cs="Times New Roman"/>
        </w:rPr>
      </w:pPr>
    </w:p>
    <w:p w14:paraId="137C8623" w14:textId="73A21443"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Ebben a vizsgálatban az MPR kombinációs terápiát (melfalán 0,18 mg/ttkg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az ismétlődő 28 napos ciklusok 1</w:t>
      </w:r>
      <w:r w:rsidR="00170B62">
        <w:rPr>
          <w:rFonts w:ascii="Times New Roman" w:eastAsia="Calibri" w:hAnsi="Times New Roman" w:cs="Times New Roman"/>
        </w:rPr>
        <w:t>.–</w:t>
      </w:r>
      <w:r w:rsidRPr="00956F16">
        <w:rPr>
          <w:rFonts w:ascii="Times New Roman" w:eastAsia="Calibri" w:hAnsi="Times New Roman" w:cs="Times New Roman"/>
        </w:rPr>
        <w:t xml:space="preserve">4. napján; prednizon 2 mg/ttkg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az ismétlődő 28 napos ciklusok 1</w:t>
      </w:r>
      <w:r w:rsidR="00170B62">
        <w:rPr>
          <w:rFonts w:ascii="Times New Roman" w:eastAsia="Calibri" w:hAnsi="Times New Roman" w:cs="Times New Roman"/>
        </w:rPr>
        <w:t>.</w:t>
      </w:r>
      <w:r w:rsidR="00170B62">
        <w:rPr>
          <w:rFonts w:ascii="Times New Roman" w:eastAsia="Calibri" w:hAnsi="Times New Roman" w:cs="Times New Roman"/>
        </w:rPr>
        <w:noBreakHyphen/>
      </w:r>
      <w:r w:rsidRPr="00956F16">
        <w:rPr>
          <w:rFonts w:ascii="Times New Roman" w:eastAsia="Calibri" w:hAnsi="Times New Roman" w:cs="Times New Roman"/>
        </w:rPr>
        <w:t xml:space="preserve">4. napján; és lenalidomid 10 mg/nap </w:t>
      </w:r>
      <w:r w:rsidRPr="00956F16">
        <w:rPr>
          <w:rFonts w:ascii="Times New Roman" w:eastAsia="Calibri" w:hAnsi="Times New Roman" w:cs="Times New Roman"/>
          <w:i/>
        </w:rPr>
        <w:t>per os</w:t>
      </w:r>
      <w:r w:rsidRPr="00956F16">
        <w:rPr>
          <w:rFonts w:ascii="Times New Roman" w:eastAsia="Calibri" w:hAnsi="Times New Roman" w:cs="Times New Roman"/>
        </w:rPr>
        <w:t>, az ismétlődő 28 napos ciklusok 1</w:t>
      </w:r>
      <w:r w:rsidR="00170B62">
        <w:rPr>
          <w:rFonts w:ascii="Times New Roman" w:eastAsia="Calibri" w:hAnsi="Times New Roman" w:cs="Times New Roman"/>
        </w:rPr>
        <w:t>.–</w:t>
      </w:r>
      <w:r w:rsidRPr="00956F16">
        <w:rPr>
          <w:rFonts w:ascii="Times New Roman" w:eastAsia="Calibri" w:hAnsi="Times New Roman" w:cs="Times New Roman"/>
        </w:rPr>
        <w:t xml:space="preserve">21. napján) indukciós kezelésként tanulmányozták, legfeljebb 9 cikluson át alkalmazva. Azok a betegek, akik befejezték a 9 ciklust, illetve akik intolerancia miatt nem tudták befejezni a 9 ciklust, fenntartó terápiával folytatták a kezelést, amelyet 10 mg </w:t>
      </w:r>
      <w:r w:rsidRPr="00956F16">
        <w:rPr>
          <w:rFonts w:ascii="Times New Roman" w:eastAsia="Calibri" w:hAnsi="Times New Roman" w:cs="Times New Roman"/>
          <w:i/>
        </w:rPr>
        <w:t>per os</w:t>
      </w:r>
      <w:r w:rsidRPr="00956F16">
        <w:rPr>
          <w:rFonts w:ascii="Times New Roman" w:eastAsia="Calibri" w:hAnsi="Times New Roman" w:cs="Times New Roman"/>
        </w:rPr>
        <w:t xml:space="preserve"> adott lenalidomiddal kezdtek az ismétlődő 28 napos ciklusok 1</w:t>
      </w:r>
      <w:r w:rsidR="00170B62">
        <w:rPr>
          <w:rFonts w:ascii="Times New Roman" w:eastAsia="Calibri" w:hAnsi="Times New Roman" w:cs="Times New Roman"/>
        </w:rPr>
        <w:t>.–</w:t>
      </w:r>
      <w:r w:rsidRPr="00956F16">
        <w:rPr>
          <w:rFonts w:ascii="Times New Roman" w:eastAsia="Calibri" w:hAnsi="Times New Roman" w:cs="Times New Roman"/>
        </w:rPr>
        <w:t>21. napján, és a betegség progressziójáig folytattak.</w:t>
      </w:r>
    </w:p>
    <w:p w14:paraId="2B32BACB" w14:textId="77777777" w:rsidR="00956F16" w:rsidRPr="00956F16" w:rsidRDefault="00956F16" w:rsidP="00956F16">
      <w:pPr>
        <w:spacing w:after="0" w:line="240" w:lineRule="auto"/>
        <w:rPr>
          <w:rFonts w:ascii="Times New Roman" w:eastAsia="Calibri" w:hAnsi="Times New Roman" w:cs="Times New Roman"/>
        </w:rPr>
      </w:pPr>
    </w:p>
    <w:p w14:paraId="5434BB90"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vizsgálat elsődleges hatásossági végpontja a progressziómentes túlélés (PFS) volt. Összesen 459 beteget vontak be a vizsgálatba, akik közül 152 beteget randomizáltak az MPR+R-karra, 153 beteget az MPR+p-karra és 154 beteget az MPp+p-karra. A betegek demográfiai adatai és a betegséggel kapcsolatos kiindulási jellemzői hasonlóak voltak mindhárom karon; konkrétan az egyes karokra bevont betegek körülbelül 50%-ánál álltak fenn a következő jellemzők: ISS szerinti </w:t>
      </w:r>
      <w:r w:rsidRPr="00956F16">
        <w:rPr>
          <w:rFonts w:ascii="Times New Roman" w:eastAsia="Calibri" w:hAnsi="Times New Roman" w:cs="Times New Roman"/>
        </w:rPr>
        <w:lastRenderedPageBreak/>
        <w:t>III. stádium és 60 ml/perc alatti kreatinin-clearance. A medián életkor 71 év volt az MPR+P- és MPR+p-karon, míg 72 év az MPp+p-karon.</w:t>
      </w:r>
    </w:p>
    <w:p w14:paraId="060C5789" w14:textId="77777777" w:rsidR="00956F16" w:rsidRPr="00956F16" w:rsidRDefault="00956F16" w:rsidP="00956F16">
      <w:pPr>
        <w:spacing w:after="0" w:line="240" w:lineRule="auto"/>
        <w:rPr>
          <w:rFonts w:ascii="Times New Roman" w:eastAsia="Calibri" w:hAnsi="Times New Roman" w:cs="Times New Roman"/>
        </w:rPr>
      </w:pPr>
    </w:p>
    <w:p w14:paraId="2286DC8B" w14:textId="04ED0902"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PFS, PFS2 és OS 2013 áprilisában lezárt adatbázissal végzett elemzése tekintetében, ahol a medián utánkövetési idő az összes túlélő vizsgálati alany esetén 62,4 hónap volt, a vizsgálat eredményeit a </w:t>
      </w:r>
      <w:r w:rsidR="000C0238">
        <w:rPr>
          <w:rFonts w:ascii="Times New Roman" w:eastAsia="Calibri" w:hAnsi="Times New Roman" w:cs="Times New Roman"/>
        </w:rPr>
        <w:t>10</w:t>
      </w:r>
      <w:r w:rsidRPr="00956F16">
        <w:rPr>
          <w:rFonts w:ascii="Times New Roman" w:eastAsia="Calibri" w:hAnsi="Times New Roman" w:cs="Times New Roman"/>
        </w:rPr>
        <w:t>. táblázat mutatja be:</w:t>
      </w:r>
    </w:p>
    <w:p w14:paraId="2AC775B2" w14:textId="77777777" w:rsidR="00956F16" w:rsidRPr="00956F16" w:rsidRDefault="00956F16" w:rsidP="00956F16">
      <w:pPr>
        <w:spacing w:after="0" w:line="240" w:lineRule="auto"/>
        <w:rPr>
          <w:rFonts w:ascii="Times New Roman" w:eastAsia="Calibri" w:hAnsi="Times New Roman" w:cs="Times New Roman"/>
        </w:rPr>
      </w:pPr>
    </w:p>
    <w:p w14:paraId="40FB0628" w14:textId="147F5072" w:rsidR="00956F16" w:rsidRPr="00956F16" w:rsidRDefault="000C0238" w:rsidP="00956F16">
      <w:pPr>
        <w:keepNext/>
        <w:spacing w:after="0" w:line="240" w:lineRule="auto"/>
        <w:rPr>
          <w:rFonts w:ascii="Times New Roman" w:eastAsia="Calibri" w:hAnsi="Times New Roman" w:cs="Times New Roman"/>
        </w:rPr>
      </w:pPr>
      <w:r>
        <w:rPr>
          <w:rFonts w:ascii="Times New Roman" w:eastAsia="Calibri" w:hAnsi="Times New Roman" w:cs="Times New Roman"/>
          <w:b/>
        </w:rPr>
        <w:t>10</w:t>
      </w:r>
      <w:r w:rsidR="00956F16" w:rsidRPr="00956F16">
        <w:rPr>
          <w:rFonts w:ascii="Times New Roman" w:eastAsia="Calibri" w:hAnsi="Times New Roman" w:cs="Times New Roman"/>
          <w:b/>
        </w:rPr>
        <w:t>. táblázat. Az összesített hatásossági adatok összefoglalása</w:t>
      </w:r>
    </w:p>
    <w:tbl>
      <w:tblPr>
        <w:tblW w:w="9336" w:type="dxa"/>
        <w:tblInd w:w="10" w:type="dxa"/>
        <w:tblLayout w:type="fixed"/>
        <w:tblCellMar>
          <w:left w:w="0" w:type="dxa"/>
          <w:right w:w="0" w:type="dxa"/>
        </w:tblCellMar>
        <w:tblLook w:val="0000" w:firstRow="0" w:lastRow="0" w:firstColumn="0" w:lastColumn="0" w:noHBand="0" w:noVBand="0"/>
      </w:tblPr>
      <w:tblGrid>
        <w:gridCol w:w="3828"/>
        <w:gridCol w:w="1822"/>
        <w:gridCol w:w="1843"/>
        <w:gridCol w:w="1843"/>
      </w:tblGrid>
      <w:tr w:rsidR="00956F16" w:rsidRPr="00956F16" w14:paraId="553CD8FD" w14:textId="77777777" w:rsidTr="00694E9C">
        <w:trPr>
          <w:trHeight w:hRule="exact" w:val="539"/>
          <w:tblHeader/>
        </w:trPr>
        <w:tc>
          <w:tcPr>
            <w:tcW w:w="3828" w:type="dxa"/>
            <w:tcBorders>
              <w:top w:val="single" w:sz="12" w:space="0" w:color="000000"/>
              <w:left w:val="single" w:sz="8" w:space="0" w:color="000000"/>
              <w:bottom w:val="single" w:sz="12" w:space="0" w:color="000000"/>
              <w:right w:val="single" w:sz="8" w:space="0" w:color="000000"/>
            </w:tcBorders>
          </w:tcPr>
          <w:p w14:paraId="7927F3DC" w14:textId="77777777" w:rsidR="00956F16" w:rsidRPr="00441247" w:rsidRDefault="00956F16" w:rsidP="00956F16">
            <w:pPr>
              <w:keepNext/>
              <w:tabs>
                <w:tab w:val="left" w:pos="567"/>
              </w:tabs>
              <w:autoSpaceDE w:val="0"/>
              <w:autoSpaceDN w:val="0"/>
              <w:adjustRightInd w:val="0"/>
              <w:spacing w:after="0" w:line="240" w:lineRule="auto"/>
              <w:ind w:left="142"/>
              <w:rPr>
                <w:rFonts w:ascii="Times New Roman" w:eastAsia="Times New Roman" w:hAnsi="Times New Roman" w:cs="Times New Roman"/>
                <w:sz w:val="24"/>
                <w:szCs w:val="24"/>
              </w:rPr>
            </w:pPr>
          </w:p>
        </w:tc>
        <w:tc>
          <w:tcPr>
            <w:tcW w:w="1822" w:type="dxa"/>
            <w:tcBorders>
              <w:top w:val="single" w:sz="12" w:space="0" w:color="000000"/>
              <w:left w:val="single" w:sz="8" w:space="0" w:color="000000"/>
              <w:bottom w:val="single" w:sz="12" w:space="0" w:color="000000"/>
              <w:right w:val="single" w:sz="8" w:space="0" w:color="000000"/>
            </w:tcBorders>
          </w:tcPr>
          <w:p w14:paraId="0CC33C21" w14:textId="77777777" w:rsidR="00956F16" w:rsidRPr="00956F16" w:rsidRDefault="00956F16" w:rsidP="00956F16">
            <w:pPr>
              <w:keepNext/>
              <w:tabs>
                <w:tab w:val="left" w:pos="567"/>
              </w:tabs>
              <w:autoSpaceDE w:val="0"/>
              <w:autoSpaceDN w:val="0"/>
              <w:adjustRightInd w:val="0"/>
              <w:spacing w:after="0" w:line="240" w:lineRule="auto"/>
              <w:ind w:left="22"/>
              <w:jc w:val="center"/>
              <w:rPr>
                <w:rFonts w:ascii="Times New Roman" w:eastAsia="Times New Roman" w:hAnsi="Times New Roman" w:cs="Times New Roman"/>
                <w:b/>
                <w:bCs/>
                <w:szCs w:val="20"/>
                <w:lang w:val="en-GB"/>
              </w:rPr>
            </w:pPr>
            <w:r w:rsidRPr="00956F16">
              <w:rPr>
                <w:rFonts w:ascii="Times New Roman" w:eastAsia="Times New Roman" w:hAnsi="Times New Roman" w:cs="Times New Roman"/>
                <w:b/>
                <w:bCs/>
                <w:szCs w:val="20"/>
                <w:lang w:val="en-GB"/>
              </w:rPr>
              <w:t>MPR+R</w:t>
            </w:r>
          </w:p>
          <w:p w14:paraId="38E6858C" w14:textId="77777777" w:rsidR="00956F16" w:rsidRPr="00956F16" w:rsidRDefault="00956F16" w:rsidP="00956F16">
            <w:pPr>
              <w:keepNext/>
              <w:tabs>
                <w:tab w:val="left" w:pos="567"/>
              </w:tabs>
              <w:autoSpaceDE w:val="0"/>
              <w:autoSpaceDN w:val="0"/>
              <w:adjustRightInd w:val="0"/>
              <w:spacing w:after="0" w:line="240" w:lineRule="auto"/>
              <w:ind w:lef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b/>
                <w:bCs/>
                <w:szCs w:val="20"/>
                <w:lang w:val="en-GB"/>
              </w:rPr>
              <w:t>(n = 152)</w:t>
            </w:r>
          </w:p>
        </w:tc>
        <w:tc>
          <w:tcPr>
            <w:tcW w:w="1843" w:type="dxa"/>
            <w:tcBorders>
              <w:top w:val="single" w:sz="12" w:space="0" w:color="000000"/>
              <w:left w:val="single" w:sz="8" w:space="0" w:color="000000"/>
              <w:bottom w:val="single" w:sz="12" w:space="0" w:color="000000"/>
              <w:right w:val="single" w:sz="8" w:space="0" w:color="000000"/>
            </w:tcBorders>
          </w:tcPr>
          <w:p w14:paraId="7E9E113D" w14:textId="77777777" w:rsidR="00956F16" w:rsidRPr="00956F16" w:rsidRDefault="00956F16" w:rsidP="00956F16">
            <w:pPr>
              <w:keepNext/>
              <w:tabs>
                <w:tab w:val="left" w:pos="567"/>
              </w:tabs>
              <w:autoSpaceDE w:val="0"/>
              <w:autoSpaceDN w:val="0"/>
              <w:adjustRightInd w:val="0"/>
              <w:spacing w:after="0" w:line="240" w:lineRule="auto"/>
              <w:ind w:left="38"/>
              <w:jc w:val="center"/>
              <w:rPr>
                <w:rFonts w:ascii="Times New Roman" w:eastAsia="Times New Roman" w:hAnsi="Times New Roman" w:cs="Times New Roman"/>
                <w:szCs w:val="20"/>
                <w:lang w:val="en-GB"/>
              </w:rPr>
            </w:pPr>
            <w:r w:rsidRPr="00956F16">
              <w:rPr>
                <w:rFonts w:ascii="Times New Roman" w:eastAsia="Times New Roman" w:hAnsi="Times New Roman" w:cs="Times New Roman"/>
                <w:b/>
                <w:bCs/>
                <w:szCs w:val="20"/>
                <w:lang w:val="en-GB"/>
              </w:rPr>
              <w:t>MPR+p</w:t>
            </w:r>
          </w:p>
          <w:p w14:paraId="11085902" w14:textId="77777777" w:rsidR="00956F16" w:rsidRPr="00956F16" w:rsidRDefault="00956F16" w:rsidP="00956F16">
            <w:pPr>
              <w:keepNext/>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b/>
                <w:bCs/>
                <w:szCs w:val="20"/>
                <w:lang w:val="en-GB"/>
              </w:rPr>
              <w:t>(n = 153)</w:t>
            </w:r>
          </w:p>
        </w:tc>
        <w:tc>
          <w:tcPr>
            <w:tcW w:w="1843" w:type="dxa"/>
            <w:tcBorders>
              <w:top w:val="single" w:sz="12" w:space="0" w:color="000000"/>
              <w:left w:val="single" w:sz="8" w:space="0" w:color="000000"/>
              <w:bottom w:val="single" w:sz="12" w:space="0" w:color="000000"/>
              <w:right w:val="single" w:sz="8" w:space="0" w:color="000000"/>
            </w:tcBorders>
          </w:tcPr>
          <w:p w14:paraId="084B6158" w14:textId="77777777" w:rsidR="00956F16" w:rsidRPr="00956F16" w:rsidRDefault="00956F16" w:rsidP="00956F16">
            <w:pPr>
              <w:keepNext/>
              <w:tabs>
                <w:tab w:val="left" w:pos="567"/>
              </w:tabs>
              <w:autoSpaceDE w:val="0"/>
              <w:autoSpaceDN w:val="0"/>
              <w:adjustRightInd w:val="0"/>
              <w:spacing w:after="0" w:line="240" w:lineRule="auto"/>
              <w:ind w:left="38"/>
              <w:jc w:val="center"/>
              <w:rPr>
                <w:rFonts w:ascii="Times New Roman" w:eastAsia="Times New Roman" w:hAnsi="Times New Roman" w:cs="Times New Roman"/>
                <w:szCs w:val="20"/>
                <w:lang w:val="en-GB"/>
              </w:rPr>
            </w:pPr>
            <w:r w:rsidRPr="00956F16">
              <w:rPr>
                <w:rFonts w:ascii="Times New Roman" w:eastAsia="Times New Roman" w:hAnsi="Times New Roman" w:cs="Times New Roman"/>
                <w:b/>
                <w:bCs/>
                <w:szCs w:val="20"/>
                <w:lang w:val="en-GB"/>
              </w:rPr>
              <w:t>MPp +p</w:t>
            </w:r>
          </w:p>
          <w:p w14:paraId="4EE2289C" w14:textId="77777777" w:rsidR="00956F16" w:rsidRPr="00956F16" w:rsidRDefault="00956F16" w:rsidP="00956F16">
            <w:pPr>
              <w:keepNext/>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b/>
                <w:bCs/>
                <w:szCs w:val="20"/>
                <w:lang w:val="en-GB"/>
              </w:rPr>
              <w:t>(n = 154)</w:t>
            </w:r>
          </w:p>
        </w:tc>
      </w:tr>
      <w:tr w:rsidR="00956F16" w:rsidRPr="00956F16" w14:paraId="4BBA5CFD" w14:textId="77777777" w:rsidTr="00694E9C">
        <w:trPr>
          <w:trHeight w:hRule="exact" w:val="604"/>
        </w:trPr>
        <w:tc>
          <w:tcPr>
            <w:tcW w:w="3828" w:type="dxa"/>
            <w:tcBorders>
              <w:top w:val="single" w:sz="12" w:space="0" w:color="000000"/>
              <w:left w:val="single" w:sz="8" w:space="0" w:color="000000"/>
              <w:bottom w:val="single" w:sz="8" w:space="0" w:color="000000"/>
              <w:right w:val="single" w:sz="8" w:space="0" w:color="000000"/>
            </w:tcBorders>
          </w:tcPr>
          <w:p w14:paraId="1A5D4677" w14:textId="2BF037EA" w:rsidR="00956F16" w:rsidRPr="00441247" w:rsidRDefault="00956F16" w:rsidP="00956F16">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rPr>
            </w:pPr>
            <w:r w:rsidRPr="00956F16">
              <w:rPr>
                <w:rFonts w:ascii="Times New Roman" w:eastAsia="Times New Roman" w:hAnsi="Times New Roman" w:cs="Times New Roman"/>
                <w:b/>
                <w:bCs/>
              </w:rPr>
              <w:t>PFS a vizsgálatot végző megítélése alapján</w:t>
            </w:r>
            <w:r w:rsidRPr="007E5A32">
              <w:rPr>
                <w:rFonts w:ascii="Times New Roman" w:hAnsi="Times New Roman"/>
              </w:rPr>
              <w:t xml:space="preserve"> </w:t>
            </w:r>
            <w:r w:rsidRPr="00956F16">
              <w:rPr>
                <w:rFonts w:ascii="Times New Roman" w:eastAsia="Times New Roman" w:hAnsi="Times New Roman" w:cs="Times New Roman"/>
                <w:b/>
                <w:bCs/>
                <w:szCs w:val="20"/>
              </w:rPr>
              <w:t>(hónap)</w:t>
            </w:r>
          </w:p>
        </w:tc>
        <w:tc>
          <w:tcPr>
            <w:tcW w:w="5508" w:type="dxa"/>
            <w:gridSpan w:val="3"/>
            <w:tcBorders>
              <w:top w:val="single" w:sz="12" w:space="0" w:color="000000"/>
              <w:left w:val="single" w:sz="8" w:space="0" w:color="000000"/>
              <w:bottom w:val="single" w:sz="8" w:space="0" w:color="000000"/>
              <w:right w:val="single" w:sz="8" w:space="0" w:color="000000"/>
            </w:tcBorders>
          </w:tcPr>
          <w:p w14:paraId="076513EF" w14:textId="77777777" w:rsidR="00956F16" w:rsidRPr="00441247" w:rsidRDefault="00956F16" w:rsidP="00956F16">
            <w:pPr>
              <w:keepNext/>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rPr>
            </w:pPr>
          </w:p>
        </w:tc>
      </w:tr>
      <w:tr w:rsidR="00956F16" w:rsidRPr="00956F16" w14:paraId="56C7EC29" w14:textId="77777777" w:rsidTr="007E5A32">
        <w:trPr>
          <w:trHeight w:hRule="exact" w:val="591"/>
        </w:trPr>
        <w:tc>
          <w:tcPr>
            <w:tcW w:w="3828" w:type="dxa"/>
            <w:tcBorders>
              <w:top w:val="single" w:sz="8" w:space="0" w:color="000000"/>
              <w:left w:val="single" w:sz="8" w:space="0" w:color="000000"/>
              <w:bottom w:val="single" w:sz="8" w:space="0" w:color="000000"/>
              <w:right w:val="single" w:sz="8" w:space="0" w:color="000000"/>
            </w:tcBorders>
          </w:tcPr>
          <w:p w14:paraId="6E8B20E7" w14:textId="399DE34D" w:rsidR="00843AAD" w:rsidRDefault="00956F16" w:rsidP="00956F16">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rPr>
              <w:t>A PFS 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ideje, hónapokban</w:t>
            </w:r>
          </w:p>
          <w:p w14:paraId="478E3358" w14:textId="7925CBE6" w:rsidR="00956F16" w:rsidRPr="007E5A32" w:rsidRDefault="00956F16" w:rsidP="00956F16">
            <w:pPr>
              <w:keepNext/>
              <w:tabs>
                <w:tab w:val="left" w:pos="567"/>
              </w:tabs>
              <w:autoSpaceDE w:val="0"/>
              <w:autoSpaceDN w:val="0"/>
              <w:adjustRightInd w:val="0"/>
              <w:spacing w:after="0" w:line="240" w:lineRule="auto"/>
              <w:ind w:right="-20"/>
              <w:jc w:val="center"/>
              <w:rPr>
                <w:rFonts w:ascii="Times New Roman" w:hAnsi="Times New Roman"/>
                <w:lang w:val="pt-PT"/>
              </w:rPr>
            </w:pPr>
            <w:r w:rsidRPr="007E5A32">
              <w:rPr>
                <w:rFonts w:ascii="Times New Roman" w:hAnsi="Times New Roman"/>
                <w:lang w:val="pt-PT"/>
              </w:rPr>
              <w:t>(95</w:t>
            </w:r>
            <w:r w:rsidRPr="00934095">
              <w:rPr>
                <w:rFonts w:ascii="Times New Roman" w:eastAsia="Times New Roman" w:hAnsi="Times New Roman" w:cs="Times New Roman"/>
                <w:lang w:val="pt-PT"/>
              </w:rPr>
              <w:t>%</w:t>
            </w:r>
            <w:r w:rsidR="00843AAD">
              <w:rPr>
                <w:rFonts w:ascii="Times New Roman" w:eastAsia="Times New Roman" w:hAnsi="Times New Roman" w:cs="Times New Roman"/>
              </w:rPr>
              <w:t>-os</w:t>
            </w:r>
            <w:r w:rsidRPr="007E5A32">
              <w:rPr>
                <w:rFonts w:ascii="Times New Roman" w:hAnsi="Times New Roman"/>
                <w:lang w:val="pt-PT"/>
              </w:rPr>
              <w:t xml:space="preserve"> CI)</w:t>
            </w:r>
          </w:p>
        </w:tc>
        <w:tc>
          <w:tcPr>
            <w:tcW w:w="1822" w:type="dxa"/>
            <w:tcBorders>
              <w:top w:val="single" w:sz="8" w:space="0" w:color="000000"/>
              <w:left w:val="single" w:sz="8" w:space="0" w:color="000000"/>
              <w:bottom w:val="single" w:sz="8" w:space="0" w:color="000000"/>
              <w:right w:val="single" w:sz="8" w:space="0" w:color="000000"/>
            </w:tcBorders>
          </w:tcPr>
          <w:p w14:paraId="3554A437" w14:textId="733DE5A8" w:rsidR="00956F16" w:rsidRPr="00956F16" w:rsidRDefault="00956F16" w:rsidP="00956F16">
            <w:pPr>
              <w:keepNext/>
              <w:tabs>
                <w:tab w:val="left" w:pos="567"/>
              </w:tabs>
              <w:autoSpaceDE w:val="0"/>
              <w:autoSpaceDN w:val="0"/>
              <w:adjustRightInd w:val="0"/>
              <w:spacing w:after="0" w:line="240" w:lineRule="auto"/>
              <w:ind w:lef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27,4 (21,3</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35,0)</w:t>
            </w:r>
          </w:p>
        </w:tc>
        <w:tc>
          <w:tcPr>
            <w:tcW w:w="1843" w:type="dxa"/>
            <w:tcBorders>
              <w:top w:val="single" w:sz="8" w:space="0" w:color="000000"/>
              <w:left w:val="single" w:sz="8" w:space="0" w:color="000000"/>
              <w:bottom w:val="single" w:sz="8" w:space="0" w:color="000000"/>
              <w:right w:val="single" w:sz="8" w:space="0" w:color="000000"/>
            </w:tcBorders>
          </w:tcPr>
          <w:p w14:paraId="0B2CA561" w14:textId="28A06077" w:rsidR="00956F16" w:rsidRPr="00956F16" w:rsidRDefault="00956F16" w:rsidP="00956F16">
            <w:pPr>
              <w:keepNext/>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14,3 (13,2</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15,7)</w:t>
            </w:r>
          </w:p>
        </w:tc>
        <w:tc>
          <w:tcPr>
            <w:tcW w:w="1843" w:type="dxa"/>
            <w:tcBorders>
              <w:top w:val="single" w:sz="8" w:space="0" w:color="000000"/>
              <w:left w:val="single" w:sz="8" w:space="0" w:color="000000"/>
              <w:bottom w:val="single" w:sz="8" w:space="0" w:color="000000"/>
              <w:right w:val="single" w:sz="8" w:space="0" w:color="000000"/>
            </w:tcBorders>
          </w:tcPr>
          <w:p w14:paraId="4AD13415" w14:textId="2BA179A4" w:rsidR="00956F16" w:rsidRPr="00956F16" w:rsidRDefault="00956F16" w:rsidP="00956F16">
            <w:pPr>
              <w:keepNext/>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13,1 (12,0</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14,8)</w:t>
            </w:r>
          </w:p>
        </w:tc>
      </w:tr>
      <w:tr w:rsidR="00956F16" w:rsidRPr="00956F16" w14:paraId="4C46C477" w14:textId="77777777" w:rsidTr="00694E9C">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4EBBB543" w14:textId="7F8C9A04" w:rsidR="00956F16" w:rsidRPr="007E5A32" w:rsidRDefault="00956F16" w:rsidP="00956F16">
            <w:pPr>
              <w:keepNext/>
              <w:tabs>
                <w:tab w:val="left" w:pos="567"/>
              </w:tabs>
              <w:autoSpaceDE w:val="0"/>
              <w:autoSpaceDN w:val="0"/>
              <w:adjustRightInd w:val="0"/>
              <w:spacing w:after="0" w:line="240" w:lineRule="auto"/>
              <w:ind w:right="-20"/>
              <w:jc w:val="center"/>
              <w:rPr>
                <w:rFonts w:ascii="Times New Roman" w:hAnsi="Times New Roman"/>
                <w:sz w:val="24"/>
                <w:lang w:val="pt-PT"/>
              </w:rPr>
            </w:pPr>
            <w:r w:rsidRPr="007E5A32">
              <w:rPr>
                <w:rFonts w:ascii="Times New Roman" w:hAnsi="Times New Roman"/>
                <w:lang w:val="pt-PT"/>
              </w:rPr>
              <w:t>HR [95</w:t>
            </w:r>
            <w:r w:rsidRPr="00934095">
              <w:rPr>
                <w:rFonts w:ascii="Times New Roman" w:eastAsia="Times New Roman" w:hAnsi="Times New Roman" w:cs="Times New Roman"/>
                <w:szCs w:val="20"/>
                <w:lang w:val="pt-PT"/>
              </w:rPr>
              <w:t>%</w:t>
            </w:r>
            <w:r w:rsidR="00843AAD">
              <w:rPr>
                <w:rFonts w:ascii="Times New Roman" w:eastAsia="Times New Roman" w:hAnsi="Times New Roman" w:cs="Times New Roman"/>
              </w:rPr>
              <w:t>-os</w:t>
            </w:r>
            <w:r w:rsidRPr="007E5A32">
              <w:rPr>
                <w:rFonts w:ascii="Times New Roman" w:hAnsi="Times New Roman"/>
                <w:lang w:val="pt-PT"/>
              </w:rPr>
              <w:t xml:space="preserve"> CI]; p</w:t>
            </w:r>
            <w:r w:rsidR="00104634" w:rsidRPr="00934095">
              <w:rPr>
                <w:rFonts w:ascii="Times New Roman" w:eastAsia="Times New Roman" w:hAnsi="Times New Roman" w:cs="Times New Roman"/>
                <w:szCs w:val="20"/>
                <w:lang w:val="pt-PT"/>
              </w:rPr>
              <w:t>-</w:t>
            </w:r>
            <w:r w:rsidRPr="007E5A32">
              <w:rPr>
                <w:rFonts w:ascii="Times New Roman" w:hAnsi="Times New Roman"/>
                <w:lang w:val="pt-PT"/>
              </w:rPr>
              <w:t>érték</w:t>
            </w:r>
          </w:p>
        </w:tc>
        <w:tc>
          <w:tcPr>
            <w:tcW w:w="5508" w:type="dxa"/>
            <w:gridSpan w:val="3"/>
            <w:tcBorders>
              <w:top w:val="single" w:sz="8" w:space="0" w:color="000000"/>
              <w:left w:val="single" w:sz="8" w:space="0" w:color="000000"/>
              <w:bottom w:val="single" w:sz="8" w:space="0" w:color="000000"/>
              <w:right w:val="single" w:sz="8" w:space="0" w:color="000000"/>
            </w:tcBorders>
          </w:tcPr>
          <w:p w14:paraId="1225B96A" w14:textId="77777777" w:rsidR="00956F16" w:rsidRPr="007E5A32" w:rsidRDefault="00956F16" w:rsidP="00956F16">
            <w:pPr>
              <w:keepNext/>
              <w:tabs>
                <w:tab w:val="left" w:pos="567"/>
              </w:tabs>
              <w:autoSpaceDE w:val="0"/>
              <w:autoSpaceDN w:val="0"/>
              <w:adjustRightInd w:val="0"/>
              <w:spacing w:after="0" w:line="240" w:lineRule="auto"/>
              <w:ind w:left="38"/>
              <w:jc w:val="center"/>
              <w:rPr>
                <w:rFonts w:ascii="Times New Roman" w:hAnsi="Times New Roman"/>
                <w:sz w:val="24"/>
                <w:lang w:val="pt-PT"/>
              </w:rPr>
            </w:pPr>
          </w:p>
        </w:tc>
      </w:tr>
      <w:tr w:rsidR="00956F16" w:rsidRPr="00956F16" w14:paraId="20E8D0E2" w14:textId="77777777" w:rsidTr="00694E9C">
        <w:trPr>
          <w:trHeight w:hRule="exact" w:val="273"/>
        </w:trPr>
        <w:tc>
          <w:tcPr>
            <w:tcW w:w="3828" w:type="dxa"/>
            <w:tcBorders>
              <w:top w:val="single" w:sz="8" w:space="0" w:color="000000"/>
              <w:left w:val="single" w:sz="8" w:space="0" w:color="000000"/>
              <w:bottom w:val="single" w:sz="8" w:space="0" w:color="000000"/>
              <w:right w:val="single" w:sz="8" w:space="0" w:color="000000"/>
            </w:tcBorders>
          </w:tcPr>
          <w:p w14:paraId="51EBE278" w14:textId="77777777" w:rsidR="00956F16" w:rsidRPr="00956F16" w:rsidRDefault="00956F16" w:rsidP="00956F16">
            <w:pPr>
              <w:keepNext/>
              <w:autoSpaceDE w:val="0"/>
              <w:autoSpaceDN w:val="0"/>
              <w:adjustRightInd w:val="0"/>
              <w:spacing w:after="0" w:line="240" w:lineRule="auto"/>
              <w:ind w:right="-20"/>
              <w:jc w:val="center"/>
              <w:rPr>
                <w:rFonts w:ascii="Times New Roman" w:eastAsia="Times New Roman" w:hAnsi="Times New Roman" w:cs="Times New Roman"/>
                <w:sz w:val="24"/>
                <w:szCs w:val="24"/>
                <w:lang w:val="pt-PT"/>
              </w:rPr>
            </w:pPr>
            <w:r w:rsidRPr="00956F16">
              <w:rPr>
                <w:rFonts w:ascii="Times New Roman" w:eastAsia="Times New Roman" w:hAnsi="Times New Roman" w:cs="Times New Roman"/>
                <w:szCs w:val="20"/>
                <w:lang w:val="pt-PT"/>
              </w:rPr>
              <w:t>MPR+R vs. MPp+p</w:t>
            </w:r>
          </w:p>
        </w:tc>
        <w:tc>
          <w:tcPr>
            <w:tcW w:w="5508" w:type="dxa"/>
            <w:gridSpan w:val="3"/>
            <w:tcBorders>
              <w:top w:val="single" w:sz="8" w:space="0" w:color="000000"/>
              <w:left w:val="single" w:sz="8" w:space="0" w:color="000000"/>
              <w:bottom w:val="single" w:sz="8" w:space="0" w:color="000000"/>
              <w:right w:val="single" w:sz="8" w:space="0" w:color="000000"/>
            </w:tcBorders>
          </w:tcPr>
          <w:p w14:paraId="615BFC3E" w14:textId="6CC45C32" w:rsidR="00956F16" w:rsidRPr="00956F16" w:rsidRDefault="00956F16" w:rsidP="00956F16">
            <w:pPr>
              <w:keepNext/>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0,37 (0,27</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0,50); &lt; 0,001</w:t>
            </w:r>
          </w:p>
        </w:tc>
      </w:tr>
      <w:tr w:rsidR="00956F16" w:rsidRPr="00956F16" w14:paraId="14884D6C" w14:textId="77777777" w:rsidTr="00694E9C">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1EA23955" w14:textId="77777777" w:rsidR="00956F16" w:rsidRPr="00956F16" w:rsidRDefault="00956F16" w:rsidP="00956F16">
            <w:pPr>
              <w:keepNext/>
              <w:autoSpaceDE w:val="0"/>
              <w:autoSpaceDN w:val="0"/>
              <w:adjustRightInd w:val="0"/>
              <w:spacing w:after="0" w:line="240" w:lineRule="auto"/>
              <w:ind w:right="-20"/>
              <w:jc w:val="center"/>
              <w:rPr>
                <w:rFonts w:ascii="Times New Roman" w:eastAsia="Times New Roman" w:hAnsi="Times New Roman" w:cs="Times New Roman"/>
                <w:sz w:val="24"/>
                <w:szCs w:val="24"/>
                <w:lang w:val="pt-PT"/>
              </w:rPr>
            </w:pPr>
            <w:r w:rsidRPr="00956F16">
              <w:rPr>
                <w:rFonts w:ascii="Times New Roman" w:eastAsia="Times New Roman" w:hAnsi="Times New Roman" w:cs="Times New Roman"/>
                <w:szCs w:val="20"/>
                <w:lang w:val="pt-PT"/>
              </w:rPr>
              <w:t>MPR+R vs. MPR+p</w:t>
            </w:r>
          </w:p>
        </w:tc>
        <w:tc>
          <w:tcPr>
            <w:tcW w:w="5508" w:type="dxa"/>
            <w:gridSpan w:val="3"/>
            <w:tcBorders>
              <w:top w:val="single" w:sz="8" w:space="0" w:color="000000"/>
              <w:left w:val="single" w:sz="8" w:space="0" w:color="000000"/>
              <w:bottom w:val="single" w:sz="8" w:space="0" w:color="000000"/>
              <w:right w:val="single" w:sz="8" w:space="0" w:color="000000"/>
            </w:tcBorders>
          </w:tcPr>
          <w:p w14:paraId="507E3371" w14:textId="4411DF47" w:rsidR="00956F16" w:rsidRPr="00956F16" w:rsidRDefault="00956F16" w:rsidP="00956F16">
            <w:pPr>
              <w:keepNext/>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0,47 (0,35</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0,65); &lt; 0,001</w:t>
            </w:r>
          </w:p>
        </w:tc>
      </w:tr>
      <w:tr w:rsidR="00956F16" w:rsidRPr="00956F16" w14:paraId="5756945C" w14:textId="77777777" w:rsidTr="00694E9C">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4C0ED3C4" w14:textId="77777777" w:rsidR="00956F16" w:rsidRPr="007E5A32" w:rsidRDefault="00956F16" w:rsidP="00956F16">
            <w:pPr>
              <w:keepNext/>
              <w:autoSpaceDE w:val="0"/>
              <w:autoSpaceDN w:val="0"/>
              <w:adjustRightInd w:val="0"/>
              <w:spacing w:after="0" w:line="240" w:lineRule="auto"/>
              <w:ind w:right="-20"/>
              <w:jc w:val="center"/>
              <w:rPr>
                <w:rFonts w:ascii="Times New Roman" w:hAnsi="Times New Roman"/>
                <w:sz w:val="24"/>
              </w:rPr>
            </w:pPr>
            <w:r w:rsidRPr="007E5A32">
              <w:rPr>
                <w:rFonts w:ascii="Times New Roman" w:hAnsi="Times New Roman"/>
              </w:rPr>
              <w:t>MPR+p vs. MPp+p</w:t>
            </w:r>
          </w:p>
        </w:tc>
        <w:tc>
          <w:tcPr>
            <w:tcW w:w="5508" w:type="dxa"/>
            <w:gridSpan w:val="3"/>
            <w:tcBorders>
              <w:top w:val="single" w:sz="8" w:space="0" w:color="000000"/>
              <w:left w:val="single" w:sz="8" w:space="0" w:color="000000"/>
              <w:bottom w:val="single" w:sz="8" w:space="0" w:color="000000"/>
              <w:right w:val="single" w:sz="8" w:space="0" w:color="000000"/>
            </w:tcBorders>
          </w:tcPr>
          <w:p w14:paraId="6FDEF47F" w14:textId="7CAF7D08" w:rsidR="00956F16" w:rsidRPr="00956F16" w:rsidRDefault="00956F16" w:rsidP="00956F16">
            <w:pPr>
              <w:keepNext/>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0,78 (0,60</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1,01); 0,059</w:t>
            </w:r>
          </w:p>
        </w:tc>
      </w:tr>
      <w:tr w:rsidR="00956F16" w:rsidRPr="00956F16" w14:paraId="3019BA4E" w14:textId="77777777" w:rsidTr="00694E9C">
        <w:trPr>
          <w:trHeight w:hRule="exact" w:val="291"/>
        </w:trPr>
        <w:tc>
          <w:tcPr>
            <w:tcW w:w="3828" w:type="dxa"/>
            <w:tcBorders>
              <w:top w:val="single" w:sz="8" w:space="0" w:color="000000"/>
              <w:left w:val="single" w:sz="8" w:space="0" w:color="000000"/>
              <w:bottom w:val="single" w:sz="8" w:space="0" w:color="000000"/>
              <w:right w:val="single" w:sz="8" w:space="0" w:color="000000"/>
            </w:tcBorders>
          </w:tcPr>
          <w:p w14:paraId="2F8680BD" w14:textId="4FFD892F" w:rsidR="00956F16" w:rsidRPr="00956F16" w:rsidRDefault="00956F16" w:rsidP="00956F16">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b/>
                <w:bCs/>
                <w:szCs w:val="20"/>
                <w:lang w:val="en-GB"/>
              </w:rPr>
              <w:t>PFS2</w:t>
            </w:r>
            <w:r w:rsidRPr="007E5A32">
              <w:rPr>
                <w:rFonts w:ascii="Times New Roman" w:hAnsi="Times New Roman"/>
                <w:lang w:val="en-GB"/>
              </w:rPr>
              <w:t xml:space="preserve"> </w:t>
            </w:r>
            <w:r w:rsidRPr="00956F16">
              <w:rPr>
                <w:rFonts w:ascii="Times New Roman" w:eastAsia="Times New Roman" w:hAnsi="Times New Roman" w:cs="Times New Roman"/>
                <w:b/>
                <w:bCs/>
                <w:szCs w:val="20"/>
                <w:lang w:val="en-GB"/>
              </w:rPr>
              <w:t>(hónap)</w:t>
            </w:r>
            <w:r w:rsidRPr="00956F16">
              <w:rPr>
                <w:rFonts w:ascii="Times New Roman" w:eastAsia="Times New Roman" w:hAnsi="Times New Roman" w:cs="Times New Roman"/>
                <w:vertAlign w:val="superscript"/>
                <w:lang w:val="en-GB"/>
              </w:rPr>
              <w:t>¤</w:t>
            </w:r>
          </w:p>
        </w:tc>
        <w:tc>
          <w:tcPr>
            <w:tcW w:w="5508" w:type="dxa"/>
            <w:gridSpan w:val="3"/>
            <w:tcBorders>
              <w:top w:val="single" w:sz="8" w:space="0" w:color="000000"/>
              <w:left w:val="single" w:sz="8" w:space="0" w:color="000000"/>
              <w:bottom w:val="single" w:sz="8" w:space="0" w:color="000000"/>
              <w:right w:val="single" w:sz="8" w:space="0" w:color="000000"/>
            </w:tcBorders>
          </w:tcPr>
          <w:p w14:paraId="56059B0A" w14:textId="77777777" w:rsidR="00956F16" w:rsidRPr="00956F16" w:rsidRDefault="00956F16" w:rsidP="00956F16">
            <w:pPr>
              <w:keepNext/>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p>
        </w:tc>
      </w:tr>
      <w:tr w:rsidR="00956F16" w:rsidRPr="00956F16" w14:paraId="4725FCD5" w14:textId="77777777" w:rsidTr="00694E9C">
        <w:trPr>
          <w:trHeight w:hRule="exact" w:val="495"/>
        </w:trPr>
        <w:tc>
          <w:tcPr>
            <w:tcW w:w="3828" w:type="dxa"/>
            <w:tcBorders>
              <w:top w:val="single" w:sz="8" w:space="0" w:color="000000"/>
              <w:left w:val="single" w:sz="8" w:space="0" w:color="000000"/>
              <w:bottom w:val="single" w:sz="8" w:space="0" w:color="000000"/>
              <w:right w:val="single" w:sz="8" w:space="0" w:color="000000"/>
            </w:tcBorders>
          </w:tcPr>
          <w:p w14:paraId="78001C1B" w14:textId="4C84A21F" w:rsidR="00843AAD"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rPr>
              <w:t>A PFS2 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ideje, hónapokban</w:t>
            </w:r>
          </w:p>
          <w:p w14:paraId="660D1CD9" w14:textId="174C5522" w:rsidR="00956F16" w:rsidRPr="007E5A32" w:rsidRDefault="00956F16" w:rsidP="00956F16">
            <w:pPr>
              <w:widowControl w:val="0"/>
              <w:tabs>
                <w:tab w:val="left" w:pos="567"/>
              </w:tabs>
              <w:autoSpaceDE w:val="0"/>
              <w:autoSpaceDN w:val="0"/>
              <w:adjustRightInd w:val="0"/>
              <w:spacing w:after="0" w:line="240" w:lineRule="auto"/>
              <w:ind w:right="-20"/>
              <w:jc w:val="center"/>
              <w:rPr>
                <w:rFonts w:ascii="Times New Roman" w:hAnsi="Times New Roman"/>
                <w:lang w:val="pt-PT"/>
              </w:rPr>
            </w:pPr>
            <w:r w:rsidRPr="007E5A32">
              <w:rPr>
                <w:rFonts w:ascii="Times New Roman" w:hAnsi="Times New Roman"/>
                <w:lang w:val="pt-PT"/>
              </w:rPr>
              <w:t>(95</w:t>
            </w:r>
            <w:r w:rsidRPr="00934095">
              <w:rPr>
                <w:rFonts w:ascii="Times New Roman" w:eastAsia="Times New Roman" w:hAnsi="Times New Roman" w:cs="Times New Roman"/>
                <w:lang w:val="pt-PT"/>
              </w:rPr>
              <w:t>%</w:t>
            </w:r>
            <w:r w:rsidR="00843AAD">
              <w:rPr>
                <w:rFonts w:ascii="Times New Roman" w:eastAsia="Times New Roman" w:hAnsi="Times New Roman" w:cs="Times New Roman"/>
              </w:rPr>
              <w:t>-os</w:t>
            </w:r>
            <w:r w:rsidRPr="007E5A32">
              <w:rPr>
                <w:rFonts w:ascii="Times New Roman" w:hAnsi="Times New Roman"/>
                <w:lang w:val="pt-PT"/>
              </w:rPr>
              <w:t> CI)</w:t>
            </w:r>
          </w:p>
        </w:tc>
        <w:tc>
          <w:tcPr>
            <w:tcW w:w="1822" w:type="dxa"/>
            <w:tcBorders>
              <w:top w:val="single" w:sz="8" w:space="0" w:color="000000"/>
              <w:left w:val="single" w:sz="8" w:space="0" w:color="000000"/>
              <w:bottom w:val="single" w:sz="8" w:space="0" w:color="000000"/>
              <w:right w:val="single" w:sz="4" w:space="0" w:color="000000"/>
            </w:tcBorders>
          </w:tcPr>
          <w:p w14:paraId="20189ADC" w14:textId="735C9EBA" w:rsidR="00956F16" w:rsidRPr="00956F16" w:rsidRDefault="00956F16" w:rsidP="00956F16">
            <w:pPr>
              <w:widowControl w:val="0"/>
              <w:tabs>
                <w:tab w:val="left" w:pos="567"/>
              </w:tabs>
              <w:autoSpaceDE w:val="0"/>
              <w:autoSpaceDN w:val="0"/>
              <w:adjustRightInd w:val="0"/>
              <w:spacing w:after="0" w:line="240" w:lineRule="auto"/>
              <w:ind w:lef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39,7 (29,2</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48,4)</w:t>
            </w:r>
          </w:p>
        </w:tc>
        <w:tc>
          <w:tcPr>
            <w:tcW w:w="1843" w:type="dxa"/>
            <w:tcBorders>
              <w:top w:val="single" w:sz="8" w:space="0" w:color="000000"/>
              <w:left w:val="single" w:sz="4" w:space="0" w:color="000000"/>
              <w:bottom w:val="single" w:sz="8" w:space="0" w:color="000000"/>
              <w:right w:val="single" w:sz="4" w:space="0" w:color="000000"/>
            </w:tcBorders>
          </w:tcPr>
          <w:p w14:paraId="6AF99E38" w14:textId="43424B78"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27,8 (23,1</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33,1)</w:t>
            </w:r>
          </w:p>
        </w:tc>
        <w:tc>
          <w:tcPr>
            <w:tcW w:w="1843" w:type="dxa"/>
            <w:tcBorders>
              <w:top w:val="single" w:sz="8" w:space="0" w:color="000000"/>
              <w:left w:val="single" w:sz="4" w:space="0" w:color="000000"/>
              <w:bottom w:val="single" w:sz="8" w:space="0" w:color="000000"/>
              <w:right w:val="single" w:sz="8" w:space="0" w:color="000000"/>
            </w:tcBorders>
          </w:tcPr>
          <w:p w14:paraId="0537C24F" w14:textId="615604D9"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28,8 (24,3</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33,8)</w:t>
            </w:r>
          </w:p>
        </w:tc>
      </w:tr>
      <w:tr w:rsidR="00956F16" w:rsidRPr="00956F16" w14:paraId="370EC49C" w14:textId="77777777" w:rsidTr="00694E9C">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176150B2" w14:textId="2660C816" w:rsidR="00956F16" w:rsidRPr="007E5A32" w:rsidRDefault="00956F16" w:rsidP="00956F16">
            <w:pPr>
              <w:widowControl w:val="0"/>
              <w:tabs>
                <w:tab w:val="left" w:pos="567"/>
              </w:tabs>
              <w:autoSpaceDE w:val="0"/>
              <w:autoSpaceDN w:val="0"/>
              <w:adjustRightInd w:val="0"/>
              <w:spacing w:after="0" w:line="240" w:lineRule="auto"/>
              <w:ind w:right="-20"/>
              <w:jc w:val="center"/>
              <w:rPr>
                <w:rFonts w:ascii="Times New Roman" w:hAnsi="Times New Roman"/>
                <w:sz w:val="24"/>
                <w:lang w:val="pt-PT"/>
              </w:rPr>
            </w:pPr>
            <w:r w:rsidRPr="007E5A32">
              <w:rPr>
                <w:rFonts w:ascii="Times New Roman" w:hAnsi="Times New Roman"/>
                <w:lang w:val="pt-PT"/>
              </w:rPr>
              <w:t>HR [95</w:t>
            </w:r>
            <w:r w:rsidRPr="00934095">
              <w:rPr>
                <w:rFonts w:ascii="Times New Roman" w:eastAsia="Times New Roman" w:hAnsi="Times New Roman" w:cs="Times New Roman"/>
                <w:szCs w:val="20"/>
                <w:lang w:val="pt-PT"/>
              </w:rPr>
              <w:t>%</w:t>
            </w:r>
            <w:r w:rsidR="00843AAD">
              <w:rPr>
                <w:rFonts w:ascii="Times New Roman" w:eastAsia="Times New Roman" w:hAnsi="Times New Roman" w:cs="Times New Roman"/>
              </w:rPr>
              <w:t>-os</w:t>
            </w:r>
            <w:r w:rsidRPr="007E5A32">
              <w:rPr>
                <w:rFonts w:ascii="Times New Roman" w:hAnsi="Times New Roman"/>
                <w:lang w:val="pt-PT"/>
              </w:rPr>
              <w:t xml:space="preserve"> CI]; p</w:t>
            </w:r>
            <w:r w:rsidR="00104634" w:rsidRPr="00934095">
              <w:rPr>
                <w:rFonts w:ascii="Times New Roman" w:eastAsia="Times New Roman" w:hAnsi="Times New Roman" w:cs="Times New Roman"/>
                <w:szCs w:val="20"/>
                <w:lang w:val="pt-PT"/>
              </w:rPr>
              <w:t>-</w:t>
            </w:r>
            <w:r w:rsidRPr="007E5A32">
              <w:rPr>
                <w:rFonts w:ascii="Times New Roman" w:hAnsi="Times New Roman"/>
                <w:lang w:val="pt-PT"/>
              </w:rPr>
              <w:t>érték</w:t>
            </w:r>
          </w:p>
        </w:tc>
        <w:tc>
          <w:tcPr>
            <w:tcW w:w="5508" w:type="dxa"/>
            <w:gridSpan w:val="3"/>
            <w:tcBorders>
              <w:top w:val="single" w:sz="8" w:space="0" w:color="000000"/>
              <w:left w:val="single" w:sz="8" w:space="0" w:color="000000"/>
              <w:bottom w:val="single" w:sz="8" w:space="0" w:color="000000"/>
              <w:right w:val="single" w:sz="8" w:space="0" w:color="000000"/>
            </w:tcBorders>
          </w:tcPr>
          <w:p w14:paraId="0B6183ED" w14:textId="77777777" w:rsidR="00956F16" w:rsidRPr="007E5A32" w:rsidRDefault="00956F16" w:rsidP="00956F16">
            <w:pPr>
              <w:widowControl w:val="0"/>
              <w:tabs>
                <w:tab w:val="left" w:pos="567"/>
              </w:tabs>
              <w:autoSpaceDE w:val="0"/>
              <w:autoSpaceDN w:val="0"/>
              <w:adjustRightInd w:val="0"/>
              <w:spacing w:after="0" w:line="240" w:lineRule="auto"/>
              <w:ind w:left="38"/>
              <w:jc w:val="center"/>
              <w:rPr>
                <w:rFonts w:ascii="Times New Roman" w:hAnsi="Times New Roman"/>
                <w:sz w:val="24"/>
                <w:lang w:val="pt-PT"/>
              </w:rPr>
            </w:pPr>
          </w:p>
        </w:tc>
      </w:tr>
      <w:tr w:rsidR="00956F16" w:rsidRPr="00956F16" w14:paraId="6B5D7180" w14:textId="77777777" w:rsidTr="00694E9C">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4C996046"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pt-PT"/>
              </w:rPr>
            </w:pPr>
            <w:r w:rsidRPr="00956F16">
              <w:rPr>
                <w:rFonts w:ascii="Times New Roman" w:eastAsia="Times New Roman" w:hAnsi="Times New Roman" w:cs="Times New Roman"/>
                <w:szCs w:val="20"/>
                <w:lang w:val="pt-PT"/>
              </w:rPr>
              <w:t>MPR+R vs. MPp+p</w:t>
            </w:r>
          </w:p>
        </w:tc>
        <w:tc>
          <w:tcPr>
            <w:tcW w:w="5508" w:type="dxa"/>
            <w:gridSpan w:val="3"/>
            <w:tcBorders>
              <w:top w:val="single" w:sz="8" w:space="0" w:color="000000"/>
              <w:left w:val="single" w:sz="8" w:space="0" w:color="000000"/>
              <w:bottom w:val="single" w:sz="8" w:space="0" w:color="000000"/>
              <w:right w:val="single" w:sz="8" w:space="0" w:color="000000"/>
            </w:tcBorders>
          </w:tcPr>
          <w:p w14:paraId="330F41D6" w14:textId="3C04D2E5"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0,70 (0,54</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0,92); 0,009</w:t>
            </w:r>
          </w:p>
        </w:tc>
      </w:tr>
      <w:tr w:rsidR="00956F16" w:rsidRPr="00956F16" w14:paraId="18B98FE1" w14:textId="77777777" w:rsidTr="00694E9C">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7AD835A1"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pt-PT"/>
              </w:rPr>
            </w:pPr>
            <w:r w:rsidRPr="00956F16">
              <w:rPr>
                <w:rFonts w:ascii="Times New Roman" w:eastAsia="Times New Roman" w:hAnsi="Times New Roman" w:cs="Times New Roman"/>
                <w:szCs w:val="20"/>
                <w:lang w:val="pt-PT"/>
              </w:rPr>
              <w:t>MPR+R vs. MPR+p</w:t>
            </w:r>
          </w:p>
        </w:tc>
        <w:tc>
          <w:tcPr>
            <w:tcW w:w="5508" w:type="dxa"/>
            <w:gridSpan w:val="3"/>
            <w:tcBorders>
              <w:top w:val="single" w:sz="8" w:space="0" w:color="000000"/>
              <w:left w:val="single" w:sz="8" w:space="0" w:color="000000"/>
              <w:bottom w:val="single" w:sz="8" w:space="0" w:color="000000"/>
              <w:right w:val="single" w:sz="8" w:space="0" w:color="000000"/>
            </w:tcBorders>
          </w:tcPr>
          <w:p w14:paraId="538E64B0" w14:textId="201B81C5"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0,77 (0,59</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1,02); 0,065</w:t>
            </w:r>
          </w:p>
        </w:tc>
      </w:tr>
      <w:tr w:rsidR="00956F16" w:rsidRPr="00956F16" w14:paraId="53EE3E2A" w14:textId="77777777" w:rsidTr="00694E9C">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21D15959" w14:textId="77777777" w:rsidR="00956F16" w:rsidRPr="007E5A32" w:rsidRDefault="00956F16" w:rsidP="00956F16">
            <w:pPr>
              <w:widowControl w:val="0"/>
              <w:tabs>
                <w:tab w:val="left" w:pos="567"/>
              </w:tabs>
              <w:autoSpaceDE w:val="0"/>
              <w:autoSpaceDN w:val="0"/>
              <w:adjustRightInd w:val="0"/>
              <w:spacing w:after="0" w:line="240" w:lineRule="auto"/>
              <w:ind w:right="-20"/>
              <w:jc w:val="center"/>
              <w:rPr>
                <w:rFonts w:ascii="Times New Roman" w:hAnsi="Times New Roman"/>
                <w:sz w:val="24"/>
              </w:rPr>
            </w:pPr>
            <w:r w:rsidRPr="007E5A32">
              <w:rPr>
                <w:rFonts w:ascii="Times New Roman" w:hAnsi="Times New Roman"/>
              </w:rPr>
              <w:t>MPR+p vs. MPp+p</w:t>
            </w:r>
          </w:p>
        </w:tc>
        <w:tc>
          <w:tcPr>
            <w:tcW w:w="5508" w:type="dxa"/>
            <w:gridSpan w:val="3"/>
            <w:tcBorders>
              <w:top w:val="single" w:sz="8" w:space="0" w:color="000000"/>
              <w:left w:val="single" w:sz="8" w:space="0" w:color="000000"/>
              <w:bottom w:val="single" w:sz="8" w:space="0" w:color="000000"/>
              <w:right w:val="single" w:sz="8" w:space="0" w:color="000000"/>
            </w:tcBorders>
          </w:tcPr>
          <w:p w14:paraId="775D5E0E" w14:textId="5A4E2F97"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0,92 (0,71</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1,19); 0,051</w:t>
            </w:r>
          </w:p>
        </w:tc>
      </w:tr>
      <w:tr w:rsidR="00956F16" w:rsidRPr="00956F16" w14:paraId="0BCB9528" w14:textId="77777777" w:rsidTr="00694E9C">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75D3AD7E"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b/>
                <w:bCs/>
              </w:rPr>
              <w:t>Teljes túlélés (OS)</w:t>
            </w:r>
            <w:r w:rsidRPr="00956F16">
              <w:rPr>
                <w:rFonts w:ascii="Times New Roman" w:eastAsia="Times New Roman" w:hAnsi="Times New Roman" w:cs="Times New Roman"/>
                <w:b/>
                <w:bCs/>
                <w:szCs w:val="20"/>
              </w:rPr>
              <w:t xml:space="preserve"> (hónap)</w:t>
            </w:r>
          </w:p>
        </w:tc>
        <w:tc>
          <w:tcPr>
            <w:tcW w:w="5508" w:type="dxa"/>
            <w:gridSpan w:val="3"/>
            <w:tcBorders>
              <w:top w:val="single" w:sz="8" w:space="0" w:color="000000"/>
              <w:left w:val="single" w:sz="8" w:space="0" w:color="000000"/>
              <w:bottom w:val="single" w:sz="8" w:space="0" w:color="000000"/>
              <w:right w:val="single" w:sz="8" w:space="0" w:color="000000"/>
            </w:tcBorders>
          </w:tcPr>
          <w:p w14:paraId="54B3AB9D" w14:textId="77777777"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p>
        </w:tc>
      </w:tr>
      <w:tr w:rsidR="00956F16" w:rsidRPr="00956F16" w14:paraId="565C10CF" w14:textId="77777777" w:rsidTr="007E5A32">
        <w:trPr>
          <w:trHeight w:hRule="exact" w:val="589"/>
        </w:trPr>
        <w:tc>
          <w:tcPr>
            <w:tcW w:w="3828" w:type="dxa"/>
            <w:tcBorders>
              <w:top w:val="single" w:sz="8" w:space="0" w:color="000000"/>
              <w:left w:val="single" w:sz="8" w:space="0" w:color="000000"/>
              <w:bottom w:val="single" w:sz="8" w:space="0" w:color="000000"/>
              <w:right w:val="single" w:sz="8" w:space="0" w:color="000000"/>
            </w:tcBorders>
          </w:tcPr>
          <w:p w14:paraId="04577160" w14:textId="69E8AE5C" w:rsidR="00843AAD"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rPr>
            </w:pPr>
            <w:r w:rsidRPr="00956F16">
              <w:rPr>
                <w:rFonts w:ascii="Times New Roman" w:eastAsia="Times New Roman" w:hAnsi="Times New Roman" w:cs="Times New Roman"/>
              </w:rPr>
              <w:t>Az OS medián</w:t>
            </w:r>
            <w:r w:rsidRPr="00956F16">
              <w:rPr>
                <w:rFonts w:ascii="Times New Roman" w:eastAsia="Times New Roman" w:hAnsi="Times New Roman" w:cs="Times New Roman"/>
                <w:vertAlign w:val="superscript"/>
              </w:rPr>
              <w:t>a</w:t>
            </w:r>
            <w:r w:rsidRPr="00956F16">
              <w:rPr>
                <w:rFonts w:ascii="Times New Roman" w:eastAsia="Times New Roman" w:hAnsi="Times New Roman" w:cs="Times New Roman"/>
              </w:rPr>
              <w:t xml:space="preserve"> ideje, hónapokban</w:t>
            </w:r>
          </w:p>
          <w:p w14:paraId="1C25E152" w14:textId="1E75EC5F" w:rsidR="00956F16" w:rsidRPr="00441247"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lang w:val="pt-PT"/>
              </w:rPr>
            </w:pPr>
            <w:r w:rsidRPr="00441247">
              <w:rPr>
                <w:rFonts w:ascii="Times New Roman" w:eastAsia="Times New Roman" w:hAnsi="Times New Roman" w:cs="Times New Roman"/>
                <w:lang w:val="pt-PT"/>
              </w:rPr>
              <w:t>(95%</w:t>
            </w:r>
            <w:r w:rsidR="00843AAD">
              <w:rPr>
                <w:rFonts w:ascii="Times New Roman" w:eastAsia="Times New Roman" w:hAnsi="Times New Roman" w:cs="Times New Roman"/>
              </w:rPr>
              <w:t>-os</w:t>
            </w:r>
            <w:r w:rsidRPr="00441247">
              <w:rPr>
                <w:rFonts w:ascii="Times New Roman" w:eastAsia="Times New Roman" w:hAnsi="Times New Roman" w:cs="Times New Roman"/>
                <w:lang w:val="pt-PT"/>
              </w:rPr>
              <w:t> CI)</w:t>
            </w:r>
          </w:p>
        </w:tc>
        <w:tc>
          <w:tcPr>
            <w:tcW w:w="1822" w:type="dxa"/>
            <w:tcBorders>
              <w:top w:val="single" w:sz="8" w:space="0" w:color="000000"/>
              <w:left w:val="single" w:sz="8" w:space="0" w:color="000000"/>
              <w:bottom w:val="single" w:sz="8" w:space="0" w:color="000000"/>
              <w:right w:val="single" w:sz="8" w:space="0" w:color="000000"/>
            </w:tcBorders>
          </w:tcPr>
          <w:p w14:paraId="7441CCB2" w14:textId="0484A992" w:rsidR="00956F16" w:rsidRPr="00956F16" w:rsidRDefault="00956F16" w:rsidP="00956F16">
            <w:pPr>
              <w:widowControl w:val="0"/>
              <w:tabs>
                <w:tab w:val="left" w:pos="567"/>
              </w:tabs>
              <w:autoSpaceDE w:val="0"/>
              <w:autoSpaceDN w:val="0"/>
              <w:adjustRightInd w:val="0"/>
              <w:spacing w:after="0" w:line="240" w:lineRule="auto"/>
              <w:ind w:lef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55,9 (49,1</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67,5)</w:t>
            </w:r>
          </w:p>
        </w:tc>
        <w:tc>
          <w:tcPr>
            <w:tcW w:w="1843" w:type="dxa"/>
            <w:tcBorders>
              <w:top w:val="single" w:sz="8" w:space="0" w:color="000000"/>
              <w:left w:val="single" w:sz="8" w:space="0" w:color="000000"/>
              <w:bottom w:val="single" w:sz="8" w:space="0" w:color="000000"/>
              <w:right w:val="single" w:sz="8" w:space="0" w:color="000000"/>
            </w:tcBorders>
          </w:tcPr>
          <w:p w14:paraId="1B56B490" w14:textId="706A0739"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51,9 (43,1</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60,6)</w:t>
            </w:r>
          </w:p>
        </w:tc>
        <w:tc>
          <w:tcPr>
            <w:tcW w:w="1843" w:type="dxa"/>
            <w:tcBorders>
              <w:top w:val="single" w:sz="8" w:space="0" w:color="000000"/>
              <w:left w:val="single" w:sz="8" w:space="0" w:color="000000"/>
              <w:bottom w:val="single" w:sz="8" w:space="0" w:color="000000"/>
              <w:right w:val="single" w:sz="8" w:space="0" w:color="000000"/>
            </w:tcBorders>
          </w:tcPr>
          <w:p w14:paraId="6859C15E" w14:textId="2EA416F6"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53,9 (47,3</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64,2)</w:t>
            </w:r>
          </w:p>
        </w:tc>
      </w:tr>
      <w:tr w:rsidR="00956F16" w:rsidRPr="00956F16" w14:paraId="28DA1EE2" w14:textId="77777777" w:rsidTr="00694E9C">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24FDB0FD" w14:textId="01E3139A" w:rsidR="00956F16" w:rsidRPr="007E5A32" w:rsidRDefault="00956F16" w:rsidP="00956F16">
            <w:pPr>
              <w:widowControl w:val="0"/>
              <w:tabs>
                <w:tab w:val="left" w:pos="567"/>
              </w:tabs>
              <w:autoSpaceDE w:val="0"/>
              <w:autoSpaceDN w:val="0"/>
              <w:adjustRightInd w:val="0"/>
              <w:spacing w:after="0" w:line="240" w:lineRule="auto"/>
              <w:ind w:right="-20"/>
              <w:jc w:val="center"/>
              <w:rPr>
                <w:rFonts w:ascii="Times New Roman" w:hAnsi="Times New Roman"/>
                <w:sz w:val="24"/>
                <w:lang w:val="pt-PT"/>
              </w:rPr>
            </w:pPr>
            <w:r w:rsidRPr="007E5A32">
              <w:rPr>
                <w:rFonts w:ascii="Times New Roman" w:hAnsi="Times New Roman"/>
                <w:lang w:val="pt-PT"/>
              </w:rPr>
              <w:t>HR [95</w:t>
            </w:r>
            <w:r w:rsidRPr="00934095">
              <w:rPr>
                <w:rFonts w:ascii="Times New Roman" w:eastAsia="Times New Roman" w:hAnsi="Times New Roman" w:cs="Times New Roman"/>
                <w:szCs w:val="20"/>
                <w:lang w:val="pt-PT"/>
              </w:rPr>
              <w:t>%</w:t>
            </w:r>
            <w:r w:rsidR="00843AAD">
              <w:rPr>
                <w:rFonts w:ascii="Times New Roman" w:eastAsia="Times New Roman" w:hAnsi="Times New Roman" w:cs="Times New Roman"/>
              </w:rPr>
              <w:t>-os</w:t>
            </w:r>
            <w:r w:rsidRPr="007E5A32">
              <w:rPr>
                <w:rFonts w:ascii="Times New Roman" w:hAnsi="Times New Roman"/>
                <w:lang w:val="pt-PT"/>
              </w:rPr>
              <w:t xml:space="preserve"> CI]; p</w:t>
            </w:r>
            <w:r w:rsidR="00104634" w:rsidRPr="00934095">
              <w:rPr>
                <w:rFonts w:ascii="Times New Roman" w:eastAsia="Times New Roman" w:hAnsi="Times New Roman" w:cs="Times New Roman"/>
                <w:szCs w:val="20"/>
                <w:lang w:val="pt-PT"/>
              </w:rPr>
              <w:t>-</w:t>
            </w:r>
            <w:r w:rsidRPr="007E5A32">
              <w:rPr>
                <w:rFonts w:ascii="Times New Roman" w:hAnsi="Times New Roman"/>
                <w:lang w:val="pt-PT"/>
              </w:rPr>
              <w:t>érték</w:t>
            </w:r>
          </w:p>
        </w:tc>
        <w:tc>
          <w:tcPr>
            <w:tcW w:w="5508" w:type="dxa"/>
            <w:gridSpan w:val="3"/>
            <w:tcBorders>
              <w:top w:val="single" w:sz="8" w:space="0" w:color="000000"/>
              <w:left w:val="single" w:sz="8" w:space="0" w:color="000000"/>
              <w:bottom w:val="single" w:sz="8" w:space="0" w:color="000000"/>
              <w:right w:val="single" w:sz="8" w:space="0" w:color="000000"/>
            </w:tcBorders>
          </w:tcPr>
          <w:p w14:paraId="337BA0F1" w14:textId="77777777" w:rsidR="00956F16" w:rsidRPr="007E5A32" w:rsidRDefault="00956F16" w:rsidP="00956F16">
            <w:pPr>
              <w:widowControl w:val="0"/>
              <w:tabs>
                <w:tab w:val="left" w:pos="567"/>
              </w:tabs>
              <w:autoSpaceDE w:val="0"/>
              <w:autoSpaceDN w:val="0"/>
              <w:adjustRightInd w:val="0"/>
              <w:spacing w:after="0" w:line="240" w:lineRule="auto"/>
              <w:ind w:left="38"/>
              <w:jc w:val="center"/>
              <w:rPr>
                <w:rFonts w:ascii="Times New Roman" w:hAnsi="Times New Roman"/>
                <w:sz w:val="24"/>
                <w:lang w:val="pt-PT"/>
              </w:rPr>
            </w:pPr>
          </w:p>
        </w:tc>
      </w:tr>
      <w:tr w:rsidR="00956F16" w:rsidRPr="00956F16" w14:paraId="45F124D4" w14:textId="77777777" w:rsidTr="00694E9C">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52DF9C11"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pt-PT"/>
              </w:rPr>
            </w:pPr>
            <w:r w:rsidRPr="00956F16">
              <w:rPr>
                <w:rFonts w:ascii="Times New Roman" w:eastAsia="Times New Roman" w:hAnsi="Times New Roman" w:cs="Times New Roman"/>
                <w:szCs w:val="20"/>
                <w:lang w:val="pt-PT"/>
              </w:rPr>
              <w:t>MPR+R vs MPp+p</w:t>
            </w:r>
          </w:p>
        </w:tc>
        <w:tc>
          <w:tcPr>
            <w:tcW w:w="5508" w:type="dxa"/>
            <w:gridSpan w:val="3"/>
            <w:tcBorders>
              <w:top w:val="single" w:sz="8" w:space="0" w:color="000000"/>
              <w:left w:val="single" w:sz="8" w:space="0" w:color="000000"/>
              <w:bottom w:val="single" w:sz="8" w:space="0" w:color="000000"/>
              <w:right w:val="single" w:sz="8" w:space="0" w:color="000000"/>
            </w:tcBorders>
          </w:tcPr>
          <w:p w14:paraId="67731B74" w14:textId="68119B94"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0,95 (0,70</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1,29); 0,736</w:t>
            </w:r>
          </w:p>
        </w:tc>
      </w:tr>
      <w:tr w:rsidR="00956F16" w:rsidRPr="00956F16" w14:paraId="472FA075" w14:textId="77777777" w:rsidTr="00694E9C">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4F1EC43D"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pt-PT"/>
              </w:rPr>
            </w:pPr>
            <w:r w:rsidRPr="00956F16">
              <w:rPr>
                <w:rFonts w:ascii="Times New Roman" w:eastAsia="Times New Roman" w:hAnsi="Times New Roman" w:cs="Times New Roman"/>
                <w:szCs w:val="20"/>
                <w:lang w:val="pt-PT"/>
              </w:rPr>
              <w:t>MPR+R vs MPR+p</w:t>
            </w:r>
          </w:p>
        </w:tc>
        <w:tc>
          <w:tcPr>
            <w:tcW w:w="5508" w:type="dxa"/>
            <w:gridSpan w:val="3"/>
            <w:tcBorders>
              <w:top w:val="single" w:sz="8" w:space="0" w:color="000000"/>
              <w:left w:val="single" w:sz="8" w:space="0" w:color="000000"/>
              <w:bottom w:val="single" w:sz="8" w:space="0" w:color="000000"/>
              <w:right w:val="single" w:sz="8" w:space="0" w:color="000000"/>
            </w:tcBorders>
          </w:tcPr>
          <w:p w14:paraId="6A5B2F39" w14:textId="068A7029"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0,88 (0,65</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1,20); 0,43</w:t>
            </w:r>
          </w:p>
        </w:tc>
      </w:tr>
      <w:tr w:rsidR="00956F16" w:rsidRPr="00956F16" w14:paraId="70A7000B" w14:textId="77777777" w:rsidTr="00694E9C">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092B80EC" w14:textId="77777777" w:rsidR="00956F16" w:rsidRPr="007E5A32" w:rsidRDefault="00956F16" w:rsidP="00956F16">
            <w:pPr>
              <w:widowControl w:val="0"/>
              <w:tabs>
                <w:tab w:val="left" w:pos="567"/>
              </w:tabs>
              <w:autoSpaceDE w:val="0"/>
              <w:autoSpaceDN w:val="0"/>
              <w:adjustRightInd w:val="0"/>
              <w:spacing w:after="0" w:line="240" w:lineRule="auto"/>
              <w:ind w:right="-20"/>
              <w:jc w:val="center"/>
              <w:rPr>
                <w:rFonts w:ascii="Times New Roman" w:hAnsi="Times New Roman"/>
                <w:sz w:val="24"/>
              </w:rPr>
            </w:pPr>
            <w:r w:rsidRPr="007E5A32">
              <w:rPr>
                <w:rFonts w:ascii="Times New Roman" w:hAnsi="Times New Roman"/>
              </w:rPr>
              <w:t>MPR+p vs MPp+p</w:t>
            </w:r>
          </w:p>
        </w:tc>
        <w:tc>
          <w:tcPr>
            <w:tcW w:w="5508" w:type="dxa"/>
            <w:gridSpan w:val="3"/>
            <w:tcBorders>
              <w:top w:val="single" w:sz="8" w:space="0" w:color="000000"/>
              <w:left w:val="single" w:sz="8" w:space="0" w:color="000000"/>
              <w:bottom w:val="single" w:sz="8" w:space="0" w:color="000000"/>
              <w:right w:val="single" w:sz="8" w:space="0" w:color="000000"/>
            </w:tcBorders>
          </w:tcPr>
          <w:p w14:paraId="64FD9E19" w14:textId="07FD7DE2"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1,07 (0,79</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1,45); 0,67</w:t>
            </w:r>
          </w:p>
        </w:tc>
      </w:tr>
      <w:tr w:rsidR="00956F16" w:rsidRPr="00956F16" w14:paraId="5E98291F" w14:textId="77777777" w:rsidTr="00694E9C">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51B99377"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Utánkövetés (hónap)</w:t>
            </w:r>
          </w:p>
        </w:tc>
        <w:tc>
          <w:tcPr>
            <w:tcW w:w="5508" w:type="dxa"/>
            <w:gridSpan w:val="3"/>
            <w:tcBorders>
              <w:top w:val="single" w:sz="8" w:space="0" w:color="000000"/>
              <w:left w:val="single" w:sz="8" w:space="0" w:color="000000"/>
              <w:bottom w:val="single" w:sz="8" w:space="0" w:color="000000"/>
              <w:right w:val="single" w:sz="8" w:space="0" w:color="000000"/>
            </w:tcBorders>
          </w:tcPr>
          <w:p w14:paraId="575B249B" w14:textId="77777777"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p>
        </w:tc>
      </w:tr>
      <w:tr w:rsidR="00956F16" w:rsidRPr="00956F16" w14:paraId="4ABA6DF8" w14:textId="77777777" w:rsidTr="00694E9C">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0E6E69CC" w14:textId="77777777" w:rsidR="00956F16" w:rsidRPr="002B4A44" w:rsidRDefault="00956F16" w:rsidP="00956F16">
            <w:pPr>
              <w:widowControl w:val="0"/>
              <w:tabs>
                <w:tab w:val="left" w:pos="567"/>
              </w:tabs>
              <w:autoSpaceDE w:val="0"/>
              <w:autoSpaceDN w:val="0"/>
              <w:adjustRightInd w:val="0"/>
              <w:spacing w:after="0" w:line="240" w:lineRule="auto"/>
              <w:ind w:right="-20" w:hanging="306"/>
              <w:jc w:val="center"/>
              <w:rPr>
                <w:rFonts w:ascii="Times New Roman" w:eastAsia="Times New Roman" w:hAnsi="Times New Roman" w:cs="Times New Roman"/>
                <w:sz w:val="24"/>
                <w:szCs w:val="24"/>
                <w:lang w:val="nb-NO"/>
              </w:rPr>
            </w:pPr>
            <w:r w:rsidRPr="00956F16">
              <w:rPr>
                <w:rFonts w:ascii="Times New Roman" w:eastAsia="Times New Roman" w:hAnsi="Times New Roman" w:cs="Times New Roman"/>
              </w:rPr>
              <w:t>Medián (min., max.): az összes beteg</w:t>
            </w:r>
          </w:p>
        </w:tc>
        <w:tc>
          <w:tcPr>
            <w:tcW w:w="1822" w:type="dxa"/>
            <w:tcBorders>
              <w:top w:val="single" w:sz="8" w:space="0" w:color="000000"/>
              <w:left w:val="single" w:sz="8" w:space="0" w:color="000000"/>
              <w:bottom w:val="single" w:sz="8" w:space="0" w:color="000000"/>
              <w:right w:val="single" w:sz="8" w:space="0" w:color="000000"/>
            </w:tcBorders>
          </w:tcPr>
          <w:p w14:paraId="3CDD814A" w14:textId="22D3084B" w:rsidR="00956F16" w:rsidRPr="00956F16" w:rsidRDefault="00956F16" w:rsidP="00956F16">
            <w:pPr>
              <w:widowControl w:val="0"/>
              <w:tabs>
                <w:tab w:val="left" w:pos="567"/>
              </w:tabs>
              <w:autoSpaceDE w:val="0"/>
              <w:autoSpaceDN w:val="0"/>
              <w:adjustRightInd w:val="0"/>
              <w:spacing w:after="0" w:line="240" w:lineRule="auto"/>
              <w:ind w:lef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48,4 (0,8</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73,8)</w:t>
            </w:r>
          </w:p>
        </w:tc>
        <w:tc>
          <w:tcPr>
            <w:tcW w:w="1843" w:type="dxa"/>
            <w:tcBorders>
              <w:top w:val="single" w:sz="8" w:space="0" w:color="000000"/>
              <w:left w:val="single" w:sz="8" w:space="0" w:color="000000"/>
              <w:bottom w:val="single" w:sz="8" w:space="0" w:color="000000"/>
              <w:right w:val="single" w:sz="8" w:space="0" w:color="000000"/>
            </w:tcBorders>
          </w:tcPr>
          <w:p w14:paraId="18B5C6FB" w14:textId="14F1D9C6"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46,3 (0,5</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71,9)</w:t>
            </w:r>
          </w:p>
        </w:tc>
        <w:tc>
          <w:tcPr>
            <w:tcW w:w="1843" w:type="dxa"/>
            <w:tcBorders>
              <w:top w:val="single" w:sz="8" w:space="0" w:color="000000"/>
              <w:left w:val="single" w:sz="8" w:space="0" w:color="000000"/>
              <w:bottom w:val="single" w:sz="8" w:space="0" w:color="000000"/>
              <w:right w:val="single" w:sz="8" w:space="0" w:color="000000"/>
            </w:tcBorders>
          </w:tcPr>
          <w:p w14:paraId="109F4F85" w14:textId="1D3C4112"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50,4 (0,5</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73,3)</w:t>
            </w:r>
          </w:p>
        </w:tc>
      </w:tr>
      <w:tr w:rsidR="00956F16" w:rsidRPr="00956F16" w14:paraId="1989BFC6" w14:textId="77777777" w:rsidTr="00694E9C">
        <w:trPr>
          <w:trHeight w:hRule="exact" w:val="528"/>
        </w:trPr>
        <w:tc>
          <w:tcPr>
            <w:tcW w:w="3828" w:type="dxa"/>
            <w:tcBorders>
              <w:top w:val="single" w:sz="8" w:space="0" w:color="000000"/>
              <w:left w:val="single" w:sz="8" w:space="0" w:color="000000"/>
              <w:bottom w:val="single" w:sz="8" w:space="0" w:color="000000"/>
              <w:right w:val="single" w:sz="8" w:space="0" w:color="000000"/>
            </w:tcBorders>
          </w:tcPr>
          <w:p w14:paraId="6D1995F6" w14:textId="77777777" w:rsidR="00956F16" w:rsidRPr="007E5A32" w:rsidRDefault="00956F16" w:rsidP="00956F16">
            <w:pPr>
              <w:widowControl w:val="0"/>
              <w:tabs>
                <w:tab w:val="left" w:pos="567"/>
              </w:tabs>
              <w:autoSpaceDE w:val="0"/>
              <w:autoSpaceDN w:val="0"/>
              <w:adjustRightInd w:val="0"/>
              <w:spacing w:after="0" w:line="240" w:lineRule="auto"/>
              <w:ind w:right="-20"/>
              <w:jc w:val="center"/>
              <w:rPr>
                <w:rFonts w:ascii="Times New Roman" w:hAnsi="Times New Roman"/>
              </w:rPr>
            </w:pPr>
            <w:r w:rsidRPr="00956F16">
              <w:rPr>
                <w:rFonts w:ascii="Times New Roman" w:eastAsia="Times New Roman" w:hAnsi="Times New Roman" w:cs="Times New Roman"/>
                <w:b/>
                <w:bCs/>
              </w:rPr>
              <w:t xml:space="preserve">Myeloma válasz a vizsgálatot végző megítélése alapján </w:t>
            </w:r>
            <w:r w:rsidRPr="007E5A32">
              <w:rPr>
                <w:rFonts w:ascii="Times New Roman" w:hAnsi="Times New Roman"/>
                <w:b/>
              </w:rPr>
              <w:t>n (%)</w:t>
            </w:r>
          </w:p>
        </w:tc>
        <w:tc>
          <w:tcPr>
            <w:tcW w:w="5508" w:type="dxa"/>
            <w:gridSpan w:val="3"/>
            <w:tcBorders>
              <w:top w:val="single" w:sz="8" w:space="0" w:color="000000"/>
              <w:left w:val="single" w:sz="8" w:space="0" w:color="000000"/>
              <w:bottom w:val="single" w:sz="8" w:space="0" w:color="000000"/>
              <w:right w:val="single" w:sz="8" w:space="0" w:color="000000"/>
            </w:tcBorders>
          </w:tcPr>
          <w:p w14:paraId="099AFA87" w14:textId="77777777" w:rsidR="00956F16" w:rsidRPr="007E5A32" w:rsidRDefault="00956F16" w:rsidP="00956F16">
            <w:pPr>
              <w:widowControl w:val="0"/>
              <w:tabs>
                <w:tab w:val="left" w:pos="567"/>
              </w:tabs>
              <w:autoSpaceDE w:val="0"/>
              <w:autoSpaceDN w:val="0"/>
              <w:adjustRightInd w:val="0"/>
              <w:spacing w:after="0" w:line="240" w:lineRule="auto"/>
              <w:ind w:left="38"/>
              <w:jc w:val="center"/>
              <w:rPr>
                <w:rFonts w:ascii="Times New Roman" w:hAnsi="Times New Roman"/>
                <w:sz w:val="24"/>
              </w:rPr>
            </w:pPr>
          </w:p>
        </w:tc>
      </w:tr>
      <w:tr w:rsidR="00956F16" w:rsidRPr="00956F16" w14:paraId="76AC3F11" w14:textId="77777777" w:rsidTr="00694E9C">
        <w:trPr>
          <w:trHeight w:hRule="exact" w:val="274"/>
        </w:trPr>
        <w:tc>
          <w:tcPr>
            <w:tcW w:w="3828" w:type="dxa"/>
            <w:tcBorders>
              <w:top w:val="single" w:sz="8" w:space="0" w:color="000000"/>
              <w:left w:val="single" w:sz="8" w:space="0" w:color="000000"/>
              <w:bottom w:val="single" w:sz="4" w:space="0" w:color="auto"/>
              <w:right w:val="single" w:sz="4" w:space="0" w:color="auto"/>
            </w:tcBorders>
          </w:tcPr>
          <w:p w14:paraId="548EC148"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CR</w:t>
            </w:r>
          </w:p>
        </w:tc>
        <w:tc>
          <w:tcPr>
            <w:tcW w:w="1822" w:type="dxa"/>
            <w:tcBorders>
              <w:top w:val="single" w:sz="8" w:space="0" w:color="000000"/>
              <w:left w:val="single" w:sz="4" w:space="0" w:color="auto"/>
              <w:bottom w:val="single" w:sz="4" w:space="0" w:color="auto"/>
              <w:right w:val="single" w:sz="4" w:space="0" w:color="auto"/>
            </w:tcBorders>
          </w:tcPr>
          <w:p w14:paraId="0399C366" w14:textId="77777777" w:rsidR="00956F16" w:rsidRPr="00956F16" w:rsidRDefault="00956F16" w:rsidP="00956F16">
            <w:pPr>
              <w:widowControl w:val="0"/>
              <w:tabs>
                <w:tab w:val="left" w:pos="567"/>
              </w:tabs>
              <w:autoSpaceDE w:val="0"/>
              <w:autoSpaceDN w:val="0"/>
              <w:adjustRightInd w:val="0"/>
              <w:spacing w:after="0" w:line="240" w:lineRule="auto"/>
              <w:ind w:lef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30 (19,7)</w:t>
            </w:r>
          </w:p>
        </w:tc>
        <w:tc>
          <w:tcPr>
            <w:tcW w:w="1843" w:type="dxa"/>
            <w:tcBorders>
              <w:top w:val="single" w:sz="8" w:space="0" w:color="000000"/>
              <w:left w:val="single" w:sz="4" w:space="0" w:color="auto"/>
              <w:bottom w:val="single" w:sz="4" w:space="0" w:color="auto"/>
              <w:right w:val="single" w:sz="4" w:space="0" w:color="auto"/>
            </w:tcBorders>
          </w:tcPr>
          <w:p w14:paraId="3CE9C42C" w14:textId="77777777"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17 (11,1)</w:t>
            </w:r>
          </w:p>
        </w:tc>
        <w:tc>
          <w:tcPr>
            <w:tcW w:w="1843" w:type="dxa"/>
            <w:tcBorders>
              <w:top w:val="single" w:sz="8" w:space="0" w:color="000000"/>
              <w:left w:val="single" w:sz="4" w:space="0" w:color="auto"/>
              <w:bottom w:val="single" w:sz="4" w:space="0" w:color="auto"/>
              <w:right w:val="single" w:sz="8" w:space="0" w:color="000000"/>
            </w:tcBorders>
          </w:tcPr>
          <w:p w14:paraId="6F179496" w14:textId="77777777"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9 (5,8)</w:t>
            </w:r>
          </w:p>
        </w:tc>
      </w:tr>
      <w:tr w:rsidR="00956F16" w:rsidRPr="00956F16" w14:paraId="75245687" w14:textId="77777777" w:rsidTr="00694E9C">
        <w:trPr>
          <w:trHeight w:hRule="exact" w:val="277"/>
        </w:trPr>
        <w:tc>
          <w:tcPr>
            <w:tcW w:w="3828" w:type="dxa"/>
            <w:tcBorders>
              <w:top w:val="single" w:sz="4" w:space="0" w:color="auto"/>
              <w:left w:val="single" w:sz="8" w:space="0" w:color="000000"/>
              <w:bottom w:val="single" w:sz="8" w:space="0" w:color="000000"/>
              <w:right w:val="single" w:sz="4" w:space="0" w:color="auto"/>
            </w:tcBorders>
          </w:tcPr>
          <w:p w14:paraId="48FC63B0"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PR</w:t>
            </w:r>
          </w:p>
        </w:tc>
        <w:tc>
          <w:tcPr>
            <w:tcW w:w="1822" w:type="dxa"/>
            <w:tcBorders>
              <w:top w:val="single" w:sz="4" w:space="0" w:color="auto"/>
              <w:left w:val="single" w:sz="4" w:space="0" w:color="auto"/>
              <w:bottom w:val="single" w:sz="8" w:space="0" w:color="000000"/>
              <w:right w:val="single" w:sz="4" w:space="0" w:color="auto"/>
            </w:tcBorders>
          </w:tcPr>
          <w:p w14:paraId="1589422A" w14:textId="77777777" w:rsidR="00956F16" w:rsidRPr="00956F16" w:rsidRDefault="00956F16" w:rsidP="00956F16">
            <w:pPr>
              <w:widowControl w:val="0"/>
              <w:tabs>
                <w:tab w:val="left" w:pos="567"/>
              </w:tabs>
              <w:autoSpaceDE w:val="0"/>
              <w:autoSpaceDN w:val="0"/>
              <w:adjustRightInd w:val="0"/>
              <w:spacing w:after="0" w:line="240" w:lineRule="auto"/>
              <w:ind w:lef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90 (59,2)</w:t>
            </w:r>
          </w:p>
        </w:tc>
        <w:tc>
          <w:tcPr>
            <w:tcW w:w="1843" w:type="dxa"/>
            <w:tcBorders>
              <w:top w:val="single" w:sz="4" w:space="0" w:color="auto"/>
              <w:left w:val="single" w:sz="4" w:space="0" w:color="auto"/>
              <w:bottom w:val="single" w:sz="8" w:space="0" w:color="000000"/>
              <w:right w:val="single" w:sz="4" w:space="0" w:color="auto"/>
            </w:tcBorders>
          </w:tcPr>
          <w:p w14:paraId="4DBBF5F6" w14:textId="77777777"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99 ( 64,7)</w:t>
            </w:r>
          </w:p>
        </w:tc>
        <w:tc>
          <w:tcPr>
            <w:tcW w:w="1843" w:type="dxa"/>
            <w:tcBorders>
              <w:top w:val="single" w:sz="4" w:space="0" w:color="auto"/>
              <w:left w:val="single" w:sz="4" w:space="0" w:color="auto"/>
              <w:bottom w:val="single" w:sz="8" w:space="0" w:color="000000"/>
              <w:right w:val="single" w:sz="8" w:space="0" w:color="000000"/>
            </w:tcBorders>
          </w:tcPr>
          <w:p w14:paraId="3ED7BAC1" w14:textId="77777777"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75 (48,7)</w:t>
            </w:r>
          </w:p>
        </w:tc>
      </w:tr>
      <w:tr w:rsidR="00956F16" w:rsidRPr="00956F16" w14:paraId="6025EAE0" w14:textId="77777777" w:rsidTr="00694E9C">
        <w:trPr>
          <w:trHeight w:hRule="exact" w:val="271"/>
        </w:trPr>
        <w:tc>
          <w:tcPr>
            <w:tcW w:w="3828" w:type="dxa"/>
            <w:tcBorders>
              <w:top w:val="single" w:sz="8" w:space="0" w:color="000000"/>
              <w:left w:val="single" w:sz="8" w:space="0" w:color="000000"/>
              <w:bottom w:val="single" w:sz="8" w:space="0" w:color="000000"/>
              <w:right w:val="single" w:sz="8" w:space="0" w:color="000000"/>
            </w:tcBorders>
          </w:tcPr>
          <w:p w14:paraId="0E185FC6"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Stabil betegség (SD)</w:t>
            </w:r>
          </w:p>
        </w:tc>
        <w:tc>
          <w:tcPr>
            <w:tcW w:w="1822" w:type="dxa"/>
            <w:tcBorders>
              <w:top w:val="single" w:sz="8" w:space="0" w:color="000000"/>
              <w:left w:val="single" w:sz="8" w:space="0" w:color="000000"/>
              <w:bottom w:val="single" w:sz="8" w:space="0" w:color="000000"/>
              <w:right w:val="single" w:sz="8" w:space="0" w:color="000000"/>
            </w:tcBorders>
          </w:tcPr>
          <w:p w14:paraId="581EE39A" w14:textId="77777777" w:rsidR="00956F16" w:rsidRPr="00956F16" w:rsidRDefault="00956F16" w:rsidP="00956F16">
            <w:pPr>
              <w:widowControl w:val="0"/>
              <w:tabs>
                <w:tab w:val="left" w:pos="567"/>
              </w:tabs>
              <w:autoSpaceDE w:val="0"/>
              <w:autoSpaceDN w:val="0"/>
              <w:adjustRightInd w:val="0"/>
              <w:spacing w:after="0" w:line="240" w:lineRule="auto"/>
              <w:ind w:lef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24 (15,8)</w:t>
            </w:r>
          </w:p>
        </w:tc>
        <w:tc>
          <w:tcPr>
            <w:tcW w:w="1843" w:type="dxa"/>
            <w:tcBorders>
              <w:top w:val="single" w:sz="8" w:space="0" w:color="000000"/>
              <w:left w:val="single" w:sz="8" w:space="0" w:color="000000"/>
              <w:bottom w:val="single" w:sz="8" w:space="0" w:color="000000"/>
              <w:right w:val="single" w:sz="8" w:space="0" w:color="000000"/>
            </w:tcBorders>
          </w:tcPr>
          <w:p w14:paraId="340E7F63" w14:textId="77777777"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31 (20,3)</w:t>
            </w:r>
          </w:p>
        </w:tc>
        <w:tc>
          <w:tcPr>
            <w:tcW w:w="1843" w:type="dxa"/>
            <w:tcBorders>
              <w:top w:val="single" w:sz="8" w:space="0" w:color="000000"/>
              <w:left w:val="single" w:sz="8" w:space="0" w:color="000000"/>
              <w:bottom w:val="single" w:sz="8" w:space="0" w:color="000000"/>
              <w:right w:val="single" w:sz="8" w:space="0" w:color="000000"/>
            </w:tcBorders>
          </w:tcPr>
          <w:p w14:paraId="2B39B6C8" w14:textId="77777777"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63 (40,9)</w:t>
            </w:r>
          </w:p>
        </w:tc>
      </w:tr>
      <w:tr w:rsidR="00956F16" w:rsidRPr="00956F16" w14:paraId="3C782478" w14:textId="77777777" w:rsidTr="00694E9C">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29B07382" w14:textId="77777777" w:rsidR="00956F16" w:rsidRPr="00441247"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pt-PT"/>
              </w:rPr>
            </w:pPr>
            <w:r w:rsidRPr="00441247">
              <w:rPr>
                <w:rFonts w:ascii="Times New Roman" w:eastAsia="Times New Roman" w:hAnsi="Times New Roman" w:cs="Times New Roman"/>
                <w:szCs w:val="20"/>
                <w:lang w:val="pt-PT"/>
              </w:rPr>
              <w:t>A válasz nem értékelhető (NE)</w:t>
            </w:r>
          </w:p>
        </w:tc>
        <w:tc>
          <w:tcPr>
            <w:tcW w:w="1822" w:type="dxa"/>
            <w:tcBorders>
              <w:top w:val="single" w:sz="8" w:space="0" w:color="000000"/>
              <w:left w:val="single" w:sz="8" w:space="0" w:color="000000"/>
              <w:bottom w:val="single" w:sz="8" w:space="0" w:color="000000"/>
              <w:right w:val="single" w:sz="8" w:space="0" w:color="000000"/>
            </w:tcBorders>
          </w:tcPr>
          <w:p w14:paraId="714C1DC9" w14:textId="77777777" w:rsidR="00956F16" w:rsidRPr="00956F16" w:rsidRDefault="00956F16" w:rsidP="00956F16">
            <w:pPr>
              <w:widowControl w:val="0"/>
              <w:tabs>
                <w:tab w:val="left" w:pos="567"/>
              </w:tabs>
              <w:autoSpaceDE w:val="0"/>
              <w:autoSpaceDN w:val="0"/>
              <w:adjustRightInd w:val="0"/>
              <w:spacing w:after="0" w:line="240" w:lineRule="auto"/>
              <w:ind w:lef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8 (5,3)</w:t>
            </w:r>
          </w:p>
        </w:tc>
        <w:tc>
          <w:tcPr>
            <w:tcW w:w="1843" w:type="dxa"/>
            <w:tcBorders>
              <w:top w:val="single" w:sz="8" w:space="0" w:color="000000"/>
              <w:left w:val="single" w:sz="8" w:space="0" w:color="000000"/>
              <w:bottom w:val="single" w:sz="8" w:space="0" w:color="000000"/>
              <w:right w:val="single" w:sz="8" w:space="0" w:color="000000"/>
            </w:tcBorders>
          </w:tcPr>
          <w:p w14:paraId="101FA6E0" w14:textId="77777777"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4 (2,6)</w:t>
            </w:r>
          </w:p>
        </w:tc>
        <w:tc>
          <w:tcPr>
            <w:tcW w:w="1843" w:type="dxa"/>
            <w:tcBorders>
              <w:top w:val="single" w:sz="8" w:space="0" w:color="000000"/>
              <w:left w:val="single" w:sz="8" w:space="0" w:color="000000"/>
              <w:bottom w:val="single" w:sz="8" w:space="0" w:color="000000"/>
              <w:right w:val="single" w:sz="8" w:space="0" w:color="000000"/>
            </w:tcBorders>
          </w:tcPr>
          <w:p w14:paraId="2951A6C9" w14:textId="77777777"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7 (4,5)</w:t>
            </w:r>
          </w:p>
        </w:tc>
      </w:tr>
      <w:tr w:rsidR="00956F16" w:rsidRPr="00956F16" w14:paraId="62ED289E" w14:textId="77777777" w:rsidTr="00694E9C">
        <w:trPr>
          <w:trHeight w:hRule="exact" w:val="542"/>
        </w:trPr>
        <w:tc>
          <w:tcPr>
            <w:tcW w:w="3828" w:type="dxa"/>
            <w:tcBorders>
              <w:top w:val="single" w:sz="8" w:space="0" w:color="000000"/>
              <w:left w:val="single" w:sz="8" w:space="0" w:color="000000"/>
              <w:bottom w:val="single" w:sz="8" w:space="0" w:color="000000"/>
              <w:right w:val="single" w:sz="8" w:space="0" w:color="000000"/>
            </w:tcBorders>
          </w:tcPr>
          <w:p w14:paraId="681BD2F4" w14:textId="7F73B59C" w:rsidR="00956F16" w:rsidRPr="007E5A32" w:rsidRDefault="00956F16" w:rsidP="00956F16">
            <w:pPr>
              <w:widowControl w:val="0"/>
              <w:tabs>
                <w:tab w:val="left" w:pos="567"/>
              </w:tabs>
              <w:autoSpaceDE w:val="0"/>
              <w:autoSpaceDN w:val="0"/>
              <w:adjustRightInd w:val="0"/>
              <w:spacing w:after="0" w:line="240" w:lineRule="auto"/>
              <w:ind w:right="-20"/>
              <w:jc w:val="center"/>
              <w:rPr>
                <w:rFonts w:ascii="Times New Roman" w:hAnsi="Times New Roman"/>
              </w:rPr>
            </w:pPr>
            <w:r w:rsidRPr="00956F16">
              <w:rPr>
                <w:rFonts w:ascii="Times New Roman" w:eastAsia="Times New Roman" w:hAnsi="Times New Roman" w:cs="Times New Roman"/>
                <w:b/>
                <w:bCs/>
              </w:rPr>
              <w:t xml:space="preserve">A </w:t>
            </w:r>
            <w:r w:rsidRPr="007E5A32">
              <w:rPr>
                <w:rFonts w:ascii="Times New Roman" w:hAnsi="Times New Roman"/>
                <w:b/>
              </w:rPr>
              <w:t xml:space="preserve">válasz időtartama a </w:t>
            </w:r>
            <w:r w:rsidRPr="00956F16">
              <w:rPr>
                <w:rFonts w:ascii="Times New Roman" w:eastAsia="Times New Roman" w:hAnsi="Times New Roman" w:cs="Times New Roman"/>
                <w:b/>
                <w:bCs/>
              </w:rPr>
              <w:t xml:space="preserve">vizsgálatot végző megítélése alapján </w:t>
            </w:r>
            <w:r w:rsidRPr="007E5A32">
              <w:rPr>
                <w:rFonts w:ascii="Times New Roman" w:hAnsi="Times New Roman"/>
                <w:b/>
              </w:rPr>
              <w:t>(CR+PR)</w:t>
            </w:r>
            <w:r w:rsidRPr="007E5A32">
              <w:rPr>
                <w:rFonts w:ascii="Times New Roman" w:hAnsi="Times New Roman"/>
              </w:rPr>
              <w:t xml:space="preserve"> </w:t>
            </w:r>
            <w:r w:rsidRPr="007E5A32">
              <w:rPr>
                <w:rFonts w:ascii="Times New Roman" w:hAnsi="Times New Roman"/>
                <w:b/>
              </w:rPr>
              <w:t>(hónap)</w:t>
            </w:r>
          </w:p>
        </w:tc>
        <w:tc>
          <w:tcPr>
            <w:tcW w:w="1822" w:type="dxa"/>
            <w:tcBorders>
              <w:top w:val="single" w:sz="8" w:space="0" w:color="000000"/>
              <w:left w:val="single" w:sz="8" w:space="0" w:color="000000"/>
              <w:bottom w:val="single" w:sz="8" w:space="0" w:color="000000"/>
              <w:right w:val="single" w:sz="8" w:space="0" w:color="000000"/>
            </w:tcBorders>
          </w:tcPr>
          <w:p w14:paraId="0E78BFCC" w14:textId="77777777" w:rsidR="00956F16" w:rsidRPr="007E5A32" w:rsidRDefault="00956F16" w:rsidP="00956F16">
            <w:pPr>
              <w:widowControl w:val="0"/>
              <w:tabs>
                <w:tab w:val="left" w:pos="567"/>
              </w:tabs>
              <w:autoSpaceDE w:val="0"/>
              <w:autoSpaceDN w:val="0"/>
              <w:adjustRightInd w:val="0"/>
              <w:spacing w:after="0" w:line="240" w:lineRule="auto"/>
              <w:ind w:left="22"/>
              <w:jc w:val="center"/>
              <w:rPr>
                <w:rFonts w:ascii="Times New Roman" w:hAnsi="Times New Roman"/>
                <w:sz w:val="24"/>
              </w:rPr>
            </w:pPr>
          </w:p>
        </w:tc>
        <w:tc>
          <w:tcPr>
            <w:tcW w:w="1843" w:type="dxa"/>
            <w:tcBorders>
              <w:top w:val="single" w:sz="8" w:space="0" w:color="000000"/>
              <w:left w:val="single" w:sz="8" w:space="0" w:color="000000"/>
              <w:bottom w:val="single" w:sz="8" w:space="0" w:color="000000"/>
              <w:right w:val="single" w:sz="8" w:space="0" w:color="000000"/>
            </w:tcBorders>
          </w:tcPr>
          <w:p w14:paraId="4962B0D4" w14:textId="77777777" w:rsidR="00956F16" w:rsidRPr="007E5A32" w:rsidRDefault="00956F16" w:rsidP="00956F16">
            <w:pPr>
              <w:widowControl w:val="0"/>
              <w:tabs>
                <w:tab w:val="left" w:pos="567"/>
              </w:tabs>
              <w:autoSpaceDE w:val="0"/>
              <w:autoSpaceDN w:val="0"/>
              <w:adjustRightInd w:val="0"/>
              <w:spacing w:after="0" w:line="240" w:lineRule="auto"/>
              <w:ind w:left="38"/>
              <w:jc w:val="center"/>
              <w:rPr>
                <w:rFonts w:ascii="Times New Roman" w:hAnsi="Times New Roman"/>
                <w:sz w:val="24"/>
              </w:rPr>
            </w:pPr>
          </w:p>
        </w:tc>
        <w:tc>
          <w:tcPr>
            <w:tcW w:w="1843" w:type="dxa"/>
            <w:tcBorders>
              <w:top w:val="single" w:sz="8" w:space="0" w:color="000000"/>
              <w:left w:val="single" w:sz="8" w:space="0" w:color="000000"/>
              <w:bottom w:val="single" w:sz="8" w:space="0" w:color="000000"/>
              <w:right w:val="single" w:sz="8" w:space="0" w:color="000000"/>
            </w:tcBorders>
          </w:tcPr>
          <w:p w14:paraId="6A2685F0" w14:textId="77777777" w:rsidR="00956F16" w:rsidRPr="007E5A32" w:rsidRDefault="00956F16" w:rsidP="00956F16">
            <w:pPr>
              <w:widowControl w:val="0"/>
              <w:tabs>
                <w:tab w:val="left" w:pos="567"/>
              </w:tabs>
              <w:autoSpaceDE w:val="0"/>
              <w:autoSpaceDN w:val="0"/>
              <w:adjustRightInd w:val="0"/>
              <w:spacing w:after="0" w:line="240" w:lineRule="auto"/>
              <w:ind w:left="38"/>
              <w:jc w:val="center"/>
              <w:rPr>
                <w:rFonts w:ascii="Times New Roman" w:hAnsi="Times New Roman"/>
                <w:sz w:val="24"/>
              </w:rPr>
            </w:pPr>
          </w:p>
        </w:tc>
      </w:tr>
      <w:tr w:rsidR="00956F16" w:rsidRPr="00956F16" w14:paraId="62CAB03E" w14:textId="77777777" w:rsidTr="00694E9C">
        <w:trPr>
          <w:trHeight w:hRule="exact" w:val="274"/>
        </w:trPr>
        <w:tc>
          <w:tcPr>
            <w:tcW w:w="3828" w:type="dxa"/>
            <w:tcBorders>
              <w:top w:val="single" w:sz="8" w:space="0" w:color="000000"/>
              <w:left w:val="single" w:sz="8" w:space="0" w:color="000000"/>
              <w:bottom w:val="single" w:sz="8" w:space="0" w:color="000000"/>
              <w:right w:val="single" w:sz="8" w:space="0" w:color="000000"/>
            </w:tcBorders>
          </w:tcPr>
          <w:p w14:paraId="3F3C2CD6" w14:textId="150B2A7F"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lang w:val="en-GB"/>
              </w:rPr>
            </w:pPr>
            <w:r w:rsidRPr="00956F16">
              <w:rPr>
                <w:rFonts w:ascii="Times New Roman" w:eastAsia="Times New Roman" w:hAnsi="Times New Roman" w:cs="Times New Roman"/>
                <w:lang w:val="en-GB"/>
              </w:rPr>
              <w:t>Medián</w:t>
            </w:r>
            <w:r w:rsidRPr="00956F16">
              <w:rPr>
                <w:rFonts w:ascii="Times New Roman" w:eastAsia="Times New Roman" w:hAnsi="Times New Roman" w:cs="Times New Roman"/>
                <w:vertAlign w:val="superscript"/>
                <w:lang w:val="en-GB"/>
              </w:rPr>
              <w:t>a</w:t>
            </w:r>
            <w:r w:rsidRPr="00956F16">
              <w:rPr>
                <w:rFonts w:ascii="Times New Roman" w:eastAsia="Times New Roman" w:hAnsi="Times New Roman" w:cs="Times New Roman"/>
                <w:lang w:val="en-GB"/>
              </w:rPr>
              <w:t xml:space="preserve"> (95%</w:t>
            </w:r>
            <w:r w:rsidR="00843AAD">
              <w:rPr>
                <w:rFonts w:ascii="Times New Roman" w:eastAsia="Times New Roman" w:hAnsi="Times New Roman" w:cs="Times New Roman"/>
              </w:rPr>
              <w:t>-os</w:t>
            </w:r>
            <w:r w:rsidRPr="00956F16">
              <w:rPr>
                <w:rFonts w:ascii="Times New Roman" w:eastAsia="Times New Roman" w:hAnsi="Times New Roman" w:cs="Times New Roman"/>
                <w:lang w:val="en-GB"/>
              </w:rPr>
              <w:t xml:space="preserve"> CI)</w:t>
            </w:r>
          </w:p>
        </w:tc>
        <w:tc>
          <w:tcPr>
            <w:tcW w:w="1822" w:type="dxa"/>
            <w:tcBorders>
              <w:top w:val="single" w:sz="8" w:space="0" w:color="000000"/>
              <w:left w:val="single" w:sz="8" w:space="0" w:color="000000"/>
              <w:bottom w:val="single" w:sz="8" w:space="0" w:color="000000"/>
              <w:right w:val="single" w:sz="8" w:space="0" w:color="000000"/>
            </w:tcBorders>
          </w:tcPr>
          <w:p w14:paraId="0290D5C1" w14:textId="2B991599" w:rsidR="00956F16" w:rsidRPr="00956F16" w:rsidRDefault="00956F16" w:rsidP="00956F16">
            <w:pPr>
              <w:widowControl w:val="0"/>
              <w:tabs>
                <w:tab w:val="left" w:pos="567"/>
              </w:tabs>
              <w:autoSpaceDE w:val="0"/>
              <w:autoSpaceDN w:val="0"/>
              <w:adjustRightInd w:val="0"/>
              <w:spacing w:after="0" w:line="240" w:lineRule="auto"/>
              <w:ind w:left="22"/>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26,5 (19,4</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35,8)</w:t>
            </w:r>
          </w:p>
        </w:tc>
        <w:tc>
          <w:tcPr>
            <w:tcW w:w="1843" w:type="dxa"/>
            <w:tcBorders>
              <w:top w:val="single" w:sz="8" w:space="0" w:color="000000"/>
              <w:left w:val="single" w:sz="8" w:space="0" w:color="000000"/>
              <w:bottom w:val="single" w:sz="8" w:space="0" w:color="000000"/>
              <w:right w:val="single" w:sz="8" w:space="0" w:color="000000"/>
            </w:tcBorders>
          </w:tcPr>
          <w:p w14:paraId="0964EF95" w14:textId="2ADE620E"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12,4 (11,2</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13,9)</w:t>
            </w:r>
          </w:p>
        </w:tc>
        <w:tc>
          <w:tcPr>
            <w:tcW w:w="1843" w:type="dxa"/>
            <w:tcBorders>
              <w:top w:val="single" w:sz="8" w:space="0" w:color="000000"/>
              <w:left w:val="single" w:sz="8" w:space="0" w:color="000000"/>
              <w:bottom w:val="single" w:sz="8" w:space="0" w:color="000000"/>
              <w:right w:val="single" w:sz="8" w:space="0" w:color="000000"/>
            </w:tcBorders>
          </w:tcPr>
          <w:p w14:paraId="0047EFE4" w14:textId="306473E6" w:rsidR="00956F16" w:rsidRPr="00956F16" w:rsidRDefault="00956F16" w:rsidP="00956F16">
            <w:pPr>
              <w:widowControl w:val="0"/>
              <w:tabs>
                <w:tab w:val="left" w:pos="567"/>
              </w:tabs>
              <w:autoSpaceDE w:val="0"/>
              <w:autoSpaceDN w:val="0"/>
              <w:adjustRightInd w:val="0"/>
              <w:spacing w:after="0" w:line="240" w:lineRule="auto"/>
              <w:ind w:left="38"/>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12,0 (9,4</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14,5)</w:t>
            </w:r>
          </w:p>
        </w:tc>
      </w:tr>
    </w:tbl>
    <w:p w14:paraId="14D834D7" w14:textId="686A0840"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rPr>
        <w:t>CI = konfidenciaintervallum; CR = teljes válasz; HR = relatív hazárd; M = melfalán; NE = nem határozható meg; OS = teljes túlélés; p = placebo; P = prednizon; PD = progresszív betegség; PR = részleges válasz; R = lenalidomid; SD = stabil betegség; VGPR = nagyon jó részleges válasz.</w:t>
      </w:r>
    </w:p>
    <w:p w14:paraId="456FCFCE" w14:textId="057B529F"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 xml:space="preserve">a </w:t>
      </w:r>
      <w:r w:rsidRPr="00956F16">
        <w:rPr>
          <w:rFonts w:ascii="Times New Roman" w:eastAsia="Calibri" w:hAnsi="Times New Roman" w:cs="Times New Roman"/>
          <w:sz w:val="18"/>
          <w:szCs w:val="18"/>
        </w:rPr>
        <w:t>A medián meghatározása a Kaplan</w:t>
      </w:r>
      <w:r w:rsidR="007210DA">
        <w:rPr>
          <w:rFonts w:ascii="Times New Roman" w:eastAsia="Calibri" w:hAnsi="Times New Roman" w:cs="Times New Roman"/>
          <w:sz w:val="18"/>
          <w:szCs w:val="18"/>
        </w:rPr>
        <w:t>–</w:t>
      </w:r>
      <w:r w:rsidRPr="00956F16">
        <w:rPr>
          <w:rFonts w:ascii="Times New Roman" w:eastAsia="Calibri" w:hAnsi="Times New Roman" w:cs="Times New Roman"/>
          <w:sz w:val="18"/>
          <w:szCs w:val="18"/>
        </w:rPr>
        <w:t>Meier</w:t>
      </w:r>
      <w:r w:rsidR="007210DA">
        <w:rPr>
          <w:rFonts w:ascii="Times New Roman" w:eastAsia="Calibri" w:hAnsi="Times New Roman" w:cs="Times New Roman"/>
          <w:sz w:val="18"/>
          <w:szCs w:val="18"/>
        </w:rPr>
        <w:t>-</w:t>
      </w:r>
      <w:r w:rsidRPr="00956F16">
        <w:rPr>
          <w:rFonts w:ascii="Times New Roman" w:eastAsia="Calibri" w:hAnsi="Times New Roman" w:cs="Times New Roman"/>
          <w:sz w:val="18"/>
          <w:szCs w:val="18"/>
        </w:rPr>
        <w:t>módszeren alapul.</w:t>
      </w:r>
    </w:p>
    <w:p w14:paraId="6D83F869"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vertAlign w:val="superscript"/>
        </w:rPr>
        <w:t>¤</w:t>
      </w:r>
      <w:r w:rsidRPr="00956F16">
        <w:rPr>
          <w:rFonts w:ascii="Times New Roman" w:eastAsia="Calibri" w:hAnsi="Times New Roman" w:cs="Times New Roman"/>
          <w:sz w:val="18"/>
          <w:szCs w:val="18"/>
        </w:rPr>
        <w:t>A PFS2 (feltáró végpont) meghatározása minden beteg (ITT) esetén: a randomizálástól a harmadik vonalbeli myeloma elleni terápia (antimyeloma therapy – AMT) megkezdéséig vagy a beteg haláláig eltelt idő valamennyi randomizált beteg esetén.</w:t>
      </w:r>
    </w:p>
    <w:p w14:paraId="7ADDC788" w14:textId="77777777" w:rsidR="00956F16" w:rsidRPr="00956F16" w:rsidRDefault="00956F16" w:rsidP="00956F16">
      <w:pPr>
        <w:spacing w:after="0" w:line="240" w:lineRule="auto"/>
        <w:rPr>
          <w:rFonts w:ascii="Times New Roman" w:eastAsia="Calibri" w:hAnsi="Times New Roman" w:cs="Times New Roman"/>
        </w:rPr>
      </w:pPr>
    </w:p>
    <w:p w14:paraId="293CA21F" w14:textId="77777777" w:rsidR="00956F16" w:rsidRPr="00956F16" w:rsidRDefault="00956F16" w:rsidP="00956F16">
      <w:pPr>
        <w:keepNext/>
        <w:spacing w:after="0" w:line="240" w:lineRule="auto"/>
        <w:rPr>
          <w:rFonts w:ascii="Times New Roman" w:eastAsia="Calibri" w:hAnsi="Times New Roman" w:cs="Times New Roman"/>
          <w:i/>
        </w:rPr>
      </w:pPr>
      <w:r w:rsidRPr="00956F16">
        <w:rPr>
          <w:rFonts w:ascii="Times New Roman" w:eastAsia="Calibri" w:hAnsi="Times New Roman" w:cs="Times New Roman"/>
          <w:i/>
        </w:rPr>
        <w:t>Újonnan diagnosztizált myeloma multiplexben végzett alátámasztó vizsgálatok</w:t>
      </w:r>
    </w:p>
    <w:p w14:paraId="16244087" w14:textId="3CD5ED18"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Egy nyílt elrendezésű, randomizált, multicentrikus, 445, újonnan diagnosztizált myeloma multiplexben szenvedő beteg bevonásával végzett </w:t>
      </w:r>
      <w:r w:rsidR="003601C7">
        <w:rPr>
          <w:rFonts w:ascii="Times New Roman" w:eastAsia="Calibri" w:hAnsi="Times New Roman" w:cs="Times New Roman"/>
        </w:rPr>
        <w:t>3</w:t>
      </w:r>
      <w:r w:rsidRPr="00956F16">
        <w:rPr>
          <w:rFonts w:ascii="Times New Roman" w:eastAsia="Calibri" w:hAnsi="Times New Roman" w:cs="Times New Roman"/>
        </w:rPr>
        <w:t>. fázisú vizsgálatban (ECOG E4A03) 222 beteget randomizáltak a lenalidomid/kis dózisú dexametazon</w:t>
      </w:r>
      <w:r w:rsidR="00104634">
        <w:rPr>
          <w:rFonts w:ascii="Times New Roman" w:eastAsia="Calibri" w:hAnsi="Times New Roman" w:cs="Times New Roman"/>
        </w:rPr>
        <w:t>-</w:t>
      </w:r>
      <w:r w:rsidRPr="00956F16">
        <w:rPr>
          <w:rFonts w:ascii="Times New Roman" w:eastAsia="Calibri" w:hAnsi="Times New Roman" w:cs="Times New Roman"/>
        </w:rPr>
        <w:t>karra, és 223 beteget a lenalidomid/standard dózisú dexametazon</w:t>
      </w:r>
      <w:r w:rsidR="00104634">
        <w:rPr>
          <w:rFonts w:ascii="Times New Roman" w:eastAsia="Calibri" w:hAnsi="Times New Roman" w:cs="Times New Roman"/>
        </w:rPr>
        <w:t>-</w:t>
      </w:r>
      <w:r w:rsidRPr="00956F16">
        <w:rPr>
          <w:rFonts w:ascii="Times New Roman" w:eastAsia="Calibri" w:hAnsi="Times New Roman" w:cs="Times New Roman"/>
        </w:rPr>
        <w:t xml:space="preserve">karra. A lenalidomid/standard dózisú dexametazon-karra randomizált betegek </w:t>
      </w:r>
      <w:r w:rsidRPr="00956F16">
        <w:rPr>
          <w:rFonts w:ascii="Times New Roman" w:eastAsia="Calibri" w:hAnsi="Times New Roman" w:cs="Times New Roman"/>
        </w:rPr>
        <w:lastRenderedPageBreak/>
        <w:t>napi 25 mg lenalidomidot kaptak minden 28 napos ciklus 1</w:t>
      </w:r>
      <w:r w:rsidR="00170B62">
        <w:rPr>
          <w:rFonts w:ascii="Times New Roman" w:eastAsia="Calibri" w:hAnsi="Times New Roman" w:cs="Times New Roman"/>
        </w:rPr>
        <w:t>.</w:t>
      </w:r>
      <w:r w:rsidRPr="00956F16">
        <w:rPr>
          <w:rFonts w:ascii="Times New Roman" w:eastAsia="Calibri" w:hAnsi="Times New Roman" w:cs="Times New Roman"/>
        </w:rPr>
        <w:t>–21. napján, valamint napi 40 mg dexametazont minden 28 napos ciklus 1</w:t>
      </w:r>
      <w:r w:rsidR="00170B62">
        <w:rPr>
          <w:rFonts w:ascii="Times New Roman" w:eastAsia="Calibri" w:hAnsi="Times New Roman" w:cs="Times New Roman"/>
        </w:rPr>
        <w:t>.</w:t>
      </w:r>
      <w:r w:rsidRPr="00956F16">
        <w:rPr>
          <w:rFonts w:ascii="Times New Roman" w:eastAsia="Calibri" w:hAnsi="Times New Roman" w:cs="Times New Roman"/>
        </w:rPr>
        <w:t>–4., 9</w:t>
      </w:r>
      <w:r w:rsidR="00170B62">
        <w:rPr>
          <w:rFonts w:ascii="Times New Roman" w:eastAsia="Calibri" w:hAnsi="Times New Roman" w:cs="Times New Roman"/>
        </w:rPr>
        <w:t>.</w:t>
      </w:r>
      <w:r w:rsidRPr="00956F16">
        <w:rPr>
          <w:rFonts w:ascii="Times New Roman" w:eastAsia="Calibri" w:hAnsi="Times New Roman" w:cs="Times New Roman"/>
        </w:rPr>
        <w:t>–12. és 17</w:t>
      </w:r>
      <w:r w:rsidR="00170B62">
        <w:rPr>
          <w:rFonts w:ascii="Times New Roman" w:eastAsia="Calibri" w:hAnsi="Times New Roman" w:cs="Times New Roman"/>
        </w:rPr>
        <w:t>.</w:t>
      </w:r>
      <w:r w:rsidRPr="00956F16">
        <w:rPr>
          <w:rFonts w:ascii="Times New Roman" w:eastAsia="Calibri" w:hAnsi="Times New Roman" w:cs="Times New Roman"/>
        </w:rPr>
        <w:t>–20. napján, az első négy ciklus során. A lenalidomid/kis dózisú dexametazon</w:t>
      </w:r>
      <w:r w:rsidR="00104634">
        <w:rPr>
          <w:rFonts w:ascii="Times New Roman" w:eastAsia="Calibri" w:hAnsi="Times New Roman" w:cs="Times New Roman"/>
        </w:rPr>
        <w:t>-</w:t>
      </w:r>
      <w:r w:rsidRPr="00956F16">
        <w:rPr>
          <w:rFonts w:ascii="Times New Roman" w:eastAsia="Calibri" w:hAnsi="Times New Roman" w:cs="Times New Roman"/>
        </w:rPr>
        <w:t>karra randomizált betegek napi 25 mg lenalidomidot kaptak minden 28 napos ciklus 1</w:t>
      </w:r>
      <w:r w:rsidR="00170B62">
        <w:rPr>
          <w:rFonts w:ascii="Times New Roman" w:eastAsia="Calibri" w:hAnsi="Times New Roman" w:cs="Times New Roman"/>
        </w:rPr>
        <w:t>.</w:t>
      </w:r>
      <w:r w:rsidRPr="00956F16">
        <w:rPr>
          <w:rFonts w:ascii="Times New Roman" w:eastAsia="Calibri" w:hAnsi="Times New Roman" w:cs="Times New Roman"/>
        </w:rPr>
        <w:t>–21. napján, valamint kis dózisú, napi 40 mg dexametazont minden 28 napos ciklus 1., 8., 15. és 22. napján. A lenalidomid/kis dózisú dexametazon-csoportban 20 beteg (9,1%) esetén került sor legalább egyszer az adagolás megszakítására, míg a lenalidomid/standard dózisú dexametazon</w:t>
      </w:r>
      <w:r w:rsidR="00170B62">
        <w:rPr>
          <w:rFonts w:ascii="Times New Roman" w:eastAsia="Calibri" w:hAnsi="Times New Roman" w:cs="Times New Roman"/>
        </w:rPr>
        <w:t>-</w:t>
      </w:r>
      <w:r w:rsidRPr="00956F16">
        <w:rPr>
          <w:rFonts w:ascii="Times New Roman" w:eastAsia="Calibri" w:hAnsi="Times New Roman" w:cs="Times New Roman"/>
        </w:rPr>
        <w:t>karon 65 betegnél (29,3%) kellett megszakítani az adagolást.</w:t>
      </w:r>
    </w:p>
    <w:p w14:paraId="07CC368A" w14:textId="77777777" w:rsidR="00956F16" w:rsidRPr="00956F16" w:rsidRDefault="00956F16" w:rsidP="00956F16">
      <w:pPr>
        <w:spacing w:after="0" w:line="240" w:lineRule="auto"/>
        <w:rPr>
          <w:rFonts w:ascii="Times New Roman" w:eastAsia="Calibri" w:hAnsi="Times New Roman" w:cs="Times New Roman"/>
        </w:rPr>
      </w:pPr>
    </w:p>
    <w:p w14:paraId="40550827" w14:textId="75F58FE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Egy </w:t>
      </w:r>
      <w:r w:rsidRPr="007E5A32">
        <w:rPr>
          <w:rFonts w:ascii="Times New Roman" w:hAnsi="Times New Roman"/>
          <w:i/>
        </w:rPr>
        <w:t>post hoc</w:t>
      </w:r>
      <w:r w:rsidRPr="00956F16">
        <w:rPr>
          <w:rFonts w:ascii="Times New Roman" w:eastAsia="Calibri" w:hAnsi="Times New Roman" w:cs="Times New Roman"/>
        </w:rPr>
        <w:t xml:space="preserve"> elemzés szerint az újonnan diagnosztizált myeloma multiplexben szenvedő betegpopuláció átlagosan 72,3 hetes utánkövetési időszaka során a lenalidomid/kis dózisú dexametazon</w:t>
      </w:r>
      <w:r w:rsidR="00104634">
        <w:rPr>
          <w:rFonts w:ascii="Times New Roman" w:eastAsia="Calibri" w:hAnsi="Times New Roman" w:cs="Times New Roman"/>
        </w:rPr>
        <w:t>-</w:t>
      </w:r>
      <w:r w:rsidRPr="00956F16">
        <w:rPr>
          <w:rFonts w:ascii="Times New Roman" w:eastAsia="Calibri" w:hAnsi="Times New Roman" w:cs="Times New Roman"/>
        </w:rPr>
        <w:t>karon alacsonyabb volt a mortalitás, 6,8% (15/220), mint a lenalidomid/standard dózisú dexametazon-karon, ahol ez az érték 19,3% (43/223) volt.</w:t>
      </w:r>
    </w:p>
    <w:p w14:paraId="1926869A" w14:textId="77777777" w:rsidR="00956F16" w:rsidRPr="00956F16" w:rsidRDefault="00956F16" w:rsidP="00956F16">
      <w:pPr>
        <w:spacing w:after="0" w:line="240" w:lineRule="auto"/>
        <w:rPr>
          <w:rFonts w:ascii="Times New Roman" w:eastAsia="Calibri" w:hAnsi="Times New Roman" w:cs="Times New Roman"/>
        </w:rPr>
      </w:pPr>
    </w:p>
    <w:p w14:paraId="760691E4"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Hosszabb utánkövetés esetén azonban a teljes túlélés lenalidomid/kis dózisú dexametazon javára mutatott különbsége csökken.</w:t>
      </w:r>
    </w:p>
    <w:p w14:paraId="7517D0C2" w14:textId="77777777" w:rsidR="00956F16" w:rsidRPr="00956F16" w:rsidRDefault="00956F16" w:rsidP="00956F16">
      <w:pPr>
        <w:spacing w:after="0" w:line="240" w:lineRule="auto"/>
        <w:rPr>
          <w:rFonts w:ascii="Times New Roman" w:eastAsia="Calibri" w:hAnsi="Times New Roman" w:cs="Times New Roman"/>
        </w:rPr>
      </w:pPr>
    </w:p>
    <w:p w14:paraId="2DB0A946" w14:textId="77777777" w:rsidR="00956F16" w:rsidRPr="00956F16" w:rsidRDefault="00956F16" w:rsidP="00956F16">
      <w:pPr>
        <w:keepNext/>
        <w:spacing w:after="0" w:line="240" w:lineRule="auto"/>
        <w:rPr>
          <w:rFonts w:ascii="Times New Roman" w:eastAsia="Calibri" w:hAnsi="Times New Roman" w:cs="Times New Roman"/>
          <w:i/>
          <w:u w:val="single"/>
        </w:rPr>
      </w:pPr>
      <w:r w:rsidRPr="00956F16">
        <w:rPr>
          <w:rFonts w:ascii="Times New Roman" w:eastAsia="Calibri" w:hAnsi="Times New Roman" w:cs="Times New Roman"/>
          <w:i/>
          <w:u w:val="single"/>
        </w:rPr>
        <w:t>Legalább egy korábbi terápiával már kezelt myeloma multiplex</w:t>
      </w:r>
    </w:p>
    <w:p w14:paraId="6D5AB393" w14:textId="7327D92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hatásosságát és biztonságosságát két, </w:t>
      </w:r>
      <w:r w:rsidR="003601C7">
        <w:rPr>
          <w:rFonts w:ascii="Times New Roman" w:eastAsia="Calibri" w:hAnsi="Times New Roman" w:cs="Times New Roman"/>
        </w:rPr>
        <w:t>3</w:t>
      </w:r>
      <w:r w:rsidRPr="00956F16">
        <w:rPr>
          <w:rFonts w:ascii="Times New Roman" w:eastAsia="Calibri" w:hAnsi="Times New Roman" w:cs="Times New Roman"/>
        </w:rPr>
        <w:t>. fázisú, multicentrikus, randomizált, kettős vak, placebokontrollos, párhuzamos csoportú, kontrollos, a lenalidomid/dexametazon</w:t>
      </w:r>
      <w:r w:rsidR="00104634">
        <w:rPr>
          <w:rFonts w:ascii="Times New Roman" w:eastAsia="Calibri" w:hAnsi="Times New Roman" w:cs="Times New Roman"/>
        </w:rPr>
        <w:t>-</w:t>
      </w:r>
      <w:r w:rsidRPr="00956F16">
        <w:rPr>
          <w:rFonts w:ascii="Times New Roman" w:eastAsia="Calibri" w:hAnsi="Times New Roman" w:cs="Times New Roman"/>
        </w:rPr>
        <w:t>kezelést az önmagában alkalmazott dexametazon</w:t>
      </w:r>
      <w:r w:rsidR="00104634">
        <w:rPr>
          <w:rFonts w:ascii="Times New Roman" w:eastAsia="Calibri" w:hAnsi="Times New Roman" w:cs="Times New Roman"/>
        </w:rPr>
        <w:t>-</w:t>
      </w:r>
      <w:r w:rsidRPr="00956F16">
        <w:rPr>
          <w:rFonts w:ascii="Times New Roman" w:eastAsia="Calibri" w:hAnsi="Times New Roman" w:cs="Times New Roman"/>
        </w:rPr>
        <w:t>kezeléssel összehasonlító vizsgálatban (MM-009 és MM-010) mérték fel, korábban már kezelt myeloma multiplexes betegeknél. Az MM-009 és MM-010 vizsgálatban a 353, lenalidomid/dexametazon</w:t>
      </w:r>
      <w:r w:rsidR="00104634">
        <w:rPr>
          <w:rFonts w:ascii="Times New Roman" w:eastAsia="Calibri" w:hAnsi="Times New Roman" w:cs="Times New Roman"/>
        </w:rPr>
        <w:t>-</w:t>
      </w:r>
      <w:r w:rsidRPr="00956F16">
        <w:rPr>
          <w:rFonts w:ascii="Times New Roman" w:eastAsia="Calibri" w:hAnsi="Times New Roman" w:cs="Times New Roman"/>
        </w:rPr>
        <w:t>kezelésben részesülő beteg 45,6%-a volt 65 éves vagy annál idősebb. Az MM-009 és MM-010 vizsgálatban összesen részt vett 704 beteg 44,6%-a volt 65 éves vagy annál idősebb.</w:t>
      </w:r>
    </w:p>
    <w:p w14:paraId="4BA803BD" w14:textId="77777777" w:rsidR="00956F16" w:rsidRPr="00956F16" w:rsidRDefault="00956F16" w:rsidP="00956F16">
      <w:pPr>
        <w:spacing w:after="0" w:line="240" w:lineRule="auto"/>
        <w:rPr>
          <w:rFonts w:ascii="Times New Roman" w:eastAsia="Calibri" w:hAnsi="Times New Roman" w:cs="Times New Roman"/>
        </w:rPr>
      </w:pPr>
    </w:p>
    <w:p w14:paraId="07A454E3" w14:textId="0A33420B"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Mindkét vizsgálat során a lenalidomid/dexametazon</w:t>
      </w:r>
      <w:r w:rsidR="00170B62">
        <w:rPr>
          <w:rFonts w:ascii="Times New Roman" w:eastAsia="Calibri" w:hAnsi="Times New Roman" w:cs="Times New Roman"/>
        </w:rPr>
        <w:t>-</w:t>
      </w:r>
      <w:r w:rsidRPr="00956F16">
        <w:rPr>
          <w:rFonts w:ascii="Times New Roman" w:eastAsia="Calibri" w:hAnsi="Times New Roman" w:cs="Times New Roman"/>
        </w:rPr>
        <w:t xml:space="preserve"> (len/dex) csoportba tartozó betegek minden 28 napos ciklus során, a ciklus 1.</w:t>
      </w:r>
      <w:r w:rsidR="00AC6A30">
        <w:rPr>
          <w:rFonts w:ascii="Times New Roman" w:eastAsia="Calibri" w:hAnsi="Times New Roman" w:cs="Times New Roman"/>
        </w:rPr>
        <w:t>–</w:t>
      </w:r>
      <w:r w:rsidRPr="00956F16">
        <w:rPr>
          <w:rFonts w:ascii="Times New Roman" w:eastAsia="Calibri" w:hAnsi="Times New Roman" w:cs="Times New Roman"/>
        </w:rPr>
        <w:t>21. napján naponta egyszer 25 mg lenalidomidot, a ciklus 22.</w:t>
      </w:r>
      <w:r w:rsidR="00104634">
        <w:rPr>
          <w:rFonts w:ascii="Times New Roman" w:eastAsia="Calibri" w:hAnsi="Times New Roman" w:cs="Times New Roman"/>
        </w:rPr>
        <w:t>-</w:t>
      </w:r>
      <w:r w:rsidRPr="00956F16">
        <w:rPr>
          <w:rFonts w:ascii="Times New Roman" w:eastAsia="Calibri" w:hAnsi="Times New Roman" w:cs="Times New Roman"/>
        </w:rPr>
        <w:t>28. napján pedig naponta egyszer, azonos küllemű placebo kapszulát szedtek szájon át. A placebo/dexametazon</w:t>
      </w:r>
      <w:r w:rsidR="00170B62">
        <w:rPr>
          <w:rFonts w:ascii="Times New Roman" w:eastAsia="Calibri" w:hAnsi="Times New Roman" w:cs="Times New Roman"/>
        </w:rPr>
        <w:t>-</w:t>
      </w:r>
      <w:r w:rsidRPr="00956F16">
        <w:rPr>
          <w:rFonts w:ascii="Times New Roman" w:eastAsia="Calibri" w:hAnsi="Times New Roman" w:cs="Times New Roman"/>
        </w:rPr>
        <w:t xml:space="preserve"> (placebo/dex) csoportba tartozó betegek minden 28 napos ciklus során, a ciklus 1.</w:t>
      </w:r>
      <w:r w:rsidR="00AC6A30">
        <w:rPr>
          <w:rFonts w:ascii="Times New Roman" w:eastAsia="Calibri" w:hAnsi="Times New Roman" w:cs="Times New Roman"/>
        </w:rPr>
        <w:t>–</w:t>
      </w:r>
      <w:r w:rsidRPr="00956F16">
        <w:rPr>
          <w:rFonts w:ascii="Times New Roman" w:eastAsia="Calibri" w:hAnsi="Times New Roman" w:cs="Times New Roman"/>
        </w:rPr>
        <w:t>28. napján ugyanúgy naponta 1 placebo kapszulát szedtek. A betegek mindkét kezelési csoportban a terápia első négy 28 napos ciklusa során, a ciklus 1.</w:t>
      </w:r>
      <w:r w:rsidR="00AC6A30">
        <w:rPr>
          <w:rFonts w:ascii="Times New Roman" w:eastAsia="Calibri" w:hAnsi="Times New Roman" w:cs="Times New Roman"/>
        </w:rPr>
        <w:t>–</w:t>
      </w:r>
      <w:r w:rsidRPr="00956F16">
        <w:rPr>
          <w:rFonts w:ascii="Times New Roman" w:eastAsia="Calibri" w:hAnsi="Times New Roman" w:cs="Times New Roman"/>
        </w:rPr>
        <w:t>4., 9.</w:t>
      </w:r>
      <w:r w:rsidR="00AC6A30">
        <w:rPr>
          <w:rFonts w:ascii="Times New Roman" w:eastAsia="Calibri" w:hAnsi="Times New Roman" w:cs="Times New Roman"/>
        </w:rPr>
        <w:t>–</w:t>
      </w:r>
      <w:r w:rsidRPr="00956F16">
        <w:rPr>
          <w:rFonts w:ascii="Times New Roman" w:eastAsia="Calibri" w:hAnsi="Times New Roman" w:cs="Times New Roman"/>
        </w:rPr>
        <w:t>12. és 17.</w:t>
      </w:r>
      <w:r w:rsidR="00AC6A30">
        <w:rPr>
          <w:rFonts w:ascii="Times New Roman" w:eastAsia="Calibri" w:hAnsi="Times New Roman" w:cs="Times New Roman"/>
        </w:rPr>
        <w:t>–</w:t>
      </w:r>
      <w:r w:rsidRPr="00956F16">
        <w:rPr>
          <w:rFonts w:ascii="Times New Roman" w:eastAsia="Calibri" w:hAnsi="Times New Roman" w:cs="Times New Roman"/>
        </w:rPr>
        <w:t xml:space="preserve">20. napján naponta egyszer 40 mg dexametazont szedtek szájon át. A terápia első négy ciklusa után a dexametazon </w:t>
      </w:r>
      <w:r w:rsidR="00426AD5">
        <w:rPr>
          <w:rFonts w:ascii="Times New Roman" w:eastAsia="Calibri" w:hAnsi="Times New Roman" w:cs="Times New Roman"/>
        </w:rPr>
        <w:t>dózisát</w:t>
      </w:r>
      <w:r w:rsidR="00426AD5" w:rsidRPr="00956F16">
        <w:rPr>
          <w:rFonts w:ascii="Times New Roman" w:eastAsia="Calibri" w:hAnsi="Times New Roman" w:cs="Times New Roman"/>
        </w:rPr>
        <w:t xml:space="preserve"> </w:t>
      </w:r>
      <w:r w:rsidRPr="00956F16">
        <w:rPr>
          <w:rFonts w:ascii="Times New Roman" w:eastAsia="Calibri" w:hAnsi="Times New Roman" w:cs="Times New Roman"/>
        </w:rPr>
        <w:t>a 28 napos ciklus 1.</w:t>
      </w:r>
      <w:r w:rsidR="00AC6A30">
        <w:rPr>
          <w:rFonts w:ascii="Times New Roman" w:eastAsia="Calibri" w:hAnsi="Times New Roman" w:cs="Times New Roman"/>
        </w:rPr>
        <w:t>–</w:t>
      </w:r>
      <w:r w:rsidRPr="00956F16">
        <w:rPr>
          <w:rFonts w:ascii="Times New Roman" w:eastAsia="Calibri" w:hAnsi="Times New Roman" w:cs="Times New Roman"/>
        </w:rPr>
        <w:t>4. napján alkalmazott naponta egyszeri 40 mg-ra csökkentették. Mindkét vizsgálatban a kezelést a betegség progressziójáig folytatták. Mindkét vizsgálatban a klinikai és a laboratóriumi eredmények alapján a dózis módosítása megengedett volt.</w:t>
      </w:r>
    </w:p>
    <w:p w14:paraId="4659392B" w14:textId="77777777" w:rsidR="00956F16" w:rsidRPr="00956F16" w:rsidRDefault="00956F16" w:rsidP="00956F16">
      <w:pPr>
        <w:spacing w:after="0" w:line="240" w:lineRule="auto"/>
        <w:rPr>
          <w:rFonts w:ascii="Times New Roman" w:eastAsia="Calibri" w:hAnsi="Times New Roman" w:cs="Times New Roman"/>
        </w:rPr>
      </w:pPr>
    </w:p>
    <w:p w14:paraId="67F30301" w14:textId="6B795891"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Az elsődleges hatásossági végpont mindkét vizsgálatban a progresszióig eltelt idő volt (TTP/ time to progression). Összesen 353 beteg adatait értékelték ki az MM-009 vizsgálatban; 177 betegét a len/dex</w:t>
      </w:r>
      <w:r w:rsidR="00104634">
        <w:rPr>
          <w:rFonts w:ascii="Times New Roman" w:eastAsia="Calibri" w:hAnsi="Times New Roman" w:cs="Times New Roman"/>
        </w:rPr>
        <w:t>-</w:t>
      </w:r>
      <w:r w:rsidRPr="00956F16">
        <w:rPr>
          <w:rFonts w:ascii="Times New Roman" w:eastAsia="Calibri" w:hAnsi="Times New Roman" w:cs="Times New Roman"/>
        </w:rPr>
        <w:t>csoportban és 176 betegét a placebo/dex-csoportban. Összesen 351 beteg adatait értékelték ki a MM-010 vizsgálatban; 176 betegét a len/dex-csoportban és 175 betegét a placebo/dex-csoportban.</w:t>
      </w:r>
    </w:p>
    <w:p w14:paraId="70C73C24" w14:textId="77777777" w:rsidR="00956F16" w:rsidRPr="00956F16" w:rsidRDefault="00956F16" w:rsidP="00956F16">
      <w:pPr>
        <w:spacing w:after="0" w:line="240" w:lineRule="auto"/>
        <w:rPr>
          <w:rFonts w:ascii="Times New Roman" w:eastAsia="Calibri" w:hAnsi="Times New Roman" w:cs="Times New Roman"/>
        </w:rPr>
      </w:pPr>
    </w:p>
    <w:p w14:paraId="265B17CF" w14:textId="4F0D6CD4"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kiindulási demográfiai és a betegséggel kapcsolatos jellemzők mindkét vizsgálatban hasonlóak voltak a len/dex- és a placebo/dex-csoportok között. Mindkét betegpopuláció medián életkora 63 év volt, valamint a férfiak és nők aránya hasonló volt. Az ECOG</w:t>
      </w:r>
      <w:r w:rsidR="00170B62">
        <w:rPr>
          <w:rFonts w:ascii="Times New Roman" w:eastAsia="Calibri" w:hAnsi="Times New Roman" w:cs="Times New Roman"/>
        </w:rPr>
        <w:t>-</w:t>
      </w:r>
      <w:r w:rsidRPr="00956F16">
        <w:rPr>
          <w:rFonts w:ascii="Times New Roman" w:eastAsia="Calibri" w:hAnsi="Times New Roman" w:cs="Times New Roman"/>
        </w:rPr>
        <w:t xml:space="preserve"> (Eastern Cooperative Oncology Group) skála szerinti státusz hasonló volt a két csoport között, csakúgy, mint a korábbi kezelések száma és típusa.</w:t>
      </w:r>
    </w:p>
    <w:p w14:paraId="0FAD14E1" w14:textId="77777777" w:rsidR="00956F16" w:rsidRPr="00956F16" w:rsidRDefault="00956F16" w:rsidP="00956F16">
      <w:pPr>
        <w:spacing w:after="0" w:line="240" w:lineRule="auto"/>
        <w:rPr>
          <w:rFonts w:ascii="Times New Roman" w:eastAsia="Calibri" w:hAnsi="Times New Roman" w:cs="Times New Roman"/>
        </w:rPr>
      </w:pPr>
    </w:p>
    <w:p w14:paraId="7E06A372" w14:textId="11C8727F"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Mindkét vizsgálat előre tervezett, időközi analízisei szerint a len/dex</w:t>
      </w:r>
      <w:r w:rsidR="00104634">
        <w:rPr>
          <w:rFonts w:ascii="Times New Roman" w:eastAsia="Calibri" w:hAnsi="Times New Roman" w:cs="Times New Roman"/>
        </w:rPr>
        <w:t>-</w:t>
      </w:r>
      <w:r w:rsidRPr="00956F16">
        <w:rPr>
          <w:rFonts w:ascii="Times New Roman" w:eastAsia="Calibri" w:hAnsi="Times New Roman" w:cs="Times New Roman"/>
        </w:rPr>
        <w:t>kezelés az önmagában alkalmazott dexametazon</w:t>
      </w:r>
      <w:r w:rsidR="00104634">
        <w:rPr>
          <w:rFonts w:ascii="Times New Roman" w:eastAsia="Calibri" w:hAnsi="Times New Roman" w:cs="Times New Roman"/>
        </w:rPr>
        <w:t>-</w:t>
      </w:r>
      <w:r w:rsidRPr="00956F16">
        <w:rPr>
          <w:rFonts w:ascii="Times New Roman" w:eastAsia="Calibri" w:hAnsi="Times New Roman" w:cs="Times New Roman"/>
        </w:rPr>
        <w:t>kezeléshez viszonyítva statisztikailag szignifikánsan (p &lt; 0,00001) hatékonyabb volt az elsődleges hatásossági végpontot (TTP) illetően (az utánkövetés medián időtartama 98,0 hét volt). Mindkét vizsgálat esetén lényegesen magasabb volt a teljes válasz és az összes válasz aránya a len/dex-csoportban a placebo/dex-csoporthoz képest. Ezen analízisek eredményei alapján ezután feloldották mindkét vizsgálat vak elrendezését, hogy a placebo/dex</w:t>
      </w:r>
      <w:r w:rsidR="00104634">
        <w:rPr>
          <w:rFonts w:ascii="Times New Roman" w:eastAsia="Calibri" w:hAnsi="Times New Roman" w:cs="Times New Roman"/>
        </w:rPr>
        <w:t>-</w:t>
      </w:r>
      <w:r w:rsidRPr="00956F16">
        <w:rPr>
          <w:rFonts w:ascii="Times New Roman" w:eastAsia="Calibri" w:hAnsi="Times New Roman" w:cs="Times New Roman"/>
        </w:rPr>
        <w:t>csoportba tartozó betegek is len/dex kombinációs kezelésben részesülhessenek.</w:t>
      </w:r>
    </w:p>
    <w:p w14:paraId="5FB956F4" w14:textId="77777777" w:rsidR="00956F16" w:rsidRPr="00956F16" w:rsidRDefault="00956F16" w:rsidP="00956F16">
      <w:pPr>
        <w:spacing w:after="0" w:line="240" w:lineRule="auto"/>
        <w:rPr>
          <w:rFonts w:ascii="Times New Roman" w:eastAsia="Calibri" w:hAnsi="Times New Roman" w:cs="Times New Roman"/>
        </w:rPr>
      </w:pPr>
    </w:p>
    <w:p w14:paraId="6449C94C" w14:textId="18BF1CF8"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lastRenderedPageBreak/>
        <w:t xml:space="preserve">Egy meghosszabbított utánkövetési időszak adatai alapján (amelynek medián időtartama 130,7 hét volt) hatásossági elemzést végeztek. Az utánkövetési időszak hatásossági elemzésének eredményeit – az MM-009 és MM-010 vizsgálatok összesített eredményeit – a </w:t>
      </w:r>
      <w:r w:rsidR="003601C7">
        <w:rPr>
          <w:rFonts w:ascii="Times New Roman" w:eastAsia="Calibri" w:hAnsi="Times New Roman" w:cs="Times New Roman"/>
        </w:rPr>
        <w:t>1</w:t>
      </w:r>
      <w:r w:rsidR="009524F3">
        <w:rPr>
          <w:rFonts w:ascii="Times New Roman" w:eastAsia="Calibri" w:hAnsi="Times New Roman" w:cs="Times New Roman"/>
        </w:rPr>
        <w:t>1</w:t>
      </w:r>
      <w:r w:rsidRPr="00956F16">
        <w:rPr>
          <w:rFonts w:ascii="Times New Roman" w:eastAsia="Calibri" w:hAnsi="Times New Roman" w:cs="Times New Roman"/>
        </w:rPr>
        <w:t>. táblázat foglalja össze.</w:t>
      </w:r>
    </w:p>
    <w:p w14:paraId="7DBC4FB5" w14:textId="77777777" w:rsidR="00956F16" w:rsidRPr="00956F16" w:rsidRDefault="00956F16" w:rsidP="00956F16">
      <w:pPr>
        <w:spacing w:after="0" w:line="240" w:lineRule="auto"/>
        <w:rPr>
          <w:rFonts w:ascii="Times New Roman" w:eastAsia="Calibri" w:hAnsi="Times New Roman" w:cs="Times New Roman"/>
        </w:rPr>
      </w:pPr>
    </w:p>
    <w:p w14:paraId="3C4AD08F" w14:textId="4150349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meghosszabbított követési időszak ezen összesített analízise alapján a medián TTP a len/dex kombinációval kezelt betegeknél (n = 353) 60,1 hét volt (95%</w:t>
      </w:r>
      <w:r w:rsidR="00170B62">
        <w:rPr>
          <w:rFonts w:ascii="Times New Roman" w:eastAsia="Calibri" w:hAnsi="Times New Roman" w:cs="Times New Roman"/>
        </w:rPr>
        <w:t>-os</w:t>
      </w:r>
      <w:r w:rsidRPr="00956F16">
        <w:rPr>
          <w:rFonts w:ascii="Times New Roman" w:eastAsia="Calibri" w:hAnsi="Times New Roman" w:cs="Times New Roman"/>
        </w:rPr>
        <w:t xml:space="preserve"> CI </w:t>
      </w:r>
      <w:r w:rsidR="00170B62">
        <w:rPr>
          <w:rFonts w:ascii="Times New Roman" w:eastAsia="Calibri" w:hAnsi="Times New Roman" w:cs="Times New Roman"/>
        </w:rPr>
        <w:t>[</w:t>
      </w:r>
      <w:r w:rsidRPr="00956F16">
        <w:rPr>
          <w:rFonts w:ascii="Times New Roman" w:eastAsia="Calibri" w:hAnsi="Times New Roman" w:cs="Times New Roman"/>
        </w:rPr>
        <w:t>44,3; 73,1</w:t>
      </w:r>
      <w:r w:rsidR="00170B62">
        <w:rPr>
          <w:rFonts w:ascii="Times New Roman" w:eastAsia="Calibri" w:hAnsi="Times New Roman" w:cs="Times New Roman"/>
        </w:rPr>
        <w:t>]</w:t>
      </w:r>
      <w:r w:rsidRPr="00956F16">
        <w:rPr>
          <w:rFonts w:ascii="Times New Roman" w:eastAsia="Calibri" w:hAnsi="Times New Roman" w:cs="Times New Roman"/>
        </w:rPr>
        <w:t>) szemben a placebo/dex kombinációval kezelt betegeknél (n = 351) mért 20,1 héttel (95%</w:t>
      </w:r>
      <w:r w:rsidR="00170B62">
        <w:rPr>
          <w:rFonts w:ascii="Times New Roman" w:eastAsia="Calibri" w:hAnsi="Times New Roman" w:cs="Times New Roman"/>
        </w:rPr>
        <w:t>-os</w:t>
      </w:r>
      <w:r w:rsidRPr="00956F16">
        <w:rPr>
          <w:rFonts w:ascii="Times New Roman" w:eastAsia="Calibri" w:hAnsi="Times New Roman" w:cs="Times New Roman"/>
        </w:rPr>
        <w:t xml:space="preserve"> CI </w:t>
      </w:r>
      <w:r w:rsidR="00170B62">
        <w:rPr>
          <w:rFonts w:ascii="Times New Roman" w:eastAsia="Calibri" w:hAnsi="Times New Roman" w:cs="Times New Roman"/>
        </w:rPr>
        <w:t>[</w:t>
      </w:r>
      <w:r w:rsidRPr="00956F16">
        <w:rPr>
          <w:rFonts w:ascii="Times New Roman" w:eastAsia="Calibri" w:hAnsi="Times New Roman" w:cs="Times New Roman"/>
        </w:rPr>
        <w:t>17,7; 20,3</w:t>
      </w:r>
      <w:r w:rsidR="00170B62">
        <w:rPr>
          <w:rFonts w:ascii="Times New Roman" w:eastAsia="Calibri" w:hAnsi="Times New Roman" w:cs="Times New Roman"/>
        </w:rPr>
        <w:t>]</w:t>
      </w:r>
      <w:r w:rsidRPr="00956F16">
        <w:rPr>
          <w:rFonts w:ascii="Times New Roman" w:eastAsia="Calibri" w:hAnsi="Times New Roman" w:cs="Times New Roman"/>
        </w:rPr>
        <w:t>). A progressziómentes túlélés medián időtartama a len/dex kombinációval kezelt betegeknél 48,1 hét volt (95%</w:t>
      </w:r>
      <w:r w:rsidR="00170B62">
        <w:rPr>
          <w:rFonts w:ascii="Times New Roman" w:eastAsia="Calibri" w:hAnsi="Times New Roman" w:cs="Times New Roman"/>
        </w:rPr>
        <w:t>-os</w:t>
      </w:r>
      <w:r w:rsidRPr="00956F16">
        <w:rPr>
          <w:rFonts w:ascii="Times New Roman" w:eastAsia="Calibri" w:hAnsi="Times New Roman" w:cs="Times New Roman"/>
        </w:rPr>
        <w:t xml:space="preserve"> CI </w:t>
      </w:r>
      <w:r w:rsidR="00170B62">
        <w:rPr>
          <w:rFonts w:ascii="Times New Roman" w:eastAsia="Calibri" w:hAnsi="Times New Roman" w:cs="Times New Roman"/>
        </w:rPr>
        <w:t>[</w:t>
      </w:r>
      <w:r w:rsidRPr="00956F16">
        <w:rPr>
          <w:rFonts w:ascii="Times New Roman" w:eastAsia="Calibri" w:hAnsi="Times New Roman" w:cs="Times New Roman"/>
        </w:rPr>
        <w:t>36,4; 62,1</w:t>
      </w:r>
      <w:r w:rsidR="00170B62">
        <w:rPr>
          <w:rFonts w:ascii="Times New Roman" w:eastAsia="Calibri" w:hAnsi="Times New Roman" w:cs="Times New Roman"/>
        </w:rPr>
        <w:t>]</w:t>
      </w:r>
      <w:r w:rsidRPr="00956F16">
        <w:rPr>
          <w:rFonts w:ascii="Times New Roman" w:eastAsia="Calibri" w:hAnsi="Times New Roman" w:cs="Times New Roman"/>
        </w:rPr>
        <w:t>) szemben a placebo/dex kombinációval kezelt betegeknél mért 20,0 héttel (95%</w:t>
      </w:r>
      <w:r w:rsidR="00170B62">
        <w:rPr>
          <w:rFonts w:ascii="Times New Roman" w:eastAsia="Calibri" w:hAnsi="Times New Roman" w:cs="Times New Roman"/>
        </w:rPr>
        <w:t>-os</w:t>
      </w:r>
      <w:r w:rsidRPr="00956F16">
        <w:rPr>
          <w:rFonts w:ascii="Times New Roman" w:eastAsia="Calibri" w:hAnsi="Times New Roman" w:cs="Times New Roman"/>
        </w:rPr>
        <w:t xml:space="preserve"> CI </w:t>
      </w:r>
      <w:r w:rsidR="00170B62">
        <w:rPr>
          <w:rFonts w:ascii="Times New Roman" w:eastAsia="Calibri" w:hAnsi="Times New Roman" w:cs="Times New Roman"/>
        </w:rPr>
        <w:t>[</w:t>
      </w:r>
      <w:r w:rsidRPr="00956F16">
        <w:rPr>
          <w:rFonts w:ascii="Times New Roman" w:eastAsia="Calibri" w:hAnsi="Times New Roman" w:cs="Times New Roman"/>
        </w:rPr>
        <w:t>16,1; 20,1</w:t>
      </w:r>
      <w:r w:rsidR="00170B62">
        <w:rPr>
          <w:rFonts w:ascii="Times New Roman" w:eastAsia="Calibri" w:hAnsi="Times New Roman" w:cs="Times New Roman"/>
        </w:rPr>
        <w:t>]</w:t>
      </w:r>
      <w:r w:rsidRPr="00956F16">
        <w:rPr>
          <w:rFonts w:ascii="Times New Roman" w:eastAsia="Calibri" w:hAnsi="Times New Roman" w:cs="Times New Roman"/>
        </w:rPr>
        <w:t>). A kezelés medián időtartama 44,0 hét volt (min: 0,1; max: 254,9) a len/dex kombinációval kezelt betegeknél, illetve 23,1 hét (min: 0,3; max: 238,1) a placebo/dex kombinációval kezelt betegek esetében. Mindkét vizsgálat esetén szignifikánsan magasabb maradt a teljes válasz (complete response, CR), a részleges válasz (partial response, PR) és az összes válasz (overall response, CR+PR) aránya a len/dex-csoportban, a placebo/dex-csoporthoz képest. A vizsgálatok meghosszabbított utánkövetésből származó, összesített adatain elvégzett hatásossági elemzés alapján az összesített túlélés medián időtartama a len/dex kombinációval kezelt csoportban 164,3 hét (95%</w:t>
      </w:r>
      <w:r w:rsidR="00170B62">
        <w:rPr>
          <w:rFonts w:ascii="Times New Roman" w:eastAsia="Calibri" w:hAnsi="Times New Roman" w:cs="Times New Roman"/>
        </w:rPr>
        <w:t>-os</w:t>
      </w:r>
      <w:r w:rsidRPr="00956F16">
        <w:rPr>
          <w:rFonts w:ascii="Times New Roman" w:eastAsia="Calibri" w:hAnsi="Times New Roman" w:cs="Times New Roman"/>
        </w:rPr>
        <w:t xml:space="preserve"> CI </w:t>
      </w:r>
      <w:r w:rsidR="00170B62">
        <w:rPr>
          <w:rFonts w:ascii="Times New Roman" w:eastAsia="Calibri" w:hAnsi="Times New Roman" w:cs="Times New Roman"/>
        </w:rPr>
        <w:t>[</w:t>
      </w:r>
      <w:r w:rsidRPr="00956F16">
        <w:rPr>
          <w:rFonts w:ascii="Times New Roman" w:eastAsia="Calibri" w:hAnsi="Times New Roman" w:cs="Times New Roman"/>
        </w:rPr>
        <w:t>145,1; 192,6</w:t>
      </w:r>
      <w:r w:rsidR="00170B62">
        <w:rPr>
          <w:rFonts w:ascii="Times New Roman" w:eastAsia="Calibri" w:hAnsi="Times New Roman" w:cs="Times New Roman"/>
        </w:rPr>
        <w:t>]</w:t>
      </w:r>
      <w:r w:rsidRPr="00956F16">
        <w:rPr>
          <w:rFonts w:ascii="Times New Roman" w:eastAsia="Calibri" w:hAnsi="Times New Roman" w:cs="Times New Roman"/>
        </w:rPr>
        <w:t>) a placebo/dex-csoportban pedig 136,4 hét (95%</w:t>
      </w:r>
      <w:r w:rsidR="00170B62">
        <w:rPr>
          <w:rFonts w:ascii="Times New Roman" w:eastAsia="Calibri" w:hAnsi="Times New Roman" w:cs="Times New Roman"/>
        </w:rPr>
        <w:t>-os</w:t>
      </w:r>
      <w:r w:rsidRPr="00956F16">
        <w:rPr>
          <w:rFonts w:ascii="Times New Roman" w:eastAsia="Calibri" w:hAnsi="Times New Roman" w:cs="Times New Roman"/>
        </w:rPr>
        <w:t xml:space="preserve"> CI </w:t>
      </w:r>
      <w:r w:rsidR="00170B62">
        <w:rPr>
          <w:rFonts w:ascii="Times New Roman" w:eastAsia="Calibri" w:hAnsi="Times New Roman" w:cs="Times New Roman"/>
        </w:rPr>
        <w:t>[</w:t>
      </w:r>
      <w:r w:rsidRPr="00956F16">
        <w:rPr>
          <w:rFonts w:ascii="Times New Roman" w:eastAsia="Calibri" w:hAnsi="Times New Roman" w:cs="Times New Roman"/>
        </w:rPr>
        <w:t>113,1; 161,7</w:t>
      </w:r>
      <w:r w:rsidR="00170B62">
        <w:rPr>
          <w:rFonts w:ascii="Times New Roman" w:eastAsia="Calibri" w:hAnsi="Times New Roman" w:cs="Times New Roman"/>
        </w:rPr>
        <w:t>]</w:t>
      </w:r>
      <w:r w:rsidRPr="00956F16">
        <w:rPr>
          <w:rFonts w:ascii="Times New Roman" w:eastAsia="Calibri" w:hAnsi="Times New Roman" w:cs="Times New Roman"/>
        </w:rPr>
        <w:t>) volt. Annak ellenére, hogy a 351, placebo/dex-csoportba randomizált beteg közül 170 kapott lenalidomid-kezelést a betegség progressziója vagy a vak elrendezés feloldása után, az összesített teljes túlélési analízis statisztikailag szignifikáns túlélési előnyt mutatott a len/dex-kezelés esetén a placebo/dex-kezeléshez képest (HR = 0,833, 95%</w:t>
      </w:r>
      <w:r w:rsidR="00170B62">
        <w:rPr>
          <w:rFonts w:ascii="Times New Roman" w:eastAsia="Calibri" w:hAnsi="Times New Roman" w:cs="Times New Roman"/>
        </w:rPr>
        <w:t>-os</w:t>
      </w:r>
      <w:r w:rsidRPr="00956F16">
        <w:rPr>
          <w:rFonts w:ascii="Times New Roman" w:eastAsia="Calibri" w:hAnsi="Times New Roman" w:cs="Times New Roman"/>
        </w:rPr>
        <w:t xml:space="preserve"> CI</w:t>
      </w:r>
      <w:r w:rsidR="00170B62">
        <w:rPr>
          <w:rFonts w:ascii="Times New Roman" w:eastAsia="Calibri" w:hAnsi="Times New Roman" w:cs="Times New Roman"/>
        </w:rPr>
        <w:t xml:space="preserve"> </w:t>
      </w:r>
      <w:r w:rsidRPr="00956F16">
        <w:rPr>
          <w:rFonts w:ascii="Times New Roman" w:eastAsia="Calibri" w:hAnsi="Times New Roman" w:cs="Times New Roman"/>
        </w:rPr>
        <w:t>[0,687</w:t>
      </w:r>
      <w:r w:rsidR="00170B62">
        <w:rPr>
          <w:rFonts w:ascii="Times New Roman" w:eastAsia="Calibri" w:hAnsi="Times New Roman" w:cs="Times New Roman"/>
        </w:rPr>
        <w:t>;</w:t>
      </w:r>
      <w:r w:rsidRPr="00956F16">
        <w:rPr>
          <w:rFonts w:ascii="Times New Roman" w:eastAsia="Calibri" w:hAnsi="Times New Roman" w:cs="Times New Roman"/>
        </w:rPr>
        <w:t xml:space="preserve"> 1,009], p = 0,045).</w:t>
      </w:r>
    </w:p>
    <w:p w14:paraId="1D2FD6E4" w14:textId="77777777" w:rsidR="00956F16" w:rsidRPr="00956F16" w:rsidRDefault="00956F16" w:rsidP="00956F16">
      <w:pPr>
        <w:spacing w:after="0" w:line="240" w:lineRule="auto"/>
        <w:rPr>
          <w:rFonts w:ascii="Times New Roman" w:eastAsia="Calibri" w:hAnsi="Times New Roman" w:cs="Times New Roman"/>
        </w:rPr>
      </w:pPr>
    </w:p>
    <w:p w14:paraId="4F53B39B" w14:textId="76C70479" w:rsidR="00956F16" w:rsidRPr="00956F16" w:rsidRDefault="003601C7">
      <w:pPr>
        <w:keepNext/>
        <w:spacing w:after="0" w:line="240" w:lineRule="auto"/>
        <w:rPr>
          <w:rFonts w:ascii="Times New Roman" w:eastAsia="Calibri" w:hAnsi="Times New Roman" w:cs="Times New Roman"/>
          <w:b/>
        </w:rPr>
      </w:pPr>
      <w:r>
        <w:rPr>
          <w:rFonts w:ascii="Times New Roman" w:eastAsia="Calibri" w:hAnsi="Times New Roman" w:cs="Times New Roman"/>
          <w:b/>
        </w:rPr>
        <w:t>1</w:t>
      </w:r>
      <w:r w:rsidR="009524F3">
        <w:rPr>
          <w:rFonts w:ascii="Times New Roman" w:eastAsia="Calibri" w:hAnsi="Times New Roman" w:cs="Times New Roman"/>
          <w:b/>
        </w:rPr>
        <w:t>1</w:t>
      </w:r>
      <w:r w:rsidR="00956F16" w:rsidRPr="00956F16">
        <w:rPr>
          <w:rFonts w:ascii="Times New Roman" w:eastAsia="Calibri" w:hAnsi="Times New Roman" w:cs="Times New Roman"/>
          <w:b/>
        </w:rPr>
        <w:t>. táblázat. A meghosszabbított követési időszak záró dátumáig keletekezett adatokon végzett hatásossági analízisek eredményeinek összegzése — az MM-009 és MM-010 vizsgálatok összesített eredményei (záró dátumok: 2008. július 23. és 2008. március 2.)</w:t>
      </w:r>
    </w:p>
    <w:tbl>
      <w:tblPr>
        <w:tblW w:w="9498" w:type="dxa"/>
        <w:tblInd w:w="8" w:type="dxa"/>
        <w:tblLayout w:type="fixed"/>
        <w:tblCellMar>
          <w:left w:w="0" w:type="dxa"/>
          <w:right w:w="0" w:type="dxa"/>
        </w:tblCellMar>
        <w:tblLook w:val="0000" w:firstRow="0" w:lastRow="0" w:firstColumn="0" w:lastColumn="0" w:noHBand="0" w:noVBand="0"/>
      </w:tblPr>
      <w:tblGrid>
        <w:gridCol w:w="2835"/>
        <w:gridCol w:w="1418"/>
        <w:gridCol w:w="2126"/>
        <w:gridCol w:w="3119"/>
      </w:tblGrid>
      <w:tr w:rsidR="00956F16" w:rsidRPr="00956F16" w14:paraId="015F7519" w14:textId="77777777" w:rsidTr="00694E9C">
        <w:trPr>
          <w:trHeight w:hRule="exact" w:val="521"/>
          <w:tblHeader/>
        </w:trPr>
        <w:tc>
          <w:tcPr>
            <w:tcW w:w="2835" w:type="dxa"/>
            <w:tcBorders>
              <w:top w:val="single" w:sz="6" w:space="0" w:color="000000"/>
              <w:left w:val="single" w:sz="6" w:space="0" w:color="000000"/>
              <w:bottom w:val="single" w:sz="6" w:space="0" w:color="000000"/>
              <w:right w:val="single" w:sz="6" w:space="0" w:color="000000"/>
            </w:tcBorders>
          </w:tcPr>
          <w:p w14:paraId="591E25C9" w14:textId="77777777" w:rsidR="00956F16" w:rsidRPr="00956F16" w:rsidRDefault="00956F16" w:rsidP="00441247">
            <w:pPr>
              <w:keepNext/>
              <w:autoSpaceDE w:val="0"/>
              <w:autoSpaceDN w:val="0"/>
              <w:adjustRightInd w:val="0"/>
              <w:spacing w:after="0" w:line="240" w:lineRule="auto"/>
              <w:ind w:right="13"/>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b/>
                <w:bCs/>
                <w:szCs w:val="20"/>
                <w:lang w:val="en-GB"/>
              </w:rPr>
              <w:t>Végpont</w:t>
            </w:r>
          </w:p>
        </w:tc>
        <w:tc>
          <w:tcPr>
            <w:tcW w:w="1418" w:type="dxa"/>
            <w:tcBorders>
              <w:top w:val="single" w:sz="6" w:space="0" w:color="000000"/>
              <w:left w:val="single" w:sz="6" w:space="0" w:color="000000"/>
              <w:bottom w:val="single" w:sz="6" w:space="0" w:color="000000"/>
              <w:right w:val="single" w:sz="6" w:space="0" w:color="000000"/>
            </w:tcBorders>
          </w:tcPr>
          <w:p w14:paraId="749C801C" w14:textId="77777777" w:rsidR="00956F16" w:rsidRPr="00956F16"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Cs w:val="20"/>
                <w:lang w:val="en-GB"/>
              </w:rPr>
            </w:pPr>
            <w:r w:rsidRPr="00956F16">
              <w:rPr>
                <w:rFonts w:ascii="Times New Roman" w:eastAsia="Times New Roman" w:hAnsi="Times New Roman" w:cs="Times New Roman"/>
                <w:b/>
                <w:bCs/>
                <w:szCs w:val="20"/>
                <w:lang w:val="en-GB"/>
              </w:rPr>
              <w:t>len/dex</w:t>
            </w:r>
          </w:p>
          <w:p w14:paraId="32EBA82F" w14:textId="77777777" w:rsidR="00956F16" w:rsidRPr="00956F16"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b/>
                <w:bCs/>
                <w:szCs w:val="20"/>
                <w:lang w:val="en-GB"/>
              </w:rPr>
              <w:t>(n = 353)</w:t>
            </w:r>
          </w:p>
        </w:tc>
        <w:tc>
          <w:tcPr>
            <w:tcW w:w="2126" w:type="dxa"/>
            <w:tcBorders>
              <w:top w:val="single" w:sz="6" w:space="0" w:color="000000"/>
              <w:left w:val="single" w:sz="6" w:space="0" w:color="000000"/>
              <w:bottom w:val="single" w:sz="6" w:space="0" w:color="000000"/>
              <w:right w:val="single" w:sz="6" w:space="0" w:color="000000"/>
            </w:tcBorders>
          </w:tcPr>
          <w:p w14:paraId="159FF037" w14:textId="77777777" w:rsidR="00956F16" w:rsidRPr="00956F16"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b/>
                <w:bCs/>
                <w:szCs w:val="20"/>
                <w:lang w:val="en-GB"/>
              </w:rPr>
            </w:pPr>
            <w:r w:rsidRPr="00956F16">
              <w:rPr>
                <w:rFonts w:ascii="Times New Roman" w:eastAsia="Times New Roman" w:hAnsi="Times New Roman" w:cs="Times New Roman"/>
                <w:b/>
                <w:bCs/>
                <w:szCs w:val="20"/>
                <w:lang w:val="en-GB"/>
              </w:rPr>
              <w:t>placebo/dex</w:t>
            </w:r>
          </w:p>
          <w:p w14:paraId="33CF18FE" w14:textId="77777777" w:rsidR="00956F16" w:rsidRPr="00956F16"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b/>
                <w:bCs/>
                <w:szCs w:val="20"/>
                <w:lang w:val="en-GB"/>
              </w:rPr>
              <w:t>(n = 351)</w:t>
            </w:r>
          </w:p>
        </w:tc>
        <w:tc>
          <w:tcPr>
            <w:tcW w:w="3119" w:type="dxa"/>
            <w:tcBorders>
              <w:top w:val="single" w:sz="6" w:space="0" w:color="000000"/>
              <w:left w:val="single" w:sz="6" w:space="0" w:color="000000"/>
              <w:bottom w:val="single" w:sz="6" w:space="0" w:color="000000"/>
              <w:right w:val="single" w:sz="6" w:space="0" w:color="000000"/>
            </w:tcBorders>
          </w:tcPr>
          <w:p w14:paraId="2AFE85CB" w14:textId="77777777" w:rsidR="00956F16" w:rsidRPr="00956F16" w:rsidRDefault="00956F16" w:rsidP="00441247">
            <w:pPr>
              <w:keepNext/>
              <w:tabs>
                <w:tab w:val="left" w:pos="567"/>
              </w:tabs>
              <w:autoSpaceDE w:val="0"/>
              <w:autoSpaceDN w:val="0"/>
              <w:adjustRightInd w:val="0"/>
              <w:spacing w:after="0" w:line="240" w:lineRule="auto"/>
              <w:ind w:left="39"/>
              <w:jc w:val="center"/>
              <w:rPr>
                <w:rFonts w:ascii="Times New Roman" w:eastAsia="Times New Roman" w:hAnsi="Times New Roman" w:cs="Times New Roman"/>
                <w:sz w:val="24"/>
                <w:szCs w:val="24"/>
                <w:lang w:val="en-GB"/>
              </w:rPr>
            </w:pPr>
          </w:p>
        </w:tc>
      </w:tr>
      <w:tr w:rsidR="00956F16" w:rsidRPr="00956F16" w14:paraId="42EAFC0A" w14:textId="77777777" w:rsidTr="00694E9C">
        <w:trPr>
          <w:trHeight w:hRule="exact" w:val="582"/>
        </w:trPr>
        <w:tc>
          <w:tcPr>
            <w:tcW w:w="2835" w:type="dxa"/>
            <w:tcBorders>
              <w:top w:val="single" w:sz="6" w:space="0" w:color="000000"/>
              <w:left w:val="single" w:sz="6" w:space="0" w:color="000000"/>
              <w:bottom w:val="single" w:sz="6" w:space="0" w:color="000000"/>
              <w:right w:val="single" w:sz="6" w:space="0" w:color="000000"/>
            </w:tcBorders>
          </w:tcPr>
          <w:p w14:paraId="461BE3F9" w14:textId="77777777" w:rsidR="00956F16" w:rsidRPr="00441247" w:rsidRDefault="00956F16" w:rsidP="00441247">
            <w:pPr>
              <w:keepNext/>
              <w:tabs>
                <w:tab w:val="left" w:pos="567"/>
              </w:tabs>
              <w:autoSpaceDE w:val="0"/>
              <w:autoSpaceDN w:val="0"/>
              <w:adjustRightInd w:val="0"/>
              <w:spacing w:after="0" w:line="240" w:lineRule="auto"/>
              <w:ind w:right="13"/>
              <w:jc w:val="center"/>
              <w:rPr>
                <w:rFonts w:ascii="Times New Roman" w:eastAsia="Times New Roman" w:hAnsi="Times New Roman" w:cs="Times New Roman"/>
                <w:sz w:val="24"/>
                <w:szCs w:val="24"/>
              </w:rPr>
            </w:pPr>
            <w:r w:rsidRPr="00441247">
              <w:rPr>
                <w:rFonts w:ascii="Times New Roman" w:eastAsia="Times New Roman" w:hAnsi="Times New Roman" w:cs="Times New Roman"/>
                <w:b/>
                <w:bCs/>
                <w:szCs w:val="20"/>
              </w:rPr>
              <w:t>Az esemény bekövetkeztéig eltelt idő</w:t>
            </w:r>
          </w:p>
        </w:tc>
        <w:tc>
          <w:tcPr>
            <w:tcW w:w="1418" w:type="dxa"/>
            <w:tcBorders>
              <w:top w:val="single" w:sz="6" w:space="0" w:color="000000"/>
              <w:left w:val="single" w:sz="6" w:space="0" w:color="000000"/>
              <w:bottom w:val="single" w:sz="6" w:space="0" w:color="000000"/>
              <w:right w:val="single" w:sz="6" w:space="0" w:color="000000"/>
            </w:tcBorders>
          </w:tcPr>
          <w:p w14:paraId="3705A186" w14:textId="77777777" w:rsidR="00956F16" w:rsidRPr="00441247"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rPr>
            </w:pPr>
          </w:p>
        </w:tc>
        <w:tc>
          <w:tcPr>
            <w:tcW w:w="2126" w:type="dxa"/>
            <w:tcBorders>
              <w:top w:val="single" w:sz="6" w:space="0" w:color="000000"/>
              <w:left w:val="single" w:sz="6" w:space="0" w:color="000000"/>
              <w:bottom w:val="single" w:sz="6" w:space="0" w:color="000000"/>
              <w:right w:val="single" w:sz="6" w:space="0" w:color="000000"/>
            </w:tcBorders>
          </w:tcPr>
          <w:p w14:paraId="6E125D5B" w14:textId="77777777" w:rsidR="00956F16" w:rsidRPr="00441247"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rPr>
            </w:pPr>
          </w:p>
        </w:tc>
        <w:tc>
          <w:tcPr>
            <w:tcW w:w="3119" w:type="dxa"/>
            <w:tcBorders>
              <w:top w:val="single" w:sz="6" w:space="0" w:color="000000"/>
              <w:left w:val="single" w:sz="6" w:space="0" w:color="000000"/>
              <w:bottom w:val="single" w:sz="6" w:space="0" w:color="000000"/>
              <w:right w:val="single" w:sz="6" w:space="0" w:color="000000"/>
            </w:tcBorders>
          </w:tcPr>
          <w:p w14:paraId="5194576E" w14:textId="3CFE6284" w:rsidR="00956F16" w:rsidRPr="007E5A32" w:rsidRDefault="00956F16" w:rsidP="00441247">
            <w:pPr>
              <w:keepNext/>
              <w:tabs>
                <w:tab w:val="left" w:pos="567"/>
              </w:tabs>
              <w:autoSpaceDE w:val="0"/>
              <w:autoSpaceDN w:val="0"/>
              <w:adjustRightInd w:val="0"/>
              <w:spacing w:after="0" w:line="240" w:lineRule="auto"/>
              <w:ind w:left="39"/>
              <w:jc w:val="center"/>
              <w:rPr>
                <w:rFonts w:ascii="Times New Roman" w:hAnsi="Times New Roman"/>
                <w:lang w:val="pt-PT"/>
              </w:rPr>
            </w:pPr>
            <w:r w:rsidRPr="007E5A32">
              <w:rPr>
                <w:rFonts w:ascii="Times New Roman" w:hAnsi="Times New Roman"/>
                <w:b/>
                <w:lang w:val="pt-PT"/>
              </w:rPr>
              <w:t>HR [95</w:t>
            </w:r>
            <w:r w:rsidRPr="00934095">
              <w:rPr>
                <w:rFonts w:ascii="Times New Roman" w:eastAsia="Times New Roman" w:hAnsi="Times New Roman" w:cs="Times New Roman"/>
                <w:b/>
                <w:bCs/>
                <w:lang w:val="pt-PT"/>
              </w:rPr>
              <w:t>%</w:t>
            </w:r>
            <w:r w:rsidR="00843AAD" w:rsidRPr="00934095">
              <w:rPr>
                <w:rFonts w:ascii="Times New Roman" w:eastAsia="Times New Roman" w:hAnsi="Times New Roman" w:cs="Times New Roman"/>
                <w:b/>
                <w:bCs/>
              </w:rPr>
              <w:t>-os</w:t>
            </w:r>
            <w:r w:rsidRPr="007E5A32">
              <w:rPr>
                <w:rFonts w:ascii="Times New Roman" w:hAnsi="Times New Roman"/>
                <w:b/>
                <w:lang w:val="pt-PT"/>
              </w:rPr>
              <w:t xml:space="preserve"> CI], p-érték </w:t>
            </w:r>
            <w:r w:rsidRPr="007E5A32">
              <w:rPr>
                <w:rFonts w:ascii="Times New Roman" w:hAnsi="Times New Roman"/>
                <w:vertAlign w:val="superscript"/>
                <w:lang w:val="pt-PT"/>
              </w:rPr>
              <w:t>a</w:t>
            </w:r>
          </w:p>
        </w:tc>
      </w:tr>
      <w:tr w:rsidR="00956F16" w:rsidRPr="00956F16" w14:paraId="2D14B36F" w14:textId="77777777" w:rsidTr="00694E9C">
        <w:trPr>
          <w:trHeight w:hRule="exact" w:val="521"/>
        </w:trPr>
        <w:tc>
          <w:tcPr>
            <w:tcW w:w="2835" w:type="dxa"/>
            <w:tcBorders>
              <w:top w:val="single" w:sz="6" w:space="0" w:color="000000"/>
              <w:left w:val="single" w:sz="6" w:space="0" w:color="000000"/>
              <w:bottom w:val="single" w:sz="6" w:space="0" w:color="000000"/>
              <w:right w:val="single" w:sz="6" w:space="0" w:color="000000"/>
            </w:tcBorders>
          </w:tcPr>
          <w:p w14:paraId="4BD3E6BF" w14:textId="77777777" w:rsidR="00956F16" w:rsidRPr="002B4A44" w:rsidRDefault="00956F16" w:rsidP="00441247">
            <w:pPr>
              <w:keepNext/>
              <w:tabs>
                <w:tab w:val="left" w:pos="567"/>
              </w:tabs>
              <w:autoSpaceDE w:val="0"/>
              <w:autoSpaceDN w:val="0"/>
              <w:adjustRightInd w:val="0"/>
              <w:spacing w:after="0" w:line="240" w:lineRule="auto"/>
              <w:ind w:right="13"/>
              <w:jc w:val="center"/>
              <w:rPr>
                <w:rFonts w:ascii="Times New Roman" w:eastAsia="Times New Roman" w:hAnsi="Times New Roman" w:cs="Times New Roman"/>
                <w:szCs w:val="20"/>
              </w:rPr>
            </w:pPr>
            <w:r w:rsidRPr="002B4A44">
              <w:rPr>
                <w:rFonts w:ascii="Times New Roman" w:eastAsia="Times New Roman" w:hAnsi="Times New Roman" w:cs="Times New Roman"/>
                <w:szCs w:val="20"/>
              </w:rPr>
              <w:t xml:space="preserve">Progresszióig eltelt idő </w:t>
            </w:r>
          </w:p>
          <w:p w14:paraId="1B48026F" w14:textId="06163DBF" w:rsidR="00956F16" w:rsidRPr="002B4A44" w:rsidRDefault="00956F16" w:rsidP="00441247">
            <w:pPr>
              <w:keepNext/>
              <w:tabs>
                <w:tab w:val="left" w:pos="567"/>
              </w:tabs>
              <w:autoSpaceDE w:val="0"/>
              <w:autoSpaceDN w:val="0"/>
              <w:adjustRightInd w:val="0"/>
              <w:spacing w:after="0" w:line="240" w:lineRule="auto"/>
              <w:ind w:right="13"/>
              <w:jc w:val="center"/>
              <w:rPr>
                <w:rFonts w:ascii="Times New Roman" w:eastAsia="Times New Roman" w:hAnsi="Times New Roman" w:cs="Times New Roman"/>
                <w:sz w:val="24"/>
                <w:szCs w:val="24"/>
              </w:rPr>
            </w:pPr>
            <w:r w:rsidRPr="002B4A44">
              <w:rPr>
                <w:rFonts w:ascii="Times New Roman" w:eastAsia="Times New Roman" w:hAnsi="Times New Roman" w:cs="Times New Roman"/>
                <w:szCs w:val="20"/>
              </w:rPr>
              <w:t>median értéke [95%</w:t>
            </w:r>
            <w:r w:rsidR="00843AAD">
              <w:rPr>
                <w:rFonts w:ascii="Times New Roman" w:eastAsia="Times New Roman" w:hAnsi="Times New Roman" w:cs="Times New Roman"/>
              </w:rPr>
              <w:t>-os</w:t>
            </w:r>
            <w:r w:rsidRPr="002B4A44">
              <w:rPr>
                <w:rFonts w:ascii="Times New Roman" w:eastAsia="Times New Roman" w:hAnsi="Times New Roman" w:cs="Times New Roman"/>
                <w:szCs w:val="20"/>
              </w:rPr>
              <w:t xml:space="preserve"> CI], hét</w:t>
            </w:r>
          </w:p>
        </w:tc>
        <w:tc>
          <w:tcPr>
            <w:tcW w:w="1418" w:type="dxa"/>
            <w:tcBorders>
              <w:top w:val="single" w:sz="6" w:space="0" w:color="000000"/>
              <w:left w:val="single" w:sz="6" w:space="0" w:color="000000"/>
              <w:bottom w:val="single" w:sz="6" w:space="0" w:color="000000"/>
              <w:right w:val="single" w:sz="6" w:space="0" w:color="000000"/>
            </w:tcBorders>
          </w:tcPr>
          <w:p w14:paraId="1FA5E801" w14:textId="4C038081" w:rsidR="007A649D"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Cs w:val="20"/>
                <w:lang w:val="en-GB"/>
              </w:rPr>
            </w:pPr>
            <w:r w:rsidRPr="00956F16">
              <w:rPr>
                <w:rFonts w:ascii="Times New Roman" w:eastAsia="Times New Roman" w:hAnsi="Times New Roman" w:cs="Times New Roman"/>
                <w:szCs w:val="20"/>
                <w:lang w:val="en-GB"/>
              </w:rPr>
              <w:t>60,1</w:t>
            </w:r>
          </w:p>
          <w:p w14:paraId="34921605" w14:textId="3D65BA18" w:rsidR="00956F16" w:rsidRPr="00956F16"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[44,3</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73,1]</w:t>
            </w:r>
          </w:p>
        </w:tc>
        <w:tc>
          <w:tcPr>
            <w:tcW w:w="2126" w:type="dxa"/>
            <w:tcBorders>
              <w:top w:val="single" w:sz="6" w:space="0" w:color="000000"/>
              <w:left w:val="single" w:sz="6" w:space="0" w:color="000000"/>
              <w:bottom w:val="single" w:sz="6" w:space="0" w:color="000000"/>
              <w:right w:val="single" w:sz="6" w:space="0" w:color="000000"/>
            </w:tcBorders>
          </w:tcPr>
          <w:p w14:paraId="63639269" w14:textId="02A0ED69" w:rsidR="00956F16" w:rsidRPr="00956F16"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20,1 [17,7</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20,3]</w:t>
            </w:r>
          </w:p>
        </w:tc>
        <w:tc>
          <w:tcPr>
            <w:tcW w:w="3119" w:type="dxa"/>
            <w:tcBorders>
              <w:top w:val="single" w:sz="6" w:space="0" w:color="000000"/>
              <w:left w:val="single" w:sz="6" w:space="0" w:color="000000"/>
              <w:bottom w:val="single" w:sz="6" w:space="0" w:color="000000"/>
              <w:right w:val="single" w:sz="6" w:space="0" w:color="000000"/>
            </w:tcBorders>
          </w:tcPr>
          <w:p w14:paraId="7DF4A2C1" w14:textId="72C07B94" w:rsidR="00956F16" w:rsidRPr="00956F16" w:rsidRDefault="00956F16" w:rsidP="00441247">
            <w:pPr>
              <w:keepNext/>
              <w:tabs>
                <w:tab w:val="left" w:pos="567"/>
              </w:tabs>
              <w:autoSpaceDE w:val="0"/>
              <w:autoSpaceDN w:val="0"/>
              <w:adjustRightInd w:val="0"/>
              <w:spacing w:after="0" w:line="240" w:lineRule="auto"/>
              <w:ind w:left="39"/>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0,350 [0,287</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0,426], p &lt; 0,001</w:t>
            </w:r>
          </w:p>
        </w:tc>
      </w:tr>
      <w:tr w:rsidR="00956F16" w:rsidRPr="00956F16" w14:paraId="280A5224" w14:textId="77777777" w:rsidTr="00694E9C">
        <w:trPr>
          <w:trHeight w:hRule="exact" w:val="521"/>
        </w:trPr>
        <w:tc>
          <w:tcPr>
            <w:tcW w:w="2835" w:type="dxa"/>
            <w:tcBorders>
              <w:top w:val="single" w:sz="6" w:space="0" w:color="000000"/>
              <w:left w:val="single" w:sz="6" w:space="0" w:color="000000"/>
              <w:bottom w:val="single" w:sz="6" w:space="0" w:color="000000"/>
              <w:right w:val="single" w:sz="6" w:space="0" w:color="000000"/>
            </w:tcBorders>
          </w:tcPr>
          <w:p w14:paraId="0E3483C4" w14:textId="77777777" w:rsidR="00956F16" w:rsidRPr="00441247" w:rsidRDefault="00956F16" w:rsidP="00441247">
            <w:pPr>
              <w:keepNext/>
              <w:tabs>
                <w:tab w:val="left" w:pos="567"/>
              </w:tabs>
              <w:autoSpaceDE w:val="0"/>
              <w:autoSpaceDN w:val="0"/>
              <w:adjustRightInd w:val="0"/>
              <w:spacing w:after="0" w:line="240" w:lineRule="auto"/>
              <w:ind w:right="13"/>
              <w:jc w:val="center"/>
              <w:rPr>
                <w:rFonts w:ascii="Times New Roman" w:eastAsia="Times New Roman" w:hAnsi="Times New Roman" w:cs="Times New Roman"/>
                <w:szCs w:val="20"/>
                <w:lang w:val="pt-PT"/>
              </w:rPr>
            </w:pPr>
            <w:r w:rsidRPr="00441247">
              <w:rPr>
                <w:rFonts w:ascii="Times New Roman" w:eastAsia="Times New Roman" w:hAnsi="Times New Roman" w:cs="Times New Roman"/>
                <w:szCs w:val="20"/>
                <w:lang w:val="pt-PT"/>
              </w:rPr>
              <w:t>Progressziómentes túlélés</w:t>
            </w:r>
          </w:p>
          <w:p w14:paraId="0FAFB2E6" w14:textId="1E4B690F" w:rsidR="00956F16" w:rsidRPr="00441247" w:rsidRDefault="00956F16" w:rsidP="00441247">
            <w:pPr>
              <w:keepNext/>
              <w:tabs>
                <w:tab w:val="left" w:pos="567"/>
              </w:tabs>
              <w:autoSpaceDE w:val="0"/>
              <w:autoSpaceDN w:val="0"/>
              <w:adjustRightInd w:val="0"/>
              <w:spacing w:after="0" w:line="240" w:lineRule="auto"/>
              <w:ind w:right="13"/>
              <w:jc w:val="center"/>
              <w:rPr>
                <w:rFonts w:ascii="Times New Roman" w:eastAsia="Times New Roman" w:hAnsi="Times New Roman" w:cs="Times New Roman"/>
                <w:sz w:val="24"/>
                <w:szCs w:val="24"/>
                <w:lang w:val="pt-PT"/>
              </w:rPr>
            </w:pPr>
            <w:r w:rsidRPr="00441247">
              <w:rPr>
                <w:rFonts w:ascii="Times New Roman" w:eastAsia="Times New Roman" w:hAnsi="Times New Roman" w:cs="Times New Roman"/>
                <w:szCs w:val="20"/>
                <w:lang w:val="pt-PT"/>
              </w:rPr>
              <w:t>median értéke [95%</w:t>
            </w:r>
            <w:r w:rsidR="00843AAD">
              <w:rPr>
                <w:rFonts w:ascii="Times New Roman" w:eastAsia="Times New Roman" w:hAnsi="Times New Roman" w:cs="Times New Roman"/>
              </w:rPr>
              <w:t>-os</w:t>
            </w:r>
            <w:r w:rsidRPr="00441247">
              <w:rPr>
                <w:rFonts w:ascii="Times New Roman" w:eastAsia="Times New Roman" w:hAnsi="Times New Roman" w:cs="Times New Roman"/>
                <w:szCs w:val="20"/>
                <w:lang w:val="pt-PT"/>
              </w:rPr>
              <w:t xml:space="preserve"> CI], hét</w:t>
            </w:r>
          </w:p>
        </w:tc>
        <w:tc>
          <w:tcPr>
            <w:tcW w:w="1418" w:type="dxa"/>
            <w:tcBorders>
              <w:top w:val="single" w:sz="6" w:space="0" w:color="000000"/>
              <w:left w:val="single" w:sz="6" w:space="0" w:color="000000"/>
              <w:bottom w:val="single" w:sz="6" w:space="0" w:color="000000"/>
              <w:right w:val="single" w:sz="6" w:space="0" w:color="000000"/>
            </w:tcBorders>
          </w:tcPr>
          <w:p w14:paraId="493F113C" w14:textId="77777777" w:rsidR="007A649D"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Cs w:val="20"/>
                <w:lang w:val="en-GB"/>
              </w:rPr>
            </w:pPr>
            <w:r w:rsidRPr="00956F16">
              <w:rPr>
                <w:rFonts w:ascii="Times New Roman" w:eastAsia="Times New Roman" w:hAnsi="Times New Roman" w:cs="Times New Roman"/>
                <w:szCs w:val="20"/>
                <w:lang w:val="en-GB"/>
              </w:rPr>
              <w:t>48,1</w:t>
            </w:r>
          </w:p>
          <w:p w14:paraId="626ED9F9" w14:textId="29A252D1" w:rsidR="00956F16" w:rsidRPr="00956F16"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[36,4</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62,1]</w:t>
            </w:r>
          </w:p>
        </w:tc>
        <w:tc>
          <w:tcPr>
            <w:tcW w:w="2126" w:type="dxa"/>
            <w:tcBorders>
              <w:top w:val="single" w:sz="6" w:space="0" w:color="000000"/>
              <w:left w:val="single" w:sz="6" w:space="0" w:color="000000"/>
              <w:bottom w:val="single" w:sz="6" w:space="0" w:color="000000"/>
              <w:right w:val="single" w:sz="6" w:space="0" w:color="000000"/>
            </w:tcBorders>
          </w:tcPr>
          <w:p w14:paraId="51AD1D0B" w14:textId="534FF397" w:rsidR="00956F16" w:rsidRPr="00956F16" w:rsidRDefault="00956F16" w:rsidP="00441247">
            <w:pPr>
              <w:keepNext/>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20,0 [16,1</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20,1]</w:t>
            </w:r>
          </w:p>
        </w:tc>
        <w:tc>
          <w:tcPr>
            <w:tcW w:w="3119" w:type="dxa"/>
            <w:tcBorders>
              <w:top w:val="single" w:sz="6" w:space="0" w:color="000000"/>
              <w:left w:val="single" w:sz="6" w:space="0" w:color="000000"/>
              <w:bottom w:val="single" w:sz="6" w:space="0" w:color="000000"/>
              <w:right w:val="single" w:sz="6" w:space="0" w:color="000000"/>
            </w:tcBorders>
          </w:tcPr>
          <w:p w14:paraId="794004F0" w14:textId="3D40D5A0" w:rsidR="00956F16" w:rsidRPr="00956F16" w:rsidRDefault="00956F16" w:rsidP="00441247">
            <w:pPr>
              <w:keepNext/>
              <w:tabs>
                <w:tab w:val="left" w:pos="567"/>
              </w:tabs>
              <w:autoSpaceDE w:val="0"/>
              <w:autoSpaceDN w:val="0"/>
              <w:adjustRightInd w:val="0"/>
              <w:spacing w:after="0" w:line="240" w:lineRule="auto"/>
              <w:ind w:left="39"/>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0,393 [0,326</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0,473], p &lt; 0,001</w:t>
            </w:r>
          </w:p>
        </w:tc>
      </w:tr>
      <w:tr w:rsidR="00956F16" w:rsidRPr="00956F16" w14:paraId="53A5C3E3" w14:textId="77777777" w:rsidTr="00694E9C">
        <w:trPr>
          <w:trHeight w:hRule="exact" w:val="775"/>
        </w:trPr>
        <w:tc>
          <w:tcPr>
            <w:tcW w:w="2835" w:type="dxa"/>
            <w:tcBorders>
              <w:top w:val="single" w:sz="6" w:space="0" w:color="000000"/>
              <w:left w:val="single" w:sz="6" w:space="0" w:color="000000"/>
              <w:bottom w:val="single" w:sz="6" w:space="0" w:color="000000"/>
              <w:right w:val="single" w:sz="6" w:space="0" w:color="000000"/>
            </w:tcBorders>
          </w:tcPr>
          <w:p w14:paraId="2EFDF8BC" w14:textId="77777777" w:rsidR="00956F16" w:rsidRPr="007E5A32" w:rsidRDefault="00956F16" w:rsidP="00956F16">
            <w:pPr>
              <w:widowControl w:val="0"/>
              <w:tabs>
                <w:tab w:val="left" w:pos="567"/>
              </w:tabs>
              <w:autoSpaceDE w:val="0"/>
              <w:autoSpaceDN w:val="0"/>
              <w:adjustRightInd w:val="0"/>
              <w:spacing w:after="0" w:line="240" w:lineRule="auto"/>
              <w:ind w:right="13"/>
              <w:jc w:val="center"/>
              <w:rPr>
                <w:rFonts w:ascii="Times New Roman" w:hAnsi="Times New Roman"/>
              </w:rPr>
            </w:pPr>
            <w:r w:rsidRPr="007E5A32">
              <w:rPr>
                <w:rFonts w:ascii="Times New Roman" w:hAnsi="Times New Roman"/>
              </w:rPr>
              <w:t>Teljes túlélés</w:t>
            </w:r>
          </w:p>
          <w:p w14:paraId="603C0CFA" w14:textId="4E0A1F6B" w:rsidR="00956F16" w:rsidRPr="007E5A32" w:rsidRDefault="00956F16" w:rsidP="00956F16">
            <w:pPr>
              <w:widowControl w:val="0"/>
              <w:tabs>
                <w:tab w:val="left" w:pos="567"/>
              </w:tabs>
              <w:autoSpaceDE w:val="0"/>
              <w:autoSpaceDN w:val="0"/>
              <w:adjustRightInd w:val="0"/>
              <w:spacing w:after="0" w:line="240" w:lineRule="auto"/>
              <w:ind w:right="13"/>
              <w:jc w:val="center"/>
              <w:rPr>
                <w:rFonts w:ascii="Times New Roman" w:hAnsi="Times New Roman"/>
              </w:rPr>
            </w:pPr>
            <w:r w:rsidRPr="007E5A32">
              <w:rPr>
                <w:rFonts w:ascii="Times New Roman" w:hAnsi="Times New Roman"/>
              </w:rPr>
              <w:t>medián értéke [95</w:t>
            </w:r>
            <w:r w:rsidRPr="00934095">
              <w:rPr>
                <w:rFonts w:ascii="Times New Roman" w:eastAsia="Times New Roman" w:hAnsi="Times New Roman" w:cs="Times New Roman"/>
                <w:szCs w:val="20"/>
              </w:rPr>
              <w:t>%</w:t>
            </w:r>
            <w:r w:rsidR="00843AAD">
              <w:rPr>
                <w:rFonts w:ascii="Times New Roman" w:eastAsia="Times New Roman" w:hAnsi="Times New Roman" w:cs="Times New Roman"/>
              </w:rPr>
              <w:t>-os</w:t>
            </w:r>
            <w:r w:rsidRPr="007E5A32">
              <w:rPr>
                <w:rFonts w:ascii="Times New Roman" w:hAnsi="Times New Roman"/>
              </w:rPr>
              <w:t xml:space="preserve"> CI], hét</w:t>
            </w:r>
          </w:p>
          <w:p w14:paraId="7ACAB400" w14:textId="77777777" w:rsidR="00956F16" w:rsidRPr="007E5A32" w:rsidRDefault="00956F16" w:rsidP="00956F16">
            <w:pPr>
              <w:widowControl w:val="0"/>
              <w:tabs>
                <w:tab w:val="left" w:pos="567"/>
              </w:tabs>
              <w:autoSpaceDE w:val="0"/>
              <w:autoSpaceDN w:val="0"/>
              <w:adjustRightInd w:val="0"/>
              <w:spacing w:after="0" w:line="240" w:lineRule="auto"/>
              <w:ind w:right="13"/>
              <w:jc w:val="center"/>
              <w:rPr>
                <w:rFonts w:ascii="Times New Roman" w:hAnsi="Times New Roman"/>
                <w:sz w:val="24"/>
              </w:rPr>
            </w:pPr>
            <w:r w:rsidRPr="007E5A32">
              <w:rPr>
                <w:rFonts w:ascii="Times New Roman" w:hAnsi="Times New Roman"/>
              </w:rPr>
              <w:t>1 éves összesített túlélés arány</w:t>
            </w:r>
          </w:p>
        </w:tc>
        <w:tc>
          <w:tcPr>
            <w:tcW w:w="1418" w:type="dxa"/>
            <w:tcBorders>
              <w:top w:val="single" w:sz="6" w:space="0" w:color="000000"/>
              <w:left w:val="single" w:sz="6" w:space="0" w:color="000000"/>
              <w:bottom w:val="single" w:sz="6" w:space="0" w:color="000000"/>
              <w:right w:val="single" w:sz="6" w:space="0" w:color="000000"/>
            </w:tcBorders>
          </w:tcPr>
          <w:p w14:paraId="740690BE" w14:textId="77777777" w:rsidR="007A649D"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Cs w:val="20"/>
                <w:lang w:val="en-GB"/>
              </w:rPr>
            </w:pPr>
            <w:r w:rsidRPr="00956F16">
              <w:rPr>
                <w:rFonts w:ascii="Times New Roman" w:eastAsia="Times New Roman" w:hAnsi="Times New Roman" w:cs="Times New Roman"/>
                <w:szCs w:val="20"/>
                <w:lang w:val="en-GB"/>
              </w:rPr>
              <w:t>164,3</w:t>
            </w:r>
          </w:p>
          <w:p w14:paraId="4D685464" w14:textId="4FA5128C"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Cs w:val="20"/>
                <w:lang w:val="en-GB"/>
              </w:rPr>
            </w:pPr>
            <w:r w:rsidRPr="00956F16">
              <w:rPr>
                <w:rFonts w:ascii="Times New Roman" w:eastAsia="Times New Roman" w:hAnsi="Times New Roman" w:cs="Times New Roman"/>
                <w:szCs w:val="20"/>
                <w:lang w:val="en-GB"/>
              </w:rPr>
              <w:t>[145,1</w:t>
            </w:r>
            <w:r w:rsidR="007A649D">
              <w:rPr>
                <w:rFonts w:ascii="Times New Roman" w:eastAsia="Times New Roman" w:hAnsi="Times New Roman" w:cs="Times New Roman"/>
              </w:rPr>
              <w:t xml:space="preserve">; </w:t>
            </w:r>
            <w:r w:rsidRPr="00956F16">
              <w:rPr>
                <w:rFonts w:ascii="Times New Roman" w:eastAsia="Times New Roman" w:hAnsi="Times New Roman" w:cs="Times New Roman"/>
                <w:szCs w:val="20"/>
                <w:lang w:val="en-GB"/>
              </w:rPr>
              <w:t>192,6]</w:t>
            </w:r>
          </w:p>
          <w:p w14:paraId="367A6BDA"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82%</w:t>
            </w:r>
          </w:p>
        </w:tc>
        <w:tc>
          <w:tcPr>
            <w:tcW w:w="2126" w:type="dxa"/>
            <w:tcBorders>
              <w:top w:val="single" w:sz="6" w:space="0" w:color="000000"/>
              <w:left w:val="single" w:sz="6" w:space="0" w:color="000000"/>
              <w:bottom w:val="single" w:sz="6" w:space="0" w:color="000000"/>
              <w:right w:val="single" w:sz="6" w:space="0" w:color="000000"/>
            </w:tcBorders>
          </w:tcPr>
          <w:p w14:paraId="118856C6" w14:textId="0AC56A1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Cs w:val="20"/>
                <w:lang w:val="en-GB"/>
              </w:rPr>
            </w:pPr>
            <w:r w:rsidRPr="00956F16">
              <w:rPr>
                <w:rFonts w:ascii="Times New Roman" w:eastAsia="Times New Roman" w:hAnsi="Times New Roman" w:cs="Times New Roman"/>
                <w:szCs w:val="20"/>
                <w:lang w:val="en-GB"/>
              </w:rPr>
              <w:t>136,4 [113,1</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161,7]</w:t>
            </w:r>
          </w:p>
          <w:p w14:paraId="3675B5D5"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75%</w:t>
            </w:r>
          </w:p>
        </w:tc>
        <w:tc>
          <w:tcPr>
            <w:tcW w:w="3119" w:type="dxa"/>
            <w:tcBorders>
              <w:top w:val="single" w:sz="6" w:space="0" w:color="000000"/>
              <w:left w:val="single" w:sz="6" w:space="0" w:color="000000"/>
              <w:bottom w:val="single" w:sz="6" w:space="0" w:color="000000"/>
              <w:right w:val="single" w:sz="6" w:space="0" w:color="000000"/>
            </w:tcBorders>
          </w:tcPr>
          <w:p w14:paraId="5CCD864B" w14:textId="5283B70A" w:rsidR="00956F16" w:rsidRPr="00956F16" w:rsidRDefault="00956F16" w:rsidP="00956F16">
            <w:pPr>
              <w:widowControl w:val="0"/>
              <w:tabs>
                <w:tab w:val="left" w:pos="567"/>
              </w:tabs>
              <w:autoSpaceDE w:val="0"/>
              <w:autoSpaceDN w:val="0"/>
              <w:adjustRightInd w:val="0"/>
              <w:spacing w:after="0" w:line="240" w:lineRule="auto"/>
              <w:ind w:left="39"/>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0,833 [0,687</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1,009], p = 0,045</w:t>
            </w:r>
          </w:p>
        </w:tc>
      </w:tr>
      <w:tr w:rsidR="00956F16" w:rsidRPr="00956F16" w14:paraId="0F1F63DF" w14:textId="77777777" w:rsidTr="00694E9C">
        <w:trPr>
          <w:trHeight w:hRule="exact" w:val="601"/>
        </w:trPr>
        <w:tc>
          <w:tcPr>
            <w:tcW w:w="2835" w:type="dxa"/>
            <w:tcBorders>
              <w:top w:val="single" w:sz="6" w:space="0" w:color="000000"/>
              <w:left w:val="single" w:sz="6" w:space="0" w:color="000000"/>
              <w:bottom w:val="single" w:sz="6" w:space="0" w:color="000000"/>
              <w:right w:val="single" w:sz="6" w:space="0" w:color="000000"/>
            </w:tcBorders>
          </w:tcPr>
          <w:p w14:paraId="1958B0BC" w14:textId="77777777" w:rsidR="00956F16" w:rsidRPr="00956F16" w:rsidRDefault="00956F16" w:rsidP="00956F16">
            <w:pPr>
              <w:widowControl w:val="0"/>
              <w:tabs>
                <w:tab w:val="left" w:pos="567"/>
              </w:tabs>
              <w:autoSpaceDE w:val="0"/>
              <w:autoSpaceDN w:val="0"/>
              <w:adjustRightInd w:val="0"/>
              <w:spacing w:after="0" w:line="240" w:lineRule="auto"/>
              <w:ind w:right="13"/>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b/>
                <w:bCs/>
                <w:szCs w:val="20"/>
                <w:lang w:val="en-GB"/>
              </w:rPr>
              <w:t>Válaszarány</w:t>
            </w:r>
          </w:p>
        </w:tc>
        <w:tc>
          <w:tcPr>
            <w:tcW w:w="1418" w:type="dxa"/>
            <w:tcBorders>
              <w:top w:val="single" w:sz="6" w:space="0" w:color="000000"/>
              <w:left w:val="single" w:sz="6" w:space="0" w:color="000000"/>
              <w:bottom w:val="single" w:sz="6" w:space="0" w:color="000000"/>
              <w:right w:val="single" w:sz="6" w:space="0" w:color="000000"/>
            </w:tcBorders>
          </w:tcPr>
          <w:p w14:paraId="7A80EAE5"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p>
        </w:tc>
        <w:tc>
          <w:tcPr>
            <w:tcW w:w="2126" w:type="dxa"/>
            <w:tcBorders>
              <w:top w:val="single" w:sz="6" w:space="0" w:color="000000"/>
              <w:left w:val="single" w:sz="6" w:space="0" w:color="000000"/>
              <w:bottom w:val="single" w:sz="6" w:space="0" w:color="000000"/>
              <w:right w:val="single" w:sz="6" w:space="0" w:color="000000"/>
            </w:tcBorders>
          </w:tcPr>
          <w:p w14:paraId="3EC041C9"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p>
        </w:tc>
        <w:tc>
          <w:tcPr>
            <w:tcW w:w="3119" w:type="dxa"/>
            <w:tcBorders>
              <w:top w:val="single" w:sz="6" w:space="0" w:color="000000"/>
              <w:left w:val="single" w:sz="6" w:space="0" w:color="000000"/>
              <w:bottom w:val="single" w:sz="6" w:space="0" w:color="000000"/>
              <w:right w:val="single" w:sz="6" w:space="0" w:color="000000"/>
            </w:tcBorders>
          </w:tcPr>
          <w:p w14:paraId="70A899C1" w14:textId="1DBFAC06" w:rsidR="00956F16" w:rsidRPr="007E5A32" w:rsidRDefault="00956F16" w:rsidP="00956F16">
            <w:pPr>
              <w:widowControl w:val="0"/>
              <w:tabs>
                <w:tab w:val="left" w:pos="567"/>
              </w:tabs>
              <w:autoSpaceDE w:val="0"/>
              <w:autoSpaceDN w:val="0"/>
              <w:adjustRightInd w:val="0"/>
              <w:spacing w:after="0" w:line="240" w:lineRule="auto"/>
              <w:ind w:left="39"/>
              <w:jc w:val="center"/>
              <w:rPr>
                <w:rFonts w:ascii="Times New Roman" w:hAnsi="Times New Roman"/>
                <w:lang w:val="pt-PT"/>
              </w:rPr>
            </w:pPr>
            <w:r w:rsidRPr="007E5A32">
              <w:rPr>
                <w:rFonts w:ascii="Times New Roman" w:hAnsi="Times New Roman"/>
                <w:b/>
                <w:lang w:val="pt-PT"/>
              </w:rPr>
              <w:t>Esélyhányados [95</w:t>
            </w:r>
            <w:r w:rsidRPr="00934095">
              <w:rPr>
                <w:rFonts w:ascii="Times New Roman" w:eastAsia="Times New Roman" w:hAnsi="Times New Roman" w:cs="Times New Roman"/>
                <w:b/>
                <w:bCs/>
                <w:lang w:val="pt-PT"/>
              </w:rPr>
              <w:t>%</w:t>
            </w:r>
            <w:r w:rsidR="00843AAD" w:rsidRPr="00934095">
              <w:rPr>
                <w:rFonts w:ascii="Times New Roman" w:eastAsia="Times New Roman" w:hAnsi="Times New Roman" w:cs="Times New Roman"/>
                <w:b/>
                <w:bCs/>
              </w:rPr>
              <w:t>-os</w:t>
            </w:r>
            <w:r w:rsidRPr="007E5A32">
              <w:rPr>
                <w:rFonts w:ascii="Times New Roman" w:hAnsi="Times New Roman"/>
                <w:b/>
                <w:lang w:val="pt-PT"/>
              </w:rPr>
              <w:t xml:space="preserve"> CI], p</w:t>
            </w:r>
            <w:r w:rsidR="00104634" w:rsidRPr="00934095">
              <w:rPr>
                <w:rFonts w:ascii="Times New Roman" w:eastAsia="Times New Roman" w:hAnsi="Times New Roman" w:cs="Times New Roman"/>
                <w:b/>
                <w:bCs/>
                <w:lang w:val="pt-PT"/>
              </w:rPr>
              <w:t>-</w:t>
            </w:r>
            <w:r w:rsidRPr="007E5A32">
              <w:rPr>
                <w:rFonts w:ascii="Times New Roman" w:hAnsi="Times New Roman"/>
                <w:b/>
                <w:lang w:val="pt-PT"/>
              </w:rPr>
              <w:t>érték</w:t>
            </w:r>
            <w:r w:rsidRPr="007E5A32">
              <w:rPr>
                <w:rFonts w:ascii="Times New Roman" w:hAnsi="Times New Roman"/>
                <w:vertAlign w:val="superscript"/>
                <w:lang w:val="pt-PT"/>
              </w:rPr>
              <w:t>b</w:t>
            </w:r>
          </w:p>
        </w:tc>
      </w:tr>
      <w:tr w:rsidR="00956F16" w:rsidRPr="00956F16" w14:paraId="7DD075FC" w14:textId="77777777" w:rsidTr="00694E9C">
        <w:trPr>
          <w:trHeight w:hRule="exact" w:val="523"/>
        </w:trPr>
        <w:tc>
          <w:tcPr>
            <w:tcW w:w="2835" w:type="dxa"/>
            <w:tcBorders>
              <w:top w:val="single" w:sz="6" w:space="0" w:color="000000"/>
              <w:left w:val="single" w:sz="6" w:space="0" w:color="000000"/>
              <w:bottom w:val="single" w:sz="6" w:space="0" w:color="000000"/>
              <w:right w:val="single" w:sz="6" w:space="0" w:color="000000"/>
            </w:tcBorders>
          </w:tcPr>
          <w:p w14:paraId="42472513" w14:textId="77777777" w:rsidR="00956F16" w:rsidRPr="00956F16" w:rsidRDefault="00956F16" w:rsidP="00956F16">
            <w:pPr>
              <w:widowControl w:val="0"/>
              <w:tabs>
                <w:tab w:val="left" w:pos="567"/>
              </w:tabs>
              <w:autoSpaceDE w:val="0"/>
              <w:autoSpaceDN w:val="0"/>
              <w:adjustRightInd w:val="0"/>
              <w:spacing w:after="0" w:line="240" w:lineRule="auto"/>
              <w:ind w:right="13"/>
              <w:jc w:val="center"/>
              <w:rPr>
                <w:rFonts w:ascii="Times New Roman" w:eastAsia="Times New Roman" w:hAnsi="Times New Roman" w:cs="Times New Roman"/>
                <w:szCs w:val="20"/>
                <w:lang w:val="pt-PT"/>
              </w:rPr>
            </w:pPr>
            <w:r w:rsidRPr="00956F16">
              <w:rPr>
                <w:rFonts w:ascii="Times New Roman" w:eastAsia="Times New Roman" w:hAnsi="Times New Roman" w:cs="Times New Roman"/>
                <w:szCs w:val="20"/>
                <w:lang w:val="pt-PT"/>
              </w:rPr>
              <w:t>összes válasz [n, %]</w:t>
            </w:r>
          </w:p>
          <w:p w14:paraId="3E66132F" w14:textId="77777777" w:rsidR="00956F16" w:rsidRPr="00956F16" w:rsidRDefault="00956F16" w:rsidP="00956F16">
            <w:pPr>
              <w:widowControl w:val="0"/>
              <w:tabs>
                <w:tab w:val="left" w:pos="567"/>
              </w:tabs>
              <w:autoSpaceDE w:val="0"/>
              <w:autoSpaceDN w:val="0"/>
              <w:adjustRightInd w:val="0"/>
              <w:spacing w:after="0" w:line="240" w:lineRule="auto"/>
              <w:ind w:right="13"/>
              <w:jc w:val="center"/>
              <w:rPr>
                <w:rFonts w:ascii="Times New Roman" w:eastAsia="Times New Roman" w:hAnsi="Times New Roman" w:cs="Times New Roman"/>
                <w:sz w:val="24"/>
                <w:szCs w:val="24"/>
                <w:lang w:val="pt-PT"/>
              </w:rPr>
            </w:pPr>
            <w:r w:rsidRPr="00956F16">
              <w:rPr>
                <w:rFonts w:ascii="Times New Roman" w:eastAsia="Times New Roman" w:hAnsi="Times New Roman" w:cs="Times New Roman"/>
                <w:szCs w:val="20"/>
                <w:lang w:val="pt-PT"/>
              </w:rPr>
              <w:t>teljes válasz [n, %]</w:t>
            </w:r>
          </w:p>
        </w:tc>
        <w:tc>
          <w:tcPr>
            <w:tcW w:w="1418" w:type="dxa"/>
            <w:tcBorders>
              <w:top w:val="single" w:sz="6" w:space="0" w:color="000000"/>
              <w:left w:val="single" w:sz="6" w:space="0" w:color="000000"/>
              <w:bottom w:val="single" w:sz="6" w:space="0" w:color="000000"/>
              <w:right w:val="single" w:sz="6" w:space="0" w:color="000000"/>
            </w:tcBorders>
          </w:tcPr>
          <w:p w14:paraId="6CFABE46"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Cs w:val="20"/>
                <w:lang w:val="en-GB"/>
              </w:rPr>
            </w:pPr>
            <w:r w:rsidRPr="00956F16">
              <w:rPr>
                <w:rFonts w:ascii="Times New Roman" w:eastAsia="Times New Roman" w:hAnsi="Times New Roman" w:cs="Times New Roman"/>
                <w:szCs w:val="20"/>
                <w:lang w:val="en-GB"/>
              </w:rPr>
              <w:t>212 (60,1)</w:t>
            </w:r>
          </w:p>
          <w:p w14:paraId="6A627937"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58 (16,4)</w:t>
            </w:r>
          </w:p>
        </w:tc>
        <w:tc>
          <w:tcPr>
            <w:tcW w:w="2126" w:type="dxa"/>
            <w:tcBorders>
              <w:top w:val="single" w:sz="6" w:space="0" w:color="000000"/>
              <w:left w:val="single" w:sz="6" w:space="0" w:color="000000"/>
              <w:bottom w:val="single" w:sz="6" w:space="0" w:color="000000"/>
              <w:right w:val="single" w:sz="6" w:space="0" w:color="000000"/>
            </w:tcBorders>
          </w:tcPr>
          <w:p w14:paraId="5ED12180"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Cs w:val="20"/>
                <w:lang w:val="en-GB"/>
              </w:rPr>
            </w:pPr>
            <w:r w:rsidRPr="00956F16">
              <w:rPr>
                <w:rFonts w:ascii="Times New Roman" w:eastAsia="Times New Roman" w:hAnsi="Times New Roman" w:cs="Times New Roman"/>
                <w:szCs w:val="20"/>
                <w:lang w:val="en-GB"/>
              </w:rPr>
              <w:t>75 (21,4)</w:t>
            </w:r>
          </w:p>
          <w:p w14:paraId="17FF0245" w14:textId="77777777" w:rsidR="00956F16" w:rsidRPr="00956F16" w:rsidRDefault="00956F16" w:rsidP="00956F16">
            <w:pPr>
              <w:widowControl w:val="0"/>
              <w:tabs>
                <w:tab w:val="left" w:pos="567"/>
              </w:tabs>
              <w:autoSpaceDE w:val="0"/>
              <w:autoSpaceDN w:val="0"/>
              <w:adjustRightInd w:val="0"/>
              <w:spacing w:after="0" w:line="240" w:lineRule="auto"/>
              <w:ind w:right="-20"/>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11 (3,1)</w:t>
            </w:r>
          </w:p>
        </w:tc>
        <w:tc>
          <w:tcPr>
            <w:tcW w:w="3119" w:type="dxa"/>
            <w:tcBorders>
              <w:top w:val="single" w:sz="6" w:space="0" w:color="000000"/>
              <w:left w:val="single" w:sz="6" w:space="0" w:color="000000"/>
              <w:bottom w:val="single" w:sz="6" w:space="0" w:color="000000"/>
              <w:right w:val="single" w:sz="6" w:space="0" w:color="000000"/>
            </w:tcBorders>
          </w:tcPr>
          <w:p w14:paraId="2D06D195" w14:textId="2211EDCD" w:rsidR="00956F16" w:rsidRPr="00956F16" w:rsidRDefault="00956F16" w:rsidP="00956F16">
            <w:pPr>
              <w:widowControl w:val="0"/>
              <w:tabs>
                <w:tab w:val="left" w:pos="567"/>
              </w:tabs>
              <w:autoSpaceDE w:val="0"/>
              <w:autoSpaceDN w:val="0"/>
              <w:adjustRightInd w:val="0"/>
              <w:spacing w:after="0" w:line="240" w:lineRule="auto"/>
              <w:ind w:left="39"/>
              <w:jc w:val="center"/>
              <w:rPr>
                <w:rFonts w:ascii="Times New Roman" w:eastAsia="Times New Roman" w:hAnsi="Times New Roman" w:cs="Times New Roman"/>
                <w:szCs w:val="20"/>
                <w:lang w:val="en-GB"/>
              </w:rPr>
            </w:pPr>
            <w:r w:rsidRPr="00956F16">
              <w:rPr>
                <w:rFonts w:ascii="Times New Roman" w:eastAsia="Times New Roman" w:hAnsi="Times New Roman" w:cs="Times New Roman"/>
                <w:szCs w:val="20"/>
                <w:lang w:val="en-GB"/>
              </w:rPr>
              <w:t>5,53 [3,97</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7,71], p &lt; 0,001</w:t>
            </w:r>
          </w:p>
          <w:p w14:paraId="79A303A9" w14:textId="24DC8BEB" w:rsidR="00956F16" w:rsidRPr="00956F16" w:rsidRDefault="00956F16" w:rsidP="00956F16">
            <w:pPr>
              <w:widowControl w:val="0"/>
              <w:tabs>
                <w:tab w:val="left" w:pos="567"/>
              </w:tabs>
              <w:autoSpaceDE w:val="0"/>
              <w:autoSpaceDN w:val="0"/>
              <w:adjustRightInd w:val="0"/>
              <w:spacing w:after="0" w:line="240" w:lineRule="auto"/>
              <w:ind w:left="39"/>
              <w:jc w:val="center"/>
              <w:rPr>
                <w:rFonts w:ascii="Times New Roman" w:eastAsia="Times New Roman" w:hAnsi="Times New Roman" w:cs="Times New Roman"/>
                <w:sz w:val="24"/>
                <w:szCs w:val="24"/>
                <w:lang w:val="en-GB"/>
              </w:rPr>
            </w:pPr>
            <w:r w:rsidRPr="00956F16">
              <w:rPr>
                <w:rFonts w:ascii="Times New Roman" w:eastAsia="Times New Roman" w:hAnsi="Times New Roman" w:cs="Times New Roman"/>
                <w:szCs w:val="20"/>
                <w:lang w:val="en-GB"/>
              </w:rPr>
              <w:t>6,08 [3,13</w:t>
            </w:r>
            <w:r w:rsidR="007A649D">
              <w:rPr>
                <w:rFonts w:ascii="Times New Roman" w:eastAsia="Times New Roman" w:hAnsi="Times New Roman" w:cs="Times New Roman"/>
              </w:rPr>
              <w:t>;</w:t>
            </w:r>
            <w:r w:rsidRPr="00956F16">
              <w:rPr>
                <w:rFonts w:ascii="Times New Roman" w:eastAsia="Times New Roman" w:hAnsi="Times New Roman" w:cs="Times New Roman"/>
                <w:szCs w:val="20"/>
                <w:lang w:val="en-GB"/>
              </w:rPr>
              <w:t xml:space="preserve"> 11,80], p &lt; 0,001</w:t>
            </w:r>
          </w:p>
        </w:tc>
      </w:tr>
    </w:tbl>
    <w:p w14:paraId="414B2DAC"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a</w:t>
      </w:r>
      <w:r w:rsidRPr="00956F16">
        <w:rPr>
          <w:rFonts w:ascii="Times New Roman" w:eastAsia="Calibri" w:hAnsi="Times New Roman" w:cs="Times New Roman"/>
          <w:sz w:val="18"/>
          <w:szCs w:val="18"/>
        </w:rPr>
        <w:t>: Kétoldalú lograng próba a kezelési csoportok túlélési görbéinek összehasonltására.</w:t>
      </w:r>
    </w:p>
    <w:p w14:paraId="7C23F353" w14:textId="77777777" w:rsidR="00956F16" w:rsidRPr="00956F16" w:rsidRDefault="00956F16" w:rsidP="00956F16">
      <w:pPr>
        <w:spacing w:after="0" w:line="240" w:lineRule="auto"/>
        <w:rPr>
          <w:rFonts w:ascii="Times New Roman" w:eastAsia="Calibri" w:hAnsi="Times New Roman" w:cs="Times New Roman"/>
          <w:sz w:val="18"/>
          <w:szCs w:val="18"/>
        </w:rPr>
      </w:pPr>
      <w:r w:rsidRPr="00956F16">
        <w:rPr>
          <w:rFonts w:ascii="Times New Roman" w:eastAsia="Calibri" w:hAnsi="Times New Roman" w:cs="Times New Roman"/>
          <w:sz w:val="18"/>
          <w:szCs w:val="18"/>
          <w:vertAlign w:val="superscript"/>
        </w:rPr>
        <w:t>b</w:t>
      </w:r>
      <w:r w:rsidRPr="00956F16">
        <w:rPr>
          <w:rFonts w:ascii="Times New Roman" w:eastAsia="Calibri" w:hAnsi="Times New Roman" w:cs="Times New Roman"/>
          <w:sz w:val="18"/>
          <w:szCs w:val="18"/>
        </w:rPr>
        <w:t>: Kétoldalú khi-négyzet próba Yates-féle korrekcióval.</w:t>
      </w:r>
    </w:p>
    <w:p w14:paraId="0A3AC12D" w14:textId="0F19F757" w:rsidR="00956F16" w:rsidRDefault="00956F16" w:rsidP="00956F16">
      <w:pPr>
        <w:spacing w:after="0" w:line="240" w:lineRule="auto"/>
        <w:rPr>
          <w:rFonts w:ascii="Times New Roman" w:eastAsia="Calibri" w:hAnsi="Times New Roman" w:cs="Times New Roman"/>
        </w:rPr>
      </w:pPr>
    </w:p>
    <w:p w14:paraId="62AE6C29" w14:textId="77777777" w:rsidR="004541A6" w:rsidRPr="00934095" w:rsidRDefault="004541A6" w:rsidP="00934095">
      <w:pPr>
        <w:keepNext/>
        <w:spacing w:after="0" w:line="240" w:lineRule="auto"/>
        <w:rPr>
          <w:rFonts w:ascii="Times New Roman" w:eastAsia="Calibri" w:hAnsi="Times New Roman" w:cs="Times New Roman"/>
          <w:i/>
          <w:iCs/>
          <w:u w:val="single"/>
        </w:rPr>
      </w:pPr>
      <w:r w:rsidRPr="00934095">
        <w:rPr>
          <w:rFonts w:ascii="Times New Roman" w:eastAsia="Calibri" w:hAnsi="Times New Roman" w:cs="Times New Roman"/>
          <w:i/>
          <w:iCs/>
          <w:u w:val="single"/>
        </w:rPr>
        <w:t>Myelodysplasiás szindrómák</w:t>
      </w:r>
    </w:p>
    <w:p w14:paraId="498D14FA" w14:textId="60DC39C2" w:rsidR="004541A6" w:rsidRDefault="004541A6" w:rsidP="004541A6">
      <w:pPr>
        <w:spacing w:after="0" w:line="240" w:lineRule="auto"/>
        <w:rPr>
          <w:rFonts w:ascii="Times New Roman" w:eastAsia="Calibri" w:hAnsi="Times New Roman" w:cs="Times New Roman"/>
        </w:rPr>
      </w:pPr>
      <w:r w:rsidRPr="004541A6">
        <w:rPr>
          <w:rFonts w:ascii="Times New Roman" w:eastAsia="Calibri" w:hAnsi="Times New Roman" w:cs="Times New Roman"/>
        </w:rPr>
        <w:t>A lenalidomid hatásosságát és biztonságosságát két fő vizsgálat során, 5q deléció típusú citogenetikai</w:t>
      </w:r>
      <w:r>
        <w:rPr>
          <w:rFonts w:ascii="Times New Roman" w:eastAsia="Calibri" w:hAnsi="Times New Roman" w:cs="Times New Roman"/>
        </w:rPr>
        <w:t xml:space="preserve"> </w:t>
      </w:r>
      <w:r w:rsidRPr="004541A6">
        <w:rPr>
          <w:rFonts w:ascii="Times New Roman" w:eastAsia="Calibri" w:hAnsi="Times New Roman" w:cs="Times New Roman"/>
        </w:rPr>
        <w:t>elváltozással</w:t>
      </w:r>
      <w:r>
        <w:rPr>
          <w:rFonts w:ascii="Times New Roman" w:eastAsia="Calibri" w:hAnsi="Times New Roman" w:cs="Times New Roman"/>
        </w:rPr>
        <w:t>,</w:t>
      </w:r>
      <w:r w:rsidRPr="004541A6">
        <w:rPr>
          <w:rFonts w:ascii="Times New Roman" w:eastAsia="Calibri" w:hAnsi="Times New Roman" w:cs="Times New Roman"/>
        </w:rPr>
        <w:t xml:space="preserve"> és esetlegesen egyéb citogenetikai elváltozásokkal járó, alacsony vagy közepes</w:t>
      </w:r>
      <w:r w:rsidR="001D4862">
        <w:rPr>
          <w:rFonts w:ascii="Times New Roman" w:eastAsia="Calibri" w:hAnsi="Times New Roman" w:cs="Times New Roman"/>
        </w:rPr>
        <w:noBreakHyphen/>
      </w:r>
      <w:r w:rsidRPr="004541A6">
        <w:rPr>
          <w:rFonts w:ascii="Times New Roman" w:eastAsia="Calibri" w:hAnsi="Times New Roman" w:cs="Times New Roman"/>
        </w:rPr>
        <w:t>1.</w:t>
      </w:r>
      <w:r>
        <w:rPr>
          <w:rFonts w:ascii="Times New Roman" w:eastAsia="Calibri" w:hAnsi="Times New Roman" w:cs="Times New Roman"/>
        </w:rPr>
        <w:t> </w:t>
      </w:r>
      <w:r w:rsidRPr="004541A6">
        <w:rPr>
          <w:rFonts w:ascii="Times New Roman" w:eastAsia="Calibri" w:hAnsi="Times New Roman" w:cs="Times New Roman"/>
        </w:rPr>
        <w:t>kockázatú myelodysplasiás szindrómák okozta transzfúzió-dependens anaemiában szenvedő betegek</w:t>
      </w:r>
      <w:r>
        <w:rPr>
          <w:rFonts w:ascii="Times New Roman" w:eastAsia="Calibri" w:hAnsi="Times New Roman" w:cs="Times New Roman"/>
        </w:rPr>
        <w:t xml:space="preserve"> </w:t>
      </w:r>
      <w:r w:rsidRPr="004541A6">
        <w:rPr>
          <w:rFonts w:ascii="Times New Roman" w:eastAsia="Calibri" w:hAnsi="Times New Roman" w:cs="Times New Roman"/>
        </w:rPr>
        <w:t xml:space="preserve">esetében értékelték. Az egyik egy </w:t>
      </w:r>
      <w:r w:rsidR="00D34ABC">
        <w:rPr>
          <w:rFonts w:ascii="Times New Roman" w:eastAsia="Calibri" w:hAnsi="Times New Roman" w:cs="Times New Roman"/>
        </w:rPr>
        <w:t>3</w:t>
      </w:r>
      <w:r w:rsidRPr="004541A6">
        <w:rPr>
          <w:rFonts w:ascii="Times New Roman" w:eastAsia="Calibri" w:hAnsi="Times New Roman" w:cs="Times New Roman"/>
        </w:rPr>
        <w:t>.</w:t>
      </w:r>
      <w:r>
        <w:rPr>
          <w:rFonts w:ascii="Times New Roman" w:eastAsia="Calibri" w:hAnsi="Times New Roman" w:cs="Times New Roman"/>
        </w:rPr>
        <w:t> </w:t>
      </w:r>
      <w:r w:rsidRPr="004541A6">
        <w:rPr>
          <w:rFonts w:ascii="Times New Roman" w:eastAsia="Calibri" w:hAnsi="Times New Roman" w:cs="Times New Roman"/>
        </w:rPr>
        <w:t>fázisú, multicentrikus, randomizált, kettős vak,</w:t>
      </w:r>
      <w:r>
        <w:rPr>
          <w:rFonts w:ascii="Times New Roman" w:eastAsia="Calibri" w:hAnsi="Times New Roman" w:cs="Times New Roman"/>
        </w:rPr>
        <w:t xml:space="preserve"> </w:t>
      </w:r>
      <w:r w:rsidRPr="004541A6">
        <w:rPr>
          <w:rFonts w:ascii="Times New Roman" w:eastAsia="Calibri" w:hAnsi="Times New Roman" w:cs="Times New Roman"/>
        </w:rPr>
        <w:t>placebokontrollos, 3</w:t>
      </w:r>
      <w:r>
        <w:rPr>
          <w:rFonts w:ascii="Times New Roman" w:eastAsia="Calibri" w:hAnsi="Times New Roman" w:cs="Times New Roman"/>
        </w:rPr>
        <w:t> </w:t>
      </w:r>
      <w:r w:rsidRPr="004541A6">
        <w:rPr>
          <w:rFonts w:ascii="Times New Roman" w:eastAsia="Calibri" w:hAnsi="Times New Roman" w:cs="Times New Roman"/>
        </w:rPr>
        <w:t>karú vizsgálat volt, melynek során</w:t>
      </w:r>
      <w:r>
        <w:rPr>
          <w:rFonts w:ascii="Times New Roman" w:eastAsia="Calibri" w:hAnsi="Times New Roman" w:cs="Times New Roman"/>
        </w:rPr>
        <w:t xml:space="preserve"> a</w:t>
      </w:r>
      <w:r w:rsidRPr="004541A6">
        <w:rPr>
          <w:rFonts w:ascii="Times New Roman" w:eastAsia="Calibri" w:hAnsi="Times New Roman" w:cs="Times New Roman"/>
        </w:rPr>
        <w:t xml:space="preserve"> </w:t>
      </w:r>
      <w:r w:rsidRPr="00934095">
        <w:rPr>
          <w:rFonts w:ascii="Times New Roman" w:eastAsia="Calibri" w:hAnsi="Times New Roman" w:cs="Times New Roman"/>
          <w:i/>
          <w:iCs/>
        </w:rPr>
        <w:t>per os</w:t>
      </w:r>
      <w:r w:rsidRPr="004541A6">
        <w:rPr>
          <w:rFonts w:ascii="Times New Roman" w:eastAsia="Calibri" w:hAnsi="Times New Roman" w:cs="Times New Roman"/>
        </w:rPr>
        <w:t xml:space="preserve"> alkalmazott lenalidomid kétféle dózisát</w:t>
      </w:r>
      <w:r>
        <w:rPr>
          <w:rFonts w:ascii="Times New Roman" w:eastAsia="Calibri" w:hAnsi="Times New Roman" w:cs="Times New Roman"/>
        </w:rPr>
        <w:t xml:space="preserve"> </w:t>
      </w:r>
      <w:r w:rsidRPr="004541A6">
        <w:rPr>
          <w:rFonts w:ascii="Times New Roman" w:eastAsia="Calibri" w:hAnsi="Times New Roman" w:cs="Times New Roman"/>
        </w:rPr>
        <w:t>(10</w:t>
      </w:r>
      <w:r>
        <w:rPr>
          <w:rFonts w:ascii="Times New Roman" w:eastAsia="Calibri" w:hAnsi="Times New Roman" w:cs="Times New Roman"/>
        </w:rPr>
        <w:t> </w:t>
      </w:r>
      <w:r w:rsidRPr="004541A6">
        <w:rPr>
          <w:rFonts w:ascii="Times New Roman" w:eastAsia="Calibri" w:hAnsi="Times New Roman" w:cs="Times New Roman"/>
        </w:rPr>
        <w:t>mg és 5</w:t>
      </w:r>
      <w:r>
        <w:rPr>
          <w:rFonts w:ascii="Times New Roman" w:eastAsia="Calibri" w:hAnsi="Times New Roman" w:cs="Times New Roman"/>
        </w:rPr>
        <w:t> </w:t>
      </w:r>
      <w:r w:rsidRPr="004541A6">
        <w:rPr>
          <w:rFonts w:ascii="Times New Roman" w:eastAsia="Calibri" w:hAnsi="Times New Roman" w:cs="Times New Roman"/>
        </w:rPr>
        <w:t xml:space="preserve">mg) értékelték placebóhoz viszonyítva (MDS-004), a másik pedig egy </w:t>
      </w:r>
      <w:r w:rsidR="00D34ABC">
        <w:rPr>
          <w:rFonts w:ascii="Times New Roman" w:eastAsia="Calibri" w:hAnsi="Times New Roman" w:cs="Times New Roman"/>
        </w:rPr>
        <w:t>2</w:t>
      </w:r>
      <w:r w:rsidRPr="004541A6">
        <w:rPr>
          <w:rFonts w:ascii="Times New Roman" w:eastAsia="Calibri" w:hAnsi="Times New Roman" w:cs="Times New Roman"/>
        </w:rPr>
        <w:t>.</w:t>
      </w:r>
      <w:r>
        <w:rPr>
          <w:rFonts w:ascii="Times New Roman" w:eastAsia="Calibri" w:hAnsi="Times New Roman" w:cs="Times New Roman"/>
        </w:rPr>
        <w:t> </w:t>
      </w:r>
      <w:r w:rsidRPr="004541A6">
        <w:rPr>
          <w:rFonts w:ascii="Times New Roman" w:eastAsia="Calibri" w:hAnsi="Times New Roman" w:cs="Times New Roman"/>
        </w:rPr>
        <w:t>fázisú,</w:t>
      </w:r>
      <w:r>
        <w:rPr>
          <w:rFonts w:ascii="Times New Roman" w:eastAsia="Calibri" w:hAnsi="Times New Roman" w:cs="Times New Roman"/>
        </w:rPr>
        <w:t xml:space="preserve"> </w:t>
      </w:r>
      <w:r w:rsidRPr="004541A6">
        <w:rPr>
          <w:rFonts w:ascii="Times New Roman" w:eastAsia="Calibri" w:hAnsi="Times New Roman" w:cs="Times New Roman"/>
        </w:rPr>
        <w:t>multicentrikus, egykarú, nyílt elrendezésű, lenalidomiddal (10</w:t>
      </w:r>
      <w:r>
        <w:rPr>
          <w:rFonts w:ascii="Times New Roman" w:eastAsia="Calibri" w:hAnsi="Times New Roman" w:cs="Times New Roman"/>
        </w:rPr>
        <w:t> </w:t>
      </w:r>
      <w:r w:rsidRPr="004541A6">
        <w:rPr>
          <w:rFonts w:ascii="Times New Roman" w:eastAsia="Calibri" w:hAnsi="Times New Roman" w:cs="Times New Roman"/>
        </w:rPr>
        <w:t>mg) végzett vizsgálat volt (MDS-003).</w:t>
      </w:r>
    </w:p>
    <w:p w14:paraId="18F37C5B" w14:textId="77777777" w:rsidR="004541A6" w:rsidRPr="004541A6" w:rsidRDefault="004541A6" w:rsidP="004541A6">
      <w:pPr>
        <w:spacing w:after="0" w:line="240" w:lineRule="auto"/>
        <w:rPr>
          <w:rFonts w:ascii="Times New Roman" w:eastAsia="Calibri" w:hAnsi="Times New Roman" w:cs="Times New Roman"/>
        </w:rPr>
      </w:pPr>
    </w:p>
    <w:p w14:paraId="0BC94CDF" w14:textId="3EFAD378" w:rsidR="004541A6" w:rsidRDefault="004541A6" w:rsidP="004541A6">
      <w:pPr>
        <w:spacing w:after="0" w:line="240" w:lineRule="auto"/>
        <w:rPr>
          <w:rFonts w:ascii="Times New Roman" w:eastAsia="Calibri" w:hAnsi="Times New Roman" w:cs="Times New Roman"/>
        </w:rPr>
      </w:pPr>
      <w:r w:rsidRPr="004541A6">
        <w:rPr>
          <w:rFonts w:ascii="Times New Roman" w:eastAsia="Calibri" w:hAnsi="Times New Roman" w:cs="Times New Roman"/>
        </w:rPr>
        <w:t>Az alábbiakban az MDS-003 és MDS-004 vizsgálatokban értékelt beválasztás szerinti (ITT) populáció</w:t>
      </w:r>
      <w:r>
        <w:rPr>
          <w:rFonts w:ascii="Times New Roman" w:eastAsia="Calibri" w:hAnsi="Times New Roman" w:cs="Times New Roman"/>
        </w:rPr>
        <w:t xml:space="preserve"> </w:t>
      </w:r>
      <w:r w:rsidRPr="004541A6">
        <w:rPr>
          <w:rFonts w:ascii="Times New Roman" w:eastAsia="Calibri" w:hAnsi="Times New Roman" w:cs="Times New Roman"/>
        </w:rPr>
        <w:t xml:space="preserve">eredményei kerülnek bemutatásra, valamint külön feltüntetésre kerülnek az izolált </w:t>
      </w:r>
      <w:r w:rsidR="00BD03D8">
        <w:rPr>
          <w:rFonts w:ascii="Times New Roman" w:eastAsia="Calibri" w:hAnsi="Times New Roman" w:cs="Times New Roman"/>
        </w:rPr>
        <w:t>Del</w:t>
      </w:r>
      <w:r w:rsidRPr="004541A6">
        <w:rPr>
          <w:rFonts w:ascii="Times New Roman" w:eastAsia="Calibri" w:hAnsi="Times New Roman" w:cs="Times New Roman"/>
        </w:rPr>
        <w:t xml:space="preserve"> (5q)</w:t>
      </w:r>
      <w:r>
        <w:rPr>
          <w:rFonts w:ascii="Times New Roman" w:eastAsia="Calibri" w:hAnsi="Times New Roman" w:cs="Times New Roman"/>
        </w:rPr>
        <w:t xml:space="preserve"> </w:t>
      </w:r>
      <w:r w:rsidRPr="004541A6">
        <w:rPr>
          <w:rFonts w:ascii="Times New Roman" w:eastAsia="Calibri" w:hAnsi="Times New Roman" w:cs="Times New Roman"/>
        </w:rPr>
        <w:t>alpopuláció eredményei.</w:t>
      </w:r>
    </w:p>
    <w:p w14:paraId="117E2A96" w14:textId="77777777" w:rsidR="004541A6" w:rsidRPr="004541A6" w:rsidRDefault="004541A6" w:rsidP="004541A6">
      <w:pPr>
        <w:spacing w:after="0" w:line="240" w:lineRule="auto"/>
        <w:rPr>
          <w:rFonts w:ascii="Times New Roman" w:eastAsia="Calibri" w:hAnsi="Times New Roman" w:cs="Times New Roman"/>
        </w:rPr>
      </w:pPr>
    </w:p>
    <w:p w14:paraId="40580148" w14:textId="21F1FEB5" w:rsidR="004541A6" w:rsidRDefault="004541A6" w:rsidP="004541A6">
      <w:pPr>
        <w:spacing w:after="0" w:line="240" w:lineRule="auto"/>
        <w:rPr>
          <w:rFonts w:ascii="Times New Roman" w:eastAsia="Calibri" w:hAnsi="Times New Roman" w:cs="Times New Roman"/>
        </w:rPr>
      </w:pPr>
      <w:r w:rsidRPr="004541A6">
        <w:rPr>
          <w:rFonts w:ascii="Times New Roman" w:eastAsia="Calibri" w:hAnsi="Times New Roman" w:cs="Times New Roman"/>
        </w:rPr>
        <w:lastRenderedPageBreak/>
        <w:t>Az MDS-004 vizsgálat során – amelyben 205</w:t>
      </w:r>
      <w:r>
        <w:rPr>
          <w:rFonts w:ascii="Times New Roman" w:eastAsia="Calibri" w:hAnsi="Times New Roman" w:cs="Times New Roman"/>
        </w:rPr>
        <w:t> </w:t>
      </w:r>
      <w:r w:rsidRPr="004541A6">
        <w:rPr>
          <w:rFonts w:ascii="Times New Roman" w:eastAsia="Calibri" w:hAnsi="Times New Roman" w:cs="Times New Roman"/>
        </w:rPr>
        <w:t>beteget randomizáltak egyenlő arányban 10</w:t>
      </w:r>
      <w:r>
        <w:rPr>
          <w:rFonts w:ascii="Times New Roman" w:eastAsia="Calibri" w:hAnsi="Times New Roman" w:cs="Times New Roman"/>
        </w:rPr>
        <w:t> </w:t>
      </w:r>
      <w:r w:rsidRPr="004541A6">
        <w:rPr>
          <w:rFonts w:ascii="Times New Roman" w:eastAsia="Calibri" w:hAnsi="Times New Roman" w:cs="Times New Roman"/>
        </w:rPr>
        <w:t>mg</w:t>
      </w:r>
      <w:r>
        <w:rPr>
          <w:rFonts w:ascii="Times New Roman" w:eastAsia="Calibri" w:hAnsi="Times New Roman" w:cs="Times New Roman"/>
        </w:rPr>
        <w:t xml:space="preserve"> </w:t>
      </w:r>
      <w:r w:rsidRPr="004541A6">
        <w:rPr>
          <w:rFonts w:ascii="Times New Roman" w:eastAsia="Calibri" w:hAnsi="Times New Roman" w:cs="Times New Roman"/>
        </w:rPr>
        <w:t>lenalidomid, 5</w:t>
      </w:r>
      <w:r>
        <w:rPr>
          <w:rFonts w:ascii="Times New Roman" w:eastAsia="Calibri" w:hAnsi="Times New Roman" w:cs="Times New Roman"/>
        </w:rPr>
        <w:t> </w:t>
      </w:r>
      <w:r w:rsidRPr="004541A6">
        <w:rPr>
          <w:rFonts w:ascii="Times New Roman" w:eastAsia="Calibri" w:hAnsi="Times New Roman" w:cs="Times New Roman"/>
        </w:rPr>
        <w:t>mg lenalidomid vagy placebo alkalmazására – az elsődleges hatásossági analízis</w:t>
      </w:r>
      <w:r>
        <w:rPr>
          <w:rFonts w:ascii="Times New Roman" w:eastAsia="Calibri" w:hAnsi="Times New Roman" w:cs="Times New Roman"/>
        </w:rPr>
        <w:t xml:space="preserve"> </w:t>
      </w:r>
      <w:r w:rsidRPr="004541A6">
        <w:rPr>
          <w:rFonts w:ascii="Times New Roman" w:eastAsia="Calibri" w:hAnsi="Times New Roman" w:cs="Times New Roman"/>
        </w:rPr>
        <w:t>keretében a placebokarhoz viszonyítva összehasonlították a transzfúzió-independenciában</w:t>
      </w:r>
      <w:r>
        <w:rPr>
          <w:rFonts w:ascii="Times New Roman" w:eastAsia="Calibri" w:hAnsi="Times New Roman" w:cs="Times New Roman"/>
        </w:rPr>
        <w:t xml:space="preserve"> </w:t>
      </w:r>
      <w:r w:rsidRPr="004541A6">
        <w:rPr>
          <w:rFonts w:ascii="Times New Roman" w:eastAsia="Calibri" w:hAnsi="Times New Roman" w:cs="Times New Roman"/>
        </w:rPr>
        <w:t>megnyilvánuló válaszarányt a 10</w:t>
      </w:r>
      <w:r>
        <w:rPr>
          <w:rFonts w:ascii="Times New Roman" w:eastAsia="Calibri" w:hAnsi="Times New Roman" w:cs="Times New Roman"/>
        </w:rPr>
        <w:t> </w:t>
      </w:r>
      <w:r w:rsidRPr="004541A6">
        <w:rPr>
          <w:rFonts w:ascii="Times New Roman" w:eastAsia="Calibri" w:hAnsi="Times New Roman" w:cs="Times New Roman"/>
        </w:rPr>
        <w:t>mg és 5</w:t>
      </w:r>
      <w:r>
        <w:rPr>
          <w:rFonts w:ascii="Times New Roman" w:eastAsia="Calibri" w:hAnsi="Times New Roman" w:cs="Times New Roman"/>
        </w:rPr>
        <w:t> </w:t>
      </w:r>
      <w:r w:rsidRPr="004541A6">
        <w:rPr>
          <w:rFonts w:ascii="Times New Roman" w:eastAsia="Calibri" w:hAnsi="Times New Roman" w:cs="Times New Roman"/>
        </w:rPr>
        <w:t>mg lenalidomid-karokon (kettős vak fázis a 16.-tól az</w:t>
      </w:r>
      <w:r>
        <w:rPr>
          <w:rFonts w:ascii="Times New Roman" w:eastAsia="Calibri" w:hAnsi="Times New Roman" w:cs="Times New Roman"/>
        </w:rPr>
        <w:t xml:space="preserve"> </w:t>
      </w:r>
      <w:r w:rsidRPr="004541A6">
        <w:rPr>
          <w:rFonts w:ascii="Times New Roman" w:eastAsia="Calibri" w:hAnsi="Times New Roman" w:cs="Times New Roman"/>
        </w:rPr>
        <w:t>52.</w:t>
      </w:r>
      <w:r>
        <w:rPr>
          <w:rFonts w:ascii="Times New Roman" w:eastAsia="Calibri" w:hAnsi="Times New Roman" w:cs="Times New Roman"/>
        </w:rPr>
        <w:t> </w:t>
      </w:r>
      <w:r w:rsidRPr="004541A6">
        <w:rPr>
          <w:rFonts w:ascii="Times New Roman" w:eastAsia="Calibri" w:hAnsi="Times New Roman" w:cs="Times New Roman"/>
        </w:rPr>
        <w:t>hétig és nyílt</w:t>
      </w:r>
      <w:r>
        <w:rPr>
          <w:rFonts w:ascii="Times New Roman" w:eastAsia="Calibri" w:hAnsi="Times New Roman" w:cs="Times New Roman"/>
        </w:rPr>
        <w:t xml:space="preserve"> </w:t>
      </w:r>
      <w:r w:rsidRPr="004541A6">
        <w:rPr>
          <w:rFonts w:ascii="Times New Roman" w:eastAsia="Calibri" w:hAnsi="Times New Roman" w:cs="Times New Roman"/>
        </w:rPr>
        <w:t>elrendezés összesen 156</w:t>
      </w:r>
      <w:r>
        <w:rPr>
          <w:rFonts w:ascii="Times New Roman" w:eastAsia="Calibri" w:hAnsi="Times New Roman" w:cs="Times New Roman"/>
        </w:rPr>
        <w:t> </w:t>
      </w:r>
      <w:r w:rsidRPr="004541A6">
        <w:rPr>
          <w:rFonts w:ascii="Times New Roman" w:eastAsia="Calibri" w:hAnsi="Times New Roman" w:cs="Times New Roman"/>
        </w:rPr>
        <w:t>hétig). Azoknál a betegeknél, akiknél 16</w:t>
      </w:r>
      <w:r>
        <w:rPr>
          <w:rFonts w:ascii="Times New Roman" w:eastAsia="Calibri" w:hAnsi="Times New Roman" w:cs="Times New Roman"/>
        </w:rPr>
        <w:t> </w:t>
      </w:r>
      <w:r w:rsidRPr="004541A6">
        <w:rPr>
          <w:rFonts w:ascii="Times New Roman" w:eastAsia="Calibri" w:hAnsi="Times New Roman" w:cs="Times New Roman"/>
        </w:rPr>
        <w:t>hét után nem volt</w:t>
      </w:r>
      <w:r>
        <w:rPr>
          <w:rFonts w:ascii="Times New Roman" w:eastAsia="Calibri" w:hAnsi="Times New Roman" w:cs="Times New Roman"/>
        </w:rPr>
        <w:t xml:space="preserve"> </w:t>
      </w:r>
      <w:r w:rsidRPr="004541A6">
        <w:rPr>
          <w:rFonts w:ascii="Times New Roman" w:eastAsia="Calibri" w:hAnsi="Times New Roman" w:cs="Times New Roman"/>
        </w:rPr>
        <w:t>igazolható legalább minor erythroid válasz, le kellett állítani a kezelést. Azok a betegek pedig, akikné</w:t>
      </w:r>
      <w:r>
        <w:rPr>
          <w:rFonts w:ascii="Times New Roman" w:eastAsia="Calibri" w:hAnsi="Times New Roman" w:cs="Times New Roman"/>
        </w:rPr>
        <w:t xml:space="preserve">l </w:t>
      </w:r>
      <w:r w:rsidRPr="004541A6">
        <w:rPr>
          <w:rFonts w:ascii="Times New Roman" w:eastAsia="Calibri" w:hAnsi="Times New Roman" w:cs="Times New Roman"/>
        </w:rPr>
        <w:t>legalább minor erythroid válasz igazolható volt, erythroid relapsus, a betegség progressziója, illetve</w:t>
      </w:r>
      <w:r>
        <w:rPr>
          <w:rFonts w:ascii="Times New Roman" w:eastAsia="Calibri" w:hAnsi="Times New Roman" w:cs="Times New Roman"/>
        </w:rPr>
        <w:t xml:space="preserve"> </w:t>
      </w:r>
      <w:r w:rsidRPr="004541A6">
        <w:rPr>
          <w:rFonts w:ascii="Times New Roman" w:eastAsia="Calibri" w:hAnsi="Times New Roman" w:cs="Times New Roman"/>
        </w:rPr>
        <w:t>nem várt toxicitás bekövetkeztéig folytathatták a kezelést. Azok a betegek, akik kezdetben placebót</w:t>
      </w:r>
      <w:r>
        <w:rPr>
          <w:rFonts w:ascii="Times New Roman" w:eastAsia="Calibri" w:hAnsi="Times New Roman" w:cs="Times New Roman"/>
        </w:rPr>
        <w:t xml:space="preserve"> </w:t>
      </w:r>
      <w:r w:rsidRPr="004541A6">
        <w:rPr>
          <w:rFonts w:ascii="Times New Roman" w:eastAsia="Calibri" w:hAnsi="Times New Roman" w:cs="Times New Roman"/>
        </w:rPr>
        <w:t>vagy 5</w:t>
      </w:r>
      <w:r>
        <w:rPr>
          <w:rFonts w:ascii="Times New Roman" w:eastAsia="Calibri" w:hAnsi="Times New Roman" w:cs="Times New Roman"/>
        </w:rPr>
        <w:t> </w:t>
      </w:r>
      <w:r w:rsidRPr="004541A6">
        <w:rPr>
          <w:rFonts w:ascii="Times New Roman" w:eastAsia="Calibri" w:hAnsi="Times New Roman" w:cs="Times New Roman"/>
        </w:rPr>
        <w:t>mg lenalidomidot kaptak, és nem jelentkezett legalább minor erythroid válasz 16</w:t>
      </w:r>
      <w:r>
        <w:rPr>
          <w:rFonts w:ascii="Times New Roman" w:eastAsia="Calibri" w:hAnsi="Times New Roman" w:cs="Times New Roman"/>
        </w:rPr>
        <w:t> </w:t>
      </w:r>
      <w:r w:rsidRPr="004541A6">
        <w:rPr>
          <w:rFonts w:ascii="Times New Roman" w:eastAsia="Calibri" w:hAnsi="Times New Roman" w:cs="Times New Roman"/>
        </w:rPr>
        <w:t>hetes kezelés</w:t>
      </w:r>
      <w:r>
        <w:rPr>
          <w:rFonts w:ascii="Times New Roman" w:eastAsia="Calibri" w:hAnsi="Times New Roman" w:cs="Times New Roman"/>
        </w:rPr>
        <w:t xml:space="preserve"> </w:t>
      </w:r>
      <w:r w:rsidRPr="004541A6">
        <w:rPr>
          <w:rFonts w:ascii="Times New Roman" w:eastAsia="Calibri" w:hAnsi="Times New Roman" w:cs="Times New Roman"/>
        </w:rPr>
        <w:t>után, áttérhettek a placebóról 5</w:t>
      </w:r>
      <w:r>
        <w:rPr>
          <w:rFonts w:ascii="Times New Roman" w:eastAsia="Calibri" w:hAnsi="Times New Roman" w:cs="Times New Roman"/>
        </w:rPr>
        <w:t> </w:t>
      </w:r>
      <w:r w:rsidRPr="004541A6">
        <w:rPr>
          <w:rFonts w:ascii="Times New Roman" w:eastAsia="Calibri" w:hAnsi="Times New Roman" w:cs="Times New Roman"/>
        </w:rPr>
        <w:t>mg lenalidomidra vagy magasabb dózissal (5</w:t>
      </w:r>
      <w:r>
        <w:rPr>
          <w:rFonts w:ascii="Times New Roman" w:eastAsia="Calibri" w:hAnsi="Times New Roman" w:cs="Times New Roman"/>
        </w:rPr>
        <w:t>–</w:t>
      </w:r>
      <w:r w:rsidRPr="004541A6">
        <w:rPr>
          <w:rFonts w:ascii="Times New Roman" w:eastAsia="Calibri" w:hAnsi="Times New Roman" w:cs="Times New Roman"/>
        </w:rPr>
        <w:t>10</w:t>
      </w:r>
      <w:r>
        <w:rPr>
          <w:rFonts w:ascii="Times New Roman" w:eastAsia="Calibri" w:hAnsi="Times New Roman" w:cs="Times New Roman"/>
        </w:rPr>
        <w:t> </w:t>
      </w:r>
      <w:r w:rsidRPr="004541A6">
        <w:rPr>
          <w:rFonts w:ascii="Times New Roman" w:eastAsia="Calibri" w:hAnsi="Times New Roman" w:cs="Times New Roman"/>
        </w:rPr>
        <w:t>mg) folytathatták a</w:t>
      </w:r>
      <w:r>
        <w:rPr>
          <w:rFonts w:ascii="Times New Roman" w:eastAsia="Calibri" w:hAnsi="Times New Roman" w:cs="Times New Roman"/>
        </w:rPr>
        <w:t xml:space="preserve"> </w:t>
      </w:r>
      <w:r w:rsidRPr="004541A6">
        <w:rPr>
          <w:rFonts w:ascii="Times New Roman" w:eastAsia="Calibri" w:hAnsi="Times New Roman" w:cs="Times New Roman"/>
        </w:rPr>
        <w:t>lenalidomid-kezelést.</w:t>
      </w:r>
    </w:p>
    <w:p w14:paraId="5BC52BBC" w14:textId="77777777" w:rsidR="004541A6" w:rsidRPr="004541A6" w:rsidRDefault="004541A6" w:rsidP="004541A6">
      <w:pPr>
        <w:spacing w:after="0" w:line="240" w:lineRule="auto"/>
        <w:rPr>
          <w:rFonts w:ascii="Times New Roman" w:eastAsia="Calibri" w:hAnsi="Times New Roman" w:cs="Times New Roman"/>
        </w:rPr>
      </w:pPr>
    </w:p>
    <w:p w14:paraId="4952E860" w14:textId="5A0EC3EE" w:rsidR="004541A6" w:rsidRDefault="004541A6" w:rsidP="004541A6">
      <w:pPr>
        <w:spacing w:after="0" w:line="240" w:lineRule="auto"/>
        <w:rPr>
          <w:rFonts w:ascii="Times New Roman" w:eastAsia="Calibri" w:hAnsi="Times New Roman" w:cs="Times New Roman"/>
        </w:rPr>
      </w:pPr>
      <w:r w:rsidRPr="004541A6">
        <w:rPr>
          <w:rFonts w:ascii="Times New Roman" w:eastAsia="Calibri" w:hAnsi="Times New Roman" w:cs="Times New Roman"/>
        </w:rPr>
        <w:t>Az MDS-003 vizsgálat során – amelyben 148</w:t>
      </w:r>
      <w:r>
        <w:rPr>
          <w:rFonts w:ascii="Times New Roman" w:eastAsia="Calibri" w:hAnsi="Times New Roman" w:cs="Times New Roman"/>
        </w:rPr>
        <w:t> </w:t>
      </w:r>
      <w:r w:rsidRPr="004541A6">
        <w:rPr>
          <w:rFonts w:ascii="Times New Roman" w:eastAsia="Calibri" w:hAnsi="Times New Roman" w:cs="Times New Roman"/>
        </w:rPr>
        <w:t>beteg kapott lenalidomidot 10</w:t>
      </w:r>
      <w:r>
        <w:rPr>
          <w:rFonts w:ascii="Times New Roman" w:eastAsia="Calibri" w:hAnsi="Times New Roman" w:cs="Times New Roman"/>
        </w:rPr>
        <w:t> </w:t>
      </w:r>
      <w:r w:rsidRPr="004541A6">
        <w:rPr>
          <w:rFonts w:ascii="Times New Roman" w:eastAsia="Calibri" w:hAnsi="Times New Roman" w:cs="Times New Roman"/>
        </w:rPr>
        <w:t>mg-os dózisban – az</w:t>
      </w:r>
      <w:r>
        <w:rPr>
          <w:rFonts w:ascii="Times New Roman" w:eastAsia="Calibri" w:hAnsi="Times New Roman" w:cs="Times New Roman"/>
        </w:rPr>
        <w:t xml:space="preserve"> </w:t>
      </w:r>
      <w:r w:rsidRPr="004541A6">
        <w:rPr>
          <w:rFonts w:ascii="Times New Roman" w:eastAsia="Calibri" w:hAnsi="Times New Roman" w:cs="Times New Roman"/>
        </w:rPr>
        <w:t>elsődleges hatásossági analízis keretében értékelték a lenalidomid-kezelések vérképzőrendszeri javulás</w:t>
      </w:r>
      <w:r>
        <w:rPr>
          <w:rFonts w:ascii="Times New Roman" w:eastAsia="Calibri" w:hAnsi="Times New Roman" w:cs="Times New Roman"/>
        </w:rPr>
        <w:t xml:space="preserve"> </w:t>
      </w:r>
      <w:r w:rsidRPr="004541A6">
        <w:rPr>
          <w:rFonts w:ascii="Times New Roman" w:eastAsia="Calibri" w:hAnsi="Times New Roman" w:cs="Times New Roman"/>
        </w:rPr>
        <w:t>elérése tekintetében mutatott hatásosságát alacsony vagy közepes-1.</w:t>
      </w:r>
      <w:r>
        <w:rPr>
          <w:rFonts w:ascii="Times New Roman" w:eastAsia="Calibri" w:hAnsi="Times New Roman" w:cs="Times New Roman"/>
        </w:rPr>
        <w:t> </w:t>
      </w:r>
      <w:r w:rsidRPr="004541A6">
        <w:rPr>
          <w:rFonts w:ascii="Times New Roman" w:eastAsia="Calibri" w:hAnsi="Times New Roman" w:cs="Times New Roman"/>
        </w:rPr>
        <w:t>kockázatú myelodysplasiás</w:t>
      </w:r>
      <w:r>
        <w:rPr>
          <w:rFonts w:ascii="Times New Roman" w:eastAsia="Calibri" w:hAnsi="Times New Roman" w:cs="Times New Roman"/>
        </w:rPr>
        <w:t xml:space="preserve"> </w:t>
      </w:r>
      <w:r w:rsidRPr="004541A6">
        <w:rPr>
          <w:rFonts w:ascii="Times New Roman" w:eastAsia="Calibri" w:hAnsi="Times New Roman" w:cs="Times New Roman"/>
        </w:rPr>
        <w:t>szindrómákban szenvedő vizsgálati személyek esetében.</w:t>
      </w:r>
    </w:p>
    <w:p w14:paraId="037F6D23" w14:textId="0CC568DE" w:rsidR="004541A6" w:rsidRDefault="004541A6" w:rsidP="004541A6">
      <w:pPr>
        <w:spacing w:after="0" w:line="240" w:lineRule="auto"/>
        <w:rPr>
          <w:rFonts w:ascii="Times New Roman" w:eastAsia="Calibri" w:hAnsi="Times New Roman" w:cs="Times New Roman"/>
        </w:rPr>
      </w:pPr>
    </w:p>
    <w:p w14:paraId="38231B5D" w14:textId="31C02A8B" w:rsidR="00B97B7C" w:rsidRPr="00934095" w:rsidRDefault="00B97B7C" w:rsidP="00934095">
      <w:pPr>
        <w:keepNext/>
        <w:spacing w:after="0" w:line="240" w:lineRule="auto"/>
        <w:rPr>
          <w:rFonts w:ascii="Times New Roman" w:eastAsia="Times New Roman" w:hAnsi="Times New Roman" w:cs="Times New Roman"/>
          <w:b/>
          <w:bCs/>
          <w:lang w:eastAsia="de-DE"/>
        </w:rPr>
      </w:pPr>
      <w:r w:rsidRPr="00934095">
        <w:rPr>
          <w:rFonts w:ascii="Times New Roman" w:eastAsia="Times New Roman" w:hAnsi="Times New Roman" w:cs="Times New Roman"/>
          <w:b/>
          <w:bCs/>
          <w:lang w:eastAsia="de-DE"/>
        </w:rPr>
        <w:t>12. táblázat. A hatásossági eredmények összefoglalása – MDS-004 (kettős vak fázis) és MDS-003 vizsgálatok, beválasztás szerinti populáció</w:t>
      </w:r>
    </w:p>
    <w:tbl>
      <w:tblPr>
        <w:tblStyle w:val="Rcsostblzat4"/>
        <w:tblW w:w="0" w:type="auto"/>
        <w:tblLook w:val="04A0" w:firstRow="1" w:lastRow="0" w:firstColumn="1" w:lastColumn="0" w:noHBand="0" w:noVBand="1"/>
      </w:tblPr>
      <w:tblGrid>
        <w:gridCol w:w="2862"/>
        <w:gridCol w:w="1526"/>
        <w:gridCol w:w="1521"/>
        <w:gridCol w:w="1528"/>
        <w:gridCol w:w="1623"/>
      </w:tblGrid>
      <w:tr w:rsidR="004541A6" w:rsidRPr="004541A6" w14:paraId="121D34E9" w14:textId="77777777" w:rsidTr="00B97B7C">
        <w:trPr>
          <w:tblHeader/>
        </w:trPr>
        <w:tc>
          <w:tcPr>
            <w:tcW w:w="2862" w:type="dxa"/>
            <w:vMerge w:val="restart"/>
          </w:tcPr>
          <w:p w14:paraId="5D028E6C" w14:textId="77777777" w:rsidR="00527677" w:rsidRPr="00934095" w:rsidRDefault="00527677" w:rsidP="00934095">
            <w:pPr>
              <w:widowControl w:val="0"/>
              <w:jc w:val="center"/>
              <w:rPr>
                <w:b/>
                <w:bCs/>
                <w:sz w:val="22"/>
                <w:szCs w:val="22"/>
                <w:lang w:val="hu-HU"/>
              </w:rPr>
            </w:pPr>
          </w:p>
          <w:p w14:paraId="5CECC5F5" w14:textId="68995298" w:rsidR="004541A6" w:rsidRPr="00934095" w:rsidRDefault="00527677" w:rsidP="00934095">
            <w:pPr>
              <w:widowControl w:val="0"/>
              <w:jc w:val="center"/>
              <w:rPr>
                <w:b/>
                <w:bCs/>
                <w:sz w:val="22"/>
                <w:szCs w:val="22"/>
                <w:lang w:val="hu-HU"/>
              </w:rPr>
            </w:pPr>
            <w:r w:rsidRPr="00527677">
              <w:rPr>
                <w:b/>
                <w:bCs/>
              </w:rPr>
              <w:t>Végpont</w:t>
            </w:r>
          </w:p>
        </w:tc>
        <w:tc>
          <w:tcPr>
            <w:tcW w:w="4575" w:type="dxa"/>
            <w:gridSpan w:val="3"/>
          </w:tcPr>
          <w:p w14:paraId="02733541" w14:textId="77777777" w:rsidR="004541A6" w:rsidRPr="00934095" w:rsidRDefault="004541A6" w:rsidP="00934095">
            <w:pPr>
              <w:widowControl w:val="0"/>
              <w:shd w:val="clear" w:color="auto" w:fill="FFFFFF"/>
              <w:jc w:val="center"/>
              <w:rPr>
                <w:b/>
                <w:bCs/>
                <w:sz w:val="22"/>
                <w:szCs w:val="22"/>
                <w:lang w:val="en-GB"/>
              </w:rPr>
            </w:pPr>
            <w:r w:rsidRPr="00527677">
              <w:rPr>
                <w:b/>
                <w:bCs/>
                <w:lang w:val="en-GB"/>
              </w:rPr>
              <w:t>MDS-004</w:t>
            </w:r>
          </w:p>
          <w:p w14:paraId="18CEABA6" w14:textId="7BA0AEA6" w:rsidR="004541A6" w:rsidRPr="00934095" w:rsidRDefault="001D4862" w:rsidP="00934095">
            <w:pPr>
              <w:widowControl w:val="0"/>
              <w:jc w:val="center"/>
              <w:rPr>
                <w:b/>
                <w:bCs/>
                <w:sz w:val="22"/>
                <w:szCs w:val="22"/>
                <w:lang w:val="en-GB"/>
              </w:rPr>
            </w:pPr>
            <w:r w:rsidRPr="00527677">
              <w:rPr>
                <w:b/>
                <w:bCs/>
                <w:lang w:val="en-GB"/>
              </w:rPr>
              <w:t>n</w:t>
            </w:r>
            <w:r w:rsidR="00B97B7C" w:rsidRPr="00527677">
              <w:rPr>
                <w:b/>
                <w:bCs/>
                <w:lang w:val="en-GB"/>
              </w:rPr>
              <w:t> </w:t>
            </w:r>
            <w:r w:rsidR="004541A6" w:rsidRPr="00527677">
              <w:rPr>
                <w:b/>
                <w:bCs/>
                <w:lang w:val="en-GB"/>
              </w:rPr>
              <w:t>=</w:t>
            </w:r>
            <w:r w:rsidR="00B97B7C" w:rsidRPr="00527677">
              <w:rPr>
                <w:b/>
                <w:bCs/>
                <w:lang w:val="en-GB"/>
              </w:rPr>
              <w:t> </w:t>
            </w:r>
            <w:r w:rsidR="004541A6" w:rsidRPr="00527677">
              <w:rPr>
                <w:b/>
                <w:bCs/>
                <w:lang w:val="en-GB"/>
              </w:rPr>
              <w:t>205</w:t>
            </w:r>
          </w:p>
        </w:tc>
        <w:tc>
          <w:tcPr>
            <w:tcW w:w="1623" w:type="dxa"/>
          </w:tcPr>
          <w:p w14:paraId="4B9BB927" w14:textId="77777777" w:rsidR="004541A6" w:rsidRPr="00934095" w:rsidRDefault="004541A6" w:rsidP="00934095">
            <w:pPr>
              <w:widowControl w:val="0"/>
              <w:shd w:val="clear" w:color="auto" w:fill="FFFFFF"/>
              <w:jc w:val="center"/>
              <w:rPr>
                <w:b/>
                <w:bCs/>
                <w:sz w:val="22"/>
                <w:szCs w:val="22"/>
                <w:lang w:val="en-GB"/>
              </w:rPr>
            </w:pPr>
            <w:r w:rsidRPr="00527677">
              <w:rPr>
                <w:b/>
                <w:bCs/>
                <w:lang w:val="en-GB"/>
              </w:rPr>
              <w:t>MDS-003</w:t>
            </w:r>
          </w:p>
          <w:p w14:paraId="301AE057" w14:textId="5E591B13" w:rsidR="004541A6" w:rsidRPr="00934095" w:rsidRDefault="001D4862" w:rsidP="00934095">
            <w:pPr>
              <w:widowControl w:val="0"/>
              <w:jc w:val="center"/>
              <w:rPr>
                <w:b/>
                <w:bCs/>
                <w:sz w:val="22"/>
                <w:szCs w:val="22"/>
                <w:lang w:val="en-GB"/>
              </w:rPr>
            </w:pPr>
            <w:r w:rsidRPr="00527677">
              <w:rPr>
                <w:b/>
                <w:bCs/>
                <w:lang w:val="en-GB"/>
              </w:rPr>
              <w:t>n</w:t>
            </w:r>
            <w:r w:rsidR="00B97B7C" w:rsidRPr="00527677">
              <w:rPr>
                <w:b/>
                <w:bCs/>
                <w:lang w:val="en-GB"/>
              </w:rPr>
              <w:t> </w:t>
            </w:r>
            <w:r w:rsidR="004541A6" w:rsidRPr="00527677">
              <w:rPr>
                <w:b/>
                <w:bCs/>
                <w:lang w:val="en-GB"/>
              </w:rPr>
              <w:t>=</w:t>
            </w:r>
            <w:r w:rsidR="00B97B7C" w:rsidRPr="00527677">
              <w:rPr>
                <w:b/>
                <w:bCs/>
                <w:lang w:val="en-GB"/>
              </w:rPr>
              <w:t> </w:t>
            </w:r>
            <w:r w:rsidR="004541A6" w:rsidRPr="00527677">
              <w:rPr>
                <w:b/>
                <w:bCs/>
                <w:lang w:val="en-GB"/>
              </w:rPr>
              <w:t>148</w:t>
            </w:r>
          </w:p>
        </w:tc>
      </w:tr>
      <w:tr w:rsidR="00B97B7C" w:rsidRPr="004541A6" w14:paraId="299636D3" w14:textId="77777777" w:rsidTr="00B97B7C">
        <w:trPr>
          <w:tblHeader/>
        </w:trPr>
        <w:tc>
          <w:tcPr>
            <w:tcW w:w="2862" w:type="dxa"/>
            <w:vMerge/>
          </w:tcPr>
          <w:p w14:paraId="0583972E" w14:textId="77777777" w:rsidR="004541A6" w:rsidRPr="00934095" w:rsidRDefault="004541A6" w:rsidP="00934095">
            <w:pPr>
              <w:widowControl w:val="0"/>
              <w:rPr>
                <w:b/>
                <w:bCs/>
                <w:sz w:val="22"/>
                <w:szCs w:val="22"/>
                <w:lang w:val="en-GB"/>
              </w:rPr>
            </w:pPr>
          </w:p>
        </w:tc>
        <w:tc>
          <w:tcPr>
            <w:tcW w:w="1526" w:type="dxa"/>
          </w:tcPr>
          <w:p w14:paraId="244B6C98" w14:textId="7BC31C4A" w:rsidR="004541A6" w:rsidRPr="00934095" w:rsidRDefault="004541A6" w:rsidP="00527677">
            <w:pPr>
              <w:autoSpaceDE w:val="0"/>
              <w:autoSpaceDN w:val="0"/>
              <w:adjustRightInd w:val="0"/>
              <w:jc w:val="center"/>
              <w:rPr>
                <w:sz w:val="22"/>
                <w:szCs w:val="22"/>
                <w:lang w:val="en-GB"/>
              </w:rPr>
            </w:pPr>
            <w:r w:rsidRPr="00527677">
              <w:rPr>
                <w:b/>
                <w:bCs/>
                <w:lang w:val="en-GB"/>
              </w:rPr>
              <w:t>10</w:t>
            </w:r>
            <w:r w:rsidR="00B97B7C" w:rsidRPr="00527677">
              <w:rPr>
                <w:b/>
                <w:bCs/>
                <w:lang w:val="en-GB"/>
              </w:rPr>
              <w:t> </w:t>
            </w:r>
            <w:r w:rsidRPr="00527677">
              <w:rPr>
                <w:b/>
                <w:bCs/>
                <w:lang w:val="en-GB"/>
              </w:rPr>
              <w:t>mg†</w:t>
            </w:r>
          </w:p>
          <w:p w14:paraId="7C91D57D" w14:textId="1B70A303" w:rsidR="004541A6" w:rsidRPr="00934095" w:rsidRDefault="001D4862" w:rsidP="00527677">
            <w:pPr>
              <w:autoSpaceDE w:val="0"/>
              <w:autoSpaceDN w:val="0"/>
              <w:adjustRightInd w:val="0"/>
              <w:jc w:val="center"/>
              <w:rPr>
                <w:sz w:val="22"/>
                <w:szCs w:val="22"/>
                <w:lang w:val="en-GB"/>
              </w:rPr>
            </w:pPr>
            <w:r w:rsidRPr="00527677">
              <w:rPr>
                <w:b/>
                <w:bCs/>
                <w:lang w:val="en-GB"/>
              </w:rPr>
              <w:t>n</w:t>
            </w:r>
            <w:r w:rsidR="00B97B7C" w:rsidRPr="00527677">
              <w:rPr>
                <w:b/>
                <w:bCs/>
                <w:lang w:val="en-GB"/>
              </w:rPr>
              <w:t> </w:t>
            </w:r>
            <w:r w:rsidR="004541A6" w:rsidRPr="00527677">
              <w:rPr>
                <w:b/>
                <w:bCs/>
                <w:lang w:val="en-GB"/>
              </w:rPr>
              <w:t>=</w:t>
            </w:r>
            <w:r w:rsidR="00B97B7C" w:rsidRPr="00527677">
              <w:rPr>
                <w:b/>
                <w:bCs/>
                <w:lang w:val="en-GB"/>
              </w:rPr>
              <w:t> </w:t>
            </w:r>
            <w:r w:rsidR="004541A6" w:rsidRPr="00527677">
              <w:rPr>
                <w:b/>
                <w:bCs/>
                <w:lang w:val="en-GB"/>
              </w:rPr>
              <w:t>69</w:t>
            </w:r>
          </w:p>
        </w:tc>
        <w:tc>
          <w:tcPr>
            <w:tcW w:w="1521" w:type="dxa"/>
          </w:tcPr>
          <w:p w14:paraId="01B80730" w14:textId="2E3B3A48" w:rsidR="004541A6" w:rsidRPr="00934095" w:rsidRDefault="004541A6" w:rsidP="00527677">
            <w:pPr>
              <w:autoSpaceDE w:val="0"/>
              <w:autoSpaceDN w:val="0"/>
              <w:adjustRightInd w:val="0"/>
              <w:jc w:val="center"/>
              <w:rPr>
                <w:sz w:val="22"/>
                <w:szCs w:val="22"/>
                <w:lang w:val="en-GB"/>
              </w:rPr>
            </w:pPr>
            <w:r w:rsidRPr="00527677">
              <w:rPr>
                <w:b/>
                <w:bCs/>
                <w:lang w:val="en-GB"/>
              </w:rPr>
              <w:t>5</w:t>
            </w:r>
            <w:r w:rsidR="00B97B7C" w:rsidRPr="00527677">
              <w:rPr>
                <w:b/>
                <w:bCs/>
                <w:lang w:val="en-GB"/>
              </w:rPr>
              <w:t> </w:t>
            </w:r>
            <w:r w:rsidRPr="00527677">
              <w:rPr>
                <w:b/>
                <w:bCs/>
                <w:lang w:val="en-GB"/>
              </w:rPr>
              <w:t>mg</w:t>
            </w:r>
            <w:r w:rsidRPr="00527677">
              <w:rPr>
                <w:b/>
                <w:bCs/>
                <w:vertAlign w:val="superscript"/>
                <w:lang w:val="en-GB"/>
              </w:rPr>
              <w:t>††</w:t>
            </w:r>
          </w:p>
          <w:p w14:paraId="0BF869C6" w14:textId="4B2A6E46" w:rsidR="004541A6" w:rsidRPr="00934095" w:rsidRDefault="001D4862" w:rsidP="00527677">
            <w:pPr>
              <w:autoSpaceDE w:val="0"/>
              <w:autoSpaceDN w:val="0"/>
              <w:adjustRightInd w:val="0"/>
              <w:jc w:val="center"/>
              <w:rPr>
                <w:sz w:val="22"/>
                <w:szCs w:val="22"/>
                <w:lang w:val="en-GB"/>
              </w:rPr>
            </w:pPr>
            <w:r w:rsidRPr="00527677">
              <w:rPr>
                <w:b/>
                <w:bCs/>
                <w:lang w:val="en-GB"/>
              </w:rPr>
              <w:t>n</w:t>
            </w:r>
            <w:r w:rsidR="00B97B7C" w:rsidRPr="00527677">
              <w:rPr>
                <w:b/>
                <w:bCs/>
                <w:lang w:val="en-GB"/>
              </w:rPr>
              <w:t> </w:t>
            </w:r>
            <w:r w:rsidR="004541A6" w:rsidRPr="00527677">
              <w:rPr>
                <w:b/>
                <w:bCs/>
                <w:lang w:val="en-GB"/>
              </w:rPr>
              <w:t>=</w:t>
            </w:r>
            <w:r w:rsidR="00B97B7C" w:rsidRPr="00527677">
              <w:rPr>
                <w:b/>
                <w:bCs/>
                <w:lang w:val="en-GB"/>
              </w:rPr>
              <w:t> </w:t>
            </w:r>
            <w:r w:rsidR="004541A6" w:rsidRPr="00527677">
              <w:rPr>
                <w:b/>
                <w:bCs/>
                <w:lang w:val="en-GB"/>
              </w:rPr>
              <w:t>69</w:t>
            </w:r>
          </w:p>
        </w:tc>
        <w:tc>
          <w:tcPr>
            <w:tcW w:w="1528" w:type="dxa"/>
          </w:tcPr>
          <w:p w14:paraId="53FE8049" w14:textId="77777777" w:rsidR="004541A6" w:rsidRPr="00934095" w:rsidRDefault="004541A6" w:rsidP="00527677">
            <w:pPr>
              <w:autoSpaceDE w:val="0"/>
              <w:autoSpaceDN w:val="0"/>
              <w:adjustRightInd w:val="0"/>
              <w:jc w:val="center"/>
              <w:rPr>
                <w:sz w:val="22"/>
                <w:szCs w:val="22"/>
                <w:lang w:val="en-GB"/>
              </w:rPr>
            </w:pPr>
            <w:r w:rsidRPr="00527677">
              <w:rPr>
                <w:b/>
                <w:bCs/>
                <w:lang w:val="en-GB"/>
              </w:rPr>
              <w:t>Placebo*</w:t>
            </w:r>
          </w:p>
          <w:p w14:paraId="658C598F" w14:textId="35D55882" w:rsidR="004541A6" w:rsidRPr="00934095" w:rsidRDefault="001D4862" w:rsidP="00527677">
            <w:pPr>
              <w:autoSpaceDE w:val="0"/>
              <w:autoSpaceDN w:val="0"/>
              <w:adjustRightInd w:val="0"/>
              <w:jc w:val="center"/>
              <w:rPr>
                <w:sz w:val="22"/>
                <w:szCs w:val="22"/>
                <w:lang w:val="en-GB"/>
              </w:rPr>
            </w:pPr>
            <w:r w:rsidRPr="00527677">
              <w:rPr>
                <w:b/>
                <w:bCs/>
                <w:lang w:val="en-GB"/>
              </w:rPr>
              <w:t>n</w:t>
            </w:r>
            <w:r w:rsidR="00B97B7C" w:rsidRPr="00527677">
              <w:rPr>
                <w:b/>
                <w:bCs/>
                <w:lang w:val="en-GB"/>
              </w:rPr>
              <w:t> </w:t>
            </w:r>
            <w:r w:rsidR="004541A6" w:rsidRPr="00527677">
              <w:rPr>
                <w:b/>
                <w:bCs/>
                <w:lang w:val="en-GB"/>
              </w:rPr>
              <w:t>=</w:t>
            </w:r>
            <w:r w:rsidR="00B97B7C" w:rsidRPr="00527677">
              <w:rPr>
                <w:b/>
                <w:bCs/>
                <w:lang w:val="en-GB"/>
              </w:rPr>
              <w:t> </w:t>
            </w:r>
            <w:r w:rsidR="004541A6" w:rsidRPr="00527677">
              <w:rPr>
                <w:b/>
                <w:bCs/>
                <w:lang w:val="en-GB"/>
              </w:rPr>
              <w:t>67</w:t>
            </w:r>
          </w:p>
        </w:tc>
        <w:tc>
          <w:tcPr>
            <w:tcW w:w="1623" w:type="dxa"/>
          </w:tcPr>
          <w:p w14:paraId="5454A6D4" w14:textId="5ADCAEC3" w:rsidR="004541A6" w:rsidRPr="00934095" w:rsidRDefault="004541A6" w:rsidP="00527677">
            <w:pPr>
              <w:autoSpaceDE w:val="0"/>
              <w:autoSpaceDN w:val="0"/>
              <w:adjustRightInd w:val="0"/>
              <w:jc w:val="center"/>
              <w:rPr>
                <w:sz w:val="22"/>
                <w:szCs w:val="22"/>
                <w:lang w:val="en-GB"/>
              </w:rPr>
            </w:pPr>
            <w:r w:rsidRPr="00527677">
              <w:rPr>
                <w:b/>
                <w:bCs/>
                <w:lang w:val="en-GB"/>
              </w:rPr>
              <w:t>10</w:t>
            </w:r>
            <w:r w:rsidR="00B97B7C" w:rsidRPr="00527677">
              <w:rPr>
                <w:b/>
                <w:bCs/>
                <w:lang w:val="en-GB"/>
              </w:rPr>
              <w:t> </w:t>
            </w:r>
            <w:r w:rsidRPr="00527677">
              <w:rPr>
                <w:b/>
                <w:bCs/>
                <w:lang w:val="en-GB"/>
              </w:rPr>
              <w:t>mg</w:t>
            </w:r>
          </w:p>
          <w:p w14:paraId="4E90F1B9" w14:textId="54B14E57" w:rsidR="004541A6" w:rsidRPr="00934095" w:rsidRDefault="001D4862" w:rsidP="00527677">
            <w:pPr>
              <w:autoSpaceDE w:val="0"/>
              <w:autoSpaceDN w:val="0"/>
              <w:adjustRightInd w:val="0"/>
              <w:jc w:val="center"/>
              <w:rPr>
                <w:sz w:val="22"/>
                <w:szCs w:val="22"/>
                <w:lang w:val="en-GB"/>
              </w:rPr>
            </w:pPr>
            <w:r w:rsidRPr="00527677">
              <w:rPr>
                <w:b/>
                <w:bCs/>
                <w:lang w:val="en-GB"/>
              </w:rPr>
              <w:t>n</w:t>
            </w:r>
            <w:r w:rsidR="00B97B7C" w:rsidRPr="00527677">
              <w:rPr>
                <w:b/>
                <w:bCs/>
                <w:lang w:val="en-GB"/>
              </w:rPr>
              <w:t> </w:t>
            </w:r>
            <w:r w:rsidR="004541A6" w:rsidRPr="00527677">
              <w:rPr>
                <w:b/>
                <w:bCs/>
                <w:lang w:val="en-GB"/>
              </w:rPr>
              <w:t>=</w:t>
            </w:r>
            <w:r w:rsidR="00B97B7C" w:rsidRPr="00527677">
              <w:rPr>
                <w:b/>
                <w:bCs/>
                <w:lang w:val="en-GB"/>
              </w:rPr>
              <w:t> </w:t>
            </w:r>
            <w:r w:rsidR="004541A6" w:rsidRPr="00527677">
              <w:rPr>
                <w:b/>
                <w:bCs/>
                <w:lang w:val="en-GB"/>
              </w:rPr>
              <w:t>148</w:t>
            </w:r>
          </w:p>
        </w:tc>
      </w:tr>
      <w:tr w:rsidR="00B97B7C" w:rsidRPr="004541A6" w14:paraId="23926515" w14:textId="77777777" w:rsidTr="00B97B7C">
        <w:tc>
          <w:tcPr>
            <w:tcW w:w="2862" w:type="dxa"/>
          </w:tcPr>
          <w:p w14:paraId="02C216B8" w14:textId="01FCFB74" w:rsidR="004541A6" w:rsidRPr="00934095" w:rsidRDefault="004541A6" w:rsidP="00934095">
            <w:pPr>
              <w:widowControl w:val="0"/>
              <w:shd w:val="clear" w:color="auto" w:fill="FFFFFF"/>
              <w:rPr>
                <w:bCs/>
                <w:sz w:val="22"/>
                <w:szCs w:val="22"/>
                <w:lang w:val="en-GB"/>
              </w:rPr>
            </w:pPr>
            <w:r w:rsidRPr="00527677">
              <w:rPr>
                <w:bCs/>
                <w:lang w:val="en-GB"/>
              </w:rPr>
              <w:t>Trans</w:t>
            </w:r>
            <w:r w:rsidR="00B97B7C" w:rsidRPr="00527677">
              <w:rPr>
                <w:bCs/>
                <w:lang w:val="en-GB"/>
              </w:rPr>
              <w:t>z</w:t>
            </w:r>
            <w:r w:rsidRPr="00527677">
              <w:rPr>
                <w:bCs/>
                <w:lang w:val="en-GB"/>
              </w:rPr>
              <w:t>f</w:t>
            </w:r>
            <w:r w:rsidR="00B97B7C" w:rsidRPr="00527677">
              <w:rPr>
                <w:bCs/>
                <w:lang w:val="en-GB"/>
              </w:rPr>
              <w:t>úzió-in</w:t>
            </w:r>
            <w:r w:rsidRPr="00527677">
              <w:rPr>
                <w:bCs/>
                <w:lang w:val="en-GB"/>
              </w:rPr>
              <w:t>dependenc</w:t>
            </w:r>
            <w:r w:rsidR="00B97B7C" w:rsidRPr="00527677">
              <w:rPr>
                <w:bCs/>
                <w:lang w:val="en-GB"/>
              </w:rPr>
              <w:t>ia</w:t>
            </w:r>
          </w:p>
          <w:p w14:paraId="6AEE510E" w14:textId="1D78E312" w:rsidR="004541A6" w:rsidRPr="00934095" w:rsidRDefault="004541A6" w:rsidP="00934095">
            <w:pPr>
              <w:widowControl w:val="0"/>
              <w:rPr>
                <w:bCs/>
                <w:sz w:val="22"/>
                <w:szCs w:val="22"/>
                <w:lang w:val="en-GB"/>
              </w:rPr>
            </w:pPr>
            <w:r w:rsidRPr="00527677">
              <w:rPr>
                <w:bCs/>
                <w:lang w:val="en-GB"/>
              </w:rPr>
              <w:t>(≥</w:t>
            </w:r>
            <w:r w:rsidR="00B97B7C" w:rsidRPr="00527677">
              <w:rPr>
                <w:bCs/>
                <w:lang w:val="en-GB"/>
              </w:rPr>
              <w:t> </w:t>
            </w:r>
            <w:r w:rsidRPr="00527677">
              <w:rPr>
                <w:bCs/>
                <w:lang w:val="en-GB"/>
              </w:rPr>
              <w:t>182</w:t>
            </w:r>
            <w:r w:rsidR="00B97B7C" w:rsidRPr="00527677">
              <w:rPr>
                <w:bCs/>
                <w:lang w:val="en-GB"/>
              </w:rPr>
              <w:t> nap</w:t>
            </w:r>
            <w:r w:rsidRPr="00527677">
              <w:rPr>
                <w:bCs/>
                <w:lang w:val="en-GB"/>
              </w:rPr>
              <w:t>)</w:t>
            </w:r>
            <w:r w:rsidRPr="00934095">
              <w:rPr>
                <w:bCs/>
                <w:vertAlign w:val="superscript"/>
                <w:lang w:val="en-GB"/>
              </w:rPr>
              <w:t>#</w:t>
            </w:r>
          </w:p>
        </w:tc>
        <w:tc>
          <w:tcPr>
            <w:tcW w:w="1526" w:type="dxa"/>
          </w:tcPr>
          <w:p w14:paraId="53A8797A" w14:textId="71FB1D34" w:rsidR="004541A6" w:rsidRPr="00934095" w:rsidRDefault="004541A6" w:rsidP="00527677">
            <w:pPr>
              <w:autoSpaceDE w:val="0"/>
              <w:autoSpaceDN w:val="0"/>
              <w:adjustRightInd w:val="0"/>
              <w:jc w:val="center"/>
              <w:rPr>
                <w:sz w:val="22"/>
                <w:szCs w:val="22"/>
                <w:lang w:val="en-GB"/>
              </w:rPr>
            </w:pPr>
            <w:r w:rsidRPr="00527677">
              <w:rPr>
                <w:lang w:val="en-GB"/>
              </w:rPr>
              <w:t>38 (55</w:t>
            </w:r>
            <w:r w:rsidR="00B97B7C" w:rsidRPr="00527677">
              <w:rPr>
                <w:lang w:val="en-GB"/>
              </w:rPr>
              <w:t>,</w:t>
            </w:r>
            <w:r w:rsidRPr="00527677">
              <w:rPr>
                <w:lang w:val="en-GB"/>
              </w:rPr>
              <w:t>1%)</w:t>
            </w:r>
          </w:p>
        </w:tc>
        <w:tc>
          <w:tcPr>
            <w:tcW w:w="1521" w:type="dxa"/>
          </w:tcPr>
          <w:p w14:paraId="014923C0" w14:textId="23876973" w:rsidR="004541A6" w:rsidRPr="00934095" w:rsidRDefault="004541A6" w:rsidP="00527677">
            <w:pPr>
              <w:autoSpaceDE w:val="0"/>
              <w:autoSpaceDN w:val="0"/>
              <w:adjustRightInd w:val="0"/>
              <w:jc w:val="center"/>
              <w:rPr>
                <w:sz w:val="22"/>
                <w:szCs w:val="22"/>
                <w:lang w:val="en-GB"/>
              </w:rPr>
            </w:pPr>
            <w:r w:rsidRPr="00527677">
              <w:rPr>
                <w:lang w:val="en-GB"/>
              </w:rPr>
              <w:t>24 (34</w:t>
            </w:r>
            <w:r w:rsidR="00B97B7C" w:rsidRPr="00527677">
              <w:rPr>
                <w:lang w:val="en-GB"/>
              </w:rPr>
              <w:t>,</w:t>
            </w:r>
            <w:r w:rsidRPr="00527677">
              <w:rPr>
                <w:lang w:val="en-GB"/>
              </w:rPr>
              <w:t>8%)</w:t>
            </w:r>
          </w:p>
        </w:tc>
        <w:tc>
          <w:tcPr>
            <w:tcW w:w="1528" w:type="dxa"/>
          </w:tcPr>
          <w:p w14:paraId="6DED3BD6" w14:textId="5B978233" w:rsidR="004541A6" w:rsidRPr="00934095" w:rsidRDefault="004541A6" w:rsidP="00527677">
            <w:pPr>
              <w:autoSpaceDE w:val="0"/>
              <w:autoSpaceDN w:val="0"/>
              <w:adjustRightInd w:val="0"/>
              <w:jc w:val="center"/>
              <w:rPr>
                <w:sz w:val="22"/>
                <w:szCs w:val="22"/>
                <w:lang w:val="en-GB"/>
              </w:rPr>
            </w:pPr>
            <w:r w:rsidRPr="00527677">
              <w:rPr>
                <w:lang w:val="en-GB"/>
              </w:rPr>
              <w:t>4 (6</w:t>
            </w:r>
            <w:r w:rsidR="00B97B7C" w:rsidRPr="00527677">
              <w:rPr>
                <w:lang w:val="en-GB"/>
              </w:rPr>
              <w:t>,</w:t>
            </w:r>
            <w:r w:rsidRPr="00527677">
              <w:rPr>
                <w:lang w:val="en-GB"/>
              </w:rPr>
              <w:t>0%)</w:t>
            </w:r>
          </w:p>
        </w:tc>
        <w:tc>
          <w:tcPr>
            <w:tcW w:w="1623" w:type="dxa"/>
          </w:tcPr>
          <w:p w14:paraId="411D7EB3" w14:textId="20EB6A10" w:rsidR="004541A6" w:rsidRPr="00934095" w:rsidRDefault="004541A6" w:rsidP="00527677">
            <w:pPr>
              <w:autoSpaceDE w:val="0"/>
              <w:autoSpaceDN w:val="0"/>
              <w:adjustRightInd w:val="0"/>
              <w:jc w:val="center"/>
              <w:rPr>
                <w:sz w:val="22"/>
                <w:szCs w:val="22"/>
                <w:lang w:val="en-GB"/>
              </w:rPr>
            </w:pPr>
            <w:r w:rsidRPr="00527677">
              <w:rPr>
                <w:lang w:val="en-GB"/>
              </w:rPr>
              <w:t>86 (58</w:t>
            </w:r>
            <w:r w:rsidR="00B97B7C" w:rsidRPr="00527677">
              <w:rPr>
                <w:lang w:val="en-GB"/>
              </w:rPr>
              <w:t>,</w:t>
            </w:r>
            <w:r w:rsidRPr="00527677">
              <w:rPr>
                <w:lang w:val="en-GB"/>
              </w:rPr>
              <w:t>1%)</w:t>
            </w:r>
          </w:p>
        </w:tc>
      </w:tr>
      <w:tr w:rsidR="00B97B7C" w:rsidRPr="004541A6" w14:paraId="00279183" w14:textId="77777777" w:rsidTr="00B97B7C">
        <w:tc>
          <w:tcPr>
            <w:tcW w:w="2862" w:type="dxa"/>
          </w:tcPr>
          <w:p w14:paraId="37C3A4EA" w14:textId="77777777" w:rsidR="00B97B7C" w:rsidRPr="00934095" w:rsidRDefault="00B97B7C" w:rsidP="00934095">
            <w:pPr>
              <w:widowControl w:val="0"/>
              <w:shd w:val="clear" w:color="auto" w:fill="FFFFFF"/>
              <w:rPr>
                <w:bCs/>
                <w:sz w:val="22"/>
                <w:szCs w:val="22"/>
                <w:lang w:val="en-GB"/>
              </w:rPr>
            </w:pPr>
            <w:r w:rsidRPr="00527677">
              <w:rPr>
                <w:bCs/>
                <w:lang w:val="en-GB"/>
              </w:rPr>
              <w:t>Transzfúzió-independencia</w:t>
            </w:r>
          </w:p>
          <w:p w14:paraId="29A4874C" w14:textId="5D372F94" w:rsidR="004541A6" w:rsidRPr="00934095" w:rsidRDefault="004541A6" w:rsidP="00934095">
            <w:pPr>
              <w:widowControl w:val="0"/>
              <w:rPr>
                <w:bCs/>
                <w:sz w:val="22"/>
                <w:szCs w:val="22"/>
                <w:lang w:val="en-GB"/>
              </w:rPr>
            </w:pPr>
            <w:r w:rsidRPr="00527677">
              <w:rPr>
                <w:bCs/>
                <w:lang w:val="en-GB"/>
              </w:rPr>
              <w:t>(≥</w:t>
            </w:r>
            <w:r w:rsidR="00B97B7C" w:rsidRPr="00527677">
              <w:rPr>
                <w:bCs/>
                <w:lang w:val="en-GB"/>
              </w:rPr>
              <w:t> </w:t>
            </w:r>
            <w:r w:rsidRPr="00527677">
              <w:rPr>
                <w:bCs/>
                <w:lang w:val="en-GB"/>
              </w:rPr>
              <w:t>56</w:t>
            </w:r>
            <w:r w:rsidR="00B97B7C" w:rsidRPr="00527677">
              <w:rPr>
                <w:bCs/>
                <w:lang w:val="en-GB"/>
              </w:rPr>
              <w:t> </w:t>
            </w:r>
            <w:r w:rsidR="00600D91">
              <w:rPr>
                <w:bCs/>
                <w:lang w:val="en-GB"/>
              </w:rPr>
              <w:t>nap</w:t>
            </w:r>
            <w:r w:rsidRPr="00527677">
              <w:rPr>
                <w:bCs/>
                <w:lang w:val="en-GB"/>
              </w:rPr>
              <w:t>)</w:t>
            </w:r>
            <w:r w:rsidRPr="00934095">
              <w:rPr>
                <w:bCs/>
                <w:vertAlign w:val="superscript"/>
                <w:lang w:val="en-GB"/>
              </w:rPr>
              <w:t>#</w:t>
            </w:r>
          </w:p>
        </w:tc>
        <w:tc>
          <w:tcPr>
            <w:tcW w:w="1526" w:type="dxa"/>
          </w:tcPr>
          <w:p w14:paraId="27E744A1" w14:textId="0F73C427" w:rsidR="004541A6" w:rsidRPr="00934095" w:rsidRDefault="004541A6" w:rsidP="00527677">
            <w:pPr>
              <w:autoSpaceDE w:val="0"/>
              <w:autoSpaceDN w:val="0"/>
              <w:adjustRightInd w:val="0"/>
              <w:jc w:val="center"/>
              <w:rPr>
                <w:sz w:val="22"/>
                <w:szCs w:val="22"/>
                <w:lang w:val="en-GB"/>
              </w:rPr>
            </w:pPr>
            <w:r w:rsidRPr="00527677">
              <w:rPr>
                <w:lang w:val="en-GB"/>
              </w:rPr>
              <w:t>42 (60</w:t>
            </w:r>
            <w:r w:rsidR="00B97B7C" w:rsidRPr="00527677">
              <w:rPr>
                <w:lang w:val="en-GB"/>
              </w:rPr>
              <w:t>,</w:t>
            </w:r>
            <w:r w:rsidRPr="00527677">
              <w:rPr>
                <w:lang w:val="en-GB"/>
              </w:rPr>
              <w:t>9%)</w:t>
            </w:r>
          </w:p>
        </w:tc>
        <w:tc>
          <w:tcPr>
            <w:tcW w:w="1521" w:type="dxa"/>
          </w:tcPr>
          <w:p w14:paraId="6E409C0B" w14:textId="1A2BE48E" w:rsidR="004541A6" w:rsidRPr="00934095" w:rsidRDefault="004541A6" w:rsidP="00527677">
            <w:pPr>
              <w:autoSpaceDE w:val="0"/>
              <w:autoSpaceDN w:val="0"/>
              <w:adjustRightInd w:val="0"/>
              <w:jc w:val="center"/>
              <w:rPr>
                <w:sz w:val="22"/>
                <w:szCs w:val="22"/>
                <w:lang w:val="en-GB"/>
              </w:rPr>
            </w:pPr>
            <w:r w:rsidRPr="00527677">
              <w:rPr>
                <w:lang w:val="en-GB"/>
              </w:rPr>
              <w:t>33 (47</w:t>
            </w:r>
            <w:r w:rsidR="00B97B7C" w:rsidRPr="00527677">
              <w:rPr>
                <w:lang w:val="en-GB"/>
              </w:rPr>
              <w:t>,</w:t>
            </w:r>
            <w:r w:rsidRPr="00527677">
              <w:rPr>
                <w:lang w:val="en-GB"/>
              </w:rPr>
              <w:t>8%)</w:t>
            </w:r>
          </w:p>
        </w:tc>
        <w:tc>
          <w:tcPr>
            <w:tcW w:w="1528" w:type="dxa"/>
          </w:tcPr>
          <w:p w14:paraId="3FAF3DBE" w14:textId="03B45596" w:rsidR="004541A6" w:rsidRPr="00934095" w:rsidRDefault="004541A6" w:rsidP="00527677">
            <w:pPr>
              <w:autoSpaceDE w:val="0"/>
              <w:autoSpaceDN w:val="0"/>
              <w:adjustRightInd w:val="0"/>
              <w:jc w:val="center"/>
              <w:rPr>
                <w:sz w:val="22"/>
                <w:szCs w:val="22"/>
                <w:lang w:val="en-GB"/>
              </w:rPr>
            </w:pPr>
            <w:r w:rsidRPr="00527677">
              <w:rPr>
                <w:lang w:val="en-GB"/>
              </w:rPr>
              <w:t>5 (7</w:t>
            </w:r>
            <w:r w:rsidR="00B97B7C" w:rsidRPr="00527677">
              <w:rPr>
                <w:lang w:val="en-GB"/>
              </w:rPr>
              <w:t>,</w:t>
            </w:r>
            <w:r w:rsidRPr="00527677">
              <w:rPr>
                <w:lang w:val="en-GB"/>
              </w:rPr>
              <w:t>5%)</w:t>
            </w:r>
          </w:p>
        </w:tc>
        <w:tc>
          <w:tcPr>
            <w:tcW w:w="1623" w:type="dxa"/>
          </w:tcPr>
          <w:p w14:paraId="40E083A8" w14:textId="7A6B4DB9" w:rsidR="004541A6" w:rsidRPr="00934095" w:rsidRDefault="004541A6" w:rsidP="00527677">
            <w:pPr>
              <w:autoSpaceDE w:val="0"/>
              <w:autoSpaceDN w:val="0"/>
              <w:adjustRightInd w:val="0"/>
              <w:jc w:val="center"/>
              <w:rPr>
                <w:sz w:val="22"/>
                <w:szCs w:val="22"/>
                <w:lang w:val="en-GB"/>
              </w:rPr>
            </w:pPr>
            <w:r w:rsidRPr="00527677">
              <w:rPr>
                <w:lang w:val="en-GB"/>
              </w:rPr>
              <w:t>97 (65</w:t>
            </w:r>
            <w:r w:rsidR="00B97B7C" w:rsidRPr="00527677">
              <w:rPr>
                <w:lang w:val="en-GB"/>
              </w:rPr>
              <w:t>,</w:t>
            </w:r>
            <w:r w:rsidRPr="00527677">
              <w:rPr>
                <w:lang w:val="en-GB"/>
              </w:rPr>
              <w:t>5%)</w:t>
            </w:r>
          </w:p>
        </w:tc>
      </w:tr>
      <w:tr w:rsidR="00B97B7C" w:rsidRPr="004541A6" w14:paraId="43E9FEBC" w14:textId="77777777" w:rsidTr="00B97B7C">
        <w:tc>
          <w:tcPr>
            <w:tcW w:w="2862" w:type="dxa"/>
          </w:tcPr>
          <w:p w14:paraId="0905FB07" w14:textId="51F374A8" w:rsidR="004541A6" w:rsidRPr="00934095" w:rsidRDefault="00B97B7C" w:rsidP="00934095">
            <w:pPr>
              <w:widowControl w:val="0"/>
              <w:shd w:val="clear" w:color="auto" w:fill="FFFFFF"/>
              <w:rPr>
                <w:bCs/>
                <w:sz w:val="22"/>
                <w:szCs w:val="22"/>
                <w:lang w:val="hu-HU"/>
              </w:rPr>
            </w:pPr>
            <w:r w:rsidRPr="00934095">
              <w:rPr>
                <w:bCs/>
                <w:lang w:val="hu-HU"/>
              </w:rPr>
              <w:t>Transzfúzió-independencia kialakulásáig eltelt idő mediánja (hét)</w:t>
            </w:r>
          </w:p>
        </w:tc>
        <w:tc>
          <w:tcPr>
            <w:tcW w:w="1526" w:type="dxa"/>
          </w:tcPr>
          <w:p w14:paraId="457BE401" w14:textId="5B4BE080" w:rsidR="004541A6" w:rsidRPr="00934095" w:rsidRDefault="004541A6" w:rsidP="00527677">
            <w:pPr>
              <w:autoSpaceDE w:val="0"/>
              <w:autoSpaceDN w:val="0"/>
              <w:adjustRightInd w:val="0"/>
              <w:jc w:val="center"/>
              <w:rPr>
                <w:sz w:val="22"/>
                <w:szCs w:val="22"/>
                <w:lang w:val="en-GB"/>
              </w:rPr>
            </w:pPr>
            <w:r w:rsidRPr="00527677">
              <w:rPr>
                <w:lang w:val="en-GB"/>
              </w:rPr>
              <w:t>4</w:t>
            </w:r>
            <w:r w:rsidR="00B97B7C" w:rsidRPr="00527677">
              <w:rPr>
                <w:lang w:val="en-GB"/>
              </w:rPr>
              <w:t>,</w:t>
            </w:r>
            <w:r w:rsidRPr="00527677">
              <w:rPr>
                <w:lang w:val="en-GB"/>
              </w:rPr>
              <w:t>6</w:t>
            </w:r>
          </w:p>
        </w:tc>
        <w:tc>
          <w:tcPr>
            <w:tcW w:w="1521" w:type="dxa"/>
          </w:tcPr>
          <w:p w14:paraId="3CE6E5E0" w14:textId="1BE35E55" w:rsidR="004541A6" w:rsidRPr="00934095" w:rsidRDefault="004541A6" w:rsidP="00527677">
            <w:pPr>
              <w:autoSpaceDE w:val="0"/>
              <w:autoSpaceDN w:val="0"/>
              <w:adjustRightInd w:val="0"/>
              <w:jc w:val="center"/>
              <w:rPr>
                <w:sz w:val="22"/>
                <w:szCs w:val="22"/>
                <w:lang w:val="en-GB"/>
              </w:rPr>
            </w:pPr>
            <w:r w:rsidRPr="00527677">
              <w:rPr>
                <w:lang w:val="en-GB"/>
              </w:rPr>
              <w:t>4</w:t>
            </w:r>
            <w:r w:rsidR="00B97B7C" w:rsidRPr="00527677">
              <w:rPr>
                <w:lang w:val="en-GB"/>
              </w:rPr>
              <w:t>,</w:t>
            </w:r>
            <w:r w:rsidRPr="00527677">
              <w:rPr>
                <w:lang w:val="en-GB"/>
              </w:rPr>
              <w:t>1</w:t>
            </w:r>
          </w:p>
        </w:tc>
        <w:tc>
          <w:tcPr>
            <w:tcW w:w="1528" w:type="dxa"/>
          </w:tcPr>
          <w:p w14:paraId="010DA609" w14:textId="5ADB42C3" w:rsidR="004541A6" w:rsidRPr="00934095" w:rsidRDefault="004541A6" w:rsidP="00527677">
            <w:pPr>
              <w:autoSpaceDE w:val="0"/>
              <w:autoSpaceDN w:val="0"/>
              <w:adjustRightInd w:val="0"/>
              <w:jc w:val="center"/>
              <w:rPr>
                <w:sz w:val="22"/>
                <w:szCs w:val="22"/>
                <w:lang w:val="en-GB"/>
              </w:rPr>
            </w:pPr>
            <w:r w:rsidRPr="00527677">
              <w:rPr>
                <w:lang w:val="en-GB"/>
              </w:rPr>
              <w:t>0</w:t>
            </w:r>
            <w:r w:rsidR="00B97B7C" w:rsidRPr="00527677">
              <w:rPr>
                <w:lang w:val="en-GB"/>
              </w:rPr>
              <w:t>,</w:t>
            </w:r>
            <w:r w:rsidRPr="00527677">
              <w:rPr>
                <w:lang w:val="en-GB"/>
              </w:rPr>
              <w:t>3</w:t>
            </w:r>
          </w:p>
        </w:tc>
        <w:tc>
          <w:tcPr>
            <w:tcW w:w="1623" w:type="dxa"/>
          </w:tcPr>
          <w:p w14:paraId="03A74AB7" w14:textId="641D45AA" w:rsidR="004541A6" w:rsidRPr="00934095" w:rsidRDefault="004541A6" w:rsidP="00527677">
            <w:pPr>
              <w:autoSpaceDE w:val="0"/>
              <w:autoSpaceDN w:val="0"/>
              <w:adjustRightInd w:val="0"/>
              <w:jc w:val="center"/>
              <w:rPr>
                <w:sz w:val="22"/>
                <w:szCs w:val="22"/>
                <w:lang w:val="en-GB"/>
              </w:rPr>
            </w:pPr>
            <w:r w:rsidRPr="00527677">
              <w:rPr>
                <w:lang w:val="en-GB"/>
              </w:rPr>
              <w:t>4</w:t>
            </w:r>
            <w:r w:rsidR="00B97B7C" w:rsidRPr="00527677">
              <w:rPr>
                <w:lang w:val="en-GB"/>
              </w:rPr>
              <w:t>,</w:t>
            </w:r>
            <w:r w:rsidRPr="00527677">
              <w:rPr>
                <w:lang w:val="en-GB"/>
              </w:rPr>
              <w:t>1</w:t>
            </w:r>
          </w:p>
        </w:tc>
      </w:tr>
      <w:tr w:rsidR="00B97B7C" w:rsidRPr="004541A6" w14:paraId="485EFC39" w14:textId="77777777" w:rsidTr="00B97B7C">
        <w:tc>
          <w:tcPr>
            <w:tcW w:w="2862" w:type="dxa"/>
          </w:tcPr>
          <w:p w14:paraId="02DE56BD" w14:textId="6C3C85C4" w:rsidR="004541A6" w:rsidRPr="00934095" w:rsidRDefault="00B97B7C" w:rsidP="00934095">
            <w:pPr>
              <w:widowControl w:val="0"/>
              <w:shd w:val="clear" w:color="auto" w:fill="FFFFFF"/>
              <w:rPr>
                <w:bCs/>
                <w:sz w:val="22"/>
                <w:szCs w:val="22"/>
                <w:lang w:val="hu-HU"/>
              </w:rPr>
            </w:pPr>
            <w:r w:rsidRPr="00934095">
              <w:rPr>
                <w:bCs/>
                <w:lang w:val="hu-HU"/>
              </w:rPr>
              <w:t>Transzfúzió-independencia időtartamának mediánja (hét)</w:t>
            </w:r>
          </w:p>
        </w:tc>
        <w:tc>
          <w:tcPr>
            <w:tcW w:w="1526" w:type="dxa"/>
          </w:tcPr>
          <w:p w14:paraId="26B23C1F" w14:textId="42B403F4" w:rsidR="004541A6" w:rsidRPr="00934095" w:rsidRDefault="00B97B7C" w:rsidP="00527677">
            <w:pPr>
              <w:autoSpaceDE w:val="0"/>
              <w:autoSpaceDN w:val="0"/>
              <w:adjustRightInd w:val="0"/>
              <w:jc w:val="center"/>
              <w:rPr>
                <w:sz w:val="22"/>
                <w:szCs w:val="22"/>
                <w:lang w:val="en-GB"/>
              </w:rPr>
            </w:pPr>
            <w:r w:rsidRPr="00934095">
              <w:rPr>
                <w:lang w:val="en-GB"/>
              </w:rPr>
              <w:t>nem került elérésre</w:t>
            </w:r>
            <w:r w:rsidR="004541A6" w:rsidRPr="00527677">
              <w:rPr>
                <w:vertAlign w:val="superscript"/>
                <w:lang w:val="en-GB"/>
              </w:rPr>
              <w:t>∞</w:t>
            </w:r>
          </w:p>
        </w:tc>
        <w:tc>
          <w:tcPr>
            <w:tcW w:w="1521" w:type="dxa"/>
          </w:tcPr>
          <w:p w14:paraId="1EB9323B" w14:textId="04212A7E" w:rsidR="004541A6" w:rsidRPr="00934095" w:rsidRDefault="00B97B7C" w:rsidP="00527677">
            <w:pPr>
              <w:autoSpaceDE w:val="0"/>
              <w:autoSpaceDN w:val="0"/>
              <w:adjustRightInd w:val="0"/>
              <w:jc w:val="center"/>
              <w:rPr>
                <w:sz w:val="22"/>
                <w:szCs w:val="22"/>
                <w:lang w:val="en-GB"/>
              </w:rPr>
            </w:pPr>
            <w:r w:rsidRPr="00527677">
              <w:rPr>
                <w:lang w:val="en-GB"/>
              </w:rPr>
              <w:t>nem került elérésre</w:t>
            </w:r>
          </w:p>
        </w:tc>
        <w:tc>
          <w:tcPr>
            <w:tcW w:w="1528" w:type="dxa"/>
          </w:tcPr>
          <w:p w14:paraId="41C8B80E" w14:textId="1C298AB1" w:rsidR="004541A6" w:rsidRPr="00934095" w:rsidRDefault="00B97B7C" w:rsidP="00527677">
            <w:pPr>
              <w:autoSpaceDE w:val="0"/>
              <w:autoSpaceDN w:val="0"/>
              <w:adjustRightInd w:val="0"/>
              <w:jc w:val="center"/>
              <w:rPr>
                <w:sz w:val="22"/>
                <w:szCs w:val="22"/>
                <w:lang w:val="en-GB"/>
              </w:rPr>
            </w:pPr>
            <w:r w:rsidRPr="00527677">
              <w:rPr>
                <w:lang w:val="en-GB"/>
              </w:rPr>
              <w:t>nem került elérésre</w:t>
            </w:r>
          </w:p>
        </w:tc>
        <w:tc>
          <w:tcPr>
            <w:tcW w:w="1623" w:type="dxa"/>
          </w:tcPr>
          <w:p w14:paraId="4C49DAE2" w14:textId="2D62A974" w:rsidR="004541A6" w:rsidRPr="00934095" w:rsidRDefault="004541A6" w:rsidP="00527677">
            <w:pPr>
              <w:autoSpaceDE w:val="0"/>
              <w:autoSpaceDN w:val="0"/>
              <w:adjustRightInd w:val="0"/>
              <w:jc w:val="center"/>
              <w:rPr>
                <w:sz w:val="22"/>
                <w:szCs w:val="22"/>
                <w:lang w:val="en-GB"/>
              </w:rPr>
            </w:pPr>
            <w:r w:rsidRPr="00527677">
              <w:rPr>
                <w:lang w:val="en-GB"/>
              </w:rPr>
              <w:t>114</w:t>
            </w:r>
            <w:r w:rsidR="00B97B7C" w:rsidRPr="00527677">
              <w:rPr>
                <w:lang w:val="en-GB"/>
              </w:rPr>
              <w:t>,</w:t>
            </w:r>
            <w:r w:rsidRPr="00527677">
              <w:rPr>
                <w:lang w:val="en-GB"/>
              </w:rPr>
              <w:t>4</w:t>
            </w:r>
          </w:p>
        </w:tc>
      </w:tr>
      <w:tr w:rsidR="00B97B7C" w:rsidRPr="004541A6" w14:paraId="447426AC" w14:textId="77777777" w:rsidTr="00B97B7C">
        <w:tc>
          <w:tcPr>
            <w:tcW w:w="2862" w:type="dxa"/>
          </w:tcPr>
          <w:p w14:paraId="7EFEF4AA" w14:textId="322004FE" w:rsidR="004541A6" w:rsidRPr="00934095" w:rsidRDefault="00B97B7C" w:rsidP="00934095">
            <w:pPr>
              <w:widowControl w:val="0"/>
              <w:rPr>
                <w:bCs/>
                <w:sz w:val="22"/>
                <w:szCs w:val="22"/>
                <w:lang w:val="hu-HU"/>
              </w:rPr>
            </w:pPr>
            <w:r w:rsidRPr="00934095">
              <w:rPr>
                <w:bCs/>
                <w:lang w:val="hu-HU"/>
              </w:rPr>
              <w:t>A Hgb-érték emelkedésének mediánja, g/dl</w:t>
            </w:r>
          </w:p>
        </w:tc>
        <w:tc>
          <w:tcPr>
            <w:tcW w:w="1526" w:type="dxa"/>
          </w:tcPr>
          <w:p w14:paraId="15FD156C" w14:textId="112DBBB8" w:rsidR="004541A6" w:rsidRPr="00934095" w:rsidRDefault="004541A6" w:rsidP="00527677">
            <w:pPr>
              <w:autoSpaceDE w:val="0"/>
              <w:autoSpaceDN w:val="0"/>
              <w:adjustRightInd w:val="0"/>
              <w:jc w:val="center"/>
              <w:rPr>
                <w:sz w:val="22"/>
                <w:szCs w:val="22"/>
                <w:lang w:val="en-GB"/>
              </w:rPr>
            </w:pPr>
            <w:r w:rsidRPr="00527677">
              <w:rPr>
                <w:lang w:val="en-GB"/>
              </w:rPr>
              <w:t>6</w:t>
            </w:r>
            <w:r w:rsidR="00B97B7C" w:rsidRPr="00527677">
              <w:rPr>
                <w:lang w:val="en-GB"/>
              </w:rPr>
              <w:t>,</w:t>
            </w:r>
            <w:r w:rsidRPr="00527677">
              <w:rPr>
                <w:lang w:val="en-GB"/>
              </w:rPr>
              <w:t>4</w:t>
            </w:r>
          </w:p>
        </w:tc>
        <w:tc>
          <w:tcPr>
            <w:tcW w:w="1521" w:type="dxa"/>
          </w:tcPr>
          <w:p w14:paraId="292B86DC" w14:textId="076047FF" w:rsidR="004541A6" w:rsidRPr="00934095" w:rsidRDefault="004541A6" w:rsidP="00527677">
            <w:pPr>
              <w:autoSpaceDE w:val="0"/>
              <w:autoSpaceDN w:val="0"/>
              <w:adjustRightInd w:val="0"/>
              <w:jc w:val="center"/>
              <w:rPr>
                <w:sz w:val="22"/>
                <w:szCs w:val="22"/>
                <w:lang w:val="en-GB"/>
              </w:rPr>
            </w:pPr>
            <w:r w:rsidRPr="00527677">
              <w:rPr>
                <w:lang w:val="en-GB"/>
              </w:rPr>
              <w:t>5</w:t>
            </w:r>
            <w:r w:rsidR="00B97B7C" w:rsidRPr="00527677">
              <w:rPr>
                <w:lang w:val="en-GB"/>
              </w:rPr>
              <w:t>,</w:t>
            </w:r>
            <w:r w:rsidRPr="00527677">
              <w:rPr>
                <w:lang w:val="en-GB"/>
              </w:rPr>
              <w:t>3</w:t>
            </w:r>
          </w:p>
        </w:tc>
        <w:tc>
          <w:tcPr>
            <w:tcW w:w="1528" w:type="dxa"/>
          </w:tcPr>
          <w:p w14:paraId="05E1695C" w14:textId="2328EC75" w:rsidR="004541A6" w:rsidRPr="00934095" w:rsidRDefault="004541A6" w:rsidP="00527677">
            <w:pPr>
              <w:autoSpaceDE w:val="0"/>
              <w:autoSpaceDN w:val="0"/>
              <w:adjustRightInd w:val="0"/>
              <w:jc w:val="center"/>
              <w:rPr>
                <w:sz w:val="22"/>
                <w:szCs w:val="22"/>
                <w:lang w:val="en-GB"/>
              </w:rPr>
            </w:pPr>
            <w:r w:rsidRPr="00527677">
              <w:rPr>
                <w:lang w:val="en-GB"/>
              </w:rPr>
              <w:t>2</w:t>
            </w:r>
            <w:r w:rsidR="00B97B7C" w:rsidRPr="00527677">
              <w:rPr>
                <w:lang w:val="en-GB"/>
              </w:rPr>
              <w:t>,</w:t>
            </w:r>
            <w:r w:rsidRPr="00527677">
              <w:rPr>
                <w:lang w:val="en-GB"/>
              </w:rPr>
              <w:t>6</w:t>
            </w:r>
          </w:p>
        </w:tc>
        <w:tc>
          <w:tcPr>
            <w:tcW w:w="1623" w:type="dxa"/>
          </w:tcPr>
          <w:p w14:paraId="3393B42E" w14:textId="4A1A0A78" w:rsidR="004541A6" w:rsidRPr="00934095" w:rsidRDefault="004541A6" w:rsidP="00527677">
            <w:pPr>
              <w:autoSpaceDE w:val="0"/>
              <w:autoSpaceDN w:val="0"/>
              <w:adjustRightInd w:val="0"/>
              <w:jc w:val="center"/>
              <w:rPr>
                <w:sz w:val="22"/>
                <w:szCs w:val="22"/>
                <w:lang w:val="en-GB"/>
              </w:rPr>
            </w:pPr>
            <w:r w:rsidRPr="00527677">
              <w:rPr>
                <w:lang w:val="en-GB"/>
              </w:rPr>
              <w:t>5</w:t>
            </w:r>
            <w:r w:rsidR="00B97B7C" w:rsidRPr="00527677">
              <w:rPr>
                <w:lang w:val="en-GB"/>
              </w:rPr>
              <w:t>,</w:t>
            </w:r>
            <w:r w:rsidRPr="00527677">
              <w:rPr>
                <w:lang w:val="en-GB"/>
              </w:rPr>
              <w:t>6</w:t>
            </w:r>
          </w:p>
        </w:tc>
      </w:tr>
    </w:tbl>
    <w:p w14:paraId="4952702E" w14:textId="6987F611" w:rsidR="00B97B7C" w:rsidRPr="00934095" w:rsidRDefault="00B97B7C" w:rsidP="00B97B7C">
      <w:pPr>
        <w:widowControl w:val="0"/>
        <w:spacing w:after="0" w:line="200" w:lineRule="exact"/>
        <w:rPr>
          <w:rFonts w:ascii="Times New Roman" w:eastAsia="Times New Roman" w:hAnsi="Times New Roman" w:cs="Times New Roman"/>
          <w:sz w:val="18"/>
          <w:szCs w:val="18"/>
          <w:lang w:val="en-GB" w:eastAsia="de-DE"/>
        </w:rPr>
      </w:pPr>
      <w:r w:rsidRPr="00800004">
        <w:rPr>
          <w:rFonts w:ascii="Times New Roman" w:eastAsia="Times New Roman" w:hAnsi="Times New Roman" w:cs="Times New Roman"/>
          <w:sz w:val="18"/>
          <w:szCs w:val="18"/>
          <w:vertAlign w:val="superscript"/>
          <w:lang w:val="en-GB" w:eastAsia="de-DE"/>
        </w:rPr>
        <w:t>†</w:t>
      </w:r>
      <w:r>
        <w:rPr>
          <w:rFonts w:ascii="Times New Roman" w:eastAsia="Times New Roman" w:hAnsi="Times New Roman" w:cs="Times New Roman"/>
          <w:sz w:val="18"/>
          <w:szCs w:val="18"/>
          <w:vertAlign w:val="superscript"/>
          <w:lang w:val="en-GB" w:eastAsia="de-DE"/>
        </w:rPr>
        <w:t xml:space="preserve"> </w:t>
      </w:r>
      <w:r w:rsidRPr="00934095">
        <w:rPr>
          <w:rFonts w:ascii="Times New Roman" w:eastAsia="Times New Roman" w:hAnsi="Times New Roman" w:cs="Times New Roman"/>
          <w:sz w:val="18"/>
          <w:szCs w:val="18"/>
          <w:lang w:val="en-GB" w:eastAsia="de-DE"/>
        </w:rPr>
        <w:t>A 28</w:t>
      </w:r>
      <w:r>
        <w:rPr>
          <w:rFonts w:ascii="Times New Roman" w:eastAsia="Times New Roman" w:hAnsi="Times New Roman" w:cs="Times New Roman"/>
          <w:sz w:val="18"/>
          <w:szCs w:val="18"/>
          <w:lang w:val="en-GB" w:eastAsia="de-DE"/>
        </w:rPr>
        <w:t> </w:t>
      </w:r>
      <w:r w:rsidRPr="00934095">
        <w:rPr>
          <w:rFonts w:ascii="Times New Roman" w:eastAsia="Times New Roman" w:hAnsi="Times New Roman" w:cs="Times New Roman"/>
          <w:sz w:val="18"/>
          <w:szCs w:val="18"/>
          <w:lang w:val="en-GB" w:eastAsia="de-DE"/>
        </w:rPr>
        <w:t>napos ciklusok 21</w:t>
      </w:r>
      <w:r>
        <w:rPr>
          <w:rFonts w:ascii="Times New Roman" w:eastAsia="Times New Roman" w:hAnsi="Times New Roman" w:cs="Times New Roman"/>
          <w:sz w:val="18"/>
          <w:szCs w:val="18"/>
          <w:lang w:val="en-GB" w:eastAsia="de-DE"/>
        </w:rPr>
        <w:t> </w:t>
      </w:r>
      <w:r w:rsidRPr="00934095">
        <w:rPr>
          <w:rFonts w:ascii="Times New Roman" w:eastAsia="Times New Roman" w:hAnsi="Times New Roman" w:cs="Times New Roman"/>
          <w:sz w:val="18"/>
          <w:szCs w:val="18"/>
          <w:lang w:val="en-GB" w:eastAsia="de-DE"/>
        </w:rPr>
        <w:t>napján 10</w:t>
      </w:r>
      <w:r>
        <w:rPr>
          <w:rFonts w:ascii="Times New Roman" w:eastAsia="Times New Roman" w:hAnsi="Times New Roman" w:cs="Times New Roman"/>
          <w:sz w:val="18"/>
          <w:szCs w:val="18"/>
          <w:lang w:val="en-GB" w:eastAsia="de-DE"/>
        </w:rPr>
        <w:t> </w:t>
      </w:r>
      <w:r w:rsidRPr="00934095">
        <w:rPr>
          <w:rFonts w:ascii="Times New Roman" w:eastAsia="Times New Roman" w:hAnsi="Times New Roman" w:cs="Times New Roman"/>
          <w:sz w:val="18"/>
          <w:szCs w:val="18"/>
          <w:lang w:val="en-GB" w:eastAsia="de-DE"/>
        </w:rPr>
        <w:t>mg lenalidomiddal kezelt vizsgálati személyek.</w:t>
      </w:r>
    </w:p>
    <w:p w14:paraId="7AA66F25" w14:textId="6DE8301A" w:rsidR="00B97B7C" w:rsidRPr="00934095" w:rsidRDefault="00B97B7C" w:rsidP="00B97B7C">
      <w:pPr>
        <w:widowControl w:val="0"/>
        <w:spacing w:after="0" w:line="200" w:lineRule="exact"/>
        <w:rPr>
          <w:rFonts w:ascii="Times New Roman" w:eastAsia="Times New Roman" w:hAnsi="Times New Roman" w:cs="Times New Roman"/>
          <w:sz w:val="18"/>
          <w:szCs w:val="18"/>
          <w:lang w:val="en-GB" w:eastAsia="de-DE"/>
        </w:rPr>
      </w:pPr>
      <w:r w:rsidRPr="00934095">
        <w:rPr>
          <w:rFonts w:ascii="Times New Roman" w:eastAsia="Times New Roman" w:hAnsi="Times New Roman" w:cs="Times New Roman"/>
          <w:sz w:val="18"/>
          <w:szCs w:val="18"/>
          <w:vertAlign w:val="superscript"/>
          <w:lang w:val="en-GB" w:eastAsia="de-DE"/>
        </w:rPr>
        <w:t>††</w:t>
      </w:r>
      <w:r w:rsidRPr="00934095">
        <w:rPr>
          <w:rFonts w:ascii="Times New Roman" w:eastAsia="Times New Roman" w:hAnsi="Times New Roman" w:cs="Times New Roman"/>
          <w:sz w:val="18"/>
          <w:szCs w:val="18"/>
          <w:lang w:val="en-GB" w:eastAsia="de-DE"/>
        </w:rPr>
        <w:t xml:space="preserve"> </w:t>
      </w:r>
      <w:r>
        <w:rPr>
          <w:rFonts w:ascii="Times New Roman" w:eastAsia="Times New Roman" w:hAnsi="Times New Roman" w:cs="Times New Roman"/>
          <w:sz w:val="18"/>
          <w:szCs w:val="18"/>
          <w:lang w:val="en-GB" w:eastAsia="de-DE"/>
        </w:rPr>
        <w:t xml:space="preserve">A </w:t>
      </w:r>
      <w:r w:rsidRPr="00934095">
        <w:rPr>
          <w:rFonts w:ascii="Times New Roman" w:eastAsia="Times New Roman" w:hAnsi="Times New Roman" w:cs="Times New Roman"/>
          <w:sz w:val="18"/>
          <w:szCs w:val="18"/>
          <w:lang w:val="en-GB" w:eastAsia="de-DE"/>
        </w:rPr>
        <w:t>28</w:t>
      </w:r>
      <w:r>
        <w:rPr>
          <w:rFonts w:ascii="Times New Roman" w:eastAsia="Times New Roman" w:hAnsi="Times New Roman" w:cs="Times New Roman"/>
          <w:sz w:val="18"/>
          <w:szCs w:val="18"/>
          <w:lang w:val="en-GB" w:eastAsia="de-DE"/>
        </w:rPr>
        <w:t> </w:t>
      </w:r>
      <w:r w:rsidRPr="00934095">
        <w:rPr>
          <w:rFonts w:ascii="Times New Roman" w:eastAsia="Times New Roman" w:hAnsi="Times New Roman" w:cs="Times New Roman"/>
          <w:sz w:val="18"/>
          <w:szCs w:val="18"/>
          <w:lang w:val="en-GB" w:eastAsia="de-DE"/>
        </w:rPr>
        <w:t>napos ciklusok 28</w:t>
      </w:r>
      <w:r>
        <w:rPr>
          <w:rFonts w:ascii="Times New Roman" w:eastAsia="Times New Roman" w:hAnsi="Times New Roman" w:cs="Times New Roman"/>
          <w:sz w:val="18"/>
          <w:szCs w:val="18"/>
          <w:lang w:val="en-GB" w:eastAsia="de-DE"/>
        </w:rPr>
        <w:t> </w:t>
      </w:r>
      <w:r w:rsidRPr="00934095">
        <w:rPr>
          <w:rFonts w:ascii="Times New Roman" w:eastAsia="Times New Roman" w:hAnsi="Times New Roman" w:cs="Times New Roman"/>
          <w:sz w:val="18"/>
          <w:szCs w:val="18"/>
          <w:lang w:val="en-GB" w:eastAsia="de-DE"/>
        </w:rPr>
        <w:t>napján 5</w:t>
      </w:r>
      <w:r>
        <w:rPr>
          <w:rFonts w:ascii="Times New Roman" w:eastAsia="Times New Roman" w:hAnsi="Times New Roman" w:cs="Times New Roman"/>
          <w:sz w:val="18"/>
          <w:szCs w:val="18"/>
          <w:lang w:val="en-GB" w:eastAsia="de-DE"/>
        </w:rPr>
        <w:t> </w:t>
      </w:r>
      <w:r w:rsidRPr="00934095">
        <w:rPr>
          <w:rFonts w:ascii="Times New Roman" w:eastAsia="Times New Roman" w:hAnsi="Times New Roman" w:cs="Times New Roman"/>
          <w:sz w:val="18"/>
          <w:szCs w:val="18"/>
          <w:lang w:val="en-GB" w:eastAsia="de-DE"/>
        </w:rPr>
        <w:t>mg lenalidomiddal kezelt vizsgálati személyek.</w:t>
      </w:r>
    </w:p>
    <w:p w14:paraId="3085C1DB" w14:textId="38F536A2" w:rsidR="00B97B7C" w:rsidRPr="00934095" w:rsidRDefault="00B97B7C" w:rsidP="00B97B7C">
      <w:pPr>
        <w:widowControl w:val="0"/>
        <w:spacing w:after="0" w:line="200" w:lineRule="exact"/>
        <w:rPr>
          <w:rFonts w:ascii="Times New Roman" w:eastAsia="Times New Roman" w:hAnsi="Times New Roman" w:cs="Times New Roman"/>
          <w:sz w:val="18"/>
          <w:szCs w:val="18"/>
          <w:lang w:val="en-GB" w:eastAsia="de-DE"/>
        </w:rPr>
      </w:pPr>
      <w:r w:rsidRPr="00934095">
        <w:rPr>
          <w:rFonts w:ascii="Times New Roman" w:eastAsia="Times New Roman" w:hAnsi="Times New Roman" w:cs="Times New Roman"/>
          <w:sz w:val="18"/>
          <w:szCs w:val="18"/>
          <w:lang w:val="en-GB" w:eastAsia="de-DE"/>
        </w:rPr>
        <w:t>* A placebót kapó betegek többsége 16</w:t>
      </w:r>
      <w:r>
        <w:rPr>
          <w:rFonts w:ascii="Times New Roman" w:eastAsia="Times New Roman" w:hAnsi="Times New Roman" w:cs="Times New Roman"/>
          <w:sz w:val="18"/>
          <w:szCs w:val="18"/>
          <w:lang w:val="en-GB" w:eastAsia="de-DE"/>
        </w:rPr>
        <w:t> </w:t>
      </w:r>
      <w:r w:rsidRPr="00934095">
        <w:rPr>
          <w:rFonts w:ascii="Times New Roman" w:eastAsia="Times New Roman" w:hAnsi="Times New Roman" w:cs="Times New Roman"/>
          <w:sz w:val="18"/>
          <w:szCs w:val="18"/>
          <w:lang w:val="en-GB" w:eastAsia="de-DE"/>
        </w:rPr>
        <w:t>hetes kezelés után, a nyílt elrendezésű fázisba való belépés előtt abbahagyta a kettős vak kezelést</w:t>
      </w:r>
      <w:r>
        <w:rPr>
          <w:rFonts w:ascii="Times New Roman" w:eastAsia="Times New Roman" w:hAnsi="Times New Roman" w:cs="Times New Roman"/>
          <w:sz w:val="18"/>
          <w:szCs w:val="18"/>
          <w:lang w:val="en-GB" w:eastAsia="de-DE"/>
        </w:rPr>
        <w:t xml:space="preserve"> </w:t>
      </w:r>
      <w:r w:rsidRPr="00934095">
        <w:rPr>
          <w:rFonts w:ascii="Times New Roman" w:eastAsia="Times New Roman" w:hAnsi="Times New Roman" w:cs="Times New Roman"/>
          <w:sz w:val="18"/>
          <w:szCs w:val="18"/>
          <w:lang w:val="en-GB" w:eastAsia="de-DE"/>
        </w:rPr>
        <w:t>hatástalanság miatt.</w:t>
      </w:r>
    </w:p>
    <w:p w14:paraId="166ACDB8" w14:textId="5E17B6A7" w:rsidR="00B97B7C" w:rsidRPr="00934095" w:rsidRDefault="00B97B7C" w:rsidP="00B97B7C">
      <w:pPr>
        <w:widowControl w:val="0"/>
        <w:spacing w:after="0" w:line="200" w:lineRule="exact"/>
        <w:rPr>
          <w:rFonts w:ascii="Times New Roman" w:eastAsia="Times New Roman" w:hAnsi="Times New Roman" w:cs="Times New Roman"/>
          <w:sz w:val="18"/>
          <w:szCs w:val="18"/>
          <w:lang w:val="en-GB" w:eastAsia="de-DE"/>
        </w:rPr>
      </w:pPr>
      <w:r w:rsidRPr="00934095">
        <w:rPr>
          <w:rFonts w:ascii="Times New Roman" w:eastAsia="Times New Roman" w:hAnsi="Times New Roman" w:cs="Times New Roman"/>
          <w:sz w:val="18"/>
          <w:szCs w:val="18"/>
          <w:vertAlign w:val="superscript"/>
          <w:lang w:val="en-GB" w:eastAsia="de-DE"/>
        </w:rPr>
        <w:t>#</w:t>
      </w:r>
      <w:r>
        <w:rPr>
          <w:rFonts w:ascii="Times New Roman" w:eastAsia="Times New Roman" w:hAnsi="Times New Roman" w:cs="Times New Roman"/>
          <w:sz w:val="18"/>
          <w:szCs w:val="18"/>
          <w:lang w:val="en-GB" w:eastAsia="de-DE"/>
        </w:rPr>
        <w:t xml:space="preserve"> </w:t>
      </w:r>
      <w:r w:rsidRPr="00934095">
        <w:rPr>
          <w:rFonts w:ascii="Times New Roman" w:eastAsia="Times New Roman" w:hAnsi="Times New Roman" w:cs="Times New Roman"/>
          <w:sz w:val="18"/>
          <w:szCs w:val="18"/>
          <w:lang w:val="en-GB" w:eastAsia="de-DE"/>
        </w:rPr>
        <w:t>A Hgb-érték 1</w:t>
      </w:r>
      <w:r>
        <w:rPr>
          <w:rFonts w:ascii="Times New Roman" w:eastAsia="Times New Roman" w:hAnsi="Times New Roman" w:cs="Times New Roman"/>
          <w:sz w:val="18"/>
          <w:szCs w:val="18"/>
          <w:lang w:val="en-GB" w:eastAsia="de-DE"/>
        </w:rPr>
        <w:t> </w:t>
      </w:r>
      <w:r w:rsidRPr="00934095">
        <w:rPr>
          <w:rFonts w:ascii="Times New Roman" w:eastAsia="Times New Roman" w:hAnsi="Times New Roman" w:cs="Times New Roman"/>
          <w:sz w:val="18"/>
          <w:szCs w:val="18"/>
          <w:lang w:val="en-GB" w:eastAsia="de-DE"/>
        </w:rPr>
        <w:t>g/dl-t meghaladó emelkedése.</w:t>
      </w:r>
    </w:p>
    <w:p w14:paraId="36FC65C8" w14:textId="1A62D98C" w:rsidR="004541A6" w:rsidRPr="00934095" w:rsidRDefault="00B97B7C" w:rsidP="00B97B7C">
      <w:pPr>
        <w:widowControl w:val="0"/>
        <w:spacing w:after="0" w:line="200" w:lineRule="exact"/>
        <w:rPr>
          <w:rFonts w:ascii="Times New Roman" w:eastAsia="Times New Roman" w:hAnsi="Times New Roman" w:cs="Times New Roman"/>
          <w:sz w:val="18"/>
          <w:szCs w:val="18"/>
          <w:lang w:val="en-GB" w:eastAsia="de-DE"/>
        </w:rPr>
      </w:pPr>
      <w:r w:rsidRPr="00934095">
        <w:rPr>
          <w:rFonts w:ascii="Times New Roman" w:eastAsia="Times New Roman" w:hAnsi="Times New Roman" w:cs="Times New Roman"/>
          <w:sz w:val="18"/>
          <w:szCs w:val="18"/>
          <w:vertAlign w:val="superscript"/>
          <w:lang w:val="en-GB" w:eastAsia="de-DE"/>
        </w:rPr>
        <w:t>∞</w:t>
      </w:r>
      <w:r w:rsidRPr="00934095">
        <w:rPr>
          <w:rFonts w:ascii="Times New Roman" w:eastAsia="Times New Roman" w:hAnsi="Times New Roman" w:cs="Times New Roman"/>
          <w:sz w:val="18"/>
          <w:szCs w:val="18"/>
          <w:lang w:val="en-GB" w:eastAsia="de-DE"/>
        </w:rPr>
        <w:t xml:space="preserve"> Nem került elérésére (vagyis a medián értéket nem sikerült elérni).</w:t>
      </w:r>
    </w:p>
    <w:p w14:paraId="0C54CB38" w14:textId="39D9C9EA" w:rsidR="004541A6" w:rsidRDefault="004541A6" w:rsidP="004541A6">
      <w:pPr>
        <w:spacing w:after="0" w:line="240" w:lineRule="auto"/>
        <w:rPr>
          <w:rFonts w:ascii="Times New Roman" w:eastAsia="Calibri" w:hAnsi="Times New Roman" w:cs="Times New Roman"/>
        </w:rPr>
      </w:pPr>
    </w:p>
    <w:p w14:paraId="183133C7" w14:textId="1EE7FE1A" w:rsidR="00A47B14" w:rsidRDefault="00A47B14" w:rsidP="00A47B14">
      <w:pPr>
        <w:spacing w:after="0" w:line="240" w:lineRule="auto"/>
        <w:rPr>
          <w:rFonts w:ascii="Times New Roman" w:eastAsia="Calibri" w:hAnsi="Times New Roman" w:cs="Times New Roman"/>
        </w:rPr>
      </w:pPr>
      <w:r w:rsidRPr="00A47B14">
        <w:rPr>
          <w:rFonts w:ascii="Times New Roman" w:eastAsia="Calibri" w:hAnsi="Times New Roman" w:cs="Times New Roman"/>
        </w:rPr>
        <w:t>Az MDS-004 vizsgálatban a myelodysplasiás szindrómákban szenvedő betegek szignifikánsan</w:t>
      </w:r>
      <w:r>
        <w:rPr>
          <w:rFonts w:ascii="Times New Roman" w:eastAsia="Calibri" w:hAnsi="Times New Roman" w:cs="Times New Roman"/>
        </w:rPr>
        <w:t xml:space="preserve"> </w:t>
      </w:r>
      <w:r w:rsidRPr="00A47B14">
        <w:rPr>
          <w:rFonts w:ascii="Times New Roman" w:eastAsia="Calibri" w:hAnsi="Times New Roman" w:cs="Times New Roman"/>
        </w:rPr>
        <w:t>nagyobb aránya érte el a transzfúzió-independencia elsődleges végpontot (&gt;</w:t>
      </w:r>
      <w:r>
        <w:rPr>
          <w:rFonts w:ascii="Times New Roman" w:eastAsia="Calibri" w:hAnsi="Times New Roman" w:cs="Times New Roman"/>
        </w:rPr>
        <w:t> </w:t>
      </w:r>
      <w:r w:rsidRPr="00A47B14">
        <w:rPr>
          <w:rFonts w:ascii="Times New Roman" w:eastAsia="Calibri" w:hAnsi="Times New Roman" w:cs="Times New Roman"/>
        </w:rPr>
        <w:t>182</w:t>
      </w:r>
      <w:r>
        <w:rPr>
          <w:rFonts w:ascii="Times New Roman" w:eastAsia="Calibri" w:hAnsi="Times New Roman" w:cs="Times New Roman"/>
        </w:rPr>
        <w:t> </w:t>
      </w:r>
      <w:r w:rsidRPr="00A47B14">
        <w:rPr>
          <w:rFonts w:ascii="Times New Roman" w:eastAsia="Calibri" w:hAnsi="Times New Roman" w:cs="Times New Roman"/>
        </w:rPr>
        <w:t>nap) 10</w:t>
      </w:r>
      <w:r>
        <w:rPr>
          <w:rFonts w:ascii="Times New Roman" w:eastAsia="Calibri" w:hAnsi="Times New Roman" w:cs="Times New Roman"/>
        </w:rPr>
        <w:t> </w:t>
      </w:r>
      <w:r w:rsidRPr="00A47B14">
        <w:rPr>
          <w:rFonts w:ascii="Times New Roman" w:eastAsia="Calibri" w:hAnsi="Times New Roman" w:cs="Times New Roman"/>
        </w:rPr>
        <w:t>mg</w:t>
      </w:r>
      <w:r>
        <w:rPr>
          <w:rFonts w:ascii="Times New Roman" w:eastAsia="Calibri" w:hAnsi="Times New Roman" w:cs="Times New Roman"/>
        </w:rPr>
        <w:t xml:space="preserve"> </w:t>
      </w:r>
      <w:r w:rsidRPr="00A47B14">
        <w:rPr>
          <w:rFonts w:ascii="Times New Roman" w:eastAsia="Calibri" w:hAnsi="Times New Roman" w:cs="Times New Roman"/>
        </w:rPr>
        <w:t>lenalidomid, mint a placebo mellett (55,1% vs. 6,0%). Az izolált Del (5q) citogenetikai</w:t>
      </w:r>
      <w:r>
        <w:rPr>
          <w:rFonts w:ascii="Times New Roman" w:eastAsia="Calibri" w:hAnsi="Times New Roman" w:cs="Times New Roman"/>
        </w:rPr>
        <w:t xml:space="preserve"> </w:t>
      </w:r>
      <w:r w:rsidRPr="00A47B14">
        <w:rPr>
          <w:rFonts w:ascii="Times New Roman" w:eastAsia="Calibri" w:hAnsi="Times New Roman" w:cs="Times New Roman"/>
        </w:rPr>
        <w:t>rendellenességgel rendelkező és 10</w:t>
      </w:r>
      <w:r>
        <w:rPr>
          <w:rFonts w:ascii="Times New Roman" w:eastAsia="Calibri" w:hAnsi="Times New Roman" w:cs="Times New Roman"/>
        </w:rPr>
        <w:t> </w:t>
      </w:r>
      <w:r w:rsidRPr="00A47B14">
        <w:rPr>
          <w:rFonts w:ascii="Times New Roman" w:eastAsia="Calibri" w:hAnsi="Times New Roman" w:cs="Times New Roman"/>
        </w:rPr>
        <w:t>mg lenalidomiddal kezelt 47</w:t>
      </w:r>
      <w:r>
        <w:rPr>
          <w:rFonts w:ascii="Times New Roman" w:eastAsia="Calibri" w:hAnsi="Times New Roman" w:cs="Times New Roman"/>
        </w:rPr>
        <w:t> </w:t>
      </w:r>
      <w:r w:rsidRPr="00A47B14">
        <w:rPr>
          <w:rFonts w:ascii="Times New Roman" w:eastAsia="Calibri" w:hAnsi="Times New Roman" w:cs="Times New Roman"/>
        </w:rPr>
        <w:t>beteg közül 27</w:t>
      </w:r>
      <w:r>
        <w:rPr>
          <w:rFonts w:ascii="Times New Roman" w:eastAsia="Calibri" w:hAnsi="Times New Roman" w:cs="Times New Roman"/>
        </w:rPr>
        <w:t> </w:t>
      </w:r>
      <w:r w:rsidRPr="00A47B14">
        <w:rPr>
          <w:rFonts w:ascii="Times New Roman" w:eastAsia="Calibri" w:hAnsi="Times New Roman" w:cs="Times New Roman"/>
        </w:rPr>
        <w:t>betegnél (57,4%)</w:t>
      </w:r>
      <w:r>
        <w:rPr>
          <w:rFonts w:ascii="Times New Roman" w:eastAsia="Calibri" w:hAnsi="Times New Roman" w:cs="Times New Roman"/>
        </w:rPr>
        <w:t xml:space="preserve"> </w:t>
      </w:r>
      <w:r w:rsidRPr="00A47B14">
        <w:rPr>
          <w:rFonts w:ascii="Times New Roman" w:eastAsia="Calibri" w:hAnsi="Times New Roman" w:cs="Times New Roman"/>
        </w:rPr>
        <w:t>sikerült elérni vörösvértest</w:t>
      </w:r>
      <w:r>
        <w:rPr>
          <w:rFonts w:ascii="Times New Roman" w:eastAsia="Calibri" w:hAnsi="Times New Roman" w:cs="Times New Roman"/>
        </w:rPr>
        <w:t>-</w:t>
      </w:r>
      <w:r w:rsidRPr="00A47B14">
        <w:rPr>
          <w:rFonts w:ascii="Times New Roman" w:eastAsia="Calibri" w:hAnsi="Times New Roman" w:cs="Times New Roman"/>
        </w:rPr>
        <w:t>transzfúzió-independenciát.</w:t>
      </w:r>
    </w:p>
    <w:p w14:paraId="0A33AB95" w14:textId="77777777" w:rsidR="00A47B14" w:rsidRPr="00A47B14" w:rsidRDefault="00A47B14" w:rsidP="00A47B14">
      <w:pPr>
        <w:spacing w:after="0" w:line="240" w:lineRule="auto"/>
        <w:rPr>
          <w:rFonts w:ascii="Times New Roman" w:eastAsia="Calibri" w:hAnsi="Times New Roman" w:cs="Times New Roman"/>
        </w:rPr>
      </w:pPr>
    </w:p>
    <w:p w14:paraId="07403B02" w14:textId="3243C017" w:rsidR="00A47B14" w:rsidRDefault="00A47B14" w:rsidP="00A47B14">
      <w:pPr>
        <w:spacing w:after="0" w:line="240" w:lineRule="auto"/>
        <w:rPr>
          <w:rFonts w:ascii="Times New Roman" w:eastAsia="Calibri" w:hAnsi="Times New Roman" w:cs="Times New Roman"/>
        </w:rPr>
      </w:pPr>
      <w:r w:rsidRPr="00A47B14">
        <w:rPr>
          <w:rFonts w:ascii="Times New Roman" w:eastAsia="Calibri" w:hAnsi="Times New Roman" w:cs="Times New Roman"/>
        </w:rPr>
        <w:t>A 10</w:t>
      </w:r>
      <w:r>
        <w:rPr>
          <w:rFonts w:ascii="Times New Roman" w:eastAsia="Calibri" w:hAnsi="Times New Roman" w:cs="Times New Roman"/>
        </w:rPr>
        <w:t> </w:t>
      </w:r>
      <w:r w:rsidRPr="00A47B14">
        <w:rPr>
          <w:rFonts w:ascii="Times New Roman" w:eastAsia="Calibri" w:hAnsi="Times New Roman" w:cs="Times New Roman"/>
        </w:rPr>
        <w:t>mg lenalidomid-karon a transzfúzió-independencia eléréséig eltelt idő mediánja 4,6</w:t>
      </w:r>
      <w:r>
        <w:rPr>
          <w:rFonts w:ascii="Times New Roman" w:eastAsia="Calibri" w:hAnsi="Times New Roman" w:cs="Times New Roman"/>
        </w:rPr>
        <w:t> </w:t>
      </w:r>
      <w:r w:rsidRPr="00A47B14">
        <w:rPr>
          <w:rFonts w:ascii="Times New Roman" w:eastAsia="Calibri" w:hAnsi="Times New Roman" w:cs="Times New Roman"/>
        </w:rPr>
        <w:t>hét volt. A</w:t>
      </w:r>
      <w:r>
        <w:rPr>
          <w:rFonts w:ascii="Times New Roman" w:eastAsia="Calibri" w:hAnsi="Times New Roman" w:cs="Times New Roman"/>
        </w:rPr>
        <w:t xml:space="preserve"> </w:t>
      </w:r>
      <w:r w:rsidRPr="00A47B14">
        <w:rPr>
          <w:rFonts w:ascii="Times New Roman" w:eastAsia="Calibri" w:hAnsi="Times New Roman" w:cs="Times New Roman"/>
        </w:rPr>
        <w:t>transzfúzió-independencia időtartamának mediánját egyik kezelési karon sem sikerült elérni, de a</w:t>
      </w:r>
      <w:r>
        <w:rPr>
          <w:rFonts w:ascii="Times New Roman" w:eastAsia="Calibri" w:hAnsi="Times New Roman" w:cs="Times New Roman"/>
        </w:rPr>
        <w:t xml:space="preserve"> </w:t>
      </w:r>
      <w:r w:rsidRPr="00A47B14">
        <w:rPr>
          <w:rFonts w:ascii="Times New Roman" w:eastAsia="Calibri" w:hAnsi="Times New Roman" w:cs="Times New Roman"/>
        </w:rPr>
        <w:t>lenalidomiddal kezelt személyek esetében ennek meg kell haladnia a 2</w:t>
      </w:r>
      <w:r>
        <w:rPr>
          <w:rFonts w:ascii="Times New Roman" w:eastAsia="Calibri" w:hAnsi="Times New Roman" w:cs="Times New Roman"/>
        </w:rPr>
        <w:t> </w:t>
      </w:r>
      <w:r w:rsidRPr="00A47B14">
        <w:rPr>
          <w:rFonts w:ascii="Times New Roman" w:eastAsia="Calibri" w:hAnsi="Times New Roman" w:cs="Times New Roman"/>
        </w:rPr>
        <w:t>évet. A hemoglobinszintben</w:t>
      </w:r>
      <w:r>
        <w:rPr>
          <w:rFonts w:ascii="Times New Roman" w:eastAsia="Calibri" w:hAnsi="Times New Roman" w:cs="Times New Roman"/>
        </w:rPr>
        <w:t xml:space="preserve"> </w:t>
      </w:r>
      <w:r w:rsidRPr="00A47B14">
        <w:rPr>
          <w:rFonts w:ascii="Times New Roman" w:eastAsia="Calibri" w:hAnsi="Times New Roman" w:cs="Times New Roman"/>
        </w:rPr>
        <w:t>(Hgb) a kiinduláshoz képest bekövetkezett emelkedés mediánja a 10</w:t>
      </w:r>
      <w:r>
        <w:rPr>
          <w:rFonts w:ascii="Times New Roman" w:eastAsia="Calibri" w:hAnsi="Times New Roman" w:cs="Times New Roman"/>
        </w:rPr>
        <w:t> </w:t>
      </w:r>
      <w:r w:rsidRPr="00A47B14">
        <w:rPr>
          <w:rFonts w:ascii="Times New Roman" w:eastAsia="Calibri" w:hAnsi="Times New Roman" w:cs="Times New Roman"/>
        </w:rPr>
        <w:t>mg-os karon 6,4</w:t>
      </w:r>
      <w:r>
        <w:rPr>
          <w:rFonts w:ascii="Times New Roman" w:eastAsia="Calibri" w:hAnsi="Times New Roman" w:cs="Times New Roman"/>
        </w:rPr>
        <w:t> </w:t>
      </w:r>
      <w:r w:rsidRPr="00A47B14">
        <w:rPr>
          <w:rFonts w:ascii="Times New Roman" w:eastAsia="Calibri" w:hAnsi="Times New Roman" w:cs="Times New Roman"/>
        </w:rPr>
        <w:t>g/dl volt.</w:t>
      </w:r>
    </w:p>
    <w:p w14:paraId="6C2D0094" w14:textId="77777777" w:rsidR="00A47B14" w:rsidRPr="00A47B14" w:rsidRDefault="00A47B14" w:rsidP="00A47B14">
      <w:pPr>
        <w:spacing w:after="0" w:line="240" w:lineRule="auto"/>
        <w:rPr>
          <w:rFonts w:ascii="Times New Roman" w:eastAsia="Calibri" w:hAnsi="Times New Roman" w:cs="Times New Roman"/>
        </w:rPr>
      </w:pPr>
    </w:p>
    <w:p w14:paraId="6C152F7E" w14:textId="1E83D633" w:rsidR="00A47B14" w:rsidRDefault="00A47B14" w:rsidP="00A47B14">
      <w:pPr>
        <w:spacing w:after="0" w:line="240" w:lineRule="auto"/>
        <w:rPr>
          <w:rFonts w:ascii="Times New Roman" w:eastAsia="Calibri" w:hAnsi="Times New Roman" w:cs="Times New Roman"/>
        </w:rPr>
      </w:pPr>
      <w:r w:rsidRPr="00A47B14">
        <w:rPr>
          <w:rFonts w:ascii="Times New Roman" w:eastAsia="Calibri" w:hAnsi="Times New Roman" w:cs="Times New Roman"/>
        </w:rPr>
        <w:t>A vizsgálat további végpontjai közé tartozott a citogenetikai válasz (a 10</w:t>
      </w:r>
      <w:r>
        <w:rPr>
          <w:rFonts w:ascii="Times New Roman" w:eastAsia="Calibri" w:hAnsi="Times New Roman" w:cs="Times New Roman"/>
        </w:rPr>
        <w:t> </w:t>
      </w:r>
      <w:r w:rsidRPr="00A47B14">
        <w:rPr>
          <w:rFonts w:ascii="Times New Roman" w:eastAsia="Calibri" w:hAnsi="Times New Roman" w:cs="Times New Roman"/>
        </w:rPr>
        <w:t>mg-os karon a vizsgálati</w:t>
      </w:r>
      <w:r>
        <w:rPr>
          <w:rFonts w:ascii="Times New Roman" w:eastAsia="Calibri" w:hAnsi="Times New Roman" w:cs="Times New Roman"/>
        </w:rPr>
        <w:t xml:space="preserve"> </w:t>
      </w:r>
      <w:r w:rsidRPr="00A47B14">
        <w:rPr>
          <w:rFonts w:ascii="Times New Roman" w:eastAsia="Calibri" w:hAnsi="Times New Roman" w:cs="Times New Roman"/>
        </w:rPr>
        <w:t>személyek 30,0%-ánál figyeltek meg major, és 24,0%-ánál minor citogenetikai választ), az</w:t>
      </w:r>
      <w:r>
        <w:rPr>
          <w:rFonts w:ascii="Times New Roman" w:eastAsia="Calibri" w:hAnsi="Times New Roman" w:cs="Times New Roman"/>
        </w:rPr>
        <w:t xml:space="preserve"> </w:t>
      </w:r>
      <w:r w:rsidRPr="00A47B14">
        <w:rPr>
          <w:rFonts w:ascii="Times New Roman" w:eastAsia="Calibri" w:hAnsi="Times New Roman" w:cs="Times New Roman"/>
        </w:rPr>
        <w:t>egészséggel összefüggő életminőség (Health Related Quality of Life, HRQoL) és az akut myeloid</w:t>
      </w:r>
      <w:r>
        <w:rPr>
          <w:rFonts w:ascii="Times New Roman" w:eastAsia="Calibri" w:hAnsi="Times New Roman" w:cs="Times New Roman"/>
        </w:rPr>
        <w:t xml:space="preserve"> </w:t>
      </w:r>
      <w:r w:rsidRPr="00A47B14">
        <w:rPr>
          <w:rFonts w:ascii="Times New Roman" w:eastAsia="Calibri" w:hAnsi="Times New Roman" w:cs="Times New Roman"/>
        </w:rPr>
        <w:t>leukaemiává történt progresszió értékelése. A citogenetikai válasz és a HRQoL eredményei</w:t>
      </w:r>
      <w:r>
        <w:rPr>
          <w:rFonts w:ascii="Times New Roman" w:eastAsia="Calibri" w:hAnsi="Times New Roman" w:cs="Times New Roman"/>
        </w:rPr>
        <w:t xml:space="preserve"> </w:t>
      </w:r>
      <w:r w:rsidRPr="00A47B14">
        <w:rPr>
          <w:rFonts w:ascii="Times New Roman" w:eastAsia="Calibri" w:hAnsi="Times New Roman" w:cs="Times New Roman"/>
        </w:rPr>
        <w:t>összhangban voltak az elsődleges végpont eredményeivel, és a lenalidomid-kezelés placebóhoz</w:t>
      </w:r>
      <w:r>
        <w:rPr>
          <w:rFonts w:ascii="Times New Roman" w:eastAsia="Calibri" w:hAnsi="Times New Roman" w:cs="Times New Roman"/>
        </w:rPr>
        <w:t xml:space="preserve"> </w:t>
      </w:r>
      <w:r w:rsidRPr="00A47B14">
        <w:rPr>
          <w:rFonts w:ascii="Times New Roman" w:eastAsia="Calibri" w:hAnsi="Times New Roman" w:cs="Times New Roman"/>
        </w:rPr>
        <w:t>viszonyított előnyét igazolta.</w:t>
      </w:r>
    </w:p>
    <w:p w14:paraId="42BD1AF3" w14:textId="77777777" w:rsidR="00A47B14" w:rsidRPr="00A47B14" w:rsidRDefault="00A47B14" w:rsidP="00A47B14">
      <w:pPr>
        <w:spacing w:after="0" w:line="240" w:lineRule="auto"/>
        <w:rPr>
          <w:rFonts w:ascii="Times New Roman" w:eastAsia="Calibri" w:hAnsi="Times New Roman" w:cs="Times New Roman"/>
        </w:rPr>
      </w:pPr>
    </w:p>
    <w:p w14:paraId="35BD0D75" w14:textId="11F42EAC" w:rsidR="00A47B14" w:rsidRDefault="00A47B14" w:rsidP="00A47B14">
      <w:pPr>
        <w:spacing w:after="0" w:line="240" w:lineRule="auto"/>
        <w:rPr>
          <w:rFonts w:ascii="Times New Roman" w:eastAsia="Calibri" w:hAnsi="Times New Roman" w:cs="Times New Roman"/>
        </w:rPr>
      </w:pPr>
      <w:r w:rsidRPr="00A47B14">
        <w:rPr>
          <w:rFonts w:ascii="Times New Roman" w:eastAsia="Calibri" w:hAnsi="Times New Roman" w:cs="Times New Roman"/>
        </w:rPr>
        <w:lastRenderedPageBreak/>
        <w:t>Az MDS-003 vizsgálatban a 10</w:t>
      </w:r>
      <w:r>
        <w:rPr>
          <w:rFonts w:ascii="Times New Roman" w:eastAsia="Calibri" w:hAnsi="Times New Roman" w:cs="Times New Roman"/>
        </w:rPr>
        <w:t> </w:t>
      </w:r>
      <w:r w:rsidRPr="00A47B14">
        <w:rPr>
          <w:rFonts w:ascii="Times New Roman" w:eastAsia="Calibri" w:hAnsi="Times New Roman" w:cs="Times New Roman"/>
        </w:rPr>
        <w:t>mg lenalidomidot kapó, myelodysplasiás szindrómákban szenvedő</w:t>
      </w:r>
      <w:r>
        <w:rPr>
          <w:rFonts w:ascii="Times New Roman" w:eastAsia="Calibri" w:hAnsi="Times New Roman" w:cs="Times New Roman"/>
        </w:rPr>
        <w:t xml:space="preserve"> </w:t>
      </w:r>
      <w:r w:rsidRPr="00A47B14">
        <w:rPr>
          <w:rFonts w:ascii="Times New Roman" w:eastAsia="Calibri" w:hAnsi="Times New Roman" w:cs="Times New Roman"/>
        </w:rPr>
        <w:t>betegek nagy részénél (58,1%) sikerült transzfúzió-independenciát elérni (&gt;</w:t>
      </w:r>
      <w:r>
        <w:rPr>
          <w:rFonts w:ascii="Times New Roman" w:eastAsia="Calibri" w:hAnsi="Times New Roman" w:cs="Times New Roman"/>
        </w:rPr>
        <w:t> </w:t>
      </w:r>
      <w:r w:rsidRPr="00A47B14">
        <w:rPr>
          <w:rFonts w:ascii="Times New Roman" w:eastAsia="Calibri" w:hAnsi="Times New Roman" w:cs="Times New Roman"/>
        </w:rPr>
        <w:t>182</w:t>
      </w:r>
      <w:r>
        <w:rPr>
          <w:rFonts w:ascii="Times New Roman" w:eastAsia="Calibri" w:hAnsi="Times New Roman" w:cs="Times New Roman"/>
        </w:rPr>
        <w:t> </w:t>
      </w:r>
      <w:r w:rsidRPr="00A47B14">
        <w:rPr>
          <w:rFonts w:ascii="Times New Roman" w:eastAsia="Calibri" w:hAnsi="Times New Roman" w:cs="Times New Roman"/>
        </w:rPr>
        <w:t>nap). A</w:t>
      </w:r>
      <w:r>
        <w:rPr>
          <w:rFonts w:ascii="Times New Roman" w:eastAsia="Calibri" w:hAnsi="Times New Roman" w:cs="Times New Roman"/>
        </w:rPr>
        <w:t xml:space="preserve"> </w:t>
      </w:r>
      <w:r w:rsidRPr="00A47B14">
        <w:rPr>
          <w:rFonts w:ascii="Times New Roman" w:eastAsia="Calibri" w:hAnsi="Times New Roman" w:cs="Times New Roman"/>
        </w:rPr>
        <w:t>transzfúzió-independencia eléréséig eltelt idő mediánja 4,1</w:t>
      </w:r>
      <w:r>
        <w:rPr>
          <w:rFonts w:ascii="Times New Roman" w:eastAsia="Calibri" w:hAnsi="Times New Roman" w:cs="Times New Roman"/>
        </w:rPr>
        <w:t> </w:t>
      </w:r>
      <w:r w:rsidRPr="00A47B14">
        <w:rPr>
          <w:rFonts w:ascii="Times New Roman" w:eastAsia="Calibri" w:hAnsi="Times New Roman" w:cs="Times New Roman"/>
        </w:rPr>
        <w:t>hét volt. A transzfúzió-independencia</w:t>
      </w:r>
      <w:r>
        <w:rPr>
          <w:rFonts w:ascii="Times New Roman" w:eastAsia="Calibri" w:hAnsi="Times New Roman" w:cs="Times New Roman"/>
        </w:rPr>
        <w:t xml:space="preserve"> </w:t>
      </w:r>
      <w:r w:rsidRPr="00A47B14">
        <w:rPr>
          <w:rFonts w:ascii="Times New Roman" w:eastAsia="Calibri" w:hAnsi="Times New Roman" w:cs="Times New Roman"/>
        </w:rPr>
        <w:t>időtartamának mediánja 114,4</w:t>
      </w:r>
      <w:r>
        <w:rPr>
          <w:rFonts w:ascii="Times New Roman" w:eastAsia="Calibri" w:hAnsi="Times New Roman" w:cs="Times New Roman"/>
        </w:rPr>
        <w:t> </w:t>
      </w:r>
      <w:r w:rsidRPr="00A47B14">
        <w:rPr>
          <w:rFonts w:ascii="Times New Roman" w:eastAsia="Calibri" w:hAnsi="Times New Roman" w:cs="Times New Roman"/>
        </w:rPr>
        <w:t>hét volt. A hemoglobinszintben (Hgb) bekövetkezett emelkedés</w:t>
      </w:r>
      <w:r>
        <w:rPr>
          <w:rFonts w:ascii="Times New Roman" w:eastAsia="Calibri" w:hAnsi="Times New Roman" w:cs="Times New Roman"/>
        </w:rPr>
        <w:t xml:space="preserve"> </w:t>
      </w:r>
      <w:r w:rsidRPr="00A47B14">
        <w:rPr>
          <w:rFonts w:ascii="Times New Roman" w:eastAsia="Calibri" w:hAnsi="Times New Roman" w:cs="Times New Roman"/>
        </w:rPr>
        <w:t>mediánja 5,6</w:t>
      </w:r>
      <w:r>
        <w:rPr>
          <w:rFonts w:ascii="Times New Roman" w:eastAsia="Calibri" w:hAnsi="Times New Roman" w:cs="Times New Roman"/>
        </w:rPr>
        <w:t> </w:t>
      </w:r>
      <w:r w:rsidRPr="00A47B14">
        <w:rPr>
          <w:rFonts w:ascii="Times New Roman" w:eastAsia="Calibri" w:hAnsi="Times New Roman" w:cs="Times New Roman"/>
        </w:rPr>
        <w:t>g/dl volt. A vizsgálati személyek 40,9%-ánál figyeltek meg major, 30,7%-ánál pedig</w:t>
      </w:r>
      <w:r>
        <w:rPr>
          <w:rFonts w:ascii="Times New Roman" w:eastAsia="Calibri" w:hAnsi="Times New Roman" w:cs="Times New Roman"/>
        </w:rPr>
        <w:t xml:space="preserve"> </w:t>
      </w:r>
      <w:r w:rsidRPr="00A47B14">
        <w:rPr>
          <w:rFonts w:ascii="Times New Roman" w:eastAsia="Calibri" w:hAnsi="Times New Roman" w:cs="Times New Roman"/>
        </w:rPr>
        <w:t>minor citogenetikai választ.</w:t>
      </w:r>
    </w:p>
    <w:p w14:paraId="2F6E7FB3" w14:textId="77777777" w:rsidR="001D4862" w:rsidRPr="00A47B14" w:rsidRDefault="001D4862" w:rsidP="00A47B14">
      <w:pPr>
        <w:spacing w:after="0" w:line="240" w:lineRule="auto"/>
        <w:rPr>
          <w:rFonts w:ascii="Times New Roman" w:eastAsia="Calibri" w:hAnsi="Times New Roman" w:cs="Times New Roman"/>
        </w:rPr>
      </w:pPr>
    </w:p>
    <w:p w14:paraId="7323E85A" w14:textId="7B27B879" w:rsidR="00A47B14" w:rsidRDefault="00A47B14" w:rsidP="00A47B14">
      <w:pPr>
        <w:spacing w:after="0" w:line="240" w:lineRule="auto"/>
        <w:rPr>
          <w:rFonts w:ascii="Times New Roman" w:eastAsia="Calibri" w:hAnsi="Times New Roman" w:cs="Times New Roman"/>
        </w:rPr>
      </w:pPr>
      <w:r w:rsidRPr="00A47B14">
        <w:rPr>
          <w:rFonts w:ascii="Times New Roman" w:eastAsia="Calibri" w:hAnsi="Times New Roman" w:cs="Times New Roman"/>
        </w:rPr>
        <w:t>Az MDS-003 vizsgálatba (72,9%) és az MDS-004 vizsgálatba (52,7%) bevont vizsgálati alanyok nagy</w:t>
      </w:r>
      <w:r>
        <w:rPr>
          <w:rFonts w:ascii="Times New Roman" w:eastAsia="Calibri" w:hAnsi="Times New Roman" w:cs="Times New Roman"/>
        </w:rPr>
        <w:t xml:space="preserve"> </w:t>
      </w:r>
      <w:r w:rsidRPr="00A47B14">
        <w:rPr>
          <w:rFonts w:ascii="Times New Roman" w:eastAsia="Calibri" w:hAnsi="Times New Roman" w:cs="Times New Roman"/>
        </w:rPr>
        <w:t>része kapott előzetesen erythropoesist stimuláló szereket</w:t>
      </w:r>
      <w:r>
        <w:rPr>
          <w:rFonts w:ascii="Times New Roman" w:eastAsia="Calibri" w:hAnsi="Times New Roman" w:cs="Times New Roman"/>
        </w:rPr>
        <w:t>.</w:t>
      </w:r>
    </w:p>
    <w:p w14:paraId="68E4819C" w14:textId="77777777" w:rsidR="00A47B14" w:rsidRDefault="00A47B14" w:rsidP="00A47B14">
      <w:pPr>
        <w:spacing w:after="0" w:line="240" w:lineRule="auto"/>
        <w:rPr>
          <w:rFonts w:ascii="Times New Roman" w:eastAsia="Calibri" w:hAnsi="Times New Roman" w:cs="Times New Roman"/>
        </w:rPr>
      </w:pPr>
    </w:p>
    <w:p w14:paraId="7C35DBA3" w14:textId="77777777" w:rsidR="004C065A" w:rsidRPr="00E83289" w:rsidRDefault="004C065A" w:rsidP="00E83289">
      <w:pPr>
        <w:keepNext/>
        <w:spacing w:after="0" w:line="240" w:lineRule="auto"/>
        <w:rPr>
          <w:rFonts w:ascii="Times New Roman" w:eastAsia="Calibri" w:hAnsi="Times New Roman" w:cs="Times New Roman"/>
          <w:i/>
          <w:iCs/>
          <w:u w:val="single"/>
        </w:rPr>
      </w:pPr>
      <w:r w:rsidRPr="00E83289">
        <w:rPr>
          <w:rFonts w:ascii="Times New Roman" w:eastAsia="Calibri" w:hAnsi="Times New Roman" w:cs="Times New Roman"/>
          <w:i/>
          <w:iCs/>
          <w:u w:val="single"/>
        </w:rPr>
        <w:t>Follicularis lymphoma</w:t>
      </w:r>
    </w:p>
    <w:p w14:paraId="3938099B" w14:textId="4316867E" w:rsidR="004C065A" w:rsidRPr="004C065A" w:rsidRDefault="004C065A" w:rsidP="004C065A">
      <w:pPr>
        <w:spacing w:after="0" w:line="240" w:lineRule="auto"/>
        <w:rPr>
          <w:rFonts w:ascii="Times New Roman" w:eastAsia="Calibri" w:hAnsi="Times New Roman" w:cs="Times New Roman"/>
        </w:rPr>
      </w:pPr>
      <w:r w:rsidRPr="004C065A">
        <w:rPr>
          <w:rFonts w:ascii="Times New Roman" w:eastAsia="Calibri" w:hAnsi="Times New Roman" w:cs="Times New Roman"/>
        </w:rPr>
        <w:t xml:space="preserve">AUGMENT </w:t>
      </w:r>
      <w:r>
        <w:rPr>
          <w:rFonts w:ascii="Times New Roman" w:eastAsia="Calibri" w:hAnsi="Times New Roman" w:cs="Times New Roman"/>
        </w:rPr>
        <w:t>–</w:t>
      </w:r>
      <w:r w:rsidRPr="004C065A">
        <w:rPr>
          <w:rFonts w:ascii="Times New Roman" w:eastAsia="Calibri" w:hAnsi="Times New Roman" w:cs="Times New Roman"/>
        </w:rPr>
        <w:t xml:space="preserve"> CC-5013-NHL-007</w:t>
      </w:r>
    </w:p>
    <w:p w14:paraId="3A58D033" w14:textId="44CF80D8" w:rsidR="004C065A" w:rsidRDefault="004C065A" w:rsidP="004C065A">
      <w:pPr>
        <w:spacing w:after="0" w:line="240" w:lineRule="auto"/>
        <w:rPr>
          <w:rFonts w:ascii="Times New Roman" w:eastAsia="Calibri" w:hAnsi="Times New Roman" w:cs="Times New Roman"/>
        </w:rPr>
      </w:pPr>
      <w:r w:rsidRPr="004C065A">
        <w:rPr>
          <w:rFonts w:ascii="Times New Roman" w:eastAsia="Calibri" w:hAnsi="Times New Roman" w:cs="Times New Roman"/>
        </w:rPr>
        <w:t>A rituximabbal kombinációban alkalmazott lenalidomid hatásosságát és biztonságosságát rituximab</w:t>
      </w:r>
      <w:r>
        <w:rPr>
          <w:rFonts w:ascii="Times New Roman" w:eastAsia="Calibri" w:hAnsi="Times New Roman" w:cs="Times New Roman"/>
        </w:rPr>
        <w:t xml:space="preserve"> </w:t>
      </w:r>
      <w:r w:rsidRPr="004C065A">
        <w:rPr>
          <w:rFonts w:ascii="Times New Roman" w:eastAsia="Calibri" w:hAnsi="Times New Roman" w:cs="Times New Roman"/>
        </w:rPr>
        <w:t>plusz placebóval összehasonlítva relapszáló/refrakter iNHL-ben (többek között FL-ben) szenvedő</w:t>
      </w:r>
      <w:r>
        <w:rPr>
          <w:rFonts w:ascii="Times New Roman" w:eastAsia="Calibri" w:hAnsi="Times New Roman" w:cs="Times New Roman"/>
        </w:rPr>
        <w:t xml:space="preserve"> </w:t>
      </w:r>
      <w:r w:rsidRPr="004C065A">
        <w:rPr>
          <w:rFonts w:ascii="Times New Roman" w:eastAsia="Calibri" w:hAnsi="Times New Roman" w:cs="Times New Roman"/>
        </w:rPr>
        <w:t xml:space="preserve">betegeknél egy </w:t>
      </w:r>
      <w:r w:rsidR="00F432F4">
        <w:rPr>
          <w:rFonts w:ascii="Times New Roman" w:eastAsia="Calibri" w:hAnsi="Times New Roman" w:cs="Times New Roman"/>
        </w:rPr>
        <w:t>3. </w:t>
      </w:r>
      <w:r w:rsidRPr="004C065A">
        <w:rPr>
          <w:rFonts w:ascii="Times New Roman" w:eastAsia="Calibri" w:hAnsi="Times New Roman" w:cs="Times New Roman"/>
        </w:rPr>
        <w:t>fázis</w:t>
      </w:r>
      <w:r>
        <w:rPr>
          <w:rFonts w:ascii="Times New Roman" w:eastAsia="Calibri" w:hAnsi="Times New Roman" w:cs="Times New Roman"/>
        </w:rPr>
        <w:t>ú</w:t>
      </w:r>
      <w:r w:rsidRPr="004C065A">
        <w:rPr>
          <w:rFonts w:ascii="Times New Roman" w:eastAsia="Calibri" w:hAnsi="Times New Roman" w:cs="Times New Roman"/>
        </w:rPr>
        <w:t>, multicentrikus, randomizált, kettős vak, kontrollált vizsgálatban (CC-5013-NHL-007 [AUGMENT]) értékelték.</w:t>
      </w:r>
    </w:p>
    <w:p w14:paraId="0BC8E586" w14:textId="77777777" w:rsidR="001D4862" w:rsidRPr="004C065A" w:rsidRDefault="001D4862" w:rsidP="004C065A">
      <w:pPr>
        <w:spacing w:after="0" w:line="240" w:lineRule="auto"/>
        <w:rPr>
          <w:rFonts w:ascii="Times New Roman" w:eastAsia="Calibri" w:hAnsi="Times New Roman" w:cs="Times New Roman"/>
        </w:rPr>
      </w:pPr>
    </w:p>
    <w:p w14:paraId="686134CC" w14:textId="292932F5" w:rsidR="004C065A" w:rsidRDefault="004C065A" w:rsidP="004C065A">
      <w:pPr>
        <w:spacing w:after="0" w:line="240" w:lineRule="auto"/>
        <w:rPr>
          <w:rFonts w:ascii="Times New Roman" w:eastAsia="Calibri" w:hAnsi="Times New Roman" w:cs="Times New Roman"/>
        </w:rPr>
      </w:pPr>
      <w:r w:rsidRPr="004C065A">
        <w:rPr>
          <w:rFonts w:ascii="Times New Roman" w:eastAsia="Calibri" w:hAnsi="Times New Roman" w:cs="Times New Roman"/>
        </w:rPr>
        <w:t xml:space="preserve">A vizsgálóorvos vagy kórházi patológus értékelése alapján hisztológiailag igazolt </w:t>
      </w:r>
      <w:r w:rsidR="0021204A">
        <w:rPr>
          <w:rFonts w:ascii="Times New Roman" w:eastAsia="Calibri" w:hAnsi="Times New Roman" w:cs="Times New Roman"/>
        </w:rPr>
        <w:t>marginalis zona lymphomaban (</w:t>
      </w:r>
      <w:r w:rsidRPr="004C065A">
        <w:rPr>
          <w:rFonts w:ascii="Times New Roman" w:eastAsia="Calibri" w:hAnsi="Times New Roman" w:cs="Times New Roman"/>
        </w:rPr>
        <w:t>MZL</w:t>
      </w:r>
      <w:r w:rsidR="0021204A">
        <w:rPr>
          <w:rFonts w:ascii="Times New Roman" w:eastAsia="Calibri" w:hAnsi="Times New Roman" w:cs="Times New Roman"/>
        </w:rPr>
        <w:t>)</w:t>
      </w:r>
      <w:r w:rsidRPr="004C065A">
        <w:rPr>
          <w:rFonts w:ascii="Times New Roman" w:eastAsia="Calibri" w:hAnsi="Times New Roman" w:cs="Times New Roman"/>
        </w:rPr>
        <w:t xml:space="preserve"> vagy 1., 2.</w:t>
      </w:r>
      <w:r>
        <w:rPr>
          <w:rFonts w:ascii="Times New Roman" w:eastAsia="Calibri" w:hAnsi="Times New Roman" w:cs="Times New Roman"/>
        </w:rPr>
        <w:t xml:space="preserve"> </w:t>
      </w:r>
      <w:r w:rsidRPr="004C065A">
        <w:rPr>
          <w:rFonts w:ascii="Times New Roman" w:eastAsia="Calibri" w:hAnsi="Times New Roman" w:cs="Times New Roman"/>
        </w:rPr>
        <w:t>vagy 3a fokú FL-b</w:t>
      </w:r>
      <w:r w:rsidR="00BD03D8">
        <w:rPr>
          <w:rFonts w:ascii="Times New Roman" w:eastAsia="Calibri" w:hAnsi="Times New Roman" w:cs="Times New Roman"/>
        </w:rPr>
        <w:t>e</w:t>
      </w:r>
      <w:r w:rsidRPr="004C065A">
        <w:rPr>
          <w:rFonts w:ascii="Times New Roman" w:eastAsia="Calibri" w:hAnsi="Times New Roman" w:cs="Times New Roman"/>
        </w:rPr>
        <w:t>n (flow citometriával vagy hisztokémiailag CD20+) szenvedő, legalább 18</w:t>
      </w:r>
      <w:r>
        <w:rPr>
          <w:rFonts w:ascii="Times New Roman" w:eastAsia="Calibri" w:hAnsi="Times New Roman" w:cs="Times New Roman"/>
        </w:rPr>
        <w:t> </w:t>
      </w:r>
      <w:r w:rsidRPr="004C065A">
        <w:rPr>
          <w:rFonts w:ascii="Times New Roman" w:eastAsia="Calibri" w:hAnsi="Times New Roman" w:cs="Times New Roman"/>
        </w:rPr>
        <w:t>éves</w:t>
      </w:r>
      <w:r>
        <w:rPr>
          <w:rFonts w:ascii="Times New Roman" w:eastAsia="Calibri" w:hAnsi="Times New Roman" w:cs="Times New Roman"/>
        </w:rPr>
        <w:t xml:space="preserve"> </w:t>
      </w:r>
      <w:r w:rsidRPr="004C065A">
        <w:rPr>
          <w:rFonts w:ascii="Times New Roman" w:eastAsia="Calibri" w:hAnsi="Times New Roman" w:cs="Times New Roman"/>
        </w:rPr>
        <w:t>betegek közül összesen 358-at randomizáltak 1:1 arányban. A vizsgálati alanyokat korábban legalább</w:t>
      </w:r>
      <w:r>
        <w:rPr>
          <w:rFonts w:ascii="Times New Roman" w:eastAsia="Calibri" w:hAnsi="Times New Roman" w:cs="Times New Roman"/>
        </w:rPr>
        <w:t xml:space="preserve"> </w:t>
      </w:r>
      <w:r w:rsidRPr="004C065A">
        <w:rPr>
          <w:rFonts w:ascii="Times New Roman" w:eastAsia="Calibri" w:hAnsi="Times New Roman" w:cs="Times New Roman"/>
        </w:rPr>
        <w:t>egy szisztémás kemoterápiával, immunoterápiával vagy kemoimmunoterápiával kezelték.</w:t>
      </w:r>
    </w:p>
    <w:p w14:paraId="57809659" w14:textId="77777777" w:rsidR="004C065A" w:rsidRPr="004C065A" w:rsidRDefault="004C065A" w:rsidP="004C065A">
      <w:pPr>
        <w:spacing w:after="0" w:line="240" w:lineRule="auto"/>
        <w:rPr>
          <w:rFonts w:ascii="Times New Roman" w:eastAsia="Calibri" w:hAnsi="Times New Roman" w:cs="Times New Roman"/>
        </w:rPr>
      </w:pPr>
    </w:p>
    <w:p w14:paraId="732CAC1A" w14:textId="2C94B3F3" w:rsidR="004C065A" w:rsidRDefault="004C065A" w:rsidP="004C065A">
      <w:pPr>
        <w:spacing w:after="0" w:line="240" w:lineRule="auto"/>
        <w:rPr>
          <w:rFonts w:ascii="Times New Roman" w:eastAsia="Calibri" w:hAnsi="Times New Roman" w:cs="Times New Roman"/>
        </w:rPr>
      </w:pPr>
      <w:r w:rsidRPr="004C065A">
        <w:rPr>
          <w:rFonts w:ascii="Times New Roman" w:eastAsia="Calibri" w:hAnsi="Times New Roman" w:cs="Times New Roman"/>
        </w:rPr>
        <w:t>Az ismétlődő 28</w:t>
      </w:r>
      <w:r>
        <w:rPr>
          <w:rFonts w:ascii="Times New Roman" w:eastAsia="Calibri" w:hAnsi="Times New Roman" w:cs="Times New Roman"/>
        </w:rPr>
        <w:t> </w:t>
      </w:r>
      <w:r w:rsidRPr="004C065A">
        <w:rPr>
          <w:rFonts w:ascii="Times New Roman" w:eastAsia="Calibri" w:hAnsi="Times New Roman" w:cs="Times New Roman"/>
        </w:rPr>
        <w:t>napos ciklusok első 21</w:t>
      </w:r>
      <w:r>
        <w:rPr>
          <w:rFonts w:ascii="Times New Roman" w:eastAsia="Calibri" w:hAnsi="Times New Roman" w:cs="Times New Roman"/>
        </w:rPr>
        <w:t> </w:t>
      </w:r>
      <w:r w:rsidRPr="004C065A">
        <w:rPr>
          <w:rFonts w:ascii="Times New Roman" w:eastAsia="Calibri" w:hAnsi="Times New Roman" w:cs="Times New Roman"/>
        </w:rPr>
        <w:t>napján napi egyszer 20</w:t>
      </w:r>
      <w:r>
        <w:rPr>
          <w:rFonts w:ascii="Times New Roman" w:eastAsia="Calibri" w:hAnsi="Times New Roman" w:cs="Times New Roman"/>
        </w:rPr>
        <w:t> </w:t>
      </w:r>
      <w:r w:rsidRPr="004C065A">
        <w:rPr>
          <w:rFonts w:ascii="Times New Roman" w:eastAsia="Calibri" w:hAnsi="Times New Roman" w:cs="Times New Roman"/>
        </w:rPr>
        <w:t xml:space="preserve">mg lenalidomidot alkalmaztak </w:t>
      </w:r>
      <w:r w:rsidRPr="00E83289">
        <w:rPr>
          <w:rFonts w:ascii="Times New Roman" w:eastAsia="Calibri" w:hAnsi="Times New Roman" w:cs="Times New Roman"/>
          <w:i/>
          <w:iCs/>
        </w:rPr>
        <w:t>per os</w:t>
      </w:r>
      <w:r>
        <w:rPr>
          <w:rFonts w:ascii="Times New Roman" w:eastAsia="Calibri" w:hAnsi="Times New Roman" w:cs="Times New Roman"/>
          <w:i/>
          <w:iCs/>
        </w:rPr>
        <w:t xml:space="preserve"> </w:t>
      </w:r>
      <w:r w:rsidRPr="004C065A">
        <w:rPr>
          <w:rFonts w:ascii="Times New Roman" w:eastAsia="Calibri" w:hAnsi="Times New Roman" w:cs="Times New Roman"/>
        </w:rPr>
        <w:t>12</w:t>
      </w:r>
      <w:r>
        <w:rPr>
          <w:rFonts w:ascii="Times New Roman" w:eastAsia="Calibri" w:hAnsi="Times New Roman" w:cs="Times New Roman"/>
        </w:rPr>
        <w:t> </w:t>
      </w:r>
      <w:r w:rsidRPr="004C065A">
        <w:rPr>
          <w:rFonts w:ascii="Times New Roman" w:eastAsia="Calibri" w:hAnsi="Times New Roman" w:cs="Times New Roman"/>
        </w:rPr>
        <w:t xml:space="preserve">cikluson keresztül vagy elfogadhatatlan toxicitás jelentkezéséig. A rituximab </w:t>
      </w:r>
      <w:r w:rsidR="00426AD5">
        <w:rPr>
          <w:rFonts w:ascii="Times New Roman" w:eastAsia="Calibri" w:hAnsi="Times New Roman" w:cs="Times New Roman"/>
        </w:rPr>
        <w:t>dózisa</w:t>
      </w:r>
      <w:r w:rsidR="00426AD5" w:rsidRPr="00956F16">
        <w:rPr>
          <w:rFonts w:ascii="Times New Roman" w:eastAsia="Calibri" w:hAnsi="Times New Roman" w:cs="Times New Roman"/>
        </w:rPr>
        <w:t xml:space="preserve"> </w:t>
      </w:r>
      <w:r w:rsidRPr="004C065A">
        <w:rPr>
          <w:rFonts w:ascii="Times New Roman" w:eastAsia="Calibri" w:hAnsi="Times New Roman" w:cs="Times New Roman"/>
        </w:rPr>
        <w:t>az 1.</w:t>
      </w:r>
      <w:r>
        <w:rPr>
          <w:rFonts w:ascii="Times New Roman" w:eastAsia="Calibri" w:hAnsi="Times New Roman" w:cs="Times New Roman"/>
        </w:rPr>
        <w:t> </w:t>
      </w:r>
      <w:r w:rsidRPr="004C065A">
        <w:rPr>
          <w:rFonts w:ascii="Times New Roman" w:eastAsia="Calibri" w:hAnsi="Times New Roman" w:cs="Times New Roman"/>
        </w:rPr>
        <w:t>ciklus</w:t>
      </w:r>
      <w:r>
        <w:rPr>
          <w:rFonts w:ascii="Times New Roman" w:eastAsia="Calibri" w:hAnsi="Times New Roman" w:cs="Times New Roman"/>
        </w:rPr>
        <w:t xml:space="preserve"> </w:t>
      </w:r>
      <w:r w:rsidRPr="004C065A">
        <w:rPr>
          <w:rFonts w:ascii="Times New Roman" w:eastAsia="Calibri" w:hAnsi="Times New Roman" w:cs="Times New Roman"/>
        </w:rPr>
        <w:t>minden hetén (1., 8., 15. és 22.</w:t>
      </w:r>
      <w:r>
        <w:rPr>
          <w:rFonts w:ascii="Times New Roman" w:eastAsia="Calibri" w:hAnsi="Times New Roman" w:cs="Times New Roman"/>
        </w:rPr>
        <w:t> </w:t>
      </w:r>
      <w:r w:rsidRPr="004C065A">
        <w:rPr>
          <w:rFonts w:ascii="Times New Roman" w:eastAsia="Calibri" w:hAnsi="Times New Roman" w:cs="Times New Roman"/>
        </w:rPr>
        <w:t>nap) és a 2.</w:t>
      </w:r>
      <w:r>
        <w:rPr>
          <w:rFonts w:ascii="Times New Roman" w:eastAsia="Calibri" w:hAnsi="Times New Roman" w:cs="Times New Roman"/>
        </w:rPr>
        <w:t> </w:t>
      </w:r>
      <w:r w:rsidRPr="004C065A">
        <w:rPr>
          <w:rFonts w:ascii="Times New Roman" w:eastAsia="Calibri" w:hAnsi="Times New Roman" w:cs="Times New Roman"/>
        </w:rPr>
        <w:t>ciklustól az 5.</w:t>
      </w:r>
      <w:r>
        <w:rPr>
          <w:rFonts w:ascii="Times New Roman" w:eastAsia="Calibri" w:hAnsi="Times New Roman" w:cs="Times New Roman"/>
        </w:rPr>
        <w:t> </w:t>
      </w:r>
      <w:r w:rsidRPr="004C065A">
        <w:rPr>
          <w:rFonts w:ascii="Times New Roman" w:eastAsia="Calibri" w:hAnsi="Times New Roman" w:cs="Times New Roman"/>
        </w:rPr>
        <w:t>ciklusig minden 28</w:t>
      </w:r>
      <w:r>
        <w:rPr>
          <w:rFonts w:ascii="Times New Roman" w:eastAsia="Calibri" w:hAnsi="Times New Roman" w:cs="Times New Roman"/>
        </w:rPr>
        <w:t> </w:t>
      </w:r>
      <w:r w:rsidRPr="004C065A">
        <w:rPr>
          <w:rFonts w:ascii="Times New Roman" w:eastAsia="Calibri" w:hAnsi="Times New Roman" w:cs="Times New Roman"/>
        </w:rPr>
        <w:t>napos ciklus 1.</w:t>
      </w:r>
      <w:r>
        <w:rPr>
          <w:rFonts w:ascii="Times New Roman" w:eastAsia="Calibri" w:hAnsi="Times New Roman" w:cs="Times New Roman"/>
        </w:rPr>
        <w:t> </w:t>
      </w:r>
      <w:r w:rsidRPr="004C065A">
        <w:rPr>
          <w:rFonts w:ascii="Times New Roman" w:eastAsia="Calibri" w:hAnsi="Times New Roman" w:cs="Times New Roman"/>
        </w:rPr>
        <w:t>napján</w:t>
      </w:r>
      <w:r>
        <w:rPr>
          <w:rFonts w:ascii="Times New Roman" w:eastAsia="Calibri" w:hAnsi="Times New Roman" w:cs="Times New Roman"/>
        </w:rPr>
        <w:t xml:space="preserve"> </w:t>
      </w:r>
      <w:r w:rsidRPr="004C065A">
        <w:rPr>
          <w:rFonts w:ascii="Times New Roman" w:eastAsia="Calibri" w:hAnsi="Times New Roman" w:cs="Times New Roman"/>
        </w:rPr>
        <w:t>375</w:t>
      </w:r>
      <w:r>
        <w:rPr>
          <w:rFonts w:ascii="Times New Roman" w:eastAsia="Calibri" w:hAnsi="Times New Roman" w:cs="Times New Roman"/>
        </w:rPr>
        <w:t> </w:t>
      </w:r>
      <w:r w:rsidRPr="004C065A">
        <w:rPr>
          <w:rFonts w:ascii="Times New Roman" w:eastAsia="Calibri" w:hAnsi="Times New Roman" w:cs="Times New Roman"/>
        </w:rPr>
        <w:t>mg/m</w:t>
      </w:r>
      <w:r w:rsidRPr="00E83289">
        <w:rPr>
          <w:rFonts w:ascii="Times New Roman" w:eastAsia="Calibri" w:hAnsi="Times New Roman" w:cs="Times New Roman"/>
          <w:vertAlign w:val="superscript"/>
        </w:rPr>
        <w:t>2</w:t>
      </w:r>
      <w:r w:rsidRPr="004C065A">
        <w:rPr>
          <w:rFonts w:ascii="Times New Roman" w:eastAsia="Calibri" w:hAnsi="Times New Roman" w:cs="Times New Roman"/>
        </w:rPr>
        <w:t xml:space="preserve"> volt. A rituximab összes dóziskalkulációja a betegek testfelülete (body surface area, BSA)</w:t>
      </w:r>
      <w:r>
        <w:rPr>
          <w:rFonts w:ascii="Times New Roman" w:eastAsia="Calibri" w:hAnsi="Times New Roman" w:cs="Times New Roman"/>
        </w:rPr>
        <w:t xml:space="preserve"> </w:t>
      </w:r>
      <w:r w:rsidRPr="004C065A">
        <w:rPr>
          <w:rFonts w:ascii="Times New Roman" w:eastAsia="Calibri" w:hAnsi="Times New Roman" w:cs="Times New Roman"/>
        </w:rPr>
        <w:t>alapján, tényleges testtömegük figyelmbe vételével került kiszámításra.</w:t>
      </w:r>
    </w:p>
    <w:p w14:paraId="659C8ECC" w14:textId="77777777" w:rsidR="004C065A" w:rsidRPr="004C065A" w:rsidRDefault="004C065A" w:rsidP="004C065A">
      <w:pPr>
        <w:spacing w:after="0" w:line="240" w:lineRule="auto"/>
        <w:rPr>
          <w:rFonts w:ascii="Times New Roman" w:eastAsia="Calibri" w:hAnsi="Times New Roman" w:cs="Times New Roman"/>
        </w:rPr>
      </w:pPr>
    </w:p>
    <w:p w14:paraId="2CBB0D0E" w14:textId="62F7F773" w:rsidR="004C065A" w:rsidRDefault="004C065A" w:rsidP="004C065A">
      <w:pPr>
        <w:spacing w:after="0" w:line="240" w:lineRule="auto"/>
        <w:rPr>
          <w:rFonts w:ascii="Times New Roman" w:eastAsia="Calibri" w:hAnsi="Times New Roman" w:cs="Times New Roman"/>
        </w:rPr>
      </w:pPr>
      <w:r w:rsidRPr="004C065A">
        <w:rPr>
          <w:rFonts w:ascii="Times New Roman" w:eastAsia="Calibri" w:hAnsi="Times New Roman" w:cs="Times New Roman"/>
        </w:rPr>
        <w:t xml:space="preserve">A demográfiai és </w:t>
      </w:r>
      <w:r>
        <w:rPr>
          <w:rFonts w:ascii="Times New Roman" w:eastAsia="Calibri" w:hAnsi="Times New Roman" w:cs="Times New Roman"/>
        </w:rPr>
        <w:t xml:space="preserve">a </w:t>
      </w:r>
      <w:r w:rsidRPr="004C065A">
        <w:rPr>
          <w:rFonts w:ascii="Times New Roman" w:eastAsia="Calibri" w:hAnsi="Times New Roman" w:cs="Times New Roman"/>
        </w:rPr>
        <w:t>betegséggel kapcsolatos kiindulási jellemzők a két kezelési csoportban hasonlóak</w:t>
      </w:r>
      <w:r>
        <w:rPr>
          <w:rFonts w:ascii="Times New Roman" w:eastAsia="Calibri" w:hAnsi="Times New Roman" w:cs="Times New Roman"/>
        </w:rPr>
        <w:t xml:space="preserve"> </w:t>
      </w:r>
      <w:r w:rsidRPr="004C065A">
        <w:rPr>
          <w:rFonts w:ascii="Times New Roman" w:eastAsia="Calibri" w:hAnsi="Times New Roman" w:cs="Times New Roman"/>
        </w:rPr>
        <w:t>voltak.</w:t>
      </w:r>
    </w:p>
    <w:p w14:paraId="5DDCEAFD" w14:textId="77777777" w:rsidR="00145B83" w:rsidRPr="004C065A" w:rsidRDefault="00145B83" w:rsidP="004C065A">
      <w:pPr>
        <w:spacing w:after="0" w:line="240" w:lineRule="auto"/>
        <w:rPr>
          <w:rFonts w:ascii="Times New Roman" w:eastAsia="Calibri" w:hAnsi="Times New Roman" w:cs="Times New Roman"/>
        </w:rPr>
      </w:pPr>
    </w:p>
    <w:p w14:paraId="1BA4909B" w14:textId="3A3DF282" w:rsidR="004C065A" w:rsidRDefault="004C065A" w:rsidP="004C065A">
      <w:pPr>
        <w:spacing w:after="0" w:line="240" w:lineRule="auto"/>
        <w:rPr>
          <w:rFonts w:ascii="Times New Roman" w:eastAsia="Calibri" w:hAnsi="Times New Roman" w:cs="Times New Roman"/>
        </w:rPr>
      </w:pPr>
      <w:r w:rsidRPr="004C065A">
        <w:rPr>
          <w:rFonts w:ascii="Times New Roman" w:eastAsia="Calibri" w:hAnsi="Times New Roman" w:cs="Times New Roman"/>
        </w:rPr>
        <w:t>A vizsgálat elsődleges célkitűzése a rituximabbal kombinációban alkalmazott lenalidomid</w:t>
      </w:r>
      <w:r>
        <w:rPr>
          <w:rFonts w:ascii="Times New Roman" w:eastAsia="Calibri" w:hAnsi="Times New Roman" w:cs="Times New Roman"/>
        </w:rPr>
        <w:t xml:space="preserve"> </w:t>
      </w:r>
      <w:r w:rsidRPr="004C065A">
        <w:rPr>
          <w:rFonts w:ascii="Times New Roman" w:eastAsia="Calibri" w:hAnsi="Times New Roman" w:cs="Times New Roman"/>
        </w:rPr>
        <w:t>hatásosságának összehasonlítása volt rituximab plusz placebo kezeléssel relapszáló/refrakter FL-ben</w:t>
      </w:r>
      <w:r>
        <w:rPr>
          <w:rFonts w:ascii="Times New Roman" w:eastAsia="Calibri" w:hAnsi="Times New Roman" w:cs="Times New Roman"/>
        </w:rPr>
        <w:t xml:space="preserve"> </w:t>
      </w:r>
      <w:r w:rsidRPr="004C065A">
        <w:rPr>
          <w:rFonts w:ascii="Times New Roman" w:eastAsia="Calibri" w:hAnsi="Times New Roman" w:cs="Times New Roman"/>
        </w:rPr>
        <w:t>vagy 1., 2. vagy 3a</w:t>
      </w:r>
      <w:r>
        <w:rPr>
          <w:rFonts w:ascii="Times New Roman" w:eastAsia="Calibri" w:hAnsi="Times New Roman" w:cs="Times New Roman"/>
        </w:rPr>
        <w:t> </w:t>
      </w:r>
      <w:r w:rsidRPr="004C065A">
        <w:rPr>
          <w:rFonts w:ascii="Times New Roman" w:eastAsia="Calibri" w:hAnsi="Times New Roman" w:cs="Times New Roman"/>
        </w:rPr>
        <w:t>fokú MZL-ben szenvedő vizsgálati alanyoknál. A hatásosság megállapításának</w:t>
      </w:r>
      <w:r>
        <w:rPr>
          <w:rFonts w:ascii="Times New Roman" w:eastAsia="Calibri" w:hAnsi="Times New Roman" w:cs="Times New Roman"/>
        </w:rPr>
        <w:t xml:space="preserve"> </w:t>
      </w:r>
      <w:r w:rsidRPr="004C065A">
        <w:rPr>
          <w:rFonts w:ascii="Times New Roman" w:eastAsia="Calibri" w:hAnsi="Times New Roman" w:cs="Times New Roman"/>
        </w:rPr>
        <w:t>alapja az elsődleges végpontként szolgáló PFS volt az IRC értékelése szerint a 2007-es Nemzetközi</w:t>
      </w:r>
      <w:r>
        <w:rPr>
          <w:rFonts w:ascii="Times New Roman" w:eastAsia="Calibri" w:hAnsi="Times New Roman" w:cs="Times New Roman"/>
        </w:rPr>
        <w:t xml:space="preserve"> </w:t>
      </w:r>
      <w:r w:rsidRPr="004C065A">
        <w:rPr>
          <w:rFonts w:ascii="Times New Roman" w:eastAsia="Calibri" w:hAnsi="Times New Roman" w:cs="Times New Roman"/>
        </w:rPr>
        <w:lastRenderedPageBreak/>
        <w:t>Munkacsoport (</w:t>
      </w:r>
      <w:r>
        <w:rPr>
          <w:rFonts w:ascii="Times New Roman" w:eastAsia="Calibri" w:hAnsi="Times New Roman" w:cs="Times New Roman"/>
        </w:rPr>
        <w:t xml:space="preserve">International Working Group, </w:t>
      </w:r>
      <w:r w:rsidRPr="004C065A">
        <w:rPr>
          <w:rFonts w:ascii="Times New Roman" w:eastAsia="Calibri" w:hAnsi="Times New Roman" w:cs="Times New Roman"/>
        </w:rPr>
        <w:t>IWG) kritériumainak felhasználásával, de pozitronemissziós tomográfia (PET) nélkül.</w:t>
      </w:r>
    </w:p>
    <w:p w14:paraId="2F44BCDC" w14:textId="77777777" w:rsidR="004C065A" w:rsidRPr="004C065A" w:rsidRDefault="004C065A" w:rsidP="004C065A">
      <w:pPr>
        <w:spacing w:after="0" w:line="240" w:lineRule="auto"/>
        <w:rPr>
          <w:rFonts w:ascii="Times New Roman" w:eastAsia="Calibri" w:hAnsi="Times New Roman" w:cs="Times New Roman"/>
        </w:rPr>
      </w:pPr>
    </w:p>
    <w:p w14:paraId="2E627CD2" w14:textId="0A9A068B" w:rsidR="004C065A" w:rsidRDefault="004C065A" w:rsidP="004C065A">
      <w:pPr>
        <w:spacing w:after="0" w:line="240" w:lineRule="auto"/>
        <w:rPr>
          <w:rFonts w:ascii="Times New Roman" w:eastAsia="Calibri" w:hAnsi="Times New Roman" w:cs="Times New Roman"/>
        </w:rPr>
      </w:pPr>
      <w:r w:rsidRPr="004C065A">
        <w:rPr>
          <w:rFonts w:ascii="Times New Roman" w:eastAsia="Calibri" w:hAnsi="Times New Roman" w:cs="Times New Roman"/>
        </w:rPr>
        <w:t>A vizsgálat másodlagos célkitűzése a rituximabbal kombinációban alkalmazott lenalidomid</w:t>
      </w:r>
      <w:r>
        <w:rPr>
          <w:rFonts w:ascii="Times New Roman" w:eastAsia="Calibri" w:hAnsi="Times New Roman" w:cs="Times New Roman"/>
        </w:rPr>
        <w:t xml:space="preserve"> </w:t>
      </w:r>
      <w:r w:rsidRPr="004C065A">
        <w:rPr>
          <w:rFonts w:ascii="Times New Roman" w:eastAsia="Calibri" w:hAnsi="Times New Roman" w:cs="Times New Roman"/>
        </w:rPr>
        <w:t>biztonságosságának összehasonlítása volt a rituximab plusz placebo kezeléssel. További másodlagos</w:t>
      </w:r>
      <w:r>
        <w:rPr>
          <w:rFonts w:ascii="Times New Roman" w:eastAsia="Calibri" w:hAnsi="Times New Roman" w:cs="Times New Roman"/>
        </w:rPr>
        <w:t xml:space="preserve"> </w:t>
      </w:r>
      <w:r w:rsidRPr="004C065A">
        <w:rPr>
          <w:rFonts w:ascii="Times New Roman" w:eastAsia="Calibri" w:hAnsi="Times New Roman" w:cs="Times New Roman"/>
        </w:rPr>
        <w:t>célkitűzés volt a rituximabbal kombinációban alkalmazott lenalidomid hatásosságának</w:t>
      </w:r>
      <w:r>
        <w:rPr>
          <w:rFonts w:ascii="Times New Roman" w:eastAsia="Calibri" w:hAnsi="Times New Roman" w:cs="Times New Roman"/>
        </w:rPr>
        <w:t xml:space="preserve"> </w:t>
      </w:r>
      <w:r w:rsidRPr="004C065A">
        <w:rPr>
          <w:rFonts w:ascii="Times New Roman" w:eastAsia="Calibri" w:hAnsi="Times New Roman" w:cs="Times New Roman"/>
        </w:rPr>
        <w:t>összehasonlítása a rituximab plusz placebo kezeléssel az alábbi hatásossági paraméterek alapján:</w:t>
      </w:r>
      <w:r>
        <w:rPr>
          <w:rFonts w:ascii="Times New Roman" w:eastAsia="Calibri" w:hAnsi="Times New Roman" w:cs="Times New Roman"/>
        </w:rPr>
        <w:t xml:space="preserve"> </w:t>
      </w:r>
      <w:r w:rsidRPr="004C065A">
        <w:rPr>
          <w:rFonts w:ascii="Times New Roman" w:eastAsia="Calibri" w:hAnsi="Times New Roman" w:cs="Times New Roman"/>
        </w:rPr>
        <w:t>összesített válaszarány (</w:t>
      </w:r>
      <w:r w:rsidR="000636E8">
        <w:rPr>
          <w:rFonts w:ascii="Times New Roman" w:eastAsia="Calibri" w:hAnsi="Times New Roman" w:cs="Times New Roman"/>
        </w:rPr>
        <w:t xml:space="preserve">Overall Response Rate, </w:t>
      </w:r>
      <w:r w:rsidRPr="004C065A">
        <w:rPr>
          <w:rFonts w:ascii="Times New Roman" w:eastAsia="Calibri" w:hAnsi="Times New Roman" w:cs="Times New Roman"/>
        </w:rPr>
        <w:t>ORR), CR</w:t>
      </w:r>
      <w:r>
        <w:rPr>
          <w:rFonts w:ascii="Times New Roman" w:eastAsia="Calibri" w:hAnsi="Times New Roman" w:cs="Times New Roman"/>
        </w:rPr>
        <w:t>-</w:t>
      </w:r>
      <w:r w:rsidRPr="004C065A">
        <w:rPr>
          <w:rFonts w:ascii="Times New Roman" w:eastAsia="Calibri" w:hAnsi="Times New Roman" w:cs="Times New Roman"/>
        </w:rPr>
        <w:t>arány és a válasz időtartama (</w:t>
      </w:r>
      <w:r w:rsidR="000636E8">
        <w:rPr>
          <w:rFonts w:ascii="Times New Roman" w:eastAsia="Calibri" w:hAnsi="Times New Roman" w:cs="Times New Roman"/>
        </w:rPr>
        <w:t xml:space="preserve">Duration of Response, </w:t>
      </w:r>
      <w:r w:rsidRPr="004C065A">
        <w:rPr>
          <w:rFonts w:ascii="Times New Roman" w:eastAsia="Calibri" w:hAnsi="Times New Roman" w:cs="Times New Roman"/>
        </w:rPr>
        <w:t>DoR) az IWG 2007 alapján PET és</w:t>
      </w:r>
      <w:r>
        <w:rPr>
          <w:rFonts w:ascii="Times New Roman" w:eastAsia="Calibri" w:hAnsi="Times New Roman" w:cs="Times New Roman"/>
        </w:rPr>
        <w:t xml:space="preserve"> </w:t>
      </w:r>
      <w:r w:rsidRPr="004C065A">
        <w:rPr>
          <w:rFonts w:ascii="Times New Roman" w:eastAsia="Calibri" w:hAnsi="Times New Roman" w:cs="Times New Roman"/>
        </w:rPr>
        <w:t>OS nélkül</w:t>
      </w:r>
      <w:r w:rsidR="00350BEB">
        <w:rPr>
          <w:rFonts w:ascii="Times New Roman" w:eastAsia="Calibri" w:hAnsi="Times New Roman" w:cs="Times New Roman"/>
        </w:rPr>
        <w:t>.</w:t>
      </w:r>
    </w:p>
    <w:p w14:paraId="6C874CE1" w14:textId="1D9D52AC" w:rsidR="00350BEB" w:rsidRDefault="00350BEB" w:rsidP="004C065A">
      <w:pPr>
        <w:spacing w:after="0" w:line="240" w:lineRule="auto"/>
        <w:rPr>
          <w:rFonts w:ascii="Times New Roman" w:eastAsia="Calibri" w:hAnsi="Times New Roman" w:cs="Times New Roman"/>
        </w:rPr>
      </w:pPr>
    </w:p>
    <w:p w14:paraId="377946CF" w14:textId="5DA4F786" w:rsidR="00350BEB" w:rsidRDefault="00350BEB" w:rsidP="00350BEB">
      <w:pPr>
        <w:spacing w:after="0" w:line="240" w:lineRule="auto"/>
        <w:rPr>
          <w:rFonts w:ascii="Times New Roman" w:eastAsia="Calibri" w:hAnsi="Times New Roman" w:cs="Times New Roman"/>
        </w:rPr>
      </w:pPr>
      <w:r w:rsidRPr="00350BEB">
        <w:rPr>
          <w:rFonts w:ascii="Times New Roman" w:eastAsia="Calibri" w:hAnsi="Times New Roman" w:cs="Times New Roman"/>
        </w:rPr>
        <w:t>A teljes populációból – az FL</w:t>
      </w:r>
      <w:r>
        <w:rPr>
          <w:rFonts w:ascii="Times New Roman" w:eastAsia="Calibri" w:hAnsi="Times New Roman" w:cs="Times New Roman"/>
        </w:rPr>
        <w:t>-</w:t>
      </w:r>
      <w:r w:rsidRPr="00350BEB">
        <w:rPr>
          <w:rFonts w:ascii="Times New Roman" w:eastAsia="Calibri" w:hAnsi="Times New Roman" w:cs="Times New Roman"/>
        </w:rPr>
        <w:t xml:space="preserve"> és MZL</w:t>
      </w:r>
      <w:r>
        <w:rPr>
          <w:rFonts w:ascii="Times New Roman" w:eastAsia="Calibri" w:hAnsi="Times New Roman" w:cs="Times New Roman"/>
        </w:rPr>
        <w:t>-</w:t>
      </w:r>
      <w:r w:rsidRPr="00350BEB">
        <w:rPr>
          <w:rFonts w:ascii="Times New Roman" w:eastAsia="Calibri" w:hAnsi="Times New Roman" w:cs="Times New Roman"/>
        </w:rPr>
        <w:t>populációt is beleértve – származó eredmények azt mutatták,</w:t>
      </w:r>
      <w:r w:rsidR="0021204A">
        <w:rPr>
          <w:rFonts w:ascii="Times New Roman" w:eastAsia="Calibri" w:hAnsi="Times New Roman" w:cs="Times New Roman"/>
        </w:rPr>
        <w:t xml:space="preserve"> </w:t>
      </w:r>
      <w:r w:rsidRPr="00350BEB">
        <w:rPr>
          <w:rFonts w:ascii="Times New Roman" w:eastAsia="Calibri" w:hAnsi="Times New Roman" w:cs="Times New Roman"/>
        </w:rPr>
        <w:t>hogy 28,3</w:t>
      </w:r>
      <w:r w:rsidR="0021204A">
        <w:rPr>
          <w:rFonts w:ascii="Times New Roman" w:eastAsia="Calibri" w:hAnsi="Times New Roman" w:cs="Times New Roman"/>
        </w:rPr>
        <w:t> </w:t>
      </w:r>
      <w:r w:rsidRPr="00350BEB">
        <w:rPr>
          <w:rFonts w:ascii="Times New Roman" w:eastAsia="Calibri" w:hAnsi="Times New Roman" w:cs="Times New Roman"/>
        </w:rPr>
        <w:t>hónapos utánkövetési idő elteltével teljesült a vizsgálat elsődleges végpontja a PFS</w:t>
      </w:r>
      <w:r w:rsidR="0021204A">
        <w:rPr>
          <w:rFonts w:ascii="Times New Roman" w:eastAsia="Calibri" w:hAnsi="Times New Roman" w:cs="Times New Roman"/>
        </w:rPr>
        <w:t xml:space="preserve"> </w:t>
      </w:r>
      <w:r w:rsidRPr="00350BEB">
        <w:rPr>
          <w:rFonts w:ascii="Times New Roman" w:eastAsia="Calibri" w:hAnsi="Times New Roman" w:cs="Times New Roman"/>
        </w:rPr>
        <w:t>tekintetében: a hazárd arány (95%-os konfidenciaintervallum [CI]) 0,45 (0,33; 0,61) volt, a p-érték</w:t>
      </w:r>
      <w:r w:rsidR="0021204A">
        <w:rPr>
          <w:rFonts w:ascii="Times New Roman" w:eastAsia="Calibri" w:hAnsi="Times New Roman" w:cs="Times New Roman"/>
        </w:rPr>
        <w:t xml:space="preserve"> </w:t>
      </w:r>
      <w:r w:rsidRPr="00350BEB">
        <w:rPr>
          <w:rFonts w:ascii="Times New Roman" w:eastAsia="Calibri" w:hAnsi="Times New Roman" w:cs="Times New Roman"/>
        </w:rPr>
        <w:t>&lt;</w:t>
      </w:r>
      <w:r w:rsidR="0021204A">
        <w:rPr>
          <w:rFonts w:ascii="Times New Roman" w:eastAsia="Calibri" w:hAnsi="Times New Roman" w:cs="Times New Roman"/>
        </w:rPr>
        <w:t> </w:t>
      </w:r>
      <w:r w:rsidRPr="00350BEB">
        <w:rPr>
          <w:rFonts w:ascii="Times New Roman" w:eastAsia="Calibri" w:hAnsi="Times New Roman" w:cs="Times New Roman"/>
        </w:rPr>
        <w:t>0,0001. A follicularis lymphoma</w:t>
      </w:r>
      <w:r w:rsidR="0021204A">
        <w:rPr>
          <w:rFonts w:ascii="Times New Roman" w:eastAsia="Calibri" w:hAnsi="Times New Roman" w:cs="Times New Roman"/>
        </w:rPr>
        <w:t>-</w:t>
      </w:r>
      <w:r w:rsidRPr="00350BEB">
        <w:rPr>
          <w:rFonts w:ascii="Times New Roman" w:eastAsia="Calibri" w:hAnsi="Times New Roman" w:cs="Times New Roman"/>
        </w:rPr>
        <w:t>populációból származó hatásossági eredményeket a 1</w:t>
      </w:r>
      <w:r w:rsidR="00D1437B">
        <w:rPr>
          <w:rFonts w:ascii="Times New Roman" w:eastAsia="Calibri" w:hAnsi="Times New Roman" w:cs="Times New Roman"/>
        </w:rPr>
        <w:t>3</w:t>
      </w:r>
      <w:r w:rsidRPr="00350BEB">
        <w:rPr>
          <w:rFonts w:ascii="Times New Roman" w:eastAsia="Calibri" w:hAnsi="Times New Roman" w:cs="Times New Roman"/>
        </w:rPr>
        <w:t>.</w:t>
      </w:r>
      <w:r w:rsidR="0021204A">
        <w:rPr>
          <w:rFonts w:ascii="Times New Roman" w:eastAsia="Calibri" w:hAnsi="Times New Roman" w:cs="Times New Roman"/>
        </w:rPr>
        <w:t> </w:t>
      </w:r>
      <w:r w:rsidRPr="00350BEB">
        <w:rPr>
          <w:rFonts w:ascii="Times New Roman" w:eastAsia="Calibri" w:hAnsi="Times New Roman" w:cs="Times New Roman"/>
        </w:rPr>
        <w:t>táblázat</w:t>
      </w:r>
      <w:r w:rsidR="0021204A">
        <w:rPr>
          <w:rFonts w:ascii="Times New Roman" w:eastAsia="Calibri" w:hAnsi="Times New Roman" w:cs="Times New Roman"/>
        </w:rPr>
        <w:t xml:space="preserve"> </w:t>
      </w:r>
      <w:r w:rsidRPr="00350BEB">
        <w:rPr>
          <w:rFonts w:ascii="Times New Roman" w:eastAsia="Calibri" w:hAnsi="Times New Roman" w:cs="Times New Roman"/>
        </w:rPr>
        <w:t>mutatja be.</w:t>
      </w:r>
    </w:p>
    <w:p w14:paraId="1191F343" w14:textId="69722129" w:rsidR="0021204A" w:rsidRDefault="0021204A" w:rsidP="00350BEB">
      <w:pPr>
        <w:spacing w:after="0" w:line="240" w:lineRule="auto"/>
        <w:rPr>
          <w:rFonts w:ascii="Times New Roman" w:eastAsia="Calibri" w:hAnsi="Times New Roman" w:cs="Times New Roman"/>
        </w:rPr>
      </w:pPr>
    </w:p>
    <w:p w14:paraId="5A6F0925" w14:textId="776835A7" w:rsidR="0021204A" w:rsidRPr="00E83289" w:rsidRDefault="0021204A" w:rsidP="007E5A32">
      <w:pPr>
        <w:keepNext/>
        <w:spacing w:after="0" w:line="240" w:lineRule="auto"/>
        <w:rPr>
          <w:rFonts w:ascii="Times New Roman" w:eastAsia="Calibri" w:hAnsi="Times New Roman" w:cs="Times New Roman"/>
          <w:b/>
          <w:bCs/>
        </w:rPr>
      </w:pPr>
      <w:r w:rsidRPr="00E83289">
        <w:rPr>
          <w:rFonts w:ascii="Times New Roman" w:eastAsia="Calibri" w:hAnsi="Times New Roman" w:cs="Times New Roman"/>
          <w:b/>
          <w:bCs/>
        </w:rPr>
        <w:t>1</w:t>
      </w:r>
      <w:r w:rsidR="00D1437B">
        <w:rPr>
          <w:rFonts w:ascii="Times New Roman" w:eastAsia="Calibri" w:hAnsi="Times New Roman" w:cs="Times New Roman"/>
          <w:b/>
          <w:bCs/>
        </w:rPr>
        <w:t>3</w:t>
      </w:r>
      <w:r w:rsidRPr="00E83289">
        <w:rPr>
          <w:rFonts w:ascii="Times New Roman" w:eastAsia="Calibri" w:hAnsi="Times New Roman" w:cs="Times New Roman"/>
          <w:b/>
          <w:bCs/>
        </w:rPr>
        <w:t>. táblázat: A follicularis lymphoma javallatban kapott hatásossági adatok összefoglalása – CC-5013</w:t>
      </w:r>
      <w:r w:rsidR="00104634">
        <w:rPr>
          <w:rFonts w:ascii="Times New Roman" w:eastAsia="Calibri" w:hAnsi="Times New Roman" w:cs="Times New Roman"/>
          <w:b/>
          <w:bCs/>
        </w:rPr>
        <w:t>-</w:t>
      </w:r>
      <w:r w:rsidRPr="00E83289">
        <w:rPr>
          <w:rFonts w:ascii="Times New Roman" w:eastAsia="Calibri" w:hAnsi="Times New Roman" w:cs="Times New Roman"/>
          <w:b/>
          <w:bCs/>
        </w:rPr>
        <w:t>NHL-007 vizsgálat</w:t>
      </w:r>
    </w:p>
    <w:tbl>
      <w:tblPr>
        <w:tblW w:w="9102" w:type="dxa"/>
        <w:tblBorders>
          <w:top w:val="outset" w:sz="6" w:space="0" w:color="7B7B7B"/>
          <w:left w:val="outset" w:sz="6" w:space="0" w:color="7B7B7B"/>
          <w:bottom w:val="outset" w:sz="6" w:space="0" w:color="7B7B7B"/>
          <w:right w:val="outset" w:sz="6" w:space="0" w:color="7B7B7B"/>
        </w:tblBorders>
        <w:tblCellMar>
          <w:top w:w="30" w:type="dxa"/>
          <w:left w:w="30" w:type="dxa"/>
          <w:bottom w:w="30" w:type="dxa"/>
          <w:right w:w="30" w:type="dxa"/>
        </w:tblCellMar>
        <w:tblLook w:val="04A0" w:firstRow="1" w:lastRow="0" w:firstColumn="1" w:lastColumn="0" w:noHBand="0" w:noVBand="1"/>
      </w:tblPr>
      <w:tblGrid>
        <w:gridCol w:w="3858"/>
        <w:gridCol w:w="2692"/>
        <w:gridCol w:w="2552"/>
      </w:tblGrid>
      <w:tr w:rsidR="0021204A" w:rsidRPr="0021204A" w14:paraId="4BBB32CF" w14:textId="77777777" w:rsidTr="00F36C14">
        <w:tc>
          <w:tcPr>
            <w:tcW w:w="2119" w:type="pct"/>
            <w:vMerge w:val="restart"/>
            <w:tcBorders>
              <w:top w:val="outset" w:sz="6" w:space="0" w:color="7B7B7B"/>
              <w:left w:val="outset" w:sz="6" w:space="0" w:color="7B7B7B"/>
              <w:bottom w:val="outset" w:sz="6" w:space="0" w:color="7B7B7B"/>
              <w:right w:val="outset" w:sz="6" w:space="0" w:color="7B7B7B"/>
            </w:tcBorders>
            <w:hideMark/>
          </w:tcPr>
          <w:p w14:paraId="5B4EF60E" w14:textId="77777777" w:rsidR="0021204A" w:rsidRPr="007E5A32" w:rsidRDefault="0021204A" w:rsidP="007E5A32">
            <w:pPr>
              <w:keepNext/>
              <w:tabs>
                <w:tab w:val="left" w:pos="567"/>
              </w:tabs>
              <w:spacing w:after="0" w:line="260" w:lineRule="exact"/>
              <w:jc w:val="both"/>
              <w:rPr>
                <w:rFonts w:ascii="Times New Roman" w:hAnsi="Times New Roman"/>
                <w:sz w:val="20"/>
              </w:rPr>
            </w:pPr>
          </w:p>
        </w:tc>
        <w:tc>
          <w:tcPr>
            <w:tcW w:w="2881" w:type="pct"/>
            <w:gridSpan w:val="2"/>
            <w:tcBorders>
              <w:top w:val="outset" w:sz="6" w:space="0" w:color="7B7B7B"/>
              <w:left w:val="outset" w:sz="6" w:space="0" w:color="7B7B7B"/>
              <w:bottom w:val="outset" w:sz="6" w:space="0" w:color="7B7B7B"/>
              <w:right w:val="outset" w:sz="6" w:space="0" w:color="7B7B7B"/>
            </w:tcBorders>
            <w:vAlign w:val="bottom"/>
            <w:hideMark/>
          </w:tcPr>
          <w:p w14:paraId="7F426228" w14:textId="77777777" w:rsidR="0021204A" w:rsidRPr="0021204A" w:rsidRDefault="0021204A" w:rsidP="007E5A32">
            <w:pPr>
              <w:keepNext/>
              <w:autoSpaceDE w:val="0"/>
              <w:autoSpaceDN w:val="0"/>
              <w:adjustRightInd w:val="0"/>
              <w:spacing w:after="0" w:line="240" w:lineRule="auto"/>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FL</w:t>
            </w:r>
          </w:p>
          <w:p w14:paraId="30BC8807" w14:textId="2E538395" w:rsidR="0021204A" w:rsidRPr="0021204A" w:rsidRDefault="0021204A" w:rsidP="007E5A32">
            <w:pPr>
              <w:keepNext/>
              <w:tabs>
                <w:tab w:val="left" w:pos="567"/>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w:t>
            </w:r>
            <w:r w:rsidR="001D4862">
              <w:rPr>
                <w:rFonts w:ascii="Times New Roman" w:eastAsia="Times New Roman" w:hAnsi="Times New Roman" w:cs="Times New Roman"/>
                <w:lang w:val="en-GB" w:eastAsia="de-DE"/>
              </w:rPr>
              <w:t>n</w:t>
            </w:r>
            <w:r w:rsidRPr="0021204A">
              <w:rPr>
                <w:rFonts w:ascii="Times New Roman" w:eastAsia="Times New Roman" w:hAnsi="Times New Roman" w:cs="Times New Roman"/>
                <w:lang w:val="en-GB" w:eastAsia="de-DE"/>
              </w:rPr>
              <w:t xml:space="preserve"> = 295)</w:t>
            </w:r>
          </w:p>
        </w:tc>
      </w:tr>
      <w:tr w:rsidR="0021204A" w:rsidRPr="0021204A" w14:paraId="23E31721" w14:textId="77777777" w:rsidTr="00F36C14">
        <w:trPr>
          <w:trHeight w:val="694"/>
        </w:trPr>
        <w:tc>
          <w:tcPr>
            <w:tcW w:w="2119" w:type="pct"/>
            <w:vMerge/>
            <w:tcBorders>
              <w:top w:val="outset" w:sz="6" w:space="0" w:color="7B7B7B"/>
              <w:left w:val="outset" w:sz="6" w:space="0" w:color="7B7B7B"/>
              <w:bottom w:val="outset" w:sz="6" w:space="0" w:color="7B7B7B"/>
              <w:right w:val="outset" w:sz="6" w:space="0" w:color="7B7B7B"/>
            </w:tcBorders>
            <w:vAlign w:val="center"/>
            <w:hideMark/>
          </w:tcPr>
          <w:p w14:paraId="679906DD" w14:textId="77777777" w:rsidR="0021204A" w:rsidRPr="0021204A" w:rsidRDefault="0021204A" w:rsidP="007E5A32">
            <w:pPr>
              <w:keepLines/>
              <w:tabs>
                <w:tab w:val="left" w:pos="567"/>
              </w:tabs>
              <w:spacing w:after="0" w:line="260" w:lineRule="exact"/>
              <w:jc w:val="both"/>
              <w:rPr>
                <w:rFonts w:ascii="Times New Roman" w:eastAsia="Times New Roman" w:hAnsi="Times New Roman" w:cs="Times New Roman"/>
                <w:sz w:val="20"/>
                <w:szCs w:val="20"/>
                <w:lang w:val="en-GB" w:eastAsia="ru-RU"/>
              </w:rPr>
            </w:pPr>
          </w:p>
        </w:tc>
        <w:tc>
          <w:tcPr>
            <w:tcW w:w="1479" w:type="pct"/>
            <w:tcBorders>
              <w:top w:val="outset" w:sz="6" w:space="0" w:color="7B7B7B"/>
              <w:left w:val="outset" w:sz="6" w:space="0" w:color="7B7B7B"/>
              <w:bottom w:val="outset" w:sz="6" w:space="0" w:color="7B7B7B"/>
              <w:right w:val="outset" w:sz="6" w:space="0" w:color="7B7B7B"/>
            </w:tcBorders>
            <w:hideMark/>
          </w:tcPr>
          <w:p w14:paraId="74A93A0D" w14:textId="7A578C72"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de-DE"/>
              </w:rPr>
            </w:pPr>
            <w:r>
              <w:rPr>
                <w:rFonts w:ascii="Times New Roman" w:eastAsia="Times New Roman" w:hAnsi="Times New Roman" w:cs="Times New Roman"/>
                <w:lang w:val="en-GB" w:eastAsia="de-DE"/>
              </w:rPr>
              <w:t>l</w:t>
            </w:r>
            <w:r w:rsidRPr="0021204A">
              <w:rPr>
                <w:rFonts w:ascii="Times New Roman" w:eastAsia="Times New Roman" w:hAnsi="Times New Roman" w:cs="Times New Roman"/>
                <w:lang w:val="en-GB" w:eastAsia="de-DE"/>
              </w:rPr>
              <w:t xml:space="preserve">enalidomid </w:t>
            </w:r>
            <w:r>
              <w:rPr>
                <w:rFonts w:ascii="Times New Roman" w:eastAsia="Times New Roman" w:hAnsi="Times New Roman" w:cs="Times New Roman"/>
                <w:lang w:val="en-GB" w:eastAsia="de-DE"/>
              </w:rPr>
              <w:t>és</w:t>
            </w:r>
            <w:r w:rsidRPr="0021204A">
              <w:rPr>
                <w:rFonts w:ascii="Times New Roman" w:eastAsia="Times New Roman" w:hAnsi="Times New Roman" w:cs="Times New Roman"/>
                <w:lang w:val="en-GB" w:eastAsia="de-DE"/>
              </w:rPr>
              <w:t xml:space="preserve"> </w:t>
            </w:r>
            <w:r>
              <w:rPr>
                <w:rFonts w:ascii="Times New Roman" w:eastAsia="Times New Roman" w:hAnsi="Times New Roman" w:cs="Times New Roman"/>
                <w:lang w:val="en-GB" w:eastAsia="de-DE"/>
              </w:rPr>
              <w:t>r</w:t>
            </w:r>
            <w:r w:rsidRPr="0021204A">
              <w:rPr>
                <w:rFonts w:ascii="Times New Roman" w:eastAsia="Times New Roman" w:hAnsi="Times New Roman" w:cs="Times New Roman"/>
                <w:lang w:val="en-GB" w:eastAsia="de-DE"/>
              </w:rPr>
              <w:t>ituximab</w:t>
            </w:r>
          </w:p>
          <w:p w14:paraId="1B2508E6" w14:textId="54EBB921" w:rsidR="0021204A" w:rsidRPr="0021204A" w:rsidRDefault="0021204A" w:rsidP="007E5A32">
            <w:pPr>
              <w:keepLines/>
              <w:tabs>
                <w:tab w:val="left" w:pos="567"/>
              </w:tabs>
              <w:spacing w:after="0" w:line="260" w:lineRule="exact"/>
              <w:jc w:val="center"/>
              <w:rPr>
                <w:rFonts w:ascii="Times New Roman" w:eastAsia="Times New Roman" w:hAnsi="Times New Roman" w:cs="Times New Roman"/>
                <w:sz w:val="20"/>
                <w:szCs w:val="20"/>
                <w:lang w:val="en-GB" w:eastAsia="ru-RU"/>
              </w:rPr>
            </w:pPr>
            <w:r w:rsidRPr="0021204A">
              <w:rPr>
                <w:rFonts w:ascii="Times New Roman" w:eastAsia="Times New Roman" w:hAnsi="Times New Roman" w:cs="Times New Roman"/>
                <w:lang w:val="en-GB" w:eastAsia="de-DE"/>
              </w:rPr>
              <w:t>(</w:t>
            </w:r>
            <w:r w:rsidR="001D4862">
              <w:rPr>
                <w:rFonts w:ascii="Times New Roman" w:eastAsia="Times New Roman" w:hAnsi="Times New Roman" w:cs="Times New Roman"/>
                <w:lang w:val="en-GB" w:eastAsia="de-DE"/>
              </w:rPr>
              <w:t>n</w:t>
            </w:r>
            <w:r w:rsidRPr="0021204A">
              <w:rPr>
                <w:rFonts w:ascii="Times New Roman" w:eastAsia="Times New Roman" w:hAnsi="Times New Roman" w:cs="Times New Roman"/>
                <w:lang w:val="en-GB" w:eastAsia="de-DE"/>
              </w:rPr>
              <w:t xml:space="preserve"> = 147)</w:t>
            </w:r>
          </w:p>
        </w:tc>
        <w:tc>
          <w:tcPr>
            <w:tcW w:w="1402" w:type="pct"/>
            <w:tcBorders>
              <w:top w:val="outset" w:sz="6" w:space="0" w:color="7B7B7B"/>
              <w:left w:val="outset" w:sz="6" w:space="0" w:color="7B7B7B"/>
              <w:bottom w:val="outset" w:sz="6" w:space="0" w:color="7B7B7B"/>
              <w:right w:val="outset" w:sz="6" w:space="0" w:color="7B7B7B"/>
            </w:tcBorders>
            <w:hideMark/>
          </w:tcPr>
          <w:p w14:paraId="76D322EA" w14:textId="71D46457"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de-DE"/>
              </w:rPr>
            </w:pPr>
            <w:r>
              <w:rPr>
                <w:rFonts w:ascii="Times New Roman" w:eastAsia="Times New Roman" w:hAnsi="Times New Roman" w:cs="Times New Roman"/>
                <w:lang w:val="en-GB" w:eastAsia="de-DE"/>
              </w:rPr>
              <w:t>p</w:t>
            </w:r>
            <w:r w:rsidRPr="0021204A">
              <w:rPr>
                <w:rFonts w:ascii="Times New Roman" w:eastAsia="Times New Roman" w:hAnsi="Times New Roman" w:cs="Times New Roman"/>
                <w:lang w:val="en-GB" w:eastAsia="de-DE"/>
              </w:rPr>
              <w:t xml:space="preserve">lacebo </w:t>
            </w:r>
            <w:r>
              <w:rPr>
                <w:rFonts w:ascii="Times New Roman" w:eastAsia="Times New Roman" w:hAnsi="Times New Roman" w:cs="Times New Roman"/>
                <w:lang w:val="en-GB" w:eastAsia="de-DE"/>
              </w:rPr>
              <w:t>és</w:t>
            </w:r>
            <w:r w:rsidRPr="0021204A">
              <w:rPr>
                <w:rFonts w:ascii="Times New Roman" w:eastAsia="Times New Roman" w:hAnsi="Times New Roman" w:cs="Times New Roman"/>
                <w:lang w:val="en-GB" w:eastAsia="de-DE"/>
              </w:rPr>
              <w:t xml:space="preserve"> </w:t>
            </w:r>
            <w:r>
              <w:rPr>
                <w:rFonts w:ascii="Times New Roman" w:eastAsia="Times New Roman" w:hAnsi="Times New Roman" w:cs="Times New Roman"/>
                <w:lang w:val="en-GB" w:eastAsia="de-DE"/>
              </w:rPr>
              <w:t>r</w:t>
            </w:r>
            <w:r w:rsidRPr="0021204A">
              <w:rPr>
                <w:rFonts w:ascii="Times New Roman" w:eastAsia="Times New Roman" w:hAnsi="Times New Roman" w:cs="Times New Roman"/>
                <w:lang w:val="en-GB" w:eastAsia="de-DE"/>
              </w:rPr>
              <w:t xml:space="preserve">ituximab </w:t>
            </w:r>
          </w:p>
          <w:p w14:paraId="1CEF502A" w14:textId="722A1B33"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w:t>
            </w:r>
            <w:r w:rsidR="001D4862">
              <w:rPr>
                <w:rFonts w:ascii="Times New Roman" w:eastAsia="Times New Roman" w:hAnsi="Times New Roman" w:cs="Times New Roman"/>
                <w:lang w:val="en-GB" w:eastAsia="de-DE"/>
              </w:rPr>
              <w:t>n</w:t>
            </w:r>
            <w:r w:rsidRPr="0021204A">
              <w:rPr>
                <w:rFonts w:ascii="Times New Roman" w:eastAsia="Times New Roman" w:hAnsi="Times New Roman" w:cs="Times New Roman"/>
                <w:lang w:val="en-GB" w:eastAsia="de-DE"/>
              </w:rPr>
              <w:t xml:space="preserve"> = 148)</w:t>
            </w:r>
          </w:p>
        </w:tc>
      </w:tr>
      <w:tr w:rsidR="0021204A" w:rsidRPr="0021204A" w14:paraId="0E0E3E3E" w14:textId="77777777" w:rsidTr="00F36C14">
        <w:tc>
          <w:tcPr>
            <w:tcW w:w="5000" w:type="pct"/>
            <w:gridSpan w:val="3"/>
            <w:tcBorders>
              <w:top w:val="outset" w:sz="6" w:space="0" w:color="7B7B7B"/>
              <w:left w:val="outset" w:sz="6" w:space="0" w:color="7B7B7B"/>
              <w:bottom w:val="outset" w:sz="6" w:space="0" w:color="7B7B7B"/>
              <w:right w:val="outset" w:sz="6" w:space="0" w:color="7B7B7B"/>
            </w:tcBorders>
            <w:hideMark/>
          </w:tcPr>
          <w:p w14:paraId="59FB057C" w14:textId="30177074" w:rsidR="0021204A" w:rsidRPr="007E5A32" w:rsidRDefault="0021204A" w:rsidP="007E5A32">
            <w:pPr>
              <w:keepLines/>
              <w:autoSpaceDE w:val="0"/>
              <w:autoSpaceDN w:val="0"/>
              <w:adjustRightInd w:val="0"/>
              <w:spacing w:after="0" w:line="240" w:lineRule="auto"/>
              <w:rPr>
                <w:rFonts w:ascii="Times New Roman" w:hAnsi="Times New Roman"/>
              </w:rPr>
            </w:pPr>
            <w:r w:rsidRPr="007E5A32">
              <w:rPr>
                <w:rFonts w:ascii="Times New Roman" w:hAnsi="Times New Roman"/>
                <w:b/>
              </w:rPr>
              <w:t>Progressziómentes túlélés (PFS) (EMA adatkizárási szabályok)</w:t>
            </w:r>
          </w:p>
        </w:tc>
      </w:tr>
      <w:tr w:rsidR="0021204A" w:rsidRPr="0021204A" w14:paraId="20463205" w14:textId="77777777" w:rsidTr="00F36C14">
        <w:tc>
          <w:tcPr>
            <w:tcW w:w="2119" w:type="pct"/>
            <w:tcBorders>
              <w:top w:val="outset" w:sz="6" w:space="0" w:color="7B7B7B"/>
              <w:left w:val="outset" w:sz="6" w:space="0" w:color="7B7B7B"/>
              <w:bottom w:val="outset" w:sz="6" w:space="0" w:color="7B7B7B"/>
              <w:right w:val="outset" w:sz="6" w:space="0" w:color="7B7B7B"/>
            </w:tcBorders>
            <w:hideMark/>
          </w:tcPr>
          <w:p w14:paraId="53767BFB" w14:textId="50545FE9" w:rsidR="0021204A" w:rsidRPr="007E5A32" w:rsidRDefault="0021204A" w:rsidP="007E5A32">
            <w:pPr>
              <w:keepLines/>
              <w:tabs>
                <w:tab w:val="left" w:pos="567"/>
              </w:tabs>
              <w:spacing w:after="0" w:line="260" w:lineRule="exact"/>
              <w:ind w:left="244"/>
              <w:jc w:val="both"/>
              <w:rPr>
                <w:rFonts w:ascii="Times New Roman" w:hAnsi="Times New Roman"/>
                <w:lang w:val="pt-PT"/>
              </w:rPr>
            </w:pPr>
            <w:r w:rsidRPr="007E5A32">
              <w:rPr>
                <w:rFonts w:ascii="Times New Roman" w:hAnsi="Times New Roman"/>
                <w:lang w:val="pt-PT"/>
              </w:rPr>
              <w:t>Medián PFS</w:t>
            </w:r>
            <w:r w:rsidRPr="007E5A32">
              <w:rPr>
                <w:rFonts w:ascii="Times New Roman" w:hAnsi="Times New Roman"/>
                <w:vertAlign w:val="superscript"/>
                <w:lang w:val="pt-PT"/>
              </w:rPr>
              <w:t>a</w:t>
            </w:r>
            <w:r w:rsidRPr="007E5A32">
              <w:rPr>
                <w:rFonts w:ascii="Times New Roman" w:hAnsi="Times New Roman"/>
                <w:lang w:val="pt-PT"/>
              </w:rPr>
              <w:t xml:space="preserve"> (95%-os CI) (hónap)</w:t>
            </w:r>
          </w:p>
        </w:tc>
        <w:tc>
          <w:tcPr>
            <w:tcW w:w="1479" w:type="pct"/>
            <w:tcBorders>
              <w:top w:val="outset" w:sz="6" w:space="0" w:color="7B7B7B"/>
              <w:left w:val="outset" w:sz="6" w:space="0" w:color="7B7B7B"/>
              <w:bottom w:val="outset" w:sz="6" w:space="0" w:color="7B7B7B"/>
              <w:right w:val="outset" w:sz="6" w:space="0" w:color="7B7B7B"/>
            </w:tcBorders>
            <w:hideMark/>
          </w:tcPr>
          <w:p w14:paraId="037F3384" w14:textId="53C485BF" w:rsidR="0021204A" w:rsidRPr="0021204A" w:rsidRDefault="0021204A" w:rsidP="007E5A32">
            <w:pPr>
              <w:keepLines/>
              <w:autoSpaceDE w:val="0"/>
              <w:autoSpaceDN w:val="0"/>
              <w:adjustRightInd w:val="0"/>
              <w:spacing w:after="0" w:line="240" w:lineRule="auto"/>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39</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4</w:t>
            </w:r>
          </w:p>
          <w:p w14:paraId="41E7EE93" w14:textId="0D660EFF"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(25</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1</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NE)</w:t>
            </w:r>
          </w:p>
        </w:tc>
        <w:tc>
          <w:tcPr>
            <w:tcW w:w="1402" w:type="pct"/>
            <w:tcBorders>
              <w:top w:val="outset" w:sz="6" w:space="0" w:color="7B7B7B"/>
              <w:left w:val="outset" w:sz="6" w:space="0" w:color="7B7B7B"/>
              <w:bottom w:val="outset" w:sz="6" w:space="0" w:color="7B7B7B"/>
              <w:right w:val="outset" w:sz="6" w:space="0" w:color="7B7B7B"/>
            </w:tcBorders>
            <w:hideMark/>
          </w:tcPr>
          <w:p w14:paraId="79B849E7" w14:textId="5986F86E" w:rsidR="0021204A" w:rsidRPr="0021204A" w:rsidRDefault="0021204A" w:rsidP="007E5A32">
            <w:pPr>
              <w:keepLines/>
              <w:autoSpaceDE w:val="0"/>
              <w:autoSpaceDN w:val="0"/>
              <w:adjustRightInd w:val="0"/>
              <w:spacing w:after="0" w:line="240" w:lineRule="auto"/>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13</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8</w:t>
            </w:r>
          </w:p>
          <w:p w14:paraId="2DF80E37" w14:textId="251ED53F"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(11</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2</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16</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0)</w:t>
            </w:r>
          </w:p>
        </w:tc>
      </w:tr>
      <w:tr w:rsidR="0021204A" w:rsidRPr="0021204A" w14:paraId="201FBC0F" w14:textId="77777777" w:rsidTr="00F36C14">
        <w:tc>
          <w:tcPr>
            <w:tcW w:w="2119" w:type="pct"/>
            <w:tcBorders>
              <w:top w:val="outset" w:sz="6" w:space="0" w:color="7B7B7B"/>
              <w:left w:val="outset" w:sz="6" w:space="0" w:color="7B7B7B"/>
              <w:bottom w:val="outset" w:sz="6" w:space="0" w:color="7B7B7B"/>
              <w:right w:val="outset" w:sz="6" w:space="0" w:color="7B7B7B"/>
            </w:tcBorders>
            <w:hideMark/>
          </w:tcPr>
          <w:p w14:paraId="3FF99BB8" w14:textId="1AD09F0F" w:rsidR="0021204A" w:rsidRPr="0021204A" w:rsidRDefault="0021204A" w:rsidP="007E5A32">
            <w:pPr>
              <w:keepLines/>
              <w:tabs>
                <w:tab w:val="left" w:pos="567"/>
              </w:tabs>
              <w:spacing w:after="0" w:line="260" w:lineRule="exact"/>
              <w:ind w:left="244"/>
              <w:jc w:val="both"/>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ru-RU"/>
              </w:rPr>
              <w:t>HR [95%</w:t>
            </w:r>
            <w:r>
              <w:rPr>
                <w:rFonts w:ascii="Times New Roman" w:eastAsia="Times New Roman" w:hAnsi="Times New Roman" w:cs="Times New Roman"/>
                <w:lang w:val="en-GB" w:eastAsia="ru-RU"/>
              </w:rPr>
              <w:t>-os</w:t>
            </w:r>
            <w:r w:rsidRPr="0021204A">
              <w:rPr>
                <w:rFonts w:ascii="Times New Roman" w:eastAsia="Times New Roman" w:hAnsi="Times New Roman" w:cs="Times New Roman"/>
                <w:lang w:val="en-GB" w:eastAsia="ru-RU"/>
              </w:rPr>
              <w:t xml:space="preserve"> CI]</w:t>
            </w:r>
          </w:p>
        </w:tc>
        <w:tc>
          <w:tcPr>
            <w:tcW w:w="2881" w:type="pct"/>
            <w:gridSpan w:val="2"/>
            <w:tcBorders>
              <w:top w:val="outset" w:sz="6" w:space="0" w:color="7B7B7B"/>
              <w:left w:val="outset" w:sz="6" w:space="0" w:color="7B7B7B"/>
              <w:bottom w:val="outset" w:sz="6" w:space="0" w:color="7B7B7B"/>
              <w:right w:val="outset" w:sz="6" w:space="0" w:color="7B7B7B"/>
            </w:tcBorders>
            <w:hideMark/>
          </w:tcPr>
          <w:p w14:paraId="65D7BAA2" w14:textId="7B982020"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0</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40 (0</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29</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0</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55)</w:t>
            </w:r>
            <w:r w:rsidRPr="0021204A">
              <w:rPr>
                <w:rFonts w:ascii="Times New Roman" w:eastAsia="Times New Roman" w:hAnsi="Times New Roman" w:cs="Times New Roman"/>
                <w:vertAlign w:val="superscript"/>
                <w:lang w:val="en-GB" w:eastAsia="de-DE"/>
              </w:rPr>
              <w:t>b</w:t>
            </w:r>
          </w:p>
        </w:tc>
      </w:tr>
      <w:tr w:rsidR="0021204A" w:rsidRPr="0021204A" w14:paraId="6A8C2A8D" w14:textId="77777777" w:rsidTr="00F36C14">
        <w:tc>
          <w:tcPr>
            <w:tcW w:w="2119" w:type="pct"/>
            <w:tcBorders>
              <w:top w:val="outset" w:sz="6" w:space="0" w:color="7B7B7B"/>
              <w:left w:val="outset" w:sz="6" w:space="0" w:color="7B7B7B"/>
              <w:bottom w:val="outset" w:sz="6" w:space="0" w:color="7B7B7B"/>
              <w:right w:val="outset" w:sz="6" w:space="0" w:color="7B7B7B"/>
            </w:tcBorders>
          </w:tcPr>
          <w:p w14:paraId="7C7E51CE" w14:textId="0F63C8B2" w:rsidR="0021204A" w:rsidRPr="0021204A" w:rsidRDefault="0021204A" w:rsidP="007E5A32">
            <w:pPr>
              <w:keepLines/>
              <w:tabs>
                <w:tab w:val="left" w:pos="567"/>
              </w:tabs>
              <w:spacing w:after="0" w:line="260" w:lineRule="exact"/>
              <w:ind w:left="244"/>
              <w:jc w:val="both"/>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ru-RU"/>
              </w:rPr>
              <w:t>p-</w:t>
            </w:r>
            <w:r>
              <w:rPr>
                <w:rFonts w:ascii="Times New Roman" w:eastAsia="Times New Roman" w:hAnsi="Times New Roman" w:cs="Times New Roman"/>
                <w:lang w:val="en-GB" w:eastAsia="ru-RU"/>
              </w:rPr>
              <w:t>érték</w:t>
            </w:r>
          </w:p>
        </w:tc>
        <w:tc>
          <w:tcPr>
            <w:tcW w:w="2881" w:type="pct"/>
            <w:gridSpan w:val="2"/>
            <w:tcBorders>
              <w:top w:val="outset" w:sz="6" w:space="0" w:color="7B7B7B"/>
              <w:left w:val="outset" w:sz="6" w:space="0" w:color="7B7B7B"/>
              <w:bottom w:val="outset" w:sz="6" w:space="0" w:color="7B7B7B"/>
              <w:right w:val="outset" w:sz="6" w:space="0" w:color="7B7B7B"/>
            </w:tcBorders>
          </w:tcPr>
          <w:p w14:paraId="15153B2F" w14:textId="7B767418" w:rsidR="0021204A" w:rsidRPr="0021204A" w:rsidRDefault="0021204A" w:rsidP="007E5A32">
            <w:pPr>
              <w:keepLines/>
              <w:tabs>
                <w:tab w:val="left" w:pos="567"/>
              </w:tabs>
              <w:spacing w:after="0" w:line="260" w:lineRule="exact"/>
              <w:jc w:val="center"/>
              <w:rPr>
                <w:rFonts w:ascii="Times New Roman" w:eastAsia="Times New Roman" w:hAnsi="Times New Roman" w:cs="Times New Roman"/>
                <w:b/>
                <w:bCs/>
                <w:lang w:val="en-GB" w:eastAsia="ru-RU"/>
              </w:rPr>
            </w:pPr>
            <w:r w:rsidRPr="0021204A">
              <w:rPr>
                <w:rFonts w:ascii="Times New Roman" w:eastAsia="Times New Roman" w:hAnsi="Times New Roman" w:cs="Times New Roman"/>
                <w:lang w:val="en-GB" w:eastAsia="de-DE"/>
              </w:rPr>
              <w:t>&lt;</w:t>
            </w:r>
            <w:r>
              <w:rPr>
                <w:rFonts w:ascii="Times New Roman" w:eastAsia="Times New Roman" w:hAnsi="Times New Roman" w:cs="Times New Roman"/>
                <w:lang w:val="en-GB" w:eastAsia="de-DE"/>
              </w:rPr>
              <w:t> </w:t>
            </w:r>
            <w:r w:rsidRPr="0021204A">
              <w:rPr>
                <w:rFonts w:ascii="Times New Roman" w:eastAsia="Times New Roman" w:hAnsi="Times New Roman" w:cs="Times New Roman"/>
                <w:lang w:val="en-GB" w:eastAsia="de-DE"/>
              </w:rPr>
              <w:t>0</w:t>
            </w:r>
            <w:r>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0001</w:t>
            </w:r>
            <w:r w:rsidRPr="0021204A">
              <w:rPr>
                <w:rFonts w:ascii="Times New Roman" w:eastAsia="Times New Roman" w:hAnsi="Times New Roman" w:cs="Times New Roman"/>
                <w:vertAlign w:val="superscript"/>
                <w:lang w:val="en-GB" w:eastAsia="de-DE"/>
              </w:rPr>
              <w:t>c</w:t>
            </w:r>
          </w:p>
        </w:tc>
      </w:tr>
      <w:tr w:rsidR="0021204A" w:rsidRPr="0021204A" w14:paraId="5613C84B" w14:textId="77777777" w:rsidTr="00F36C14">
        <w:tc>
          <w:tcPr>
            <w:tcW w:w="2119" w:type="pct"/>
            <w:tcBorders>
              <w:top w:val="outset" w:sz="6" w:space="0" w:color="7B7B7B"/>
              <w:left w:val="outset" w:sz="6" w:space="0" w:color="7B7B7B"/>
              <w:bottom w:val="outset" w:sz="6" w:space="0" w:color="7B7B7B"/>
              <w:right w:val="outset" w:sz="6" w:space="0" w:color="7B7B7B"/>
            </w:tcBorders>
          </w:tcPr>
          <w:p w14:paraId="1E495112" w14:textId="2DD11CC6" w:rsidR="0021204A" w:rsidRPr="007E5A32" w:rsidRDefault="0021204A" w:rsidP="007E5A32">
            <w:pPr>
              <w:keepLines/>
              <w:tabs>
                <w:tab w:val="left" w:pos="567"/>
              </w:tabs>
              <w:spacing w:after="0" w:line="260" w:lineRule="exact"/>
              <w:jc w:val="both"/>
              <w:rPr>
                <w:rFonts w:ascii="Times New Roman" w:hAnsi="Times New Roman"/>
                <w:b/>
                <w:lang w:val="pt-PT"/>
              </w:rPr>
            </w:pPr>
            <w:r w:rsidRPr="007E5A32">
              <w:rPr>
                <w:rFonts w:ascii="Times New Roman" w:hAnsi="Times New Roman"/>
                <w:b/>
                <w:lang w:val="pt-PT"/>
              </w:rPr>
              <w:t>Obje</w:t>
            </w:r>
            <w:r w:rsidR="007318A1" w:rsidRPr="007E5A32">
              <w:rPr>
                <w:rFonts w:ascii="Times New Roman" w:hAnsi="Times New Roman"/>
                <w:b/>
                <w:lang w:val="pt-PT"/>
              </w:rPr>
              <w:t>ktív válasz</w:t>
            </w:r>
            <w:r w:rsidRPr="007E5A32">
              <w:rPr>
                <w:rFonts w:ascii="Times New Roman" w:hAnsi="Times New Roman"/>
                <w:b/>
                <w:vertAlign w:val="superscript"/>
                <w:lang w:val="pt-PT"/>
              </w:rPr>
              <w:t>d</w:t>
            </w:r>
            <w:r w:rsidRPr="007E5A32">
              <w:rPr>
                <w:rFonts w:ascii="Times New Roman" w:hAnsi="Times New Roman"/>
                <w:b/>
                <w:lang w:val="pt-PT"/>
              </w:rPr>
              <w:t xml:space="preserve"> (CR +PR), n (%)</w:t>
            </w:r>
          </w:p>
          <w:p w14:paraId="7DB7DDF3" w14:textId="4A49AB2D" w:rsidR="0021204A" w:rsidRPr="0021204A" w:rsidRDefault="0021204A" w:rsidP="007E5A32">
            <w:pPr>
              <w:keepLines/>
              <w:tabs>
                <w:tab w:val="left" w:pos="567"/>
              </w:tabs>
              <w:spacing w:after="0" w:line="260" w:lineRule="exact"/>
              <w:ind w:left="244"/>
              <w:jc w:val="both"/>
              <w:rPr>
                <w:rFonts w:ascii="Times New Roman" w:eastAsia="Times New Roman" w:hAnsi="Times New Roman" w:cs="Times New Roman"/>
                <w:lang w:val="en-GB" w:eastAsia="ru-RU"/>
              </w:rPr>
            </w:pPr>
            <w:r w:rsidRPr="0021204A">
              <w:rPr>
                <w:rFonts w:ascii="Times New Roman" w:eastAsia="Times New Roman" w:hAnsi="Times New Roman" w:cs="Times New Roman"/>
                <w:u w:val="single"/>
                <w:lang w:val="en-GB" w:eastAsia="ru-RU"/>
              </w:rPr>
              <w:t>(IRC, 2007</w:t>
            </w:r>
            <w:r w:rsidRPr="0021204A">
              <w:rPr>
                <w:rFonts w:ascii="Times New Roman" w:eastAsia="Times New Roman" w:hAnsi="Times New Roman" w:cs="Times New Roman"/>
                <w:lang w:val="en-GB" w:eastAsia="ru-RU"/>
              </w:rPr>
              <w:t xml:space="preserve"> </w:t>
            </w:r>
            <w:r w:rsidRPr="0021204A">
              <w:rPr>
                <w:rFonts w:ascii="Times New Roman" w:eastAsia="Times New Roman" w:hAnsi="Times New Roman" w:cs="Times New Roman"/>
                <w:u w:val="single"/>
                <w:lang w:val="en-GB" w:eastAsia="ru-RU"/>
              </w:rPr>
              <w:t>IWGRC)</w:t>
            </w:r>
          </w:p>
          <w:p w14:paraId="11CABF3F" w14:textId="38DAAB0F" w:rsidR="0021204A" w:rsidRPr="0021204A" w:rsidRDefault="0021204A" w:rsidP="007E5A32">
            <w:pPr>
              <w:keepLines/>
              <w:tabs>
                <w:tab w:val="left" w:pos="567"/>
              </w:tabs>
              <w:spacing w:after="0" w:line="260" w:lineRule="exact"/>
              <w:ind w:left="244"/>
              <w:jc w:val="both"/>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ru-RU"/>
              </w:rPr>
              <w:t>95%</w:t>
            </w:r>
            <w:r w:rsidR="007318A1">
              <w:rPr>
                <w:rFonts w:ascii="Times New Roman" w:eastAsia="Times New Roman" w:hAnsi="Times New Roman" w:cs="Times New Roman"/>
                <w:lang w:val="en-GB" w:eastAsia="ru-RU"/>
              </w:rPr>
              <w:t>-os</w:t>
            </w:r>
            <w:r w:rsidRPr="0021204A">
              <w:rPr>
                <w:rFonts w:ascii="Times New Roman" w:eastAsia="Times New Roman" w:hAnsi="Times New Roman" w:cs="Times New Roman"/>
                <w:lang w:val="en-GB" w:eastAsia="ru-RU"/>
              </w:rPr>
              <w:t xml:space="preserve"> CI</w:t>
            </w:r>
            <w:r w:rsidRPr="0021204A">
              <w:rPr>
                <w:rFonts w:ascii="Times New Roman" w:eastAsia="Times New Roman" w:hAnsi="Times New Roman" w:cs="Times New Roman"/>
                <w:vertAlign w:val="superscript"/>
                <w:lang w:val="en-GB" w:eastAsia="ru-RU"/>
              </w:rPr>
              <w:t>f</w:t>
            </w:r>
          </w:p>
        </w:tc>
        <w:tc>
          <w:tcPr>
            <w:tcW w:w="1479" w:type="pct"/>
            <w:tcBorders>
              <w:top w:val="outset" w:sz="6" w:space="0" w:color="7B7B7B"/>
              <w:left w:val="outset" w:sz="6" w:space="0" w:color="7B7B7B"/>
              <w:bottom w:val="outset" w:sz="6" w:space="0" w:color="7B7B7B"/>
              <w:right w:val="outset" w:sz="6" w:space="0" w:color="7B7B7B"/>
            </w:tcBorders>
          </w:tcPr>
          <w:p w14:paraId="2A17930E" w14:textId="77777777" w:rsidR="0021204A" w:rsidRPr="0021204A" w:rsidRDefault="0021204A" w:rsidP="007E5A32">
            <w:pPr>
              <w:keepLines/>
              <w:autoSpaceDE w:val="0"/>
              <w:autoSpaceDN w:val="0"/>
              <w:adjustRightInd w:val="0"/>
              <w:spacing w:after="0" w:line="240" w:lineRule="auto"/>
              <w:jc w:val="center"/>
              <w:rPr>
                <w:rFonts w:ascii="Times New Roman" w:eastAsia="Times New Roman" w:hAnsi="Times New Roman" w:cs="Times New Roman"/>
                <w:lang w:val="en-GB" w:eastAsia="de-DE"/>
              </w:rPr>
            </w:pPr>
          </w:p>
          <w:p w14:paraId="65713848" w14:textId="55AF46C3" w:rsidR="0021204A" w:rsidRPr="0021204A" w:rsidRDefault="0021204A" w:rsidP="007E5A32">
            <w:pPr>
              <w:keepLines/>
              <w:autoSpaceDE w:val="0"/>
              <w:autoSpaceDN w:val="0"/>
              <w:adjustRightInd w:val="0"/>
              <w:spacing w:after="0" w:line="240" w:lineRule="auto"/>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118 (80</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3)</w:t>
            </w:r>
          </w:p>
          <w:p w14:paraId="438904D6" w14:textId="5BD8353E" w:rsidR="0021204A" w:rsidRPr="0021204A" w:rsidRDefault="0021204A" w:rsidP="007E5A32">
            <w:pPr>
              <w:keepLines/>
              <w:tabs>
                <w:tab w:val="left" w:pos="567"/>
              </w:tabs>
              <w:spacing w:after="0" w:line="260" w:lineRule="exact"/>
              <w:jc w:val="center"/>
              <w:rPr>
                <w:rFonts w:ascii="Times New Roman" w:eastAsia="Times New Roman" w:hAnsi="Times New Roman" w:cs="Times New Roman"/>
                <w:b/>
                <w:bCs/>
                <w:lang w:val="en-GB" w:eastAsia="ru-RU"/>
              </w:rPr>
            </w:pPr>
            <w:r w:rsidRPr="0021204A">
              <w:rPr>
                <w:rFonts w:ascii="Times New Roman" w:eastAsia="Times New Roman" w:hAnsi="Times New Roman" w:cs="Times New Roman"/>
                <w:lang w:val="en-GB" w:eastAsia="de-DE"/>
              </w:rPr>
              <w:t>(72</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9</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86</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4)</w:t>
            </w:r>
          </w:p>
        </w:tc>
        <w:tc>
          <w:tcPr>
            <w:tcW w:w="1402" w:type="pct"/>
            <w:tcBorders>
              <w:top w:val="outset" w:sz="6" w:space="0" w:color="7B7B7B"/>
              <w:left w:val="outset" w:sz="6" w:space="0" w:color="7B7B7B"/>
              <w:bottom w:val="outset" w:sz="6" w:space="0" w:color="7B7B7B"/>
              <w:right w:val="outset" w:sz="6" w:space="0" w:color="7B7B7B"/>
            </w:tcBorders>
          </w:tcPr>
          <w:p w14:paraId="7A8B680B" w14:textId="77777777" w:rsidR="0021204A" w:rsidRPr="0021204A" w:rsidRDefault="0021204A" w:rsidP="007E5A32">
            <w:pPr>
              <w:keepLines/>
              <w:autoSpaceDE w:val="0"/>
              <w:autoSpaceDN w:val="0"/>
              <w:adjustRightInd w:val="0"/>
              <w:spacing w:after="0" w:line="240" w:lineRule="auto"/>
              <w:jc w:val="center"/>
              <w:rPr>
                <w:rFonts w:ascii="Times New Roman" w:eastAsia="Times New Roman" w:hAnsi="Times New Roman" w:cs="Times New Roman"/>
                <w:lang w:val="en-GB" w:eastAsia="de-DE"/>
              </w:rPr>
            </w:pPr>
          </w:p>
          <w:p w14:paraId="51237A30" w14:textId="0240D3E2" w:rsidR="0021204A" w:rsidRPr="0021204A" w:rsidRDefault="0021204A" w:rsidP="007E5A32">
            <w:pPr>
              <w:keepLines/>
              <w:autoSpaceDE w:val="0"/>
              <w:autoSpaceDN w:val="0"/>
              <w:adjustRightInd w:val="0"/>
              <w:spacing w:after="0" w:line="240" w:lineRule="auto"/>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82 (55</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4)</w:t>
            </w:r>
          </w:p>
          <w:p w14:paraId="59135795" w14:textId="47856949" w:rsidR="0021204A" w:rsidRPr="0021204A" w:rsidRDefault="0021204A" w:rsidP="007E5A32">
            <w:pPr>
              <w:keepLines/>
              <w:tabs>
                <w:tab w:val="left" w:pos="567"/>
              </w:tabs>
              <w:spacing w:after="0" w:line="260" w:lineRule="exact"/>
              <w:jc w:val="center"/>
              <w:rPr>
                <w:rFonts w:ascii="Times New Roman" w:eastAsia="Times New Roman" w:hAnsi="Times New Roman" w:cs="Times New Roman"/>
                <w:b/>
                <w:bCs/>
                <w:lang w:val="en-GB" w:eastAsia="ru-RU"/>
              </w:rPr>
            </w:pPr>
            <w:r w:rsidRPr="0021204A">
              <w:rPr>
                <w:rFonts w:ascii="Times New Roman" w:eastAsia="Times New Roman" w:hAnsi="Times New Roman" w:cs="Times New Roman"/>
                <w:lang w:val="en-GB" w:eastAsia="de-DE"/>
              </w:rPr>
              <w:t>(47</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0</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63</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6)</w:t>
            </w:r>
          </w:p>
        </w:tc>
      </w:tr>
      <w:tr w:rsidR="0021204A" w:rsidRPr="0021204A" w14:paraId="5033DE13" w14:textId="77777777" w:rsidTr="00F36C14">
        <w:tc>
          <w:tcPr>
            <w:tcW w:w="2119" w:type="pct"/>
            <w:tcBorders>
              <w:top w:val="outset" w:sz="6" w:space="0" w:color="7B7B7B"/>
              <w:left w:val="outset" w:sz="6" w:space="0" w:color="7B7B7B"/>
              <w:bottom w:val="outset" w:sz="6" w:space="0" w:color="7B7B7B"/>
              <w:right w:val="outset" w:sz="6" w:space="0" w:color="7B7B7B"/>
            </w:tcBorders>
            <w:hideMark/>
          </w:tcPr>
          <w:p w14:paraId="4FF7C4EE" w14:textId="4870019C" w:rsidR="0021204A" w:rsidRPr="007E5A32" w:rsidRDefault="007318A1" w:rsidP="007E5A32">
            <w:pPr>
              <w:keepLines/>
              <w:tabs>
                <w:tab w:val="left" w:pos="567"/>
              </w:tabs>
              <w:spacing w:after="0" w:line="260" w:lineRule="exact"/>
              <w:jc w:val="both"/>
              <w:rPr>
                <w:rFonts w:ascii="Times New Roman" w:hAnsi="Times New Roman"/>
                <w:b/>
              </w:rPr>
            </w:pPr>
            <w:r w:rsidRPr="007E5A32">
              <w:rPr>
                <w:rFonts w:ascii="Times New Roman" w:hAnsi="Times New Roman"/>
                <w:b/>
              </w:rPr>
              <w:t>Teljes válasz</w:t>
            </w:r>
            <w:r w:rsidR="0021204A" w:rsidRPr="007E5A32">
              <w:rPr>
                <w:rFonts w:ascii="Times New Roman" w:hAnsi="Times New Roman"/>
                <w:b/>
                <w:vertAlign w:val="superscript"/>
              </w:rPr>
              <w:t>d</w:t>
            </w:r>
            <w:r w:rsidR="0021204A" w:rsidRPr="007E5A32">
              <w:rPr>
                <w:rFonts w:ascii="Times New Roman" w:hAnsi="Times New Roman"/>
                <w:b/>
              </w:rPr>
              <w:t>, n (%)</w:t>
            </w:r>
          </w:p>
          <w:p w14:paraId="204B169F" w14:textId="264B9D02" w:rsidR="0021204A" w:rsidRPr="007E5A32" w:rsidRDefault="0021204A" w:rsidP="007E5A32">
            <w:pPr>
              <w:keepLines/>
              <w:autoSpaceDE w:val="0"/>
              <w:autoSpaceDN w:val="0"/>
              <w:adjustRightInd w:val="0"/>
              <w:spacing w:after="0" w:line="240" w:lineRule="auto"/>
              <w:ind w:left="244"/>
              <w:rPr>
                <w:rFonts w:ascii="Times New Roman" w:hAnsi="Times New Roman"/>
              </w:rPr>
            </w:pPr>
            <w:r w:rsidRPr="007E5A32">
              <w:rPr>
                <w:rFonts w:ascii="Times New Roman" w:hAnsi="Times New Roman"/>
                <w:u w:val="single"/>
              </w:rPr>
              <w:t>(IRC, 2007</w:t>
            </w:r>
            <w:r w:rsidRPr="007E5A32">
              <w:rPr>
                <w:rFonts w:ascii="Times New Roman" w:hAnsi="Times New Roman"/>
              </w:rPr>
              <w:t xml:space="preserve"> </w:t>
            </w:r>
            <w:r w:rsidRPr="007E5A32">
              <w:rPr>
                <w:rFonts w:ascii="Times New Roman" w:hAnsi="Times New Roman"/>
                <w:u w:val="single"/>
              </w:rPr>
              <w:t>IWGRC</w:t>
            </w:r>
            <w:r w:rsidRPr="007E5A32">
              <w:rPr>
                <w:rFonts w:ascii="Times New Roman" w:hAnsi="Times New Roman"/>
              </w:rPr>
              <w:t>)</w:t>
            </w:r>
          </w:p>
          <w:p w14:paraId="7BAF96EB" w14:textId="167150D5" w:rsidR="0021204A" w:rsidRPr="0021204A" w:rsidRDefault="0021204A" w:rsidP="007E5A32">
            <w:pPr>
              <w:keepLines/>
              <w:tabs>
                <w:tab w:val="left" w:pos="567"/>
              </w:tabs>
              <w:spacing w:after="0" w:line="260" w:lineRule="exact"/>
              <w:ind w:left="244"/>
              <w:jc w:val="both"/>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95%</w:t>
            </w:r>
            <w:r w:rsidR="007318A1">
              <w:rPr>
                <w:rFonts w:ascii="Times New Roman" w:eastAsia="Times New Roman" w:hAnsi="Times New Roman" w:cs="Times New Roman"/>
                <w:lang w:val="en-GB" w:eastAsia="de-DE"/>
              </w:rPr>
              <w:t>-os</w:t>
            </w:r>
            <w:r w:rsidRPr="0021204A">
              <w:rPr>
                <w:rFonts w:ascii="Times New Roman" w:eastAsia="Times New Roman" w:hAnsi="Times New Roman" w:cs="Times New Roman"/>
                <w:lang w:val="en-GB" w:eastAsia="de-DE"/>
              </w:rPr>
              <w:t xml:space="preserve"> CI</w:t>
            </w:r>
            <w:r w:rsidRPr="0021204A">
              <w:rPr>
                <w:rFonts w:ascii="Times New Roman" w:eastAsia="Times New Roman" w:hAnsi="Times New Roman" w:cs="Times New Roman"/>
                <w:b/>
                <w:bCs/>
                <w:vertAlign w:val="superscript"/>
                <w:lang w:val="en-GB" w:eastAsia="de-DE"/>
              </w:rPr>
              <w:t>f</w:t>
            </w:r>
          </w:p>
        </w:tc>
        <w:tc>
          <w:tcPr>
            <w:tcW w:w="1479" w:type="pct"/>
            <w:tcBorders>
              <w:top w:val="outset" w:sz="6" w:space="0" w:color="7B7B7B"/>
              <w:left w:val="outset" w:sz="6" w:space="0" w:color="7B7B7B"/>
              <w:bottom w:val="outset" w:sz="6" w:space="0" w:color="7B7B7B"/>
              <w:right w:val="outset" w:sz="6" w:space="0" w:color="7B7B7B"/>
            </w:tcBorders>
            <w:hideMark/>
          </w:tcPr>
          <w:p w14:paraId="1A3DA850" w14:textId="77777777"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de-DE"/>
              </w:rPr>
            </w:pPr>
          </w:p>
          <w:p w14:paraId="4A6ED11D" w14:textId="15094941"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51 (34</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7)</w:t>
            </w:r>
          </w:p>
          <w:p w14:paraId="18592D63" w14:textId="2A99B4D8"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(27</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0</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43</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0)</w:t>
            </w:r>
          </w:p>
        </w:tc>
        <w:tc>
          <w:tcPr>
            <w:tcW w:w="1402" w:type="pct"/>
            <w:tcBorders>
              <w:top w:val="outset" w:sz="6" w:space="0" w:color="7B7B7B"/>
              <w:left w:val="outset" w:sz="6" w:space="0" w:color="7B7B7B"/>
              <w:bottom w:val="outset" w:sz="6" w:space="0" w:color="7B7B7B"/>
              <w:right w:val="outset" w:sz="6" w:space="0" w:color="7B7B7B"/>
            </w:tcBorders>
            <w:hideMark/>
          </w:tcPr>
          <w:p w14:paraId="302EFF5D" w14:textId="77777777"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de-DE"/>
              </w:rPr>
            </w:pPr>
          </w:p>
          <w:p w14:paraId="160768CE" w14:textId="66D611FC"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29 (19</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6) </w:t>
            </w:r>
          </w:p>
          <w:p w14:paraId="354C6E65" w14:textId="1D978548"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(13</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5</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26</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9)</w:t>
            </w:r>
          </w:p>
        </w:tc>
      </w:tr>
      <w:tr w:rsidR="0021204A" w:rsidRPr="0021204A" w14:paraId="0BEF7373" w14:textId="77777777" w:rsidTr="00F36C14">
        <w:tc>
          <w:tcPr>
            <w:tcW w:w="2119" w:type="pct"/>
            <w:tcBorders>
              <w:top w:val="outset" w:sz="6" w:space="0" w:color="7B7B7B"/>
              <w:left w:val="outset" w:sz="6" w:space="0" w:color="7B7B7B"/>
              <w:bottom w:val="outset" w:sz="6" w:space="0" w:color="7B7B7B"/>
              <w:right w:val="outset" w:sz="6" w:space="0" w:color="7B7B7B"/>
            </w:tcBorders>
          </w:tcPr>
          <w:p w14:paraId="70DB6062" w14:textId="30B7940D" w:rsidR="0021204A" w:rsidRPr="007E5A32" w:rsidRDefault="007318A1" w:rsidP="007E5A32">
            <w:pPr>
              <w:keepLines/>
              <w:autoSpaceDE w:val="0"/>
              <w:autoSpaceDN w:val="0"/>
              <w:adjustRightInd w:val="0"/>
              <w:spacing w:after="0" w:line="240" w:lineRule="auto"/>
              <w:rPr>
                <w:rFonts w:ascii="Times New Roman" w:hAnsi="Times New Roman"/>
                <w:b/>
                <w:lang w:val="pt-PT"/>
              </w:rPr>
            </w:pPr>
            <w:r w:rsidRPr="007E5A32">
              <w:rPr>
                <w:rFonts w:ascii="Times New Roman" w:hAnsi="Times New Roman"/>
                <w:b/>
                <w:lang w:val="pt-PT"/>
              </w:rPr>
              <w:t>Válasz időtartama</w:t>
            </w:r>
            <w:r w:rsidR="0021204A" w:rsidRPr="007E5A32">
              <w:rPr>
                <w:rFonts w:ascii="Times New Roman" w:hAnsi="Times New Roman"/>
                <w:b/>
                <w:vertAlign w:val="superscript"/>
                <w:lang w:val="pt-PT"/>
              </w:rPr>
              <w:t>d</w:t>
            </w:r>
            <w:r w:rsidR="0021204A" w:rsidRPr="007E5A32">
              <w:rPr>
                <w:rFonts w:ascii="Times New Roman" w:hAnsi="Times New Roman"/>
                <w:b/>
                <w:sz w:val="14"/>
                <w:lang w:val="pt-PT"/>
              </w:rPr>
              <w:t xml:space="preserve"> </w:t>
            </w:r>
            <w:r w:rsidR="0021204A" w:rsidRPr="007E5A32">
              <w:rPr>
                <w:rFonts w:ascii="Times New Roman" w:hAnsi="Times New Roman"/>
                <w:b/>
                <w:lang w:val="pt-PT"/>
              </w:rPr>
              <w:t>(medi</w:t>
            </w:r>
            <w:r w:rsidRPr="007E5A32">
              <w:rPr>
                <w:rFonts w:ascii="Times New Roman" w:hAnsi="Times New Roman"/>
                <w:b/>
                <w:lang w:val="pt-PT"/>
              </w:rPr>
              <w:t>á</w:t>
            </w:r>
            <w:r w:rsidR="0021204A" w:rsidRPr="007E5A32">
              <w:rPr>
                <w:rFonts w:ascii="Times New Roman" w:hAnsi="Times New Roman"/>
                <w:b/>
                <w:lang w:val="pt-PT"/>
              </w:rPr>
              <w:t>n) (</w:t>
            </w:r>
            <w:r w:rsidRPr="007E5A32">
              <w:rPr>
                <w:rFonts w:ascii="Times New Roman" w:hAnsi="Times New Roman"/>
                <w:b/>
                <w:lang w:val="pt-PT"/>
              </w:rPr>
              <w:t>hónap</w:t>
            </w:r>
            <w:r w:rsidR="0021204A" w:rsidRPr="007E5A32">
              <w:rPr>
                <w:rFonts w:ascii="Times New Roman" w:hAnsi="Times New Roman"/>
                <w:b/>
                <w:lang w:val="pt-PT"/>
              </w:rPr>
              <w:t>)</w:t>
            </w:r>
          </w:p>
          <w:p w14:paraId="2B0D7581" w14:textId="53DA0B4C" w:rsidR="0021204A" w:rsidRPr="007E5A32" w:rsidRDefault="0021204A" w:rsidP="007E5A32">
            <w:pPr>
              <w:keepLines/>
              <w:tabs>
                <w:tab w:val="left" w:pos="567"/>
              </w:tabs>
              <w:spacing w:after="0" w:line="260" w:lineRule="exact"/>
              <w:ind w:left="244"/>
              <w:jc w:val="both"/>
              <w:rPr>
                <w:rFonts w:ascii="Times New Roman" w:hAnsi="Times New Roman"/>
                <w:b/>
                <w:lang w:val="pt-PT"/>
              </w:rPr>
            </w:pPr>
            <w:r w:rsidRPr="007E5A32">
              <w:rPr>
                <w:rFonts w:ascii="Times New Roman" w:hAnsi="Times New Roman"/>
                <w:lang w:val="pt-PT"/>
              </w:rPr>
              <w:t>95%</w:t>
            </w:r>
            <w:r w:rsidR="007318A1" w:rsidRPr="007E5A32">
              <w:rPr>
                <w:rFonts w:ascii="Times New Roman" w:hAnsi="Times New Roman"/>
                <w:lang w:val="pt-PT"/>
              </w:rPr>
              <w:t>-os</w:t>
            </w:r>
            <w:r w:rsidRPr="007E5A32">
              <w:rPr>
                <w:rFonts w:ascii="Times New Roman" w:hAnsi="Times New Roman"/>
                <w:lang w:val="pt-PT"/>
              </w:rPr>
              <w:t xml:space="preserve"> CI</w:t>
            </w:r>
            <w:r w:rsidRPr="007E5A32">
              <w:rPr>
                <w:rFonts w:ascii="Times New Roman" w:hAnsi="Times New Roman"/>
                <w:vertAlign w:val="superscript"/>
                <w:lang w:val="pt-PT"/>
              </w:rPr>
              <w:t xml:space="preserve"> a</w:t>
            </w:r>
          </w:p>
        </w:tc>
        <w:tc>
          <w:tcPr>
            <w:tcW w:w="1479" w:type="pct"/>
            <w:tcBorders>
              <w:top w:val="outset" w:sz="6" w:space="0" w:color="7B7B7B"/>
              <w:left w:val="outset" w:sz="6" w:space="0" w:color="7B7B7B"/>
              <w:bottom w:val="outset" w:sz="6" w:space="0" w:color="7B7B7B"/>
              <w:right w:val="outset" w:sz="6" w:space="0" w:color="7B7B7B"/>
            </w:tcBorders>
          </w:tcPr>
          <w:p w14:paraId="3E61B0E7" w14:textId="77777777" w:rsidR="0021204A" w:rsidRPr="007E5A32" w:rsidRDefault="0021204A" w:rsidP="007E5A32">
            <w:pPr>
              <w:keepLines/>
              <w:tabs>
                <w:tab w:val="left" w:pos="567"/>
              </w:tabs>
              <w:spacing w:after="0" w:line="260" w:lineRule="exact"/>
              <w:jc w:val="center"/>
              <w:rPr>
                <w:rFonts w:ascii="Times New Roman" w:hAnsi="Times New Roman"/>
                <w:lang w:val="pt-PT"/>
              </w:rPr>
            </w:pPr>
          </w:p>
          <w:p w14:paraId="44CC5BFE" w14:textId="13FDBA6A"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36</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6</w:t>
            </w:r>
          </w:p>
          <w:p w14:paraId="6EF20373" w14:textId="2DC9B97F"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(24</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9</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NE)</w:t>
            </w:r>
          </w:p>
        </w:tc>
        <w:tc>
          <w:tcPr>
            <w:tcW w:w="1402" w:type="pct"/>
            <w:tcBorders>
              <w:top w:val="outset" w:sz="6" w:space="0" w:color="7B7B7B"/>
              <w:left w:val="outset" w:sz="6" w:space="0" w:color="7B7B7B"/>
              <w:bottom w:val="outset" w:sz="6" w:space="0" w:color="7B7B7B"/>
              <w:right w:val="outset" w:sz="6" w:space="0" w:color="7B7B7B"/>
            </w:tcBorders>
          </w:tcPr>
          <w:p w14:paraId="557B4D5C" w14:textId="77777777"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de-DE"/>
              </w:rPr>
            </w:pPr>
          </w:p>
          <w:p w14:paraId="7653A28D" w14:textId="18948CF6"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15</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5</w:t>
            </w:r>
          </w:p>
          <w:p w14:paraId="018FFD27" w14:textId="4F840CFA"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(11</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2</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25</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0)</w:t>
            </w:r>
          </w:p>
        </w:tc>
      </w:tr>
      <w:tr w:rsidR="0021204A" w:rsidRPr="0021204A" w14:paraId="59A960AD" w14:textId="77777777" w:rsidTr="00F36C14">
        <w:tc>
          <w:tcPr>
            <w:tcW w:w="5000" w:type="pct"/>
            <w:gridSpan w:val="3"/>
            <w:tcBorders>
              <w:top w:val="outset" w:sz="6" w:space="0" w:color="7B7B7B"/>
              <w:left w:val="outset" w:sz="6" w:space="0" w:color="7B7B7B"/>
              <w:bottom w:val="outset" w:sz="6" w:space="0" w:color="7B7B7B"/>
              <w:right w:val="outset" w:sz="6" w:space="0" w:color="7B7B7B"/>
            </w:tcBorders>
            <w:hideMark/>
          </w:tcPr>
          <w:p w14:paraId="7C2CB1AE" w14:textId="6EF2F562" w:rsidR="0021204A" w:rsidRPr="0021204A" w:rsidRDefault="007318A1" w:rsidP="007E5A32">
            <w:pPr>
              <w:keepLines/>
              <w:tabs>
                <w:tab w:val="left" w:pos="567"/>
              </w:tabs>
              <w:spacing w:after="0" w:line="260" w:lineRule="exact"/>
              <w:jc w:val="both"/>
              <w:rPr>
                <w:rFonts w:ascii="Times New Roman" w:eastAsia="Times New Roman" w:hAnsi="Times New Roman" w:cs="Times New Roman"/>
                <w:lang w:val="en-GB" w:eastAsia="ru-RU"/>
              </w:rPr>
            </w:pPr>
            <w:r>
              <w:rPr>
                <w:rFonts w:ascii="Times New Roman" w:eastAsia="Times New Roman" w:hAnsi="Times New Roman" w:cs="Times New Roman"/>
                <w:b/>
                <w:bCs/>
                <w:lang w:val="en-GB" w:eastAsia="de-DE"/>
              </w:rPr>
              <w:t>Teljes túlélés</w:t>
            </w:r>
            <w:r w:rsidR="0021204A" w:rsidRPr="0021204A">
              <w:rPr>
                <w:rFonts w:ascii="Times New Roman" w:eastAsia="Times New Roman" w:hAnsi="Times New Roman" w:cs="Times New Roman"/>
                <w:b/>
                <w:bCs/>
                <w:vertAlign w:val="superscript"/>
                <w:lang w:val="en-GB" w:eastAsia="de-DE"/>
              </w:rPr>
              <w:t xml:space="preserve">d,e </w:t>
            </w:r>
            <w:r w:rsidR="0021204A" w:rsidRPr="0021204A">
              <w:rPr>
                <w:rFonts w:ascii="Times New Roman" w:eastAsia="Times New Roman" w:hAnsi="Times New Roman" w:cs="Times New Roman"/>
                <w:b/>
                <w:bCs/>
                <w:lang w:val="en-GB" w:eastAsia="de-DE"/>
              </w:rPr>
              <w:t>(OS)</w:t>
            </w:r>
          </w:p>
        </w:tc>
      </w:tr>
      <w:tr w:rsidR="0021204A" w:rsidRPr="0021204A" w14:paraId="27EBC991" w14:textId="77777777" w:rsidTr="00F36C14">
        <w:tc>
          <w:tcPr>
            <w:tcW w:w="2119" w:type="pct"/>
            <w:tcBorders>
              <w:top w:val="outset" w:sz="6" w:space="0" w:color="7B7B7B"/>
              <w:left w:val="outset" w:sz="6" w:space="0" w:color="7B7B7B"/>
              <w:bottom w:val="outset" w:sz="6" w:space="0" w:color="7B7B7B"/>
              <w:right w:val="outset" w:sz="6" w:space="0" w:color="7B7B7B"/>
            </w:tcBorders>
            <w:hideMark/>
          </w:tcPr>
          <w:p w14:paraId="38C66E16" w14:textId="5462692A" w:rsidR="0021204A" w:rsidRPr="007E5A32" w:rsidRDefault="0021204A" w:rsidP="007E5A32">
            <w:pPr>
              <w:keepLines/>
              <w:tabs>
                <w:tab w:val="left" w:pos="567"/>
              </w:tabs>
              <w:spacing w:after="0" w:line="260" w:lineRule="exact"/>
              <w:ind w:left="268"/>
              <w:jc w:val="both"/>
              <w:rPr>
                <w:rFonts w:ascii="Times New Roman" w:hAnsi="Times New Roman"/>
                <w:lang w:val="pt-PT"/>
              </w:rPr>
            </w:pPr>
            <w:r w:rsidRPr="007E5A32">
              <w:rPr>
                <w:rFonts w:ascii="Times New Roman" w:hAnsi="Times New Roman"/>
                <w:lang w:val="pt-PT"/>
              </w:rPr>
              <w:t>OS</w:t>
            </w:r>
            <w:r w:rsidR="007318A1" w:rsidRPr="007E5A32">
              <w:rPr>
                <w:rFonts w:ascii="Times New Roman" w:hAnsi="Times New Roman"/>
                <w:lang w:val="pt-PT"/>
              </w:rPr>
              <w:t xml:space="preserve">-arány </w:t>
            </w:r>
            <w:r w:rsidR="007318A1" w:rsidRPr="00934095">
              <w:rPr>
                <w:rFonts w:ascii="Times New Roman" w:eastAsia="Times New Roman" w:hAnsi="Times New Roman" w:cs="Times New Roman"/>
                <w:lang w:val="pt-PT" w:eastAsia="de-DE"/>
              </w:rPr>
              <w:t>a</w:t>
            </w:r>
            <w:r w:rsidR="001D4862" w:rsidRPr="00934095">
              <w:rPr>
                <w:rFonts w:ascii="Times New Roman" w:eastAsia="Times New Roman" w:hAnsi="Times New Roman" w:cs="Times New Roman"/>
                <w:lang w:val="pt-PT" w:eastAsia="de-DE"/>
              </w:rPr>
              <w:t>z</w:t>
            </w:r>
            <w:r w:rsidR="007318A1" w:rsidRPr="00934095">
              <w:rPr>
                <w:rFonts w:ascii="Times New Roman" w:eastAsia="Times New Roman" w:hAnsi="Times New Roman" w:cs="Times New Roman"/>
                <w:lang w:val="pt-PT" w:eastAsia="de-DE"/>
              </w:rPr>
              <w:t xml:space="preserve"> </w:t>
            </w:r>
            <w:r w:rsidR="001D4862" w:rsidRPr="00934095">
              <w:rPr>
                <w:rFonts w:ascii="Times New Roman" w:eastAsia="Times New Roman" w:hAnsi="Times New Roman" w:cs="Times New Roman"/>
                <w:lang w:val="pt-PT" w:eastAsia="de-DE"/>
              </w:rPr>
              <w:t>5</w:t>
            </w:r>
            <w:r w:rsidR="007318A1" w:rsidRPr="007E5A32">
              <w:rPr>
                <w:rFonts w:ascii="Times New Roman" w:hAnsi="Times New Roman"/>
                <w:lang w:val="pt-PT"/>
              </w:rPr>
              <w:t>. évben</w:t>
            </w:r>
            <w:r w:rsidR="001D4862" w:rsidRPr="00934095">
              <w:rPr>
                <w:rFonts w:ascii="Times New Roman" w:eastAsia="Times New Roman" w:hAnsi="Times New Roman" w:cs="Times New Roman"/>
                <w:lang w:val="pt-PT" w:eastAsia="de-DE"/>
              </w:rPr>
              <w:t>, n (</w:t>
            </w:r>
            <w:r w:rsidRPr="00934095">
              <w:rPr>
                <w:rFonts w:ascii="Times New Roman" w:eastAsia="Times New Roman" w:hAnsi="Times New Roman" w:cs="Times New Roman"/>
                <w:lang w:val="pt-PT" w:eastAsia="de-DE"/>
              </w:rPr>
              <w:t>%</w:t>
            </w:r>
            <w:r w:rsidR="001D4862" w:rsidRPr="00934095">
              <w:rPr>
                <w:rFonts w:ascii="Times New Roman" w:eastAsia="Times New Roman" w:hAnsi="Times New Roman" w:cs="Times New Roman"/>
                <w:lang w:val="pt-PT" w:eastAsia="de-DE"/>
              </w:rPr>
              <w:t>)</w:t>
            </w:r>
          </w:p>
          <w:p w14:paraId="4B104486" w14:textId="5E6950FD" w:rsidR="001D4862" w:rsidRPr="0021204A" w:rsidRDefault="001D4862" w:rsidP="007E5A32">
            <w:pPr>
              <w:keepLines/>
              <w:tabs>
                <w:tab w:val="left" w:pos="567"/>
              </w:tabs>
              <w:spacing w:after="0" w:line="260" w:lineRule="exact"/>
              <w:ind w:left="268"/>
              <w:jc w:val="both"/>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95%</w:t>
            </w:r>
            <w:r>
              <w:rPr>
                <w:rFonts w:ascii="Times New Roman" w:eastAsia="Times New Roman" w:hAnsi="Times New Roman" w:cs="Times New Roman"/>
                <w:lang w:val="en-GB" w:eastAsia="de-DE"/>
              </w:rPr>
              <w:t>-os</w:t>
            </w:r>
            <w:r w:rsidRPr="0021204A">
              <w:rPr>
                <w:rFonts w:ascii="Times New Roman" w:eastAsia="Times New Roman" w:hAnsi="Times New Roman" w:cs="Times New Roman"/>
                <w:lang w:val="en-GB" w:eastAsia="de-DE"/>
              </w:rPr>
              <w:t xml:space="preserve"> CI</w:t>
            </w:r>
          </w:p>
        </w:tc>
        <w:tc>
          <w:tcPr>
            <w:tcW w:w="1479" w:type="pct"/>
            <w:tcBorders>
              <w:top w:val="outset" w:sz="6" w:space="0" w:color="7B7B7B"/>
              <w:left w:val="outset" w:sz="6" w:space="0" w:color="7B7B7B"/>
              <w:bottom w:val="outset" w:sz="6" w:space="0" w:color="7B7B7B"/>
              <w:right w:val="outset" w:sz="6" w:space="0" w:color="7B7B7B"/>
            </w:tcBorders>
            <w:hideMark/>
          </w:tcPr>
          <w:p w14:paraId="4A21A537" w14:textId="7B7466A7" w:rsidR="0021204A" w:rsidRPr="0021204A" w:rsidRDefault="0021204A" w:rsidP="00934095">
            <w:pPr>
              <w:keepLines/>
              <w:autoSpaceDE w:val="0"/>
              <w:autoSpaceDN w:val="0"/>
              <w:adjustRightInd w:val="0"/>
              <w:spacing w:after="0" w:line="240" w:lineRule="auto"/>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1</w:t>
            </w:r>
            <w:r w:rsidR="001D4862">
              <w:rPr>
                <w:rFonts w:ascii="Times New Roman" w:eastAsia="Times New Roman" w:hAnsi="Times New Roman" w:cs="Times New Roman"/>
                <w:lang w:val="en-GB" w:eastAsia="de-DE"/>
              </w:rPr>
              <w:t>26</w:t>
            </w:r>
            <w:r w:rsidRPr="0021204A">
              <w:rPr>
                <w:rFonts w:ascii="Times New Roman" w:eastAsia="Times New Roman" w:hAnsi="Times New Roman" w:cs="Times New Roman"/>
                <w:lang w:val="en-GB" w:eastAsia="de-DE"/>
              </w:rPr>
              <w:t xml:space="preserve"> (</w:t>
            </w:r>
            <w:r w:rsidR="001D4862">
              <w:rPr>
                <w:rFonts w:ascii="Times New Roman" w:eastAsia="Times New Roman" w:hAnsi="Times New Roman" w:cs="Times New Roman"/>
                <w:lang w:val="en-GB" w:eastAsia="de-DE"/>
              </w:rPr>
              <w:t>85</w:t>
            </w:r>
            <w:r w:rsidR="007318A1">
              <w:rPr>
                <w:rFonts w:ascii="Times New Roman" w:eastAsia="Times New Roman" w:hAnsi="Times New Roman" w:cs="Times New Roman"/>
                <w:lang w:val="en-GB" w:eastAsia="de-DE"/>
              </w:rPr>
              <w:t>,</w:t>
            </w:r>
            <w:r w:rsidR="001D4862">
              <w:rPr>
                <w:rFonts w:ascii="Times New Roman" w:eastAsia="Times New Roman" w:hAnsi="Times New Roman" w:cs="Times New Roman"/>
                <w:lang w:val="en-GB" w:eastAsia="de-DE"/>
              </w:rPr>
              <w:t>9</w:t>
            </w:r>
            <w:r w:rsidRPr="0021204A">
              <w:rPr>
                <w:rFonts w:ascii="Times New Roman" w:eastAsia="Times New Roman" w:hAnsi="Times New Roman" w:cs="Times New Roman"/>
                <w:lang w:val="en-GB" w:eastAsia="de-DE"/>
              </w:rPr>
              <w:t>)</w:t>
            </w:r>
          </w:p>
          <w:p w14:paraId="07CC1556" w14:textId="60B13920"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w:t>
            </w:r>
            <w:r w:rsidR="001D4862">
              <w:rPr>
                <w:rFonts w:ascii="Times New Roman" w:eastAsia="Times New Roman" w:hAnsi="Times New Roman" w:cs="Times New Roman"/>
                <w:lang w:val="en-GB" w:eastAsia="de-DE"/>
              </w:rPr>
              <w:t>78,6</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9</w:t>
            </w:r>
            <w:r w:rsidR="001D4862">
              <w:rPr>
                <w:rFonts w:ascii="Times New Roman" w:eastAsia="Times New Roman" w:hAnsi="Times New Roman" w:cs="Times New Roman"/>
                <w:lang w:val="en-GB" w:eastAsia="de-DE"/>
              </w:rPr>
              <w:t>0</w:t>
            </w:r>
            <w:r w:rsidR="007318A1">
              <w:rPr>
                <w:rFonts w:ascii="Times New Roman" w:eastAsia="Times New Roman" w:hAnsi="Times New Roman" w:cs="Times New Roman"/>
                <w:lang w:val="en-GB" w:eastAsia="de-DE"/>
              </w:rPr>
              <w:t>,</w:t>
            </w:r>
            <w:r w:rsidR="001D4862">
              <w:rPr>
                <w:rFonts w:ascii="Times New Roman" w:eastAsia="Times New Roman" w:hAnsi="Times New Roman" w:cs="Times New Roman"/>
                <w:lang w:val="en-GB" w:eastAsia="de-DE"/>
              </w:rPr>
              <w:t>9</w:t>
            </w:r>
            <w:r w:rsidRPr="0021204A">
              <w:rPr>
                <w:rFonts w:ascii="Times New Roman" w:eastAsia="Times New Roman" w:hAnsi="Times New Roman" w:cs="Times New Roman"/>
                <w:lang w:val="en-GB" w:eastAsia="de-DE"/>
              </w:rPr>
              <w:t>)</w:t>
            </w:r>
          </w:p>
        </w:tc>
        <w:tc>
          <w:tcPr>
            <w:tcW w:w="1402" w:type="pct"/>
            <w:tcBorders>
              <w:top w:val="outset" w:sz="6" w:space="0" w:color="7B7B7B"/>
              <w:left w:val="outset" w:sz="6" w:space="0" w:color="7B7B7B"/>
              <w:bottom w:val="outset" w:sz="6" w:space="0" w:color="7B7B7B"/>
              <w:right w:val="outset" w:sz="6" w:space="0" w:color="7B7B7B"/>
            </w:tcBorders>
            <w:hideMark/>
          </w:tcPr>
          <w:p w14:paraId="3B5B3C5D" w14:textId="079BE577" w:rsidR="0021204A" w:rsidRPr="0021204A" w:rsidRDefault="0021204A" w:rsidP="00934095">
            <w:pPr>
              <w:keepLines/>
              <w:autoSpaceDE w:val="0"/>
              <w:autoSpaceDN w:val="0"/>
              <w:adjustRightInd w:val="0"/>
              <w:spacing w:after="0" w:line="240" w:lineRule="auto"/>
              <w:jc w:val="center"/>
              <w:rPr>
                <w:rFonts w:ascii="Times New Roman" w:eastAsia="Times New Roman" w:hAnsi="Times New Roman" w:cs="Times New Roman"/>
                <w:lang w:val="en-GB" w:eastAsia="de-DE"/>
              </w:rPr>
            </w:pPr>
            <w:r w:rsidRPr="0021204A">
              <w:rPr>
                <w:rFonts w:ascii="Times New Roman" w:eastAsia="Times New Roman" w:hAnsi="Times New Roman" w:cs="Times New Roman"/>
                <w:lang w:val="en-GB" w:eastAsia="de-DE"/>
              </w:rPr>
              <w:t>1</w:t>
            </w:r>
            <w:r w:rsidR="001D4862">
              <w:rPr>
                <w:rFonts w:ascii="Times New Roman" w:eastAsia="Times New Roman" w:hAnsi="Times New Roman" w:cs="Times New Roman"/>
                <w:lang w:val="en-GB" w:eastAsia="de-DE"/>
              </w:rPr>
              <w:t>14</w:t>
            </w:r>
            <w:r w:rsidRPr="0021204A">
              <w:rPr>
                <w:rFonts w:ascii="Times New Roman" w:eastAsia="Times New Roman" w:hAnsi="Times New Roman" w:cs="Times New Roman"/>
                <w:lang w:val="en-GB" w:eastAsia="de-DE"/>
              </w:rPr>
              <w:t xml:space="preserve"> (</w:t>
            </w:r>
            <w:r w:rsidR="001D4862">
              <w:rPr>
                <w:rFonts w:ascii="Times New Roman" w:eastAsia="Times New Roman" w:hAnsi="Times New Roman" w:cs="Times New Roman"/>
                <w:lang w:val="en-GB" w:eastAsia="de-DE"/>
              </w:rPr>
              <w:t>77</w:t>
            </w:r>
            <w:r w:rsidR="007318A1">
              <w:rPr>
                <w:rFonts w:ascii="Times New Roman" w:eastAsia="Times New Roman" w:hAnsi="Times New Roman" w:cs="Times New Roman"/>
                <w:lang w:val="en-GB" w:eastAsia="de-DE"/>
              </w:rPr>
              <w:t>,</w:t>
            </w:r>
            <w:r w:rsidR="001D4862">
              <w:rPr>
                <w:rFonts w:ascii="Times New Roman" w:eastAsia="Times New Roman" w:hAnsi="Times New Roman" w:cs="Times New Roman"/>
                <w:lang w:val="en-GB" w:eastAsia="de-DE"/>
              </w:rPr>
              <w:t>0</w:t>
            </w:r>
            <w:r w:rsidRPr="0021204A">
              <w:rPr>
                <w:rFonts w:ascii="Times New Roman" w:eastAsia="Times New Roman" w:hAnsi="Times New Roman" w:cs="Times New Roman"/>
                <w:lang w:val="en-GB" w:eastAsia="de-DE"/>
              </w:rPr>
              <w:t>)</w:t>
            </w:r>
          </w:p>
          <w:p w14:paraId="36279780" w14:textId="45884C37" w:rsidR="0021204A" w:rsidRPr="0021204A" w:rsidRDefault="0021204A" w:rsidP="007E5A32">
            <w:pPr>
              <w:keepLines/>
              <w:tabs>
                <w:tab w:val="left" w:pos="567"/>
                <w:tab w:val="left" w:pos="760"/>
                <w:tab w:val="center" w:pos="1246"/>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w:t>
            </w:r>
            <w:r w:rsidR="001D4862">
              <w:rPr>
                <w:rFonts w:ascii="Times New Roman" w:eastAsia="Times New Roman" w:hAnsi="Times New Roman" w:cs="Times New Roman"/>
                <w:lang w:val="en-GB" w:eastAsia="de-DE"/>
              </w:rPr>
              <w:t>68,9</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w:t>
            </w:r>
            <w:r w:rsidR="001D4862">
              <w:rPr>
                <w:rFonts w:ascii="Times New Roman" w:eastAsia="Times New Roman" w:hAnsi="Times New Roman" w:cs="Times New Roman"/>
                <w:lang w:val="en-GB" w:eastAsia="de-DE"/>
              </w:rPr>
              <w:t>83,3</w:t>
            </w:r>
            <w:r w:rsidRPr="0021204A">
              <w:rPr>
                <w:rFonts w:ascii="Times New Roman" w:eastAsia="Times New Roman" w:hAnsi="Times New Roman" w:cs="Times New Roman"/>
                <w:lang w:val="en-GB" w:eastAsia="de-DE"/>
              </w:rPr>
              <w:t>)</w:t>
            </w:r>
          </w:p>
        </w:tc>
      </w:tr>
      <w:tr w:rsidR="0021204A" w:rsidRPr="0021204A" w14:paraId="6D8DDE8C" w14:textId="77777777" w:rsidTr="00F36C14">
        <w:tc>
          <w:tcPr>
            <w:tcW w:w="2119" w:type="pct"/>
            <w:tcBorders>
              <w:top w:val="outset" w:sz="6" w:space="0" w:color="7B7B7B"/>
              <w:left w:val="outset" w:sz="6" w:space="0" w:color="7B7B7B"/>
              <w:bottom w:val="outset" w:sz="6" w:space="0" w:color="7B7B7B"/>
              <w:right w:val="outset" w:sz="6" w:space="0" w:color="7B7B7B"/>
            </w:tcBorders>
            <w:hideMark/>
          </w:tcPr>
          <w:p w14:paraId="1BA07EC5" w14:textId="0A139D37" w:rsidR="0021204A" w:rsidRPr="0021204A" w:rsidRDefault="0021204A" w:rsidP="007E5A32">
            <w:pPr>
              <w:keepLines/>
              <w:tabs>
                <w:tab w:val="left" w:pos="567"/>
              </w:tabs>
              <w:spacing w:after="0" w:line="260" w:lineRule="exact"/>
              <w:ind w:left="268"/>
              <w:jc w:val="both"/>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HR [95%</w:t>
            </w:r>
            <w:r w:rsidR="007318A1">
              <w:rPr>
                <w:rFonts w:ascii="Times New Roman" w:eastAsia="Times New Roman" w:hAnsi="Times New Roman" w:cs="Times New Roman"/>
                <w:lang w:val="en-GB" w:eastAsia="de-DE"/>
              </w:rPr>
              <w:t>-os</w:t>
            </w:r>
            <w:r w:rsidRPr="0021204A">
              <w:rPr>
                <w:rFonts w:ascii="Times New Roman" w:eastAsia="Times New Roman" w:hAnsi="Times New Roman" w:cs="Times New Roman"/>
                <w:lang w:val="en-GB" w:eastAsia="de-DE"/>
              </w:rPr>
              <w:t xml:space="preserve"> CI]</w:t>
            </w:r>
          </w:p>
        </w:tc>
        <w:tc>
          <w:tcPr>
            <w:tcW w:w="2881" w:type="pct"/>
            <w:gridSpan w:val="2"/>
            <w:tcBorders>
              <w:top w:val="outset" w:sz="6" w:space="0" w:color="7B7B7B"/>
              <w:left w:val="outset" w:sz="6" w:space="0" w:color="7B7B7B"/>
              <w:bottom w:val="outset" w:sz="6" w:space="0" w:color="7B7B7B"/>
              <w:right w:val="outset" w:sz="6" w:space="0" w:color="7B7B7B"/>
            </w:tcBorders>
            <w:hideMark/>
          </w:tcPr>
          <w:p w14:paraId="772BFCCB" w14:textId="26B37032"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0</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4</w:t>
            </w:r>
            <w:r w:rsidR="001D4862">
              <w:rPr>
                <w:rFonts w:ascii="Times New Roman" w:eastAsia="Times New Roman" w:hAnsi="Times New Roman" w:cs="Times New Roman"/>
                <w:lang w:val="en-GB" w:eastAsia="de-DE"/>
              </w:rPr>
              <w:t>9</w:t>
            </w:r>
            <w:r w:rsidRPr="0021204A">
              <w:rPr>
                <w:rFonts w:ascii="Times New Roman" w:eastAsia="Times New Roman" w:hAnsi="Times New Roman" w:cs="Times New Roman"/>
                <w:lang w:val="en-GB" w:eastAsia="de-DE"/>
              </w:rPr>
              <w:t xml:space="preserve"> (0</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2</w:t>
            </w:r>
            <w:r w:rsidR="001D4862">
              <w:rPr>
                <w:rFonts w:ascii="Times New Roman" w:eastAsia="Times New Roman" w:hAnsi="Times New Roman" w:cs="Times New Roman"/>
                <w:lang w:val="en-GB" w:eastAsia="de-DE"/>
              </w:rPr>
              <w:t>8</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0</w:t>
            </w:r>
            <w:r w:rsidR="007318A1">
              <w:rPr>
                <w:rFonts w:ascii="Times New Roman" w:eastAsia="Times New Roman" w:hAnsi="Times New Roman" w:cs="Times New Roman"/>
                <w:lang w:val="en-GB" w:eastAsia="de-DE"/>
              </w:rPr>
              <w:t>,</w:t>
            </w:r>
            <w:r w:rsidR="001D4862">
              <w:rPr>
                <w:rFonts w:ascii="Times New Roman" w:eastAsia="Times New Roman" w:hAnsi="Times New Roman" w:cs="Times New Roman"/>
                <w:lang w:val="en-GB" w:eastAsia="de-DE"/>
              </w:rPr>
              <w:t>85</w:t>
            </w:r>
            <w:r w:rsidRPr="0021204A">
              <w:rPr>
                <w:rFonts w:ascii="Times New Roman" w:eastAsia="Times New Roman" w:hAnsi="Times New Roman" w:cs="Times New Roman"/>
                <w:lang w:val="en-GB" w:eastAsia="de-DE"/>
              </w:rPr>
              <w:t>)</w:t>
            </w:r>
            <w:r w:rsidRPr="0021204A">
              <w:rPr>
                <w:rFonts w:ascii="Times New Roman" w:eastAsia="Times New Roman" w:hAnsi="Times New Roman" w:cs="Times New Roman"/>
                <w:vertAlign w:val="superscript"/>
                <w:lang w:val="en-GB" w:eastAsia="de-DE"/>
              </w:rPr>
              <w:t>b</w:t>
            </w:r>
          </w:p>
        </w:tc>
      </w:tr>
      <w:tr w:rsidR="0021204A" w:rsidRPr="0021204A" w14:paraId="606968CE" w14:textId="77777777" w:rsidTr="00F36C14">
        <w:tc>
          <w:tcPr>
            <w:tcW w:w="5000" w:type="pct"/>
            <w:gridSpan w:val="3"/>
            <w:tcBorders>
              <w:top w:val="outset" w:sz="6" w:space="0" w:color="7B7B7B"/>
              <w:left w:val="outset" w:sz="6" w:space="0" w:color="7B7B7B"/>
              <w:bottom w:val="outset" w:sz="6" w:space="0" w:color="7B7B7B"/>
              <w:right w:val="outset" w:sz="6" w:space="0" w:color="7B7B7B"/>
            </w:tcBorders>
            <w:hideMark/>
          </w:tcPr>
          <w:p w14:paraId="769F82CA" w14:textId="712DD97F" w:rsidR="0021204A" w:rsidRPr="00E83289" w:rsidRDefault="007318A1" w:rsidP="007E5A32">
            <w:pPr>
              <w:keepLines/>
              <w:tabs>
                <w:tab w:val="left" w:pos="567"/>
              </w:tabs>
              <w:spacing w:after="0" w:line="260" w:lineRule="exact"/>
              <w:jc w:val="both"/>
              <w:rPr>
                <w:rFonts w:ascii="Times New Roman" w:eastAsia="Times New Roman" w:hAnsi="Times New Roman" w:cs="Times New Roman"/>
                <w:b/>
                <w:bCs/>
                <w:lang w:val="en-GB" w:eastAsia="ru-RU"/>
              </w:rPr>
            </w:pPr>
            <w:r w:rsidRPr="00E83289">
              <w:rPr>
                <w:rFonts w:ascii="Times New Roman" w:eastAsia="Times New Roman" w:hAnsi="Times New Roman" w:cs="Times New Roman"/>
                <w:b/>
                <w:bCs/>
                <w:lang w:val="en-GB" w:eastAsia="ru-RU"/>
              </w:rPr>
              <w:t>Utánkövetés</w:t>
            </w:r>
          </w:p>
        </w:tc>
      </w:tr>
      <w:tr w:rsidR="0021204A" w:rsidRPr="0021204A" w14:paraId="7A6E5663" w14:textId="77777777" w:rsidTr="00F36C14">
        <w:tc>
          <w:tcPr>
            <w:tcW w:w="2119" w:type="pct"/>
            <w:tcBorders>
              <w:top w:val="outset" w:sz="6" w:space="0" w:color="7B7B7B"/>
              <w:left w:val="outset" w:sz="6" w:space="0" w:color="7B7B7B"/>
              <w:bottom w:val="outset" w:sz="6" w:space="0" w:color="7B7B7B"/>
              <w:right w:val="outset" w:sz="6" w:space="0" w:color="7B7B7B"/>
            </w:tcBorders>
            <w:hideMark/>
          </w:tcPr>
          <w:p w14:paraId="078BB3B0" w14:textId="77777777" w:rsidR="007318A1" w:rsidRPr="007E5A32" w:rsidRDefault="007318A1" w:rsidP="007E5A32">
            <w:pPr>
              <w:keepLines/>
              <w:tabs>
                <w:tab w:val="left" w:pos="567"/>
              </w:tabs>
              <w:spacing w:after="0" w:line="260" w:lineRule="exact"/>
              <w:ind w:left="244"/>
              <w:jc w:val="both"/>
              <w:rPr>
                <w:rFonts w:ascii="Times New Roman" w:hAnsi="Times New Roman"/>
              </w:rPr>
            </w:pPr>
            <w:r w:rsidRPr="007E5A32">
              <w:rPr>
                <w:rFonts w:ascii="Times New Roman" w:hAnsi="Times New Roman"/>
              </w:rPr>
              <w:t>Az utánkövetés medián időtartama</w:t>
            </w:r>
          </w:p>
          <w:p w14:paraId="172A98C2" w14:textId="15791C11" w:rsidR="0021204A" w:rsidRPr="0021204A" w:rsidRDefault="007318A1" w:rsidP="007E5A32">
            <w:pPr>
              <w:keepLines/>
              <w:tabs>
                <w:tab w:val="left" w:pos="567"/>
              </w:tabs>
              <w:spacing w:after="0" w:line="260" w:lineRule="exact"/>
              <w:ind w:left="244"/>
              <w:jc w:val="both"/>
              <w:rPr>
                <w:rFonts w:ascii="Times New Roman" w:eastAsia="Times New Roman" w:hAnsi="Times New Roman" w:cs="Times New Roman"/>
                <w:lang w:val="en-GB" w:eastAsia="ru-RU"/>
              </w:rPr>
            </w:pPr>
            <w:r w:rsidRPr="007E5A32">
              <w:rPr>
                <w:rFonts w:ascii="Times New Roman" w:hAnsi="Times New Roman"/>
              </w:rPr>
              <w:t xml:space="preserve">(min., max.) </w:t>
            </w:r>
            <w:r w:rsidRPr="007318A1">
              <w:rPr>
                <w:rFonts w:ascii="Times New Roman" w:eastAsia="Times New Roman" w:hAnsi="Times New Roman" w:cs="Times New Roman"/>
                <w:lang w:val="en-GB" w:eastAsia="ru-RU"/>
              </w:rPr>
              <w:t>(hónap)</w:t>
            </w:r>
          </w:p>
        </w:tc>
        <w:tc>
          <w:tcPr>
            <w:tcW w:w="1479" w:type="pct"/>
            <w:tcBorders>
              <w:top w:val="outset" w:sz="6" w:space="0" w:color="7B7B7B"/>
              <w:left w:val="outset" w:sz="6" w:space="0" w:color="7B7B7B"/>
              <w:bottom w:val="outset" w:sz="6" w:space="0" w:color="7B7B7B"/>
              <w:right w:val="outset" w:sz="6" w:space="0" w:color="7B7B7B"/>
            </w:tcBorders>
            <w:hideMark/>
          </w:tcPr>
          <w:p w14:paraId="583315C7" w14:textId="671C8716" w:rsidR="0021204A" w:rsidRPr="0021204A" w:rsidRDefault="001D4862" w:rsidP="00934095">
            <w:pPr>
              <w:keepLines/>
              <w:autoSpaceDE w:val="0"/>
              <w:autoSpaceDN w:val="0"/>
              <w:adjustRightInd w:val="0"/>
              <w:spacing w:after="0" w:line="240" w:lineRule="auto"/>
              <w:jc w:val="center"/>
              <w:rPr>
                <w:rFonts w:ascii="Times New Roman" w:eastAsia="Times New Roman" w:hAnsi="Times New Roman" w:cs="Times New Roman"/>
                <w:lang w:val="en-GB" w:eastAsia="de-DE"/>
              </w:rPr>
            </w:pPr>
            <w:r>
              <w:rPr>
                <w:rFonts w:ascii="Times New Roman" w:eastAsia="Times New Roman" w:hAnsi="Times New Roman" w:cs="Times New Roman"/>
                <w:lang w:val="en-GB" w:eastAsia="de-DE"/>
              </w:rPr>
              <w:t>67,81</w:t>
            </w:r>
          </w:p>
          <w:p w14:paraId="3AD76230" w14:textId="563FA3C2"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(0</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5</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w:t>
            </w:r>
            <w:r w:rsidR="001D4862">
              <w:rPr>
                <w:rFonts w:ascii="Times New Roman" w:eastAsia="Times New Roman" w:hAnsi="Times New Roman" w:cs="Times New Roman"/>
                <w:lang w:val="en-GB" w:eastAsia="de-DE"/>
              </w:rPr>
              <w:t>89,3</w:t>
            </w:r>
            <w:r w:rsidRPr="0021204A">
              <w:rPr>
                <w:rFonts w:ascii="Times New Roman" w:eastAsia="Times New Roman" w:hAnsi="Times New Roman" w:cs="Times New Roman"/>
                <w:lang w:val="en-GB" w:eastAsia="de-DE"/>
              </w:rPr>
              <w:t>)</w:t>
            </w:r>
          </w:p>
        </w:tc>
        <w:tc>
          <w:tcPr>
            <w:tcW w:w="1402" w:type="pct"/>
            <w:tcBorders>
              <w:top w:val="outset" w:sz="6" w:space="0" w:color="7B7B7B"/>
              <w:left w:val="outset" w:sz="6" w:space="0" w:color="7B7B7B"/>
              <w:bottom w:val="outset" w:sz="6" w:space="0" w:color="7B7B7B"/>
              <w:right w:val="outset" w:sz="6" w:space="0" w:color="7B7B7B"/>
            </w:tcBorders>
            <w:hideMark/>
          </w:tcPr>
          <w:p w14:paraId="73DE9EAE" w14:textId="271BA96F" w:rsidR="0021204A" w:rsidRPr="0021204A" w:rsidRDefault="001D4862" w:rsidP="00934095">
            <w:pPr>
              <w:keepLines/>
              <w:autoSpaceDE w:val="0"/>
              <w:autoSpaceDN w:val="0"/>
              <w:adjustRightInd w:val="0"/>
              <w:spacing w:after="0" w:line="240" w:lineRule="auto"/>
              <w:jc w:val="center"/>
              <w:rPr>
                <w:rFonts w:ascii="Times New Roman" w:eastAsia="Times New Roman" w:hAnsi="Times New Roman" w:cs="Times New Roman"/>
                <w:lang w:val="en-GB" w:eastAsia="de-DE"/>
              </w:rPr>
            </w:pPr>
            <w:r>
              <w:rPr>
                <w:rFonts w:ascii="Times New Roman" w:eastAsia="Times New Roman" w:hAnsi="Times New Roman" w:cs="Times New Roman"/>
                <w:lang w:val="en-GB" w:eastAsia="de-DE"/>
              </w:rPr>
              <w:t>65,72</w:t>
            </w:r>
          </w:p>
          <w:p w14:paraId="3E7A71D9" w14:textId="11FDAC14" w:rsidR="0021204A" w:rsidRPr="0021204A" w:rsidRDefault="0021204A" w:rsidP="007E5A32">
            <w:pPr>
              <w:keepLines/>
              <w:tabs>
                <w:tab w:val="left" w:pos="567"/>
              </w:tabs>
              <w:spacing w:after="0" w:line="260" w:lineRule="exact"/>
              <w:jc w:val="center"/>
              <w:rPr>
                <w:rFonts w:ascii="Times New Roman" w:eastAsia="Times New Roman" w:hAnsi="Times New Roman" w:cs="Times New Roman"/>
                <w:lang w:val="en-GB" w:eastAsia="ru-RU"/>
              </w:rPr>
            </w:pPr>
            <w:r w:rsidRPr="0021204A">
              <w:rPr>
                <w:rFonts w:ascii="Times New Roman" w:eastAsia="Times New Roman" w:hAnsi="Times New Roman" w:cs="Times New Roman"/>
                <w:lang w:val="en-GB" w:eastAsia="de-DE"/>
              </w:rPr>
              <w:t>(0</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6</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 xml:space="preserve"> </w:t>
            </w:r>
            <w:r w:rsidR="001D4862">
              <w:rPr>
                <w:rFonts w:ascii="Times New Roman" w:eastAsia="Times New Roman" w:hAnsi="Times New Roman" w:cs="Times New Roman"/>
                <w:lang w:val="en-GB" w:eastAsia="de-DE"/>
              </w:rPr>
              <w:t>9</w:t>
            </w:r>
            <w:r w:rsidRPr="0021204A">
              <w:rPr>
                <w:rFonts w:ascii="Times New Roman" w:eastAsia="Times New Roman" w:hAnsi="Times New Roman" w:cs="Times New Roman"/>
                <w:lang w:val="en-GB" w:eastAsia="de-DE"/>
              </w:rPr>
              <w:t>0</w:t>
            </w:r>
            <w:r w:rsidR="007318A1">
              <w:rPr>
                <w:rFonts w:ascii="Times New Roman" w:eastAsia="Times New Roman" w:hAnsi="Times New Roman" w:cs="Times New Roman"/>
                <w:lang w:val="en-GB" w:eastAsia="de-DE"/>
              </w:rPr>
              <w:t>,</w:t>
            </w:r>
            <w:r w:rsidRPr="0021204A">
              <w:rPr>
                <w:rFonts w:ascii="Times New Roman" w:eastAsia="Times New Roman" w:hAnsi="Times New Roman" w:cs="Times New Roman"/>
                <w:lang w:val="en-GB" w:eastAsia="de-DE"/>
              </w:rPr>
              <w:t>9)</w:t>
            </w:r>
          </w:p>
        </w:tc>
      </w:tr>
    </w:tbl>
    <w:p w14:paraId="6BF0E07F" w14:textId="5243F7D2" w:rsidR="00BC59DA" w:rsidRPr="00E83289" w:rsidRDefault="00BC59DA" w:rsidP="00BC59DA">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vertAlign w:val="superscript"/>
        </w:rPr>
        <w:t>a</w:t>
      </w:r>
      <w:r w:rsidRPr="00E83289">
        <w:rPr>
          <w:rFonts w:ascii="Times New Roman" w:eastAsia="Calibri" w:hAnsi="Times New Roman" w:cs="Times New Roman"/>
          <w:sz w:val="18"/>
          <w:szCs w:val="18"/>
        </w:rPr>
        <w:t xml:space="preserve"> A medián meghatározása a Kaplan–Meier-módszeren alapul.</w:t>
      </w:r>
    </w:p>
    <w:p w14:paraId="12E14859" w14:textId="2900EAD5" w:rsidR="00BC59DA" w:rsidRPr="00E83289" w:rsidRDefault="00BC59DA" w:rsidP="00BC59DA">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vertAlign w:val="superscript"/>
        </w:rPr>
        <w:t>b</w:t>
      </w:r>
      <w:r w:rsidRPr="00E83289">
        <w:rPr>
          <w:rFonts w:ascii="Times New Roman" w:eastAsia="Calibri" w:hAnsi="Times New Roman" w:cs="Times New Roman"/>
          <w:sz w:val="18"/>
          <w:szCs w:val="18"/>
        </w:rPr>
        <w:t xml:space="preserve"> A hazárd-arány és annak konfidenciaintervalluma a nem rétegzett Cox-féle arányos hazárdmodell alapján került felbecslésre.</w:t>
      </w:r>
    </w:p>
    <w:p w14:paraId="67A13A7F" w14:textId="77777777" w:rsidR="00BC59DA" w:rsidRPr="00E83289" w:rsidRDefault="00BC59DA" w:rsidP="00BC59DA">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vertAlign w:val="superscript"/>
        </w:rPr>
        <w:t>c</w:t>
      </w:r>
      <w:r w:rsidRPr="00E83289">
        <w:rPr>
          <w:rFonts w:ascii="Times New Roman" w:eastAsia="Calibri" w:hAnsi="Times New Roman" w:cs="Times New Roman"/>
          <w:sz w:val="18"/>
          <w:szCs w:val="18"/>
        </w:rPr>
        <w:t xml:space="preserve"> Lograng-próbával meghatározott p-érték.</w:t>
      </w:r>
    </w:p>
    <w:p w14:paraId="2F4E14DF" w14:textId="233DADBF" w:rsidR="00BC59DA" w:rsidRPr="00E83289" w:rsidRDefault="00BC59DA" w:rsidP="00BC59DA">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vertAlign w:val="superscript"/>
        </w:rPr>
        <w:t>d</w:t>
      </w:r>
      <w:r w:rsidRPr="00E83289">
        <w:rPr>
          <w:rFonts w:ascii="Times New Roman" w:eastAsia="Calibri" w:hAnsi="Times New Roman" w:cs="Times New Roman"/>
          <w:sz w:val="18"/>
          <w:szCs w:val="18"/>
        </w:rPr>
        <w:t xml:space="preserve"> A másodlagos és a feltáró végpontok nem α-kontrolláltak.</w:t>
      </w:r>
    </w:p>
    <w:p w14:paraId="618376B7" w14:textId="60F1D01F" w:rsidR="00BC59DA" w:rsidRPr="00E83289" w:rsidRDefault="00BC59DA" w:rsidP="00BC59DA">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vertAlign w:val="superscript"/>
        </w:rPr>
        <w:t>e</w:t>
      </w:r>
      <w:r w:rsidRPr="00E83289">
        <w:rPr>
          <w:rFonts w:ascii="Times New Roman" w:eastAsia="Calibri" w:hAnsi="Times New Roman" w:cs="Times New Roman"/>
          <w:sz w:val="18"/>
          <w:szCs w:val="18"/>
        </w:rPr>
        <w:t xml:space="preserve"> </w:t>
      </w:r>
      <w:r w:rsidR="009F6866">
        <w:rPr>
          <w:rFonts w:ascii="Times New Roman" w:eastAsia="Calibri" w:hAnsi="Times New Roman" w:cs="Times New Roman"/>
          <w:sz w:val="18"/>
          <w:szCs w:val="18"/>
        </w:rPr>
        <w:t>66,14</w:t>
      </w:r>
      <w:r w:rsidRPr="00E83289">
        <w:rPr>
          <w:rFonts w:ascii="Times New Roman" w:eastAsia="Calibri" w:hAnsi="Times New Roman" w:cs="Times New Roman"/>
          <w:sz w:val="18"/>
          <w:szCs w:val="18"/>
        </w:rPr>
        <w:t> hónapos medián utánkövetési idő elteltével 1</w:t>
      </w:r>
      <w:r w:rsidR="009F6866">
        <w:rPr>
          <w:rFonts w:ascii="Times New Roman" w:eastAsia="Calibri" w:hAnsi="Times New Roman" w:cs="Times New Roman"/>
          <w:sz w:val="18"/>
          <w:szCs w:val="18"/>
        </w:rPr>
        <w:t>9</w:t>
      </w:r>
      <w:r w:rsidRPr="00E83289">
        <w:rPr>
          <w:rFonts w:ascii="Times New Roman" w:eastAsia="Calibri" w:hAnsi="Times New Roman" w:cs="Times New Roman"/>
          <w:sz w:val="18"/>
          <w:szCs w:val="18"/>
        </w:rPr>
        <w:t xml:space="preserve"> haláleset fordult elő az R2-karon és </w:t>
      </w:r>
      <w:r w:rsidR="009F6866">
        <w:rPr>
          <w:rFonts w:ascii="Times New Roman" w:eastAsia="Calibri" w:hAnsi="Times New Roman" w:cs="Times New Roman"/>
          <w:sz w:val="18"/>
          <w:szCs w:val="18"/>
        </w:rPr>
        <w:t>38</w:t>
      </w:r>
      <w:r w:rsidRPr="00E83289">
        <w:rPr>
          <w:rFonts w:ascii="Times New Roman" w:eastAsia="Calibri" w:hAnsi="Times New Roman" w:cs="Times New Roman"/>
          <w:sz w:val="18"/>
          <w:szCs w:val="18"/>
        </w:rPr>
        <w:t> haláleset a kontrollkaron.</w:t>
      </w:r>
    </w:p>
    <w:p w14:paraId="43818819" w14:textId="5DECF2B9" w:rsidR="0021204A" w:rsidRPr="00E83289" w:rsidRDefault="00BC59DA" w:rsidP="00BC59DA">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vertAlign w:val="superscript"/>
        </w:rPr>
        <w:t>f</w:t>
      </w:r>
      <w:r w:rsidRPr="00E83289">
        <w:rPr>
          <w:rFonts w:ascii="Times New Roman" w:eastAsia="Calibri" w:hAnsi="Times New Roman" w:cs="Times New Roman"/>
          <w:sz w:val="18"/>
          <w:szCs w:val="18"/>
        </w:rPr>
        <w:t xml:space="preserve"> A binomiális eloszlás pontos konfidenciaintervalluma.</w:t>
      </w:r>
    </w:p>
    <w:p w14:paraId="4F694693" w14:textId="437C593E" w:rsidR="00BC59DA" w:rsidRDefault="00BC59DA" w:rsidP="00BC59DA">
      <w:pPr>
        <w:spacing w:after="0" w:line="240" w:lineRule="auto"/>
        <w:rPr>
          <w:rFonts w:ascii="Times New Roman" w:eastAsia="Calibri" w:hAnsi="Times New Roman" w:cs="Times New Roman"/>
        </w:rPr>
      </w:pPr>
    </w:p>
    <w:p w14:paraId="4CECFD44" w14:textId="77777777" w:rsidR="00EC50F3" w:rsidRPr="00E83289" w:rsidRDefault="00EC50F3" w:rsidP="00E83289">
      <w:pPr>
        <w:keepNext/>
        <w:spacing w:after="0" w:line="240" w:lineRule="auto"/>
        <w:rPr>
          <w:rFonts w:ascii="Times New Roman" w:eastAsia="Calibri" w:hAnsi="Times New Roman" w:cs="Times New Roman"/>
          <w:i/>
          <w:iCs/>
          <w:u w:val="single"/>
        </w:rPr>
      </w:pPr>
      <w:r w:rsidRPr="00E83289">
        <w:rPr>
          <w:rFonts w:ascii="Times New Roman" w:eastAsia="Calibri" w:hAnsi="Times New Roman" w:cs="Times New Roman"/>
          <w:i/>
          <w:iCs/>
          <w:u w:val="single"/>
        </w:rPr>
        <w:lastRenderedPageBreak/>
        <w:t>Follicularis lymphoma rituximabra refrakter betegeknél</w:t>
      </w:r>
    </w:p>
    <w:p w14:paraId="3ABCE874" w14:textId="77777777" w:rsidR="00EC50F3" w:rsidRPr="00EC50F3" w:rsidRDefault="00EC50F3" w:rsidP="007E5A32">
      <w:pPr>
        <w:keepNext/>
        <w:spacing w:after="0" w:line="240" w:lineRule="auto"/>
        <w:rPr>
          <w:rFonts w:ascii="Times New Roman" w:eastAsia="Calibri" w:hAnsi="Times New Roman" w:cs="Times New Roman"/>
        </w:rPr>
      </w:pPr>
      <w:r w:rsidRPr="00EC50F3">
        <w:rPr>
          <w:rFonts w:ascii="Times New Roman" w:eastAsia="Calibri" w:hAnsi="Times New Roman" w:cs="Times New Roman"/>
        </w:rPr>
        <w:t>MAGNIFY – CC-5013-NHL-008</w:t>
      </w:r>
    </w:p>
    <w:p w14:paraId="5C076625" w14:textId="2295FC74" w:rsidR="009D4E80" w:rsidRDefault="00EC50F3" w:rsidP="009D4E80">
      <w:pPr>
        <w:spacing w:after="0" w:line="240" w:lineRule="auto"/>
        <w:rPr>
          <w:rFonts w:ascii="Times New Roman" w:eastAsia="Calibri" w:hAnsi="Times New Roman" w:cs="Times New Roman"/>
        </w:rPr>
      </w:pPr>
      <w:r w:rsidRPr="00EC50F3">
        <w:rPr>
          <w:rFonts w:ascii="Times New Roman" w:eastAsia="Calibri" w:hAnsi="Times New Roman" w:cs="Times New Roman"/>
        </w:rPr>
        <w:t>A vizsgálóorvos vagy kórházi patológus értékelése alapján hisztológiailag igazolt FL-ben (1., 2., 3a</w:t>
      </w:r>
      <w:r>
        <w:rPr>
          <w:rFonts w:ascii="Times New Roman" w:eastAsia="Calibri" w:hAnsi="Times New Roman" w:cs="Times New Roman"/>
        </w:rPr>
        <w:t> </w:t>
      </w:r>
      <w:r w:rsidRPr="00EC50F3">
        <w:rPr>
          <w:rFonts w:ascii="Times New Roman" w:eastAsia="Calibri" w:hAnsi="Times New Roman" w:cs="Times New Roman"/>
        </w:rPr>
        <w:t>fokú vagy MZL) szenvedő, legalább 18</w:t>
      </w:r>
      <w:r>
        <w:rPr>
          <w:rFonts w:ascii="Times New Roman" w:eastAsia="Calibri" w:hAnsi="Times New Roman" w:cs="Times New Roman"/>
        </w:rPr>
        <w:t> </w:t>
      </w:r>
      <w:r w:rsidRPr="00EC50F3">
        <w:rPr>
          <w:rFonts w:ascii="Times New Roman" w:eastAsia="Calibri" w:hAnsi="Times New Roman" w:cs="Times New Roman"/>
        </w:rPr>
        <w:t>éves betegek közül összesen 232-t választottak be a kezdeti</w:t>
      </w:r>
      <w:r>
        <w:rPr>
          <w:rFonts w:ascii="Times New Roman" w:eastAsia="Calibri" w:hAnsi="Times New Roman" w:cs="Times New Roman"/>
        </w:rPr>
        <w:t xml:space="preserve"> </w:t>
      </w:r>
      <w:r w:rsidRPr="00EC50F3">
        <w:rPr>
          <w:rFonts w:ascii="Times New Roman" w:eastAsia="Calibri" w:hAnsi="Times New Roman" w:cs="Times New Roman"/>
        </w:rPr>
        <w:t>kezelési időszakba (12</w:t>
      </w:r>
      <w:r>
        <w:rPr>
          <w:rFonts w:ascii="Times New Roman" w:eastAsia="Calibri" w:hAnsi="Times New Roman" w:cs="Times New Roman"/>
        </w:rPr>
        <w:t> </w:t>
      </w:r>
      <w:r w:rsidRPr="00EC50F3">
        <w:rPr>
          <w:rFonts w:ascii="Times New Roman" w:eastAsia="Calibri" w:hAnsi="Times New Roman" w:cs="Times New Roman"/>
        </w:rPr>
        <w:t>lenalidomid plusz rituximab ciklus). Az indukciós kezelési időszak végére</w:t>
      </w:r>
      <w:r>
        <w:rPr>
          <w:rFonts w:ascii="Times New Roman" w:eastAsia="Calibri" w:hAnsi="Times New Roman" w:cs="Times New Roman"/>
        </w:rPr>
        <w:t xml:space="preserve"> </w:t>
      </w:r>
      <w:r w:rsidRPr="00EC50F3">
        <w:rPr>
          <w:rFonts w:ascii="Times New Roman" w:eastAsia="Calibri" w:hAnsi="Times New Roman" w:cs="Times New Roman"/>
        </w:rPr>
        <w:t>CR</w:t>
      </w:r>
      <w:r w:rsidR="000636E8">
        <w:rPr>
          <w:rFonts w:ascii="Times New Roman" w:eastAsia="Calibri" w:hAnsi="Times New Roman" w:cs="Times New Roman"/>
        </w:rPr>
        <w:noBreakHyphen/>
      </w:r>
      <w:r w:rsidRPr="00EC50F3">
        <w:rPr>
          <w:rFonts w:ascii="Times New Roman" w:eastAsia="Calibri" w:hAnsi="Times New Roman" w:cs="Times New Roman"/>
        </w:rPr>
        <w:t>t/CRu-t, PR-t vagy SD-t elérő betegeket a fenntartó kezelési időszakba való belépéshez</w:t>
      </w:r>
      <w:r>
        <w:rPr>
          <w:rFonts w:ascii="Times New Roman" w:eastAsia="Calibri" w:hAnsi="Times New Roman" w:cs="Times New Roman"/>
        </w:rPr>
        <w:t xml:space="preserve"> </w:t>
      </w:r>
      <w:r w:rsidRPr="00EC50F3">
        <w:rPr>
          <w:rFonts w:ascii="Times New Roman" w:eastAsia="Calibri" w:hAnsi="Times New Roman" w:cs="Times New Roman"/>
        </w:rPr>
        <w:t>randomizálták. Valamennyi vizsgálatba bevont betegnek korábban részesülnie kellett legalább egy</w:t>
      </w:r>
      <w:r>
        <w:rPr>
          <w:rFonts w:ascii="Times New Roman" w:eastAsia="Calibri" w:hAnsi="Times New Roman" w:cs="Times New Roman"/>
        </w:rPr>
        <w:t xml:space="preserve"> </w:t>
      </w:r>
      <w:r w:rsidRPr="00EC50F3">
        <w:rPr>
          <w:rFonts w:ascii="Times New Roman" w:eastAsia="Calibri" w:hAnsi="Times New Roman" w:cs="Times New Roman"/>
        </w:rPr>
        <w:t>szisztémás lymphomaellenes kezelésben. Az NHL-007 vizsgálattal szemben az NHL-008 vizsgálatba</w:t>
      </w:r>
      <w:r>
        <w:rPr>
          <w:rFonts w:ascii="Times New Roman" w:eastAsia="Calibri" w:hAnsi="Times New Roman" w:cs="Times New Roman"/>
        </w:rPr>
        <w:t xml:space="preserve"> </w:t>
      </w:r>
      <w:r w:rsidRPr="00EC50F3">
        <w:rPr>
          <w:rFonts w:ascii="Times New Roman" w:eastAsia="Calibri" w:hAnsi="Times New Roman" w:cs="Times New Roman"/>
        </w:rPr>
        <w:t>olyan betegeket vontak be, akik rituximabra refrakterek voltak (nem volt válaszreakció vagy a</w:t>
      </w:r>
      <w:r w:rsidR="009D4E80">
        <w:rPr>
          <w:rFonts w:ascii="Times New Roman" w:eastAsia="Calibri" w:hAnsi="Times New Roman" w:cs="Times New Roman"/>
        </w:rPr>
        <w:t xml:space="preserve"> </w:t>
      </w:r>
      <w:r w:rsidR="009D4E80" w:rsidRPr="009D4E80">
        <w:rPr>
          <w:rFonts w:ascii="Times New Roman" w:eastAsia="Calibri" w:hAnsi="Times New Roman" w:cs="Times New Roman"/>
        </w:rPr>
        <w:t>rituximab-kezelés után 6</w:t>
      </w:r>
      <w:r w:rsidR="009D4E80">
        <w:rPr>
          <w:rFonts w:ascii="Times New Roman" w:eastAsia="Calibri" w:hAnsi="Times New Roman" w:cs="Times New Roman"/>
        </w:rPr>
        <w:t> </w:t>
      </w:r>
      <w:r w:rsidR="009D4E80" w:rsidRPr="009D4E80">
        <w:rPr>
          <w:rFonts w:ascii="Times New Roman" w:eastAsia="Calibri" w:hAnsi="Times New Roman" w:cs="Times New Roman"/>
        </w:rPr>
        <w:t>hónapon belül relapszus következett be)</w:t>
      </w:r>
      <w:r w:rsidR="009D4E80">
        <w:rPr>
          <w:rFonts w:ascii="Times New Roman" w:eastAsia="Calibri" w:hAnsi="Times New Roman" w:cs="Times New Roman"/>
        </w:rPr>
        <w:t>,</w:t>
      </w:r>
      <w:r w:rsidR="009D4E80" w:rsidRPr="009D4E80">
        <w:rPr>
          <w:rFonts w:ascii="Times New Roman" w:eastAsia="Calibri" w:hAnsi="Times New Roman" w:cs="Times New Roman"/>
        </w:rPr>
        <w:t xml:space="preserve"> vagy akik rituximabra és</w:t>
      </w:r>
      <w:r w:rsidR="009D4E80">
        <w:rPr>
          <w:rFonts w:ascii="Times New Roman" w:eastAsia="Calibri" w:hAnsi="Times New Roman" w:cs="Times New Roman"/>
        </w:rPr>
        <w:t xml:space="preserve"> </w:t>
      </w:r>
      <w:r w:rsidR="009D4E80" w:rsidRPr="009D4E80">
        <w:rPr>
          <w:rFonts w:ascii="Times New Roman" w:eastAsia="Calibri" w:hAnsi="Times New Roman" w:cs="Times New Roman"/>
        </w:rPr>
        <w:t>kemoterápiára is refrakterek voltak.</w:t>
      </w:r>
    </w:p>
    <w:p w14:paraId="5E2F654E" w14:textId="77777777" w:rsidR="009D4E80" w:rsidRPr="009D4E80" w:rsidRDefault="009D4E80" w:rsidP="009D4E80">
      <w:pPr>
        <w:spacing w:after="0" w:line="240" w:lineRule="auto"/>
        <w:rPr>
          <w:rFonts w:ascii="Times New Roman" w:eastAsia="Calibri" w:hAnsi="Times New Roman" w:cs="Times New Roman"/>
        </w:rPr>
      </w:pPr>
    </w:p>
    <w:p w14:paraId="44E620E4" w14:textId="52EDBCD8" w:rsidR="009D4E80" w:rsidRDefault="009D4E80" w:rsidP="009D4E80">
      <w:pPr>
        <w:spacing w:after="0" w:line="240" w:lineRule="auto"/>
        <w:rPr>
          <w:rFonts w:ascii="Times New Roman" w:eastAsia="Calibri" w:hAnsi="Times New Roman" w:cs="Times New Roman"/>
        </w:rPr>
      </w:pPr>
      <w:r w:rsidRPr="009D4E80">
        <w:rPr>
          <w:rFonts w:ascii="Times New Roman" w:eastAsia="Calibri" w:hAnsi="Times New Roman" w:cs="Times New Roman"/>
        </w:rPr>
        <w:t>Az indukciós kezelési szakasz alatt az ismételt 28</w:t>
      </w:r>
      <w:r>
        <w:rPr>
          <w:rFonts w:ascii="Times New Roman" w:eastAsia="Calibri" w:hAnsi="Times New Roman" w:cs="Times New Roman"/>
        </w:rPr>
        <w:t> </w:t>
      </w:r>
      <w:r w:rsidRPr="009D4E80">
        <w:rPr>
          <w:rFonts w:ascii="Times New Roman" w:eastAsia="Calibri" w:hAnsi="Times New Roman" w:cs="Times New Roman"/>
        </w:rPr>
        <w:t>napos ciklusok 1</w:t>
      </w:r>
      <w:r w:rsidR="000636E8">
        <w:rPr>
          <w:rFonts w:ascii="Times New Roman" w:eastAsia="Calibri" w:hAnsi="Times New Roman" w:cs="Times New Roman"/>
        </w:rPr>
        <w:t>.</w:t>
      </w:r>
      <w:r>
        <w:rPr>
          <w:rFonts w:ascii="Times New Roman" w:eastAsia="Calibri" w:hAnsi="Times New Roman" w:cs="Times New Roman"/>
        </w:rPr>
        <w:t>–</w:t>
      </w:r>
      <w:r w:rsidRPr="009D4E80">
        <w:rPr>
          <w:rFonts w:ascii="Times New Roman" w:eastAsia="Calibri" w:hAnsi="Times New Roman" w:cs="Times New Roman"/>
        </w:rPr>
        <w:t>21.</w:t>
      </w:r>
      <w:r>
        <w:rPr>
          <w:rFonts w:ascii="Times New Roman" w:eastAsia="Calibri" w:hAnsi="Times New Roman" w:cs="Times New Roman"/>
        </w:rPr>
        <w:t> </w:t>
      </w:r>
      <w:r w:rsidRPr="009D4E80">
        <w:rPr>
          <w:rFonts w:ascii="Times New Roman" w:eastAsia="Calibri" w:hAnsi="Times New Roman" w:cs="Times New Roman"/>
        </w:rPr>
        <w:t>napjain 20</w:t>
      </w:r>
      <w:r>
        <w:rPr>
          <w:rFonts w:ascii="Times New Roman" w:eastAsia="Calibri" w:hAnsi="Times New Roman" w:cs="Times New Roman"/>
        </w:rPr>
        <w:t> </w:t>
      </w:r>
      <w:r w:rsidRPr="009D4E80">
        <w:rPr>
          <w:rFonts w:ascii="Times New Roman" w:eastAsia="Calibri" w:hAnsi="Times New Roman" w:cs="Times New Roman"/>
        </w:rPr>
        <w:t>mg lenalidomidot</w:t>
      </w:r>
      <w:r>
        <w:rPr>
          <w:rFonts w:ascii="Times New Roman" w:eastAsia="Calibri" w:hAnsi="Times New Roman" w:cs="Times New Roman"/>
        </w:rPr>
        <w:t xml:space="preserve"> </w:t>
      </w:r>
      <w:r w:rsidRPr="009D4E80">
        <w:rPr>
          <w:rFonts w:ascii="Times New Roman" w:eastAsia="Calibri" w:hAnsi="Times New Roman" w:cs="Times New Roman"/>
        </w:rPr>
        <w:t>alkalmaztak legfeljebb 12</w:t>
      </w:r>
      <w:r>
        <w:rPr>
          <w:rFonts w:ascii="Times New Roman" w:eastAsia="Calibri" w:hAnsi="Times New Roman" w:cs="Times New Roman"/>
        </w:rPr>
        <w:t> </w:t>
      </w:r>
      <w:r w:rsidRPr="009D4E80">
        <w:rPr>
          <w:rFonts w:ascii="Times New Roman" w:eastAsia="Calibri" w:hAnsi="Times New Roman" w:cs="Times New Roman"/>
        </w:rPr>
        <w:t>cikluson keresztül vagy elfogadhatatlan toxicitás jelentkezéséig, illetve a</w:t>
      </w:r>
      <w:r>
        <w:rPr>
          <w:rFonts w:ascii="Times New Roman" w:eastAsia="Calibri" w:hAnsi="Times New Roman" w:cs="Times New Roman"/>
        </w:rPr>
        <w:t xml:space="preserve"> </w:t>
      </w:r>
      <w:r w:rsidRPr="009D4E80">
        <w:rPr>
          <w:rFonts w:ascii="Times New Roman" w:eastAsia="Calibri" w:hAnsi="Times New Roman" w:cs="Times New Roman"/>
        </w:rPr>
        <w:t xml:space="preserve">beleegyezés visszavonásáig vagy a betegség progressziójáig. A rituximab </w:t>
      </w:r>
      <w:r w:rsidR="00426AD5">
        <w:rPr>
          <w:rFonts w:ascii="Times New Roman" w:eastAsia="Calibri" w:hAnsi="Times New Roman" w:cs="Times New Roman"/>
        </w:rPr>
        <w:t>dózisa</w:t>
      </w:r>
      <w:r w:rsidR="00426AD5" w:rsidRPr="00956F16">
        <w:rPr>
          <w:rFonts w:ascii="Times New Roman" w:eastAsia="Calibri" w:hAnsi="Times New Roman" w:cs="Times New Roman"/>
        </w:rPr>
        <w:t xml:space="preserve"> </w:t>
      </w:r>
      <w:r w:rsidRPr="009D4E80">
        <w:rPr>
          <w:rFonts w:ascii="Times New Roman" w:eastAsia="Calibri" w:hAnsi="Times New Roman" w:cs="Times New Roman"/>
        </w:rPr>
        <w:t>az 1.</w:t>
      </w:r>
      <w:r>
        <w:rPr>
          <w:rFonts w:ascii="Times New Roman" w:eastAsia="Calibri" w:hAnsi="Times New Roman" w:cs="Times New Roman"/>
        </w:rPr>
        <w:t> </w:t>
      </w:r>
      <w:r w:rsidRPr="009D4E80">
        <w:rPr>
          <w:rFonts w:ascii="Times New Roman" w:eastAsia="Calibri" w:hAnsi="Times New Roman" w:cs="Times New Roman"/>
        </w:rPr>
        <w:t>ciklus minden</w:t>
      </w:r>
      <w:r>
        <w:rPr>
          <w:rFonts w:ascii="Times New Roman" w:eastAsia="Calibri" w:hAnsi="Times New Roman" w:cs="Times New Roman"/>
        </w:rPr>
        <w:t xml:space="preserve"> </w:t>
      </w:r>
      <w:r w:rsidRPr="009D4E80">
        <w:rPr>
          <w:rFonts w:ascii="Times New Roman" w:eastAsia="Calibri" w:hAnsi="Times New Roman" w:cs="Times New Roman"/>
        </w:rPr>
        <w:t>hetén (1., 8., 15. és 22.</w:t>
      </w:r>
      <w:r>
        <w:rPr>
          <w:rFonts w:ascii="Times New Roman" w:eastAsia="Calibri" w:hAnsi="Times New Roman" w:cs="Times New Roman"/>
        </w:rPr>
        <w:t> </w:t>
      </w:r>
      <w:r w:rsidRPr="009D4E80">
        <w:rPr>
          <w:rFonts w:ascii="Times New Roman" w:eastAsia="Calibri" w:hAnsi="Times New Roman" w:cs="Times New Roman"/>
        </w:rPr>
        <w:t>nap) és minden második 28</w:t>
      </w:r>
      <w:r>
        <w:rPr>
          <w:rFonts w:ascii="Times New Roman" w:eastAsia="Calibri" w:hAnsi="Times New Roman" w:cs="Times New Roman"/>
        </w:rPr>
        <w:t> </w:t>
      </w:r>
      <w:r w:rsidRPr="009D4E80">
        <w:rPr>
          <w:rFonts w:ascii="Times New Roman" w:eastAsia="Calibri" w:hAnsi="Times New Roman" w:cs="Times New Roman"/>
        </w:rPr>
        <w:t>napos ciklus 1.</w:t>
      </w:r>
      <w:r>
        <w:rPr>
          <w:rFonts w:ascii="Times New Roman" w:eastAsia="Calibri" w:hAnsi="Times New Roman" w:cs="Times New Roman"/>
        </w:rPr>
        <w:t> </w:t>
      </w:r>
      <w:r w:rsidRPr="009D4E80">
        <w:rPr>
          <w:rFonts w:ascii="Times New Roman" w:eastAsia="Calibri" w:hAnsi="Times New Roman" w:cs="Times New Roman"/>
        </w:rPr>
        <w:t>napján (3., 5., 7., 9. és 11.</w:t>
      </w:r>
      <w:r>
        <w:rPr>
          <w:rFonts w:ascii="Times New Roman" w:eastAsia="Calibri" w:hAnsi="Times New Roman" w:cs="Times New Roman"/>
        </w:rPr>
        <w:t> </w:t>
      </w:r>
      <w:r w:rsidRPr="009D4E80">
        <w:rPr>
          <w:rFonts w:ascii="Times New Roman" w:eastAsia="Calibri" w:hAnsi="Times New Roman" w:cs="Times New Roman"/>
        </w:rPr>
        <w:t>ciklus)</w:t>
      </w:r>
      <w:r>
        <w:rPr>
          <w:rFonts w:ascii="Times New Roman" w:eastAsia="Calibri" w:hAnsi="Times New Roman" w:cs="Times New Roman"/>
        </w:rPr>
        <w:t xml:space="preserve"> </w:t>
      </w:r>
      <w:r w:rsidRPr="009D4E80">
        <w:rPr>
          <w:rFonts w:ascii="Times New Roman" w:eastAsia="Calibri" w:hAnsi="Times New Roman" w:cs="Times New Roman"/>
        </w:rPr>
        <w:t>375</w:t>
      </w:r>
      <w:r>
        <w:rPr>
          <w:rFonts w:ascii="Times New Roman" w:eastAsia="Calibri" w:hAnsi="Times New Roman" w:cs="Times New Roman"/>
        </w:rPr>
        <w:t> </w:t>
      </w:r>
      <w:r w:rsidRPr="009D4E80">
        <w:rPr>
          <w:rFonts w:ascii="Times New Roman" w:eastAsia="Calibri" w:hAnsi="Times New Roman" w:cs="Times New Roman"/>
        </w:rPr>
        <w:t>mg/m</w:t>
      </w:r>
      <w:r w:rsidRPr="00E83289">
        <w:rPr>
          <w:rFonts w:ascii="Times New Roman" w:eastAsia="Calibri" w:hAnsi="Times New Roman" w:cs="Times New Roman"/>
          <w:vertAlign w:val="superscript"/>
        </w:rPr>
        <w:t>2</w:t>
      </w:r>
      <w:r w:rsidRPr="009D4E80">
        <w:rPr>
          <w:rFonts w:ascii="Times New Roman" w:eastAsia="Calibri" w:hAnsi="Times New Roman" w:cs="Times New Roman"/>
        </w:rPr>
        <w:t xml:space="preserve"> volt legfeljebb 12</w:t>
      </w:r>
      <w:r>
        <w:rPr>
          <w:rFonts w:ascii="Times New Roman" w:eastAsia="Calibri" w:hAnsi="Times New Roman" w:cs="Times New Roman"/>
        </w:rPr>
        <w:t> </w:t>
      </w:r>
      <w:r w:rsidRPr="009D4E80">
        <w:rPr>
          <w:rFonts w:ascii="Times New Roman" w:eastAsia="Calibri" w:hAnsi="Times New Roman" w:cs="Times New Roman"/>
        </w:rPr>
        <w:t>cikluson keresztül. A rituximab összes számított dózisa a beteg</w:t>
      </w:r>
      <w:r>
        <w:rPr>
          <w:rFonts w:ascii="Times New Roman" w:eastAsia="Calibri" w:hAnsi="Times New Roman" w:cs="Times New Roman"/>
        </w:rPr>
        <w:t xml:space="preserve"> </w:t>
      </w:r>
      <w:r w:rsidRPr="009D4E80">
        <w:rPr>
          <w:rFonts w:ascii="Times New Roman" w:eastAsia="Calibri" w:hAnsi="Times New Roman" w:cs="Times New Roman"/>
        </w:rPr>
        <w:t>testfelületén (body surface area, BSA) és tényleges testtömegén alapul</w:t>
      </w:r>
      <w:r>
        <w:rPr>
          <w:rFonts w:ascii="Times New Roman" w:eastAsia="Calibri" w:hAnsi="Times New Roman" w:cs="Times New Roman"/>
        </w:rPr>
        <w:t>t</w:t>
      </w:r>
      <w:r w:rsidRPr="009D4E80">
        <w:rPr>
          <w:rFonts w:ascii="Times New Roman" w:eastAsia="Calibri" w:hAnsi="Times New Roman" w:cs="Times New Roman"/>
        </w:rPr>
        <w:t>.</w:t>
      </w:r>
    </w:p>
    <w:p w14:paraId="7D326738" w14:textId="77777777" w:rsidR="009D4E80" w:rsidRPr="009D4E80" w:rsidRDefault="009D4E80" w:rsidP="009D4E80">
      <w:pPr>
        <w:spacing w:after="0" w:line="240" w:lineRule="auto"/>
        <w:rPr>
          <w:rFonts w:ascii="Times New Roman" w:eastAsia="Calibri" w:hAnsi="Times New Roman" w:cs="Times New Roman"/>
        </w:rPr>
      </w:pPr>
    </w:p>
    <w:p w14:paraId="1478668F" w14:textId="1F25A0A3" w:rsidR="00EC50F3" w:rsidRDefault="009D4E80" w:rsidP="009D4E80">
      <w:pPr>
        <w:spacing w:after="0" w:line="240" w:lineRule="auto"/>
        <w:rPr>
          <w:rFonts w:ascii="Times New Roman" w:eastAsia="Calibri" w:hAnsi="Times New Roman" w:cs="Times New Roman"/>
        </w:rPr>
      </w:pPr>
      <w:r w:rsidRPr="009D4E80">
        <w:rPr>
          <w:rFonts w:ascii="Times New Roman" w:eastAsia="Calibri" w:hAnsi="Times New Roman" w:cs="Times New Roman"/>
        </w:rPr>
        <w:t>A közzétett adatok az egykaros indukciós kezelési szakasz időközi elemzésén alapulnak.</w:t>
      </w:r>
      <w:r>
        <w:rPr>
          <w:rFonts w:ascii="Times New Roman" w:eastAsia="Calibri" w:hAnsi="Times New Roman" w:cs="Times New Roman"/>
        </w:rPr>
        <w:t xml:space="preserve"> </w:t>
      </w:r>
      <w:r w:rsidRPr="009D4E80">
        <w:rPr>
          <w:rFonts w:ascii="Times New Roman" w:eastAsia="Calibri" w:hAnsi="Times New Roman" w:cs="Times New Roman"/>
        </w:rPr>
        <w:t>A hatásossági megállapítások alapja az elsődleges végpontként alkalmazott, legjobb válasz alapján</w:t>
      </w:r>
      <w:r>
        <w:rPr>
          <w:rFonts w:ascii="Times New Roman" w:eastAsia="Calibri" w:hAnsi="Times New Roman" w:cs="Times New Roman"/>
        </w:rPr>
        <w:t xml:space="preserve"> </w:t>
      </w:r>
      <w:r w:rsidRPr="009D4E80">
        <w:rPr>
          <w:rFonts w:ascii="Times New Roman" w:eastAsia="Calibri" w:hAnsi="Times New Roman" w:cs="Times New Roman"/>
        </w:rPr>
        <w:t>meghatározott ORR volt, az 1999-es Nemzetközi Munkacsoport módosított válaszkritériumainak</w:t>
      </w:r>
      <w:r>
        <w:rPr>
          <w:rFonts w:ascii="Times New Roman" w:eastAsia="Calibri" w:hAnsi="Times New Roman" w:cs="Times New Roman"/>
        </w:rPr>
        <w:t xml:space="preserve"> </w:t>
      </w:r>
      <w:r w:rsidRPr="009D4E80">
        <w:rPr>
          <w:rFonts w:ascii="Times New Roman" w:eastAsia="Calibri" w:hAnsi="Times New Roman" w:cs="Times New Roman"/>
        </w:rPr>
        <w:t>(International Working Group Response Criteria</w:t>
      </w:r>
      <w:r>
        <w:rPr>
          <w:rFonts w:ascii="Times New Roman" w:eastAsia="Calibri" w:hAnsi="Times New Roman" w:cs="Times New Roman"/>
        </w:rPr>
        <w:t xml:space="preserve">, </w:t>
      </w:r>
      <w:r w:rsidRPr="009D4E80">
        <w:rPr>
          <w:rFonts w:ascii="Times New Roman" w:eastAsia="Calibri" w:hAnsi="Times New Roman" w:cs="Times New Roman"/>
        </w:rPr>
        <w:t>IWGRC) felhasználásával. A másodlagos célkitűzés az egyéb hatásossági paraméterek, mint a DoR</w:t>
      </w:r>
      <w:r>
        <w:rPr>
          <w:rFonts w:ascii="Times New Roman" w:eastAsia="Calibri" w:hAnsi="Times New Roman" w:cs="Times New Roman"/>
        </w:rPr>
        <w:t xml:space="preserve"> </w:t>
      </w:r>
      <w:r w:rsidRPr="009D4E80">
        <w:rPr>
          <w:rFonts w:ascii="Times New Roman" w:eastAsia="Calibri" w:hAnsi="Times New Roman" w:cs="Times New Roman"/>
        </w:rPr>
        <w:t>értékelése volt</w:t>
      </w:r>
      <w:r>
        <w:rPr>
          <w:rFonts w:ascii="Times New Roman" w:eastAsia="Calibri" w:hAnsi="Times New Roman" w:cs="Times New Roman"/>
        </w:rPr>
        <w:t>.</w:t>
      </w:r>
    </w:p>
    <w:p w14:paraId="2D8C430E" w14:textId="2AD637A7" w:rsidR="009D4E80" w:rsidRDefault="009D4E80" w:rsidP="009D4E80">
      <w:pPr>
        <w:spacing w:after="0" w:line="240" w:lineRule="auto"/>
        <w:rPr>
          <w:rFonts w:ascii="Times New Roman" w:eastAsia="Calibri" w:hAnsi="Times New Roman" w:cs="Times New Roman"/>
        </w:rPr>
      </w:pPr>
    </w:p>
    <w:p w14:paraId="7721DC8E" w14:textId="55F21D7C" w:rsidR="009D4E80" w:rsidRPr="00E83289" w:rsidRDefault="00C159F7" w:rsidP="00C159F7">
      <w:pPr>
        <w:spacing w:after="0" w:line="240" w:lineRule="auto"/>
        <w:rPr>
          <w:rFonts w:ascii="Times New Roman" w:eastAsia="Calibri" w:hAnsi="Times New Roman" w:cs="Times New Roman"/>
          <w:b/>
          <w:bCs/>
        </w:rPr>
      </w:pPr>
      <w:r w:rsidRPr="00E83289">
        <w:rPr>
          <w:rFonts w:ascii="Times New Roman" w:eastAsia="Calibri" w:hAnsi="Times New Roman" w:cs="Times New Roman"/>
          <w:b/>
          <w:bCs/>
        </w:rPr>
        <w:t>1</w:t>
      </w:r>
      <w:r w:rsidR="00D1437B">
        <w:rPr>
          <w:rFonts w:ascii="Times New Roman" w:eastAsia="Calibri" w:hAnsi="Times New Roman" w:cs="Times New Roman"/>
          <w:b/>
          <w:bCs/>
        </w:rPr>
        <w:t>4</w:t>
      </w:r>
      <w:r w:rsidRPr="00E83289">
        <w:rPr>
          <w:rFonts w:ascii="Times New Roman" w:eastAsia="Calibri" w:hAnsi="Times New Roman" w:cs="Times New Roman"/>
          <w:b/>
          <w:bCs/>
        </w:rPr>
        <w:t>. táblázat: Az összesített hatásossági adatok összefoglalása (indukciós kezelési szakasz) –</w:t>
      </w:r>
      <w:r>
        <w:rPr>
          <w:rFonts w:ascii="Times New Roman" w:eastAsia="Calibri" w:hAnsi="Times New Roman" w:cs="Times New Roman"/>
          <w:b/>
          <w:bCs/>
        </w:rPr>
        <w:t xml:space="preserve"> </w:t>
      </w:r>
      <w:r w:rsidRPr="00E83289">
        <w:rPr>
          <w:rFonts w:ascii="Times New Roman" w:eastAsia="Calibri" w:hAnsi="Times New Roman" w:cs="Times New Roman"/>
          <w:b/>
          <w:bCs/>
        </w:rPr>
        <w:t>CC</w:t>
      </w:r>
      <w:r w:rsidR="00104634">
        <w:rPr>
          <w:rFonts w:ascii="Times New Roman" w:eastAsia="Calibri" w:hAnsi="Times New Roman" w:cs="Times New Roman"/>
          <w:b/>
          <w:bCs/>
        </w:rPr>
        <w:t>-</w:t>
      </w:r>
      <w:r w:rsidRPr="00E83289">
        <w:rPr>
          <w:rFonts w:ascii="Times New Roman" w:eastAsia="Calibri" w:hAnsi="Times New Roman" w:cs="Times New Roman"/>
          <w:b/>
          <w:bCs/>
        </w:rPr>
        <w:t>5013-NHL-008 vizsgálat</w:t>
      </w:r>
    </w:p>
    <w:tbl>
      <w:tblPr>
        <w:tblStyle w:val="Rcsostblzat1"/>
        <w:tblW w:w="9353" w:type="dxa"/>
        <w:tblLayout w:type="fixed"/>
        <w:tblLook w:val="04A0" w:firstRow="1" w:lastRow="0" w:firstColumn="1" w:lastColumn="0" w:noHBand="0" w:noVBand="1"/>
      </w:tblPr>
      <w:tblGrid>
        <w:gridCol w:w="1838"/>
        <w:gridCol w:w="1252"/>
        <w:gridCol w:w="1264"/>
        <w:gridCol w:w="1198"/>
        <w:gridCol w:w="1276"/>
        <w:gridCol w:w="1276"/>
        <w:gridCol w:w="1249"/>
      </w:tblGrid>
      <w:tr w:rsidR="009D4E80" w:rsidRPr="009D4E80" w14:paraId="43D46F1A" w14:textId="77777777" w:rsidTr="00E83289">
        <w:tc>
          <w:tcPr>
            <w:tcW w:w="1838" w:type="dxa"/>
            <w:vMerge w:val="restart"/>
          </w:tcPr>
          <w:p w14:paraId="25542FC0" w14:textId="77777777" w:rsidR="009D4E80" w:rsidRPr="007E5A32" w:rsidRDefault="009D4E80" w:rsidP="009D4E80">
            <w:pPr>
              <w:tabs>
                <w:tab w:val="left" w:pos="567"/>
              </w:tabs>
              <w:ind w:right="-20"/>
              <w:jc w:val="both"/>
              <w:rPr>
                <w:u w:val="single" w:color="000000"/>
                <w:lang w:val="hu-HU"/>
              </w:rPr>
            </w:pPr>
          </w:p>
        </w:tc>
        <w:tc>
          <w:tcPr>
            <w:tcW w:w="3714" w:type="dxa"/>
            <w:gridSpan w:val="3"/>
          </w:tcPr>
          <w:p w14:paraId="29B88D20" w14:textId="2192C4B1" w:rsidR="009D4E80" w:rsidRPr="009D4E80" w:rsidRDefault="00C159F7" w:rsidP="009D4E80">
            <w:pPr>
              <w:tabs>
                <w:tab w:val="left" w:pos="567"/>
              </w:tabs>
              <w:ind w:right="-20"/>
              <w:jc w:val="center"/>
              <w:rPr>
                <w:lang w:val="en-GB"/>
              </w:rPr>
            </w:pPr>
            <w:r>
              <w:rPr>
                <w:lang w:val="en-GB"/>
              </w:rPr>
              <w:t>Összes vizsgálati alany</w:t>
            </w:r>
          </w:p>
        </w:tc>
        <w:tc>
          <w:tcPr>
            <w:tcW w:w="3801" w:type="dxa"/>
            <w:gridSpan w:val="3"/>
          </w:tcPr>
          <w:p w14:paraId="280ADD31" w14:textId="27BB6C41" w:rsidR="009D4E80" w:rsidRPr="009D4E80" w:rsidRDefault="00C159F7" w:rsidP="009D4E80">
            <w:pPr>
              <w:tabs>
                <w:tab w:val="left" w:pos="567"/>
              </w:tabs>
              <w:ind w:right="-20"/>
              <w:jc w:val="center"/>
              <w:rPr>
                <w:u w:val="single" w:color="000000"/>
                <w:lang w:val="en-GB"/>
              </w:rPr>
            </w:pPr>
            <w:r>
              <w:rPr>
                <w:lang w:val="en-GB"/>
              </w:rPr>
              <w:t>FL vizsgálati alanyok</w:t>
            </w:r>
          </w:p>
        </w:tc>
      </w:tr>
      <w:tr w:rsidR="008149B7" w:rsidRPr="009D4E80" w14:paraId="7CE0A6E8" w14:textId="77777777" w:rsidTr="00E83289">
        <w:tc>
          <w:tcPr>
            <w:tcW w:w="1838" w:type="dxa"/>
            <w:vMerge/>
          </w:tcPr>
          <w:p w14:paraId="47B70B2A" w14:textId="77777777" w:rsidR="009D4E80" w:rsidRPr="009D4E80" w:rsidRDefault="009D4E80" w:rsidP="009D4E80">
            <w:pPr>
              <w:tabs>
                <w:tab w:val="left" w:pos="567"/>
              </w:tabs>
              <w:ind w:right="-20"/>
              <w:jc w:val="both"/>
              <w:rPr>
                <w:u w:val="single" w:color="000000"/>
                <w:lang w:val="en-GB"/>
              </w:rPr>
            </w:pPr>
          </w:p>
        </w:tc>
        <w:tc>
          <w:tcPr>
            <w:tcW w:w="1252" w:type="dxa"/>
          </w:tcPr>
          <w:p w14:paraId="5434387A" w14:textId="77777777" w:rsidR="009D4E80" w:rsidRPr="009D4E80" w:rsidRDefault="009D4E80" w:rsidP="009D4E80">
            <w:pPr>
              <w:tabs>
                <w:tab w:val="left" w:pos="567"/>
              </w:tabs>
              <w:ind w:right="-20"/>
              <w:jc w:val="both"/>
              <w:rPr>
                <w:lang w:val="en-GB"/>
              </w:rPr>
            </w:pPr>
          </w:p>
          <w:p w14:paraId="72678193" w14:textId="77777777" w:rsidR="009D4E80" w:rsidRPr="009D4E80" w:rsidRDefault="009D4E80" w:rsidP="009D4E80">
            <w:pPr>
              <w:tabs>
                <w:tab w:val="left" w:pos="567"/>
              </w:tabs>
              <w:ind w:right="-20"/>
              <w:jc w:val="both"/>
              <w:rPr>
                <w:lang w:val="en-GB"/>
              </w:rPr>
            </w:pPr>
          </w:p>
          <w:p w14:paraId="07E2DBC4" w14:textId="4098F542" w:rsidR="009D4E80" w:rsidRPr="009D4E80" w:rsidRDefault="00C159F7" w:rsidP="009D4E80">
            <w:pPr>
              <w:tabs>
                <w:tab w:val="left" w:pos="567"/>
              </w:tabs>
              <w:ind w:right="-20"/>
              <w:jc w:val="center"/>
              <w:rPr>
                <w:lang w:val="en-GB"/>
              </w:rPr>
            </w:pPr>
            <w:r>
              <w:rPr>
                <w:lang w:val="en-GB"/>
              </w:rPr>
              <w:t>Összesítet</w:t>
            </w:r>
            <w:r>
              <w:rPr>
                <w:lang w:val="en-GB"/>
              </w:rPr>
              <w:lastRenderedPageBreak/>
              <w:t>t</w:t>
            </w:r>
          </w:p>
          <w:p w14:paraId="2515AF51" w14:textId="4023245E" w:rsidR="009D4E80" w:rsidRPr="009D4E80" w:rsidRDefault="009D4E80" w:rsidP="009D4E80">
            <w:pPr>
              <w:tabs>
                <w:tab w:val="left" w:pos="567"/>
              </w:tabs>
              <w:ind w:right="-20"/>
              <w:jc w:val="center"/>
              <w:rPr>
                <w:u w:val="single" w:color="000000"/>
                <w:lang w:val="en-GB"/>
              </w:rPr>
            </w:pPr>
            <w:r w:rsidRPr="009D4E80">
              <w:rPr>
                <w:lang w:val="en-GB"/>
              </w:rPr>
              <w:t>N</w:t>
            </w:r>
            <w:r w:rsidR="00C159F7">
              <w:rPr>
                <w:lang w:val="en-GB"/>
              </w:rPr>
              <w:t> </w:t>
            </w:r>
            <w:r w:rsidRPr="009D4E80">
              <w:rPr>
                <w:lang w:val="en-GB"/>
              </w:rPr>
              <w:t>=</w:t>
            </w:r>
            <w:r w:rsidR="00C159F7">
              <w:rPr>
                <w:lang w:val="en-GB"/>
              </w:rPr>
              <w:t> </w:t>
            </w:r>
            <w:r w:rsidRPr="009D4E80">
              <w:rPr>
                <w:lang w:val="en-GB"/>
              </w:rPr>
              <w:t>187</w:t>
            </w:r>
            <w:r w:rsidRPr="009D4E80">
              <w:rPr>
                <w:vertAlign w:val="superscript"/>
                <w:lang w:val="en-GB"/>
              </w:rPr>
              <w:t>a</w:t>
            </w:r>
          </w:p>
        </w:tc>
        <w:tc>
          <w:tcPr>
            <w:tcW w:w="1264" w:type="dxa"/>
          </w:tcPr>
          <w:p w14:paraId="4BF38A58" w14:textId="5FE1F1B8" w:rsidR="009D4E80" w:rsidRPr="009D4E80" w:rsidRDefault="009D4E80" w:rsidP="00E83289">
            <w:pPr>
              <w:tabs>
                <w:tab w:val="left" w:pos="567"/>
              </w:tabs>
              <w:ind w:right="-20"/>
              <w:jc w:val="center"/>
              <w:rPr>
                <w:lang w:val="en-GB"/>
              </w:rPr>
            </w:pPr>
            <w:r w:rsidRPr="009D4E80">
              <w:rPr>
                <w:lang w:val="en-GB"/>
              </w:rPr>
              <w:t>Rituximab</w:t>
            </w:r>
            <w:r w:rsidR="00C159F7">
              <w:rPr>
                <w:lang w:val="en-GB"/>
              </w:rPr>
              <w:t>ra refrakter</w:t>
            </w:r>
            <w:r w:rsidRPr="009D4E80">
              <w:rPr>
                <w:lang w:val="en-GB"/>
              </w:rPr>
              <w:t>:</w:t>
            </w:r>
          </w:p>
          <w:p w14:paraId="590F3C97" w14:textId="7E2C4F83" w:rsidR="009D4E80" w:rsidRPr="009D4E80" w:rsidRDefault="00C159F7" w:rsidP="009D4E80">
            <w:pPr>
              <w:tabs>
                <w:tab w:val="left" w:pos="567"/>
              </w:tabs>
              <w:ind w:right="-20"/>
              <w:jc w:val="center"/>
              <w:rPr>
                <w:lang w:val="en-GB"/>
              </w:rPr>
            </w:pPr>
            <w:r>
              <w:rPr>
                <w:lang w:val="en-GB"/>
              </w:rPr>
              <w:t>Igen</w:t>
            </w:r>
          </w:p>
          <w:p w14:paraId="389458E7" w14:textId="048A72C6" w:rsidR="009D4E80" w:rsidRPr="009D4E80" w:rsidRDefault="009D4E80" w:rsidP="009D4E80">
            <w:pPr>
              <w:tabs>
                <w:tab w:val="left" w:pos="567"/>
              </w:tabs>
              <w:ind w:right="-20"/>
              <w:jc w:val="center"/>
              <w:rPr>
                <w:u w:val="single" w:color="000000"/>
                <w:lang w:val="en-GB"/>
              </w:rPr>
            </w:pPr>
            <w:r w:rsidRPr="009D4E80">
              <w:rPr>
                <w:lang w:val="en-GB"/>
              </w:rPr>
              <w:t>N</w:t>
            </w:r>
            <w:r w:rsidR="00C159F7">
              <w:rPr>
                <w:lang w:val="en-GB"/>
              </w:rPr>
              <w:t> </w:t>
            </w:r>
            <w:r w:rsidRPr="009D4E80">
              <w:rPr>
                <w:lang w:val="en-GB"/>
              </w:rPr>
              <w:t>=</w:t>
            </w:r>
            <w:r w:rsidR="00C159F7">
              <w:rPr>
                <w:lang w:val="en-GB"/>
              </w:rPr>
              <w:t> </w:t>
            </w:r>
            <w:r w:rsidRPr="009D4E80">
              <w:rPr>
                <w:lang w:val="en-GB"/>
              </w:rPr>
              <w:t>77</w:t>
            </w:r>
          </w:p>
        </w:tc>
        <w:tc>
          <w:tcPr>
            <w:tcW w:w="1198" w:type="dxa"/>
          </w:tcPr>
          <w:p w14:paraId="4CF6F157" w14:textId="77777777" w:rsidR="00C159F7" w:rsidRPr="009D4E80" w:rsidRDefault="00C159F7" w:rsidP="00C159F7">
            <w:pPr>
              <w:tabs>
                <w:tab w:val="left" w:pos="567"/>
              </w:tabs>
              <w:ind w:right="-20"/>
              <w:jc w:val="center"/>
              <w:rPr>
                <w:lang w:val="en-GB"/>
              </w:rPr>
            </w:pPr>
            <w:r w:rsidRPr="009D4E80">
              <w:rPr>
                <w:lang w:val="en-GB"/>
              </w:rPr>
              <w:t>Rituximab</w:t>
            </w:r>
            <w:r>
              <w:rPr>
                <w:lang w:val="en-GB"/>
              </w:rPr>
              <w:t>ra refrakter</w:t>
            </w:r>
            <w:r w:rsidRPr="009D4E80">
              <w:rPr>
                <w:lang w:val="en-GB"/>
              </w:rPr>
              <w:t>:</w:t>
            </w:r>
          </w:p>
          <w:p w14:paraId="38957098" w14:textId="2D04EEAE" w:rsidR="00C159F7" w:rsidRPr="009D4E80" w:rsidRDefault="00C159F7" w:rsidP="00C159F7">
            <w:pPr>
              <w:tabs>
                <w:tab w:val="left" w:pos="567"/>
              </w:tabs>
              <w:ind w:right="-20"/>
              <w:jc w:val="center"/>
              <w:rPr>
                <w:lang w:val="en-GB"/>
              </w:rPr>
            </w:pPr>
            <w:r>
              <w:rPr>
                <w:lang w:val="en-GB"/>
              </w:rPr>
              <w:t>Nem</w:t>
            </w:r>
          </w:p>
          <w:p w14:paraId="0673CE5A" w14:textId="4C3DEF2E" w:rsidR="009D4E80" w:rsidRPr="009D4E80" w:rsidRDefault="009D4E80" w:rsidP="009D4E80">
            <w:pPr>
              <w:tabs>
                <w:tab w:val="left" w:pos="567"/>
              </w:tabs>
              <w:ind w:right="-20"/>
              <w:jc w:val="center"/>
              <w:rPr>
                <w:u w:val="single" w:color="000000"/>
                <w:lang w:val="en-GB"/>
              </w:rPr>
            </w:pPr>
            <w:r w:rsidRPr="009D4E80">
              <w:rPr>
                <w:lang w:val="en-GB"/>
              </w:rPr>
              <w:t>N</w:t>
            </w:r>
            <w:r w:rsidR="00C159F7">
              <w:rPr>
                <w:lang w:val="en-GB"/>
              </w:rPr>
              <w:t> </w:t>
            </w:r>
            <w:r w:rsidRPr="009D4E80">
              <w:rPr>
                <w:lang w:val="en-GB"/>
              </w:rPr>
              <w:t>=</w:t>
            </w:r>
            <w:r w:rsidR="00C159F7">
              <w:rPr>
                <w:lang w:val="en-GB"/>
              </w:rPr>
              <w:t> </w:t>
            </w:r>
            <w:r w:rsidRPr="009D4E80">
              <w:rPr>
                <w:lang w:val="en-GB"/>
              </w:rPr>
              <w:t>110</w:t>
            </w:r>
          </w:p>
        </w:tc>
        <w:tc>
          <w:tcPr>
            <w:tcW w:w="1276" w:type="dxa"/>
          </w:tcPr>
          <w:p w14:paraId="23C012B0" w14:textId="77777777" w:rsidR="009D4E80" w:rsidRPr="009D4E80" w:rsidRDefault="009D4E80" w:rsidP="009D4E80">
            <w:pPr>
              <w:tabs>
                <w:tab w:val="left" w:pos="567"/>
              </w:tabs>
              <w:ind w:right="-20"/>
              <w:jc w:val="both"/>
              <w:rPr>
                <w:u w:val="single" w:color="000000"/>
                <w:lang w:val="en-GB"/>
              </w:rPr>
            </w:pPr>
          </w:p>
          <w:p w14:paraId="1A99A210" w14:textId="77777777" w:rsidR="009D4E80" w:rsidRPr="009D4E80" w:rsidRDefault="009D4E80" w:rsidP="009D4E80">
            <w:pPr>
              <w:tabs>
                <w:tab w:val="left" w:pos="567"/>
              </w:tabs>
              <w:ind w:right="-20"/>
              <w:jc w:val="both"/>
              <w:rPr>
                <w:u w:val="single" w:color="000000"/>
                <w:lang w:val="en-GB"/>
              </w:rPr>
            </w:pPr>
          </w:p>
          <w:p w14:paraId="12EAF52A" w14:textId="40C01899" w:rsidR="009D4E80" w:rsidRPr="009D4E80" w:rsidRDefault="00C159F7">
            <w:pPr>
              <w:tabs>
                <w:tab w:val="left" w:pos="567"/>
              </w:tabs>
              <w:ind w:right="-20"/>
              <w:jc w:val="center"/>
              <w:rPr>
                <w:lang w:val="en-GB"/>
              </w:rPr>
            </w:pPr>
            <w:r>
              <w:rPr>
                <w:lang w:val="en-GB"/>
              </w:rPr>
              <w:t>Összesített</w:t>
            </w:r>
          </w:p>
          <w:p w14:paraId="5ACC0C52" w14:textId="5725A46C" w:rsidR="009D4E80" w:rsidRPr="009D4E80" w:rsidRDefault="009D4E80" w:rsidP="009D4E80">
            <w:pPr>
              <w:tabs>
                <w:tab w:val="left" w:pos="567"/>
              </w:tabs>
              <w:ind w:right="-20"/>
              <w:jc w:val="center"/>
              <w:rPr>
                <w:u w:val="single" w:color="000000"/>
                <w:lang w:val="en-GB"/>
              </w:rPr>
            </w:pPr>
            <w:r w:rsidRPr="009D4E80">
              <w:rPr>
                <w:lang w:val="en-GB"/>
              </w:rPr>
              <w:t>N</w:t>
            </w:r>
            <w:r w:rsidR="00C159F7">
              <w:rPr>
                <w:lang w:val="en-GB"/>
              </w:rPr>
              <w:t> </w:t>
            </w:r>
            <w:r w:rsidRPr="009D4E80">
              <w:rPr>
                <w:lang w:val="en-GB"/>
              </w:rPr>
              <w:t>=</w:t>
            </w:r>
            <w:r w:rsidR="00C159F7">
              <w:rPr>
                <w:lang w:val="en-GB"/>
              </w:rPr>
              <w:t> </w:t>
            </w:r>
            <w:r w:rsidRPr="009D4E80">
              <w:rPr>
                <w:lang w:val="en-GB"/>
              </w:rPr>
              <w:t>148</w:t>
            </w:r>
          </w:p>
        </w:tc>
        <w:tc>
          <w:tcPr>
            <w:tcW w:w="1276" w:type="dxa"/>
          </w:tcPr>
          <w:p w14:paraId="3A4C392D" w14:textId="77777777" w:rsidR="00C159F7" w:rsidRPr="009D4E80" w:rsidRDefault="00C159F7" w:rsidP="00C159F7">
            <w:pPr>
              <w:tabs>
                <w:tab w:val="left" w:pos="567"/>
              </w:tabs>
              <w:ind w:right="-20"/>
              <w:jc w:val="center"/>
              <w:rPr>
                <w:lang w:val="en-GB"/>
              </w:rPr>
            </w:pPr>
            <w:r w:rsidRPr="009D4E80">
              <w:rPr>
                <w:lang w:val="en-GB"/>
              </w:rPr>
              <w:t>Rituximab</w:t>
            </w:r>
            <w:r>
              <w:rPr>
                <w:lang w:val="en-GB"/>
              </w:rPr>
              <w:t>ra refrakter</w:t>
            </w:r>
            <w:r w:rsidRPr="009D4E80">
              <w:rPr>
                <w:lang w:val="en-GB"/>
              </w:rPr>
              <w:t>:</w:t>
            </w:r>
          </w:p>
          <w:p w14:paraId="1347A11E" w14:textId="193A41A7" w:rsidR="009D4E80" w:rsidRPr="009D4E80" w:rsidRDefault="00C159F7" w:rsidP="00C159F7">
            <w:pPr>
              <w:tabs>
                <w:tab w:val="left" w:pos="567"/>
              </w:tabs>
              <w:ind w:right="-20"/>
              <w:jc w:val="center"/>
              <w:rPr>
                <w:lang w:val="en-GB"/>
              </w:rPr>
            </w:pPr>
            <w:r>
              <w:rPr>
                <w:lang w:val="en-GB"/>
              </w:rPr>
              <w:t>Igen</w:t>
            </w:r>
          </w:p>
          <w:p w14:paraId="3DFCBC56" w14:textId="77777777" w:rsidR="009D4E80" w:rsidRPr="009D4E80" w:rsidRDefault="009D4E80" w:rsidP="009D4E80">
            <w:pPr>
              <w:tabs>
                <w:tab w:val="left" w:pos="567"/>
              </w:tabs>
              <w:ind w:right="-20"/>
              <w:jc w:val="center"/>
              <w:rPr>
                <w:u w:val="single" w:color="000000"/>
                <w:lang w:val="en-GB"/>
              </w:rPr>
            </w:pPr>
            <w:r w:rsidRPr="009D4E80">
              <w:rPr>
                <w:lang w:val="en-GB"/>
              </w:rPr>
              <w:t>N=60</w:t>
            </w:r>
          </w:p>
        </w:tc>
        <w:tc>
          <w:tcPr>
            <w:tcW w:w="1249" w:type="dxa"/>
          </w:tcPr>
          <w:p w14:paraId="53FC4A6C" w14:textId="77777777" w:rsidR="00C159F7" w:rsidRPr="009D4E80" w:rsidRDefault="00C159F7" w:rsidP="00C159F7">
            <w:pPr>
              <w:tabs>
                <w:tab w:val="left" w:pos="567"/>
              </w:tabs>
              <w:ind w:right="-20"/>
              <w:jc w:val="center"/>
              <w:rPr>
                <w:lang w:val="en-GB"/>
              </w:rPr>
            </w:pPr>
            <w:r w:rsidRPr="009D4E80">
              <w:rPr>
                <w:lang w:val="en-GB"/>
              </w:rPr>
              <w:t>Rituximab</w:t>
            </w:r>
            <w:r>
              <w:rPr>
                <w:lang w:val="en-GB"/>
              </w:rPr>
              <w:t>ra refrakter</w:t>
            </w:r>
            <w:r w:rsidRPr="009D4E80">
              <w:rPr>
                <w:lang w:val="en-GB"/>
              </w:rPr>
              <w:t>:</w:t>
            </w:r>
          </w:p>
          <w:p w14:paraId="4CE9AE55" w14:textId="10C0036E" w:rsidR="009D4E80" w:rsidRPr="009D4E80" w:rsidRDefault="00C159F7" w:rsidP="00C159F7">
            <w:pPr>
              <w:tabs>
                <w:tab w:val="left" w:pos="567"/>
              </w:tabs>
              <w:ind w:right="-20"/>
              <w:jc w:val="center"/>
              <w:rPr>
                <w:lang w:val="en-GB"/>
              </w:rPr>
            </w:pPr>
            <w:r>
              <w:rPr>
                <w:lang w:val="en-GB"/>
              </w:rPr>
              <w:t>Nem</w:t>
            </w:r>
          </w:p>
          <w:p w14:paraId="3BD1DB8E" w14:textId="77777777" w:rsidR="009D4E80" w:rsidRPr="009D4E80" w:rsidRDefault="009D4E80" w:rsidP="009D4E80">
            <w:pPr>
              <w:tabs>
                <w:tab w:val="left" w:pos="567"/>
              </w:tabs>
              <w:ind w:right="-20"/>
              <w:jc w:val="center"/>
              <w:rPr>
                <w:u w:val="single" w:color="000000"/>
                <w:lang w:val="en-GB"/>
              </w:rPr>
            </w:pPr>
            <w:r w:rsidRPr="009D4E80">
              <w:rPr>
                <w:lang w:val="en-GB"/>
              </w:rPr>
              <w:t>N=88</w:t>
            </w:r>
          </w:p>
        </w:tc>
      </w:tr>
      <w:tr w:rsidR="008149B7" w:rsidRPr="009D4E80" w14:paraId="3D096E72" w14:textId="77777777" w:rsidTr="00E83289">
        <w:tc>
          <w:tcPr>
            <w:tcW w:w="1838" w:type="dxa"/>
          </w:tcPr>
          <w:p w14:paraId="517007B1" w14:textId="77777777" w:rsidR="009D4E80" w:rsidRPr="009D4E80" w:rsidRDefault="009D4E80" w:rsidP="009D4E80">
            <w:pPr>
              <w:autoSpaceDE w:val="0"/>
              <w:autoSpaceDN w:val="0"/>
              <w:adjustRightInd w:val="0"/>
              <w:rPr>
                <w:lang w:val="nb-NO"/>
              </w:rPr>
            </w:pPr>
            <w:r w:rsidRPr="009D4E80">
              <w:rPr>
                <w:lang w:val="nb-NO"/>
              </w:rPr>
              <w:t>ORR, n (%)</w:t>
            </w:r>
          </w:p>
          <w:p w14:paraId="51E4036A" w14:textId="77777777" w:rsidR="009D4E80" w:rsidRPr="009D4E80" w:rsidRDefault="009D4E80" w:rsidP="009D4E80">
            <w:pPr>
              <w:tabs>
                <w:tab w:val="left" w:pos="567"/>
              </w:tabs>
              <w:ind w:right="-20"/>
              <w:jc w:val="both"/>
              <w:rPr>
                <w:u w:val="single" w:color="000000"/>
                <w:lang w:val="nb-NO"/>
              </w:rPr>
            </w:pPr>
            <w:r w:rsidRPr="009D4E80">
              <w:rPr>
                <w:lang w:val="nb-NO"/>
              </w:rPr>
              <w:t>(CR+CRu+PR)</w:t>
            </w:r>
          </w:p>
        </w:tc>
        <w:tc>
          <w:tcPr>
            <w:tcW w:w="1252" w:type="dxa"/>
          </w:tcPr>
          <w:p w14:paraId="3363EBD9" w14:textId="7D609130" w:rsidR="009D4E80" w:rsidRPr="009D4E80" w:rsidRDefault="009D4E80" w:rsidP="009D4E80">
            <w:pPr>
              <w:tabs>
                <w:tab w:val="left" w:pos="567"/>
              </w:tabs>
              <w:ind w:right="-20"/>
              <w:jc w:val="both"/>
              <w:rPr>
                <w:u w:val="single" w:color="000000"/>
                <w:lang w:val="en-GB"/>
              </w:rPr>
            </w:pPr>
            <w:r w:rsidRPr="009D4E80">
              <w:rPr>
                <w:lang w:val="en-GB"/>
              </w:rPr>
              <w:t>127 (67</w:t>
            </w:r>
            <w:r w:rsidR="00C159F7">
              <w:rPr>
                <w:lang w:val="en-GB"/>
              </w:rPr>
              <w:t>,</w:t>
            </w:r>
            <w:r w:rsidRPr="009D4E80">
              <w:rPr>
                <w:lang w:val="en-GB"/>
              </w:rPr>
              <w:t>9)</w:t>
            </w:r>
          </w:p>
        </w:tc>
        <w:tc>
          <w:tcPr>
            <w:tcW w:w="1264" w:type="dxa"/>
          </w:tcPr>
          <w:p w14:paraId="1B5BC4B8" w14:textId="1029D4A9" w:rsidR="009D4E80" w:rsidRPr="009D4E80" w:rsidRDefault="009D4E80" w:rsidP="009D4E80">
            <w:pPr>
              <w:tabs>
                <w:tab w:val="left" w:pos="567"/>
              </w:tabs>
              <w:ind w:right="-20"/>
              <w:jc w:val="both"/>
              <w:rPr>
                <w:u w:val="single" w:color="000000"/>
                <w:lang w:val="en-GB"/>
              </w:rPr>
            </w:pPr>
            <w:r w:rsidRPr="009D4E80">
              <w:rPr>
                <w:lang w:val="en-GB"/>
              </w:rPr>
              <w:t>45 (58</w:t>
            </w:r>
            <w:r w:rsidR="00C159F7">
              <w:rPr>
                <w:lang w:val="en-GB"/>
              </w:rPr>
              <w:t>,</w:t>
            </w:r>
            <w:r w:rsidRPr="009D4E80">
              <w:rPr>
                <w:lang w:val="en-GB"/>
              </w:rPr>
              <w:t>4)</w:t>
            </w:r>
          </w:p>
        </w:tc>
        <w:tc>
          <w:tcPr>
            <w:tcW w:w="1198" w:type="dxa"/>
          </w:tcPr>
          <w:p w14:paraId="2A967500" w14:textId="3F8CF2D7" w:rsidR="009D4E80" w:rsidRPr="009D4E80" w:rsidRDefault="009D4E80" w:rsidP="009D4E80">
            <w:pPr>
              <w:tabs>
                <w:tab w:val="left" w:pos="567"/>
              </w:tabs>
              <w:ind w:right="-20"/>
              <w:jc w:val="both"/>
              <w:rPr>
                <w:u w:val="single" w:color="000000"/>
                <w:lang w:val="en-GB"/>
              </w:rPr>
            </w:pPr>
            <w:r w:rsidRPr="009D4E80">
              <w:rPr>
                <w:lang w:val="en-GB"/>
              </w:rPr>
              <w:t>82 (75</w:t>
            </w:r>
            <w:r w:rsidR="00C159F7">
              <w:rPr>
                <w:lang w:val="en-GB"/>
              </w:rPr>
              <w:t>,</w:t>
            </w:r>
            <w:r w:rsidRPr="009D4E80">
              <w:rPr>
                <w:lang w:val="en-GB"/>
              </w:rPr>
              <w:t>2)</w:t>
            </w:r>
          </w:p>
        </w:tc>
        <w:tc>
          <w:tcPr>
            <w:tcW w:w="1276" w:type="dxa"/>
          </w:tcPr>
          <w:p w14:paraId="691356A4" w14:textId="32E0E177" w:rsidR="009D4E80" w:rsidRPr="009D4E80" w:rsidRDefault="009D4E80" w:rsidP="009D4E80">
            <w:pPr>
              <w:tabs>
                <w:tab w:val="left" w:pos="567"/>
              </w:tabs>
              <w:ind w:right="-20"/>
              <w:jc w:val="both"/>
              <w:rPr>
                <w:u w:val="single" w:color="000000"/>
                <w:lang w:val="en-GB"/>
              </w:rPr>
            </w:pPr>
            <w:r w:rsidRPr="009D4E80">
              <w:rPr>
                <w:lang w:val="en-GB"/>
              </w:rPr>
              <w:t>104 (70</w:t>
            </w:r>
            <w:r w:rsidR="00C159F7">
              <w:rPr>
                <w:lang w:val="en-GB"/>
              </w:rPr>
              <w:t>,</w:t>
            </w:r>
            <w:r w:rsidRPr="009D4E80">
              <w:rPr>
                <w:lang w:val="en-GB"/>
              </w:rPr>
              <w:t>3)</w:t>
            </w:r>
          </w:p>
        </w:tc>
        <w:tc>
          <w:tcPr>
            <w:tcW w:w="1276" w:type="dxa"/>
          </w:tcPr>
          <w:p w14:paraId="25EFC305" w14:textId="67104C69" w:rsidR="009D4E80" w:rsidRPr="009D4E80" w:rsidRDefault="009D4E80" w:rsidP="009D4E80">
            <w:pPr>
              <w:tabs>
                <w:tab w:val="left" w:pos="567"/>
              </w:tabs>
              <w:ind w:right="-20"/>
              <w:jc w:val="both"/>
              <w:rPr>
                <w:u w:val="single" w:color="000000"/>
                <w:lang w:val="en-GB"/>
              </w:rPr>
            </w:pPr>
            <w:r w:rsidRPr="009D4E80">
              <w:rPr>
                <w:lang w:val="en-GB"/>
              </w:rPr>
              <w:t>35 (58</w:t>
            </w:r>
            <w:r w:rsidR="00C159F7">
              <w:rPr>
                <w:lang w:val="en-GB"/>
              </w:rPr>
              <w:t>,</w:t>
            </w:r>
            <w:r w:rsidRPr="009D4E80">
              <w:rPr>
                <w:lang w:val="en-GB"/>
              </w:rPr>
              <w:t>3)</w:t>
            </w:r>
          </w:p>
        </w:tc>
        <w:tc>
          <w:tcPr>
            <w:tcW w:w="1249" w:type="dxa"/>
          </w:tcPr>
          <w:p w14:paraId="7A1970CD" w14:textId="7A055BEC" w:rsidR="009D4E80" w:rsidRPr="009D4E80" w:rsidRDefault="009D4E80" w:rsidP="009D4E80">
            <w:pPr>
              <w:tabs>
                <w:tab w:val="left" w:pos="567"/>
              </w:tabs>
              <w:ind w:right="-20"/>
              <w:jc w:val="both"/>
              <w:rPr>
                <w:u w:val="single" w:color="000000"/>
                <w:lang w:val="en-GB"/>
              </w:rPr>
            </w:pPr>
            <w:r w:rsidRPr="009D4E80">
              <w:rPr>
                <w:lang w:val="en-GB"/>
              </w:rPr>
              <w:t>69 (79</w:t>
            </w:r>
            <w:r w:rsidR="00C159F7">
              <w:rPr>
                <w:lang w:val="en-GB"/>
              </w:rPr>
              <w:t>,</w:t>
            </w:r>
            <w:r w:rsidRPr="009D4E80">
              <w:rPr>
                <w:lang w:val="en-GB"/>
              </w:rPr>
              <w:t>3)</w:t>
            </w:r>
          </w:p>
        </w:tc>
      </w:tr>
      <w:tr w:rsidR="008149B7" w:rsidRPr="009D4E80" w14:paraId="6128A9C1" w14:textId="77777777" w:rsidTr="00E83289">
        <w:tc>
          <w:tcPr>
            <w:tcW w:w="1838" w:type="dxa"/>
          </w:tcPr>
          <w:p w14:paraId="2DDEDC90" w14:textId="77777777" w:rsidR="009D4E80" w:rsidRPr="009D4E80" w:rsidRDefault="009D4E80" w:rsidP="009D4E80">
            <w:pPr>
              <w:autoSpaceDE w:val="0"/>
              <w:autoSpaceDN w:val="0"/>
              <w:adjustRightInd w:val="0"/>
              <w:rPr>
                <w:lang w:val="en-GB"/>
              </w:rPr>
            </w:pPr>
            <w:r w:rsidRPr="009D4E80">
              <w:rPr>
                <w:lang w:val="en-GB"/>
              </w:rPr>
              <w:t>CRR, n (%)</w:t>
            </w:r>
          </w:p>
          <w:p w14:paraId="59C04F49" w14:textId="77777777" w:rsidR="009D4E80" w:rsidRPr="009D4E80" w:rsidRDefault="009D4E80" w:rsidP="009D4E80">
            <w:pPr>
              <w:tabs>
                <w:tab w:val="left" w:pos="567"/>
              </w:tabs>
              <w:ind w:right="-20"/>
              <w:jc w:val="both"/>
              <w:rPr>
                <w:u w:val="single" w:color="000000"/>
                <w:lang w:val="en-GB"/>
              </w:rPr>
            </w:pPr>
            <w:r w:rsidRPr="009D4E80">
              <w:rPr>
                <w:lang w:val="en-GB"/>
              </w:rPr>
              <w:t>(CR+Cru)</w:t>
            </w:r>
          </w:p>
        </w:tc>
        <w:tc>
          <w:tcPr>
            <w:tcW w:w="1252" w:type="dxa"/>
          </w:tcPr>
          <w:p w14:paraId="41AE8E98" w14:textId="5ABCF577" w:rsidR="009D4E80" w:rsidRPr="009D4E80" w:rsidRDefault="009D4E80" w:rsidP="009D4E80">
            <w:pPr>
              <w:tabs>
                <w:tab w:val="left" w:pos="567"/>
              </w:tabs>
              <w:ind w:right="-20"/>
              <w:jc w:val="both"/>
              <w:rPr>
                <w:u w:val="single" w:color="000000"/>
                <w:lang w:val="en-GB"/>
              </w:rPr>
            </w:pPr>
            <w:r w:rsidRPr="009D4E80">
              <w:rPr>
                <w:lang w:val="en-GB"/>
              </w:rPr>
              <w:t>79 (42</w:t>
            </w:r>
            <w:r w:rsidR="00C159F7">
              <w:rPr>
                <w:lang w:val="en-GB"/>
              </w:rPr>
              <w:t>,</w:t>
            </w:r>
            <w:r w:rsidRPr="009D4E80">
              <w:rPr>
                <w:lang w:val="en-GB"/>
              </w:rPr>
              <w:t>2)</w:t>
            </w:r>
          </w:p>
        </w:tc>
        <w:tc>
          <w:tcPr>
            <w:tcW w:w="1264" w:type="dxa"/>
          </w:tcPr>
          <w:p w14:paraId="60A12659" w14:textId="59F62D6D" w:rsidR="009D4E80" w:rsidRPr="009D4E80" w:rsidRDefault="009D4E80" w:rsidP="009D4E80">
            <w:pPr>
              <w:tabs>
                <w:tab w:val="left" w:pos="567"/>
              </w:tabs>
              <w:ind w:right="-20"/>
              <w:jc w:val="both"/>
              <w:rPr>
                <w:u w:val="single" w:color="000000"/>
                <w:lang w:val="en-GB"/>
              </w:rPr>
            </w:pPr>
            <w:r w:rsidRPr="009D4E80">
              <w:rPr>
                <w:lang w:val="en-GB"/>
              </w:rPr>
              <w:t>27 (35</w:t>
            </w:r>
            <w:r w:rsidR="00C159F7">
              <w:rPr>
                <w:lang w:val="en-GB"/>
              </w:rPr>
              <w:t>,</w:t>
            </w:r>
            <w:r w:rsidRPr="009D4E80">
              <w:rPr>
                <w:lang w:val="en-GB"/>
              </w:rPr>
              <w:t>1)</w:t>
            </w:r>
          </w:p>
        </w:tc>
        <w:tc>
          <w:tcPr>
            <w:tcW w:w="1198" w:type="dxa"/>
          </w:tcPr>
          <w:p w14:paraId="214908F7" w14:textId="2DF9FE1F" w:rsidR="009D4E80" w:rsidRPr="009D4E80" w:rsidRDefault="009D4E80" w:rsidP="009D4E80">
            <w:pPr>
              <w:tabs>
                <w:tab w:val="left" w:pos="567"/>
              </w:tabs>
              <w:ind w:right="-20"/>
              <w:jc w:val="both"/>
              <w:rPr>
                <w:u w:val="single" w:color="000000"/>
                <w:lang w:val="en-GB"/>
              </w:rPr>
            </w:pPr>
            <w:r w:rsidRPr="009D4E80">
              <w:rPr>
                <w:lang w:val="en-GB"/>
              </w:rPr>
              <w:t>52 (47</w:t>
            </w:r>
            <w:r w:rsidR="00C159F7">
              <w:rPr>
                <w:lang w:val="en-GB"/>
              </w:rPr>
              <w:t>,</w:t>
            </w:r>
            <w:r w:rsidRPr="009D4E80">
              <w:rPr>
                <w:lang w:val="en-GB"/>
              </w:rPr>
              <w:t>7)</w:t>
            </w:r>
          </w:p>
        </w:tc>
        <w:tc>
          <w:tcPr>
            <w:tcW w:w="1276" w:type="dxa"/>
          </w:tcPr>
          <w:p w14:paraId="09E99D09" w14:textId="5B1BFD5D" w:rsidR="009D4E80" w:rsidRPr="009D4E80" w:rsidRDefault="009D4E80" w:rsidP="009D4E80">
            <w:pPr>
              <w:tabs>
                <w:tab w:val="left" w:pos="567"/>
              </w:tabs>
              <w:ind w:right="-20"/>
              <w:jc w:val="both"/>
              <w:rPr>
                <w:u w:val="single" w:color="000000"/>
                <w:lang w:val="en-GB"/>
              </w:rPr>
            </w:pPr>
            <w:r w:rsidRPr="009D4E80">
              <w:rPr>
                <w:lang w:val="en-GB"/>
              </w:rPr>
              <w:t>62 (41</w:t>
            </w:r>
            <w:r w:rsidR="00C159F7">
              <w:rPr>
                <w:lang w:val="en-GB"/>
              </w:rPr>
              <w:t>,</w:t>
            </w:r>
            <w:r w:rsidRPr="009D4E80">
              <w:rPr>
                <w:lang w:val="en-GB"/>
              </w:rPr>
              <w:t>9)</w:t>
            </w:r>
          </w:p>
        </w:tc>
        <w:tc>
          <w:tcPr>
            <w:tcW w:w="1276" w:type="dxa"/>
          </w:tcPr>
          <w:p w14:paraId="623A29AD" w14:textId="60197530" w:rsidR="009D4E80" w:rsidRPr="009D4E80" w:rsidRDefault="009D4E80" w:rsidP="009D4E80">
            <w:pPr>
              <w:tabs>
                <w:tab w:val="left" w:pos="567"/>
              </w:tabs>
              <w:ind w:right="-20"/>
              <w:jc w:val="both"/>
              <w:rPr>
                <w:u w:val="single" w:color="000000"/>
                <w:lang w:val="en-GB"/>
              </w:rPr>
            </w:pPr>
            <w:r w:rsidRPr="009D4E80">
              <w:rPr>
                <w:lang w:val="en-GB"/>
              </w:rPr>
              <w:t>20 (33</w:t>
            </w:r>
            <w:r w:rsidR="00C159F7">
              <w:rPr>
                <w:lang w:val="en-GB"/>
              </w:rPr>
              <w:t>,</w:t>
            </w:r>
            <w:r w:rsidRPr="009D4E80">
              <w:rPr>
                <w:lang w:val="en-GB"/>
              </w:rPr>
              <w:t>3)</w:t>
            </w:r>
          </w:p>
        </w:tc>
        <w:tc>
          <w:tcPr>
            <w:tcW w:w="1249" w:type="dxa"/>
          </w:tcPr>
          <w:p w14:paraId="6C5DAFA8" w14:textId="4E2B2502" w:rsidR="009D4E80" w:rsidRPr="009D4E80" w:rsidRDefault="009D4E80" w:rsidP="009D4E80">
            <w:pPr>
              <w:tabs>
                <w:tab w:val="left" w:pos="567"/>
              </w:tabs>
              <w:ind w:right="-20"/>
              <w:jc w:val="both"/>
              <w:rPr>
                <w:u w:val="single" w:color="000000"/>
                <w:lang w:val="en-GB"/>
              </w:rPr>
            </w:pPr>
            <w:r w:rsidRPr="009D4E80">
              <w:rPr>
                <w:lang w:val="en-GB"/>
              </w:rPr>
              <w:t>42 (48</w:t>
            </w:r>
            <w:r w:rsidR="00C159F7">
              <w:rPr>
                <w:lang w:val="en-GB"/>
              </w:rPr>
              <w:t>,</w:t>
            </w:r>
            <w:r w:rsidRPr="009D4E80">
              <w:rPr>
                <w:lang w:val="en-GB"/>
              </w:rPr>
              <w:t>3)</w:t>
            </w:r>
          </w:p>
        </w:tc>
      </w:tr>
      <w:tr w:rsidR="008149B7" w:rsidRPr="009D4E80" w14:paraId="52B9318C" w14:textId="77777777" w:rsidTr="00E83289">
        <w:tc>
          <w:tcPr>
            <w:tcW w:w="1838" w:type="dxa"/>
          </w:tcPr>
          <w:p w14:paraId="70053657" w14:textId="6D2886B5" w:rsidR="009D4E80" w:rsidRPr="009D4E80" w:rsidRDefault="00C159F7" w:rsidP="00E83289">
            <w:pPr>
              <w:tabs>
                <w:tab w:val="left" w:pos="567"/>
              </w:tabs>
              <w:ind w:right="-20"/>
              <w:rPr>
                <w:u w:val="single" w:color="000000"/>
                <w:lang w:val="en-GB"/>
              </w:rPr>
            </w:pPr>
            <w:r>
              <w:rPr>
                <w:b/>
                <w:bCs/>
                <w:lang w:val="en-GB"/>
              </w:rPr>
              <w:t>Reszponderek száma</w:t>
            </w:r>
          </w:p>
        </w:tc>
        <w:tc>
          <w:tcPr>
            <w:tcW w:w="1252" w:type="dxa"/>
          </w:tcPr>
          <w:p w14:paraId="130290A8" w14:textId="36A793E5" w:rsidR="009D4E80" w:rsidRPr="009D4E80" w:rsidRDefault="009D4E80" w:rsidP="009D4E80">
            <w:pPr>
              <w:tabs>
                <w:tab w:val="left" w:pos="567"/>
              </w:tabs>
              <w:ind w:right="-20"/>
              <w:jc w:val="center"/>
              <w:rPr>
                <w:u w:val="single" w:color="000000"/>
                <w:lang w:val="en-GB"/>
              </w:rPr>
            </w:pPr>
            <w:r w:rsidRPr="009D4E80">
              <w:rPr>
                <w:b/>
                <w:bCs/>
                <w:lang w:val="en-GB"/>
              </w:rPr>
              <w:t>N</w:t>
            </w:r>
            <w:r w:rsidR="00C159F7">
              <w:rPr>
                <w:b/>
                <w:bCs/>
                <w:lang w:val="en-GB"/>
              </w:rPr>
              <w:t> </w:t>
            </w:r>
            <w:r w:rsidRPr="009D4E80">
              <w:rPr>
                <w:b/>
                <w:bCs/>
                <w:lang w:val="en-GB"/>
              </w:rPr>
              <w:t>=</w:t>
            </w:r>
            <w:r w:rsidR="00C159F7">
              <w:rPr>
                <w:b/>
                <w:bCs/>
                <w:lang w:val="en-GB"/>
              </w:rPr>
              <w:t> </w:t>
            </w:r>
            <w:r w:rsidRPr="009D4E80">
              <w:rPr>
                <w:b/>
                <w:bCs/>
                <w:lang w:val="en-GB"/>
              </w:rPr>
              <w:t>127</w:t>
            </w:r>
          </w:p>
        </w:tc>
        <w:tc>
          <w:tcPr>
            <w:tcW w:w="1264" w:type="dxa"/>
          </w:tcPr>
          <w:p w14:paraId="647449FB" w14:textId="464515C4" w:rsidR="009D4E80" w:rsidRPr="009D4E80" w:rsidRDefault="009D4E80" w:rsidP="009D4E80">
            <w:pPr>
              <w:tabs>
                <w:tab w:val="left" w:pos="567"/>
              </w:tabs>
              <w:ind w:right="-20"/>
              <w:jc w:val="center"/>
              <w:rPr>
                <w:u w:val="single" w:color="000000"/>
                <w:lang w:val="en-GB"/>
              </w:rPr>
            </w:pPr>
            <w:r w:rsidRPr="009D4E80">
              <w:rPr>
                <w:b/>
                <w:bCs/>
                <w:lang w:val="en-GB"/>
              </w:rPr>
              <w:t>N</w:t>
            </w:r>
            <w:r w:rsidR="00C159F7">
              <w:rPr>
                <w:b/>
                <w:bCs/>
                <w:lang w:val="en-GB"/>
              </w:rPr>
              <w:t> </w:t>
            </w:r>
            <w:r w:rsidRPr="009D4E80">
              <w:rPr>
                <w:b/>
                <w:bCs/>
                <w:lang w:val="en-GB"/>
              </w:rPr>
              <w:t>=</w:t>
            </w:r>
            <w:r w:rsidR="00C159F7">
              <w:rPr>
                <w:b/>
                <w:bCs/>
                <w:lang w:val="en-GB"/>
              </w:rPr>
              <w:t> </w:t>
            </w:r>
            <w:r w:rsidRPr="009D4E80">
              <w:rPr>
                <w:b/>
                <w:bCs/>
                <w:lang w:val="en-GB"/>
              </w:rPr>
              <w:t>45</w:t>
            </w:r>
          </w:p>
        </w:tc>
        <w:tc>
          <w:tcPr>
            <w:tcW w:w="1198" w:type="dxa"/>
          </w:tcPr>
          <w:p w14:paraId="5C4710ED" w14:textId="12F06852" w:rsidR="009D4E80" w:rsidRPr="009D4E80" w:rsidRDefault="009D4E80" w:rsidP="009D4E80">
            <w:pPr>
              <w:tabs>
                <w:tab w:val="left" w:pos="567"/>
              </w:tabs>
              <w:ind w:right="-20"/>
              <w:jc w:val="center"/>
              <w:rPr>
                <w:u w:val="single" w:color="000000"/>
                <w:lang w:val="en-GB"/>
              </w:rPr>
            </w:pPr>
            <w:r w:rsidRPr="009D4E80">
              <w:rPr>
                <w:b/>
                <w:bCs/>
                <w:lang w:val="en-GB"/>
              </w:rPr>
              <w:t>N</w:t>
            </w:r>
            <w:r w:rsidR="00C159F7">
              <w:rPr>
                <w:b/>
                <w:bCs/>
                <w:lang w:val="en-GB"/>
              </w:rPr>
              <w:t> </w:t>
            </w:r>
            <w:r w:rsidRPr="009D4E80">
              <w:rPr>
                <w:b/>
                <w:bCs/>
                <w:lang w:val="en-GB"/>
              </w:rPr>
              <w:t>=</w:t>
            </w:r>
            <w:r w:rsidR="00C159F7">
              <w:rPr>
                <w:b/>
                <w:bCs/>
                <w:lang w:val="en-GB"/>
              </w:rPr>
              <w:t> </w:t>
            </w:r>
            <w:r w:rsidRPr="009D4E80">
              <w:rPr>
                <w:b/>
                <w:bCs/>
                <w:lang w:val="en-GB"/>
              </w:rPr>
              <w:t>82</w:t>
            </w:r>
          </w:p>
        </w:tc>
        <w:tc>
          <w:tcPr>
            <w:tcW w:w="1276" w:type="dxa"/>
          </w:tcPr>
          <w:p w14:paraId="2D613FC5" w14:textId="1ED4D5C3" w:rsidR="009D4E80" w:rsidRPr="009D4E80" w:rsidRDefault="009D4E80" w:rsidP="009D4E80">
            <w:pPr>
              <w:tabs>
                <w:tab w:val="left" w:pos="567"/>
              </w:tabs>
              <w:ind w:right="-20"/>
              <w:jc w:val="center"/>
              <w:rPr>
                <w:u w:val="single" w:color="000000"/>
                <w:lang w:val="en-GB"/>
              </w:rPr>
            </w:pPr>
            <w:r w:rsidRPr="009D4E80">
              <w:rPr>
                <w:b/>
                <w:bCs/>
                <w:lang w:val="en-GB"/>
              </w:rPr>
              <w:t>N</w:t>
            </w:r>
            <w:r w:rsidR="00C159F7">
              <w:rPr>
                <w:b/>
                <w:bCs/>
                <w:lang w:val="en-GB"/>
              </w:rPr>
              <w:t> </w:t>
            </w:r>
            <w:r w:rsidRPr="009D4E80">
              <w:rPr>
                <w:b/>
                <w:bCs/>
                <w:lang w:val="en-GB"/>
              </w:rPr>
              <w:t>=</w:t>
            </w:r>
            <w:r w:rsidR="00C159F7">
              <w:rPr>
                <w:b/>
                <w:bCs/>
                <w:lang w:val="en-GB"/>
              </w:rPr>
              <w:t> </w:t>
            </w:r>
            <w:r w:rsidRPr="009D4E80">
              <w:rPr>
                <w:b/>
                <w:bCs/>
                <w:lang w:val="en-GB"/>
              </w:rPr>
              <w:t>104</w:t>
            </w:r>
          </w:p>
        </w:tc>
        <w:tc>
          <w:tcPr>
            <w:tcW w:w="1276" w:type="dxa"/>
          </w:tcPr>
          <w:p w14:paraId="06D84315" w14:textId="75F3F45C" w:rsidR="009D4E80" w:rsidRPr="009D4E80" w:rsidRDefault="009D4E80" w:rsidP="009D4E80">
            <w:pPr>
              <w:tabs>
                <w:tab w:val="left" w:pos="567"/>
              </w:tabs>
              <w:ind w:right="-20"/>
              <w:jc w:val="center"/>
              <w:rPr>
                <w:u w:val="single" w:color="000000"/>
                <w:lang w:val="en-GB"/>
              </w:rPr>
            </w:pPr>
            <w:r w:rsidRPr="009D4E80">
              <w:rPr>
                <w:b/>
                <w:bCs/>
                <w:lang w:val="en-GB"/>
              </w:rPr>
              <w:t>N</w:t>
            </w:r>
            <w:r w:rsidR="00C159F7">
              <w:rPr>
                <w:b/>
                <w:bCs/>
                <w:lang w:val="en-GB"/>
              </w:rPr>
              <w:t> </w:t>
            </w:r>
            <w:r w:rsidRPr="009D4E80">
              <w:rPr>
                <w:b/>
                <w:bCs/>
                <w:lang w:val="en-GB"/>
              </w:rPr>
              <w:t>=</w:t>
            </w:r>
            <w:r w:rsidR="00C159F7">
              <w:rPr>
                <w:b/>
                <w:bCs/>
                <w:lang w:val="en-GB"/>
              </w:rPr>
              <w:t> </w:t>
            </w:r>
            <w:r w:rsidRPr="009D4E80">
              <w:rPr>
                <w:b/>
                <w:bCs/>
                <w:lang w:val="en-GB"/>
              </w:rPr>
              <w:t>35</w:t>
            </w:r>
          </w:p>
        </w:tc>
        <w:tc>
          <w:tcPr>
            <w:tcW w:w="1249" w:type="dxa"/>
          </w:tcPr>
          <w:p w14:paraId="3192404A" w14:textId="2F285E89" w:rsidR="009D4E80" w:rsidRPr="009D4E80" w:rsidRDefault="009D4E80" w:rsidP="009D4E80">
            <w:pPr>
              <w:tabs>
                <w:tab w:val="left" w:pos="567"/>
              </w:tabs>
              <w:ind w:right="-20"/>
              <w:jc w:val="center"/>
              <w:rPr>
                <w:u w:val="single" w:color="000000"/>
                <w:lang w:val="en-GB"/>
              </w:rPr>
            </w:pPr>
            <w:r w:rsidRPr="009D4E80">
              <w:rPr>
                <w:b/>
                <w:bCs/>
                <w:lang w:val="en-GB"/>
              </w:rPr>
              <w:t>N</w:t>
            </w:r>
            <w:r w:rsidR="00C159F7">
              <w:rPr>
                <w:b/>
                <w:bCs/>
                <w:lang w:val="en-GB"/>
              </w:rPr>
              <w:t> </w:t>
            </w:r>
            <w:r w:rsidRPr="009D4E80">
              <w:rPr>
                <w:b/>
                <w:bCs/>
                <w:lang w:val="en-GB"/>
              </w:rPr>
              <w:t>=</w:t>
            </w:r>
            <w:r w:rsidR="00C159F7">
              <w:rPr>
                <w:b/>
                <w:bCs/>
                <w:lang w:val="en-GB"/>
              </w:rPr>
              <w:t> </w:t>
            </w:r>
            <w:r w:rsidRPr="009D4E80">
              <w:rPr>
                <w:b/>
                <w:bCs/>
                <w:lang w:val="en-GB"/>
              </w:rPr>
              <w:t>69</w:t>
            </w:r>
          </w:p>
        </w:tc>
      </w:tr>
      <w:tr w:rsidR="008149B7" w:rsidRPr="009D4E80" w14:paraId="36FDDCD4" w14:textId="77777777" w:rsidTr="00E83289">
        <w:tc>
          <w:tcPr>
            <w:tcW w:w="1838" w:type="dxa"/>
          </w:tcPr>
          <w:p w14:paraId="52ED9926" w14:textId="7B7BC679" w:rsidR="00C159F7" w:rsidRPr="007E5A32" w:rsidRDefault="00C159F7" w:rsidP="00E83289">
            <w:pPr>
              <w:tabs>
                <w:tab w:val="left" w:pos="567"/>
              </w:tabs>
              <w:ind w:right="-20"/>
              <w:rPr>
                <w:b/>
                <w:lang w:val="hu-HU"/>
              </w:rPr>
            </w:pPr>
            <w:r w:rsidRPr="007E5A32">
              <w:rPr>
                <w:b/>
                <w:lang w:val="hu-HU"/>
              </w:rPr>
              <w:t>≥ 6 hónap DoR-rel</w:t>
            </w:r>
            <w:r w:rsidRPr="007E5A32">
              <w:rPr>
                <w:b/>
                <w:vertAlign w:val="superscript"/>
                <w:lang w:val="hu-HU"/>
              </w:rPr>
              <w:t xml:space="preserve">b </w:t>
            </w:r>
            <w:r w:rsidRPr="007E5A32">
              <w:rPr>
                <w:b/>
                <w:lang w:val="hu-HU"/>
              </w:rPr>
              <w:t xml:space="preserve">rendelkező alanyok </w:t>
            </w:r>
            <w:r w:rsidRPr="00934095">
              <w:rPr>
                <w:b/>
                <w:bCs/>
                <w:lang w:val="hu-HU"/>
              </w:rPr>
              <w:t>%</w:t>
            </w:r>
            <w:r w:rsidR="00104634" w:rsidRPr="00934095">
              <w:rPr>
                <w:b/>
                <w:bCs/>
                <w:lang w:val="hu-HU"/>
              </w:rPr>
              <w:t>-</w:t>
            </w:r>
            <w:r w:rsidRPr="007E5A32">
              <w:rPr>
                <w:b/>
                <w:lang w:val="hu-HU"/>
              </w:rPr>
              <w:t>os aránya</w:t>
            </w:r>
          </w:p>
          <w:p w14:paraId="3641EFED" w14:textId="7B82D888" w:rsidR="009D4E80" w:rsidRPr="00E83289" w:rsidRDefault="00C159F7" w:rsidP="00C159F7">
            <w:pPr>
              <w:tabs>
                <w:tab w:val="left" w:pos="567"/>
              </w:tabs>
              <w:ind w:right="-20"/>
              <w:jc w:val="both"/>
              <w:rPr>
                <w:b/>
                <w:bCs/>
                <w:u w:val="single" w:color="000000"/>
                <w:lang w:val="en-GB"/>
              </w:rPr>
            </w:pPr>
            <w:r w:rsidRPr="007E5A32">
              <w:rPr>
                <w:b/>
                <w:lang w:val="en-GB"/>
              </w:rPr>
              <w:t>(95%-os CI)</w:t>
            </w:r>
            <w:r w:rsidRPr="007E5A32">
              <w:rPr>
                <w:b/>
                <w:vertAlign w:val="superscript"/>
                <w:lang w:val="en-GB"/>
              </w:rPr>
              <w:t>c</w:t>
            </w:r>
          </w:p>
        </w:tc>
        <w:tc>
          <w:tcPr>
            <w:tcW w:w="1252" w:type="dxa"/>
          </w:tcPr>
          <w:p w14:paraId="1A9E2972" w14:textId="5D1C0760" w:rsidR="009D4E80" w:rsidRPr="009D4E80" w:rsidRDefault="009D4E80" w:rsidP="009D4E80">
            <w:pPr>
              <w:tabs>
                <w:tab w:val="left" w:pos="567"/>
              </w:tabs>
              <w:ind w:right="-20"/>
              <w:jc w:val="center"/>
              <w:rPr>
                <w:b/>
                <w:bCs/>
                <w:lang w:val="en-GB"/>
              </w:rPr>
            </w:pPr>
            <w:r w:rsidRPr="009D4E80">
              <w:rPr>
                <w:b/>
                <w:bCs/>
                <w:lang w:val="en-GB"/>
              </w:rPr>
              <w:t>93</w:t>
            </w:r>
            <w:r w:rsidR="00C159F7">
              <w:rPr>
                <w:b/>
                <w:bCs/>
                <w:lang w:val="en-GB"/>
              </w:rPr>
              <w:t>,</w:t>
            </w:r>
            <w:r w:rsidRPr="009D4E80">
              <w:rPr>
                <w:b/>
                <w:bCs/>
                <w:lang w:val="en-GB"/>
              </w:rPr>
              <w:t>0</w:t>
            </w:r>
          </w:p>
          <w:p w14:paraId="40A8C5CB" w14:textId="77777777" w:rsidR="009D4E80" w:rsidRPr="009D4E80" w:rsidRDefault="009D4E80" w:rsidP="009D4E80">
            <w:pPr>
              <w:tabs>
                <w:tab w:val="left" w:pos="567"/>
              </w:tabs>
              <w:ind w:right="-20"/>
              <w:jc w:val="center"/>
              <w:rPr>
                <w:b/>
                <w:bCs/>
                <w:lang w:val="en-GB"/>
              </w:rPr>
            </w:pPr>
          </w:p>
          <w:p w14:paraId="25B8CC3F" w14:textId="4598E932" w:rsidR="009D4E80" w:rsidRPr="009D4E80" w:rsidRDefault="009D4E80" w:rsidP="009D4E80">
            <w:pPr>
              <w:tabs>
                <w:tab w:val="left" w:pos="567"/>
              </w:tabs>
              <w:ind w:right="-20"/>
              <w:jc w:val="center"/>
              <w:rPr>
                <w:u w:val="single" w:color="000000"/>
                <w:lang w:val="en-GB"/>
              </w:rPr>
            </w:pPr>
            <w:r w:rsidRPr="009D4E80">
              <w:rPr>
                <w:b/>
                <w:bCs/>
                <w:lang w:val="en-GB"/>
              </w:rPr>
              <w:t>(85</w:t>
            </w:r>
            <w:r w:rsidR="00C159F7">
              <w:rPr>
                <w:b/>
                <w:bCs/>
                <w:lang w:val="en-GB"/>
              </w:rPr>
              <w:t>,</w:t>
            </w:r>
            <w:r w:rsidRPr="009D4E80">
              <w:rPr>
                <w:b/>
                <w:bCs/>
                <w:lang w:val="en-GB"/>
              </w:rPr>
              <w:t>1</w:t>
            </w:r>
            <w:r w:rsidR="00C159F7">
              <w:rPr>
                <w:b/>
                <w:bCs/>
                <w:lang w:val="en-GB"/>
              </w:rPr>
              <w:t>;</w:t>
            </w:r>
            <w:r w:rsidRPr="009D4E80">
              <w:rPr>
                <w:b/>
                <w:bCs/>
                <w:lang w:val="en-GB"/>
              </w:rPr>
              <w:t xml:space="preserve"> 96</w:t>
            </w:r>
            <w:r w:rsidR="00C159F7">
              <w:rPr>
                <w:b/>
                <w:bCs/>
                <w:lang w:val="en-GB"/>
              </w:rPr>
              <w:t>,</w:t>
            </w:r>
            <w:r w:rsidRPr="009D4E80">
              <w:rPr>
                <w:b/>
                <w:bCs/>
                <w:lang w:val="en-GB"/>
              </w:rPr>
              <w:t>8)</w:t>
            </w:r>
          </w:p>
        </w:tc>
        <w:tc>
          <w:tcPr>
            <w:tcW w:w="1264" w:type="dxa"/>
          </w:tcPr>
          <w:p w14:paraId="3D805C03" w14:textId="471AA659" w:rsidR="009D4E80" w:rsidRPr="009D4E80" w:rsidRDefault="009D4E80" w:rsidP="009D4E80">
            <w:pPr>
              <w:tabs>
                <w:tab w:val="left" w:pos="567"/>
              </w:tabs>
              <w:ind w:right="-20"/>
              <w:jc w:val="center"/>
              <w:rPr>
                <w:b/>
                <w:bCs/>
                <w:lang w:val="en-GB"/>
              </w:rPr>
            </w:pPr>
            <w:r w:rsidRPr="009D4E80">
              <w:rPr>
                <w:b/>
                <w:bCs/>
                <w:lang w:val="en-GB"/>
              </w:rPr>
              <w:t>90</w:t>
            </w:r>
            <w:r w:rsidR="00C159F7">
              <w:rPr>
                <w:b/>
                <w:bCs/>
                <w:lang w:val="en-GB"/>
              </w:rPr>
              <w:t>,</w:t>
            </w:r>
            <w:r w:rsidRPr="009D4E80">
              <w:rPr>
                <w:b/>
                <w:bCs/>
                <w:lang w:val="en-GB"/>
              </w:rPr>
              <w:t>4</w:t>
            </w:r>
          </w:p>
          <w:p w14:paraId="0056B1BD" w14:textId="77777777" w:rsidR="009D4E80" w:rsidRPr="009D4E80" w:rsidRDefault="009D4E80" w:rsidP="009D4E80">
            <w:pPr>
              <w:tabs>
                <w:tab w:val="left" w:pos="567"/>
              </w:tabs>
              <w:ind w:right="-20"/>
              <w:jc w:val="center"/>
              <w:rPr>
                <w:b/>
                <w:bCs/>
                <w:lang w:val="en-GB"/>
              </w:rPr>
            </w:pPr>
          </w:p>
          <w:p w14:paraId="18ED608D" w14:textId="46967C9E" w:rsidR="009D4E80" w:rsidRPr="009D4E80" w:rsidRDefault="009D4E80" w:rsidP="009D4E80">
            <w:pPr>
              <w:tabs>
                <w:tab w:val="left" w:pos="567"/>
              </w:tabs>
              <w:ind w:right="-20"/>
              <w:jc w:val="center"/>
              <w:rPr>
                <w:u w:val="single" w:color="000000"/>
                <w:lang w:val="en-GB"/>
              </w:rPr>
            </w:pPr>
            <w:r w:rsidRPr="009D4E80">
              <w:rPr>
                <w:b/>
                <w:bCs/>
                <w:lang w:val="en-GB"/>
              </w:rPr>
              <w:t>(73</w:t>
            </w:r>
            <w:r w:rsidR="00C159F7">
              <w:rPr>
                <w:b/>
                <w:bCs/>
                <w:lang w:val="en-GB"/>
              </w:rPr>
              <w:t>,</w:t>
            </w:r>
            <w:r w:rsidRPr="009D4E80">
              <w:rPr>
                <w:b/>
                <w:bCs/>
                <w:lang w:val="en-GB"/>
              </w:rPr>
              <w:t>0</w:t>
            </w:r>
            <w:r w:rsidR="00C159F7">
              <w:rPr>
                <w:b/>
                <w:bCs/>
                <w:lang w:val="en-GB"/>
              </w:rPr>
              <w:t>;</w:t>
            </w:r>
            <w:r w:rsidRPr="009D4E80">
              <w:rPr>
                <w:b/>
                <w:bCs/>
                <w:lang w:val="en-GB"/>
              </w:rPr>
              <w:t xml:space="preserve"> 96</w:t>
            </w:r>
            <w:r w:rsidR="00C159F7">
              <w:rPr>
                <w:b/>
                <w:bCs/>
                <w:lang w:val="en-GB"/>
              </w:rPr>
              <w:t>,</w:t>
            </w:r>
            <w:r w:rsidRPr="009D4E80">
              <w:rPr>
                <w:b/>
                <w:bCs/>
                <w:lang w:val="en-GB"/>
              </w:rPr>
              <w:t>8)</w:t>
            </w:r>
          </w:p>
        </w:tc>
        <w:tc>
          <w:tcPr>
            <w:tcW w:w="1198" w:type="dxa"/>
          </w:tcPr>
          <w:p w14:paraId="659DC03D" w14:textId="6BBE4016" w:rsidR="009D4E80" w:rsidRPr="009D4E80" w:rsidRDefault="009D4E80" w:rsidP="009D4E80">
            <w:pPr>
              <w:tabs>
                <w:tab w:val="left" w:pos="567"/>
              </w:tabs>
              <w:ind w:right="-20"/>
              <w:jc w:val="center"/>
              <w:rPr>
                <w:b/>
                <w:bCs/>
                <w:lang w:val="en-GB"/>
              </w:rPr>
            </w:pPr>
            <w:r w:rsidRPr="009D4E80">
              <w:rPr>
                <w:b/>
                <w:bCs/>
                <w:lang w:val="en-GB"/>
              </w:rPr>
              <w:t>94</w:t>
            </w:r>
            <w:r w:rsidR="008149B7">
              <w:rPr>
                <w:b/>
                <w:bCs/>
                <w:lang w:val="en-GB"/>
              </w:rPr>
              <w:t>,</w:t>
            </w:r>
            <w:r w:rsidRPr="009D4E80">
              <w:rPr>
                <w:b/>
                <w:bCs/>
                <w:lang w:val="en-GB"/>
              </w:rPr>
              <w:t>5</w:t>
            </w:r>
          </w:p>
          <w:p w14:paraId="6FE4C326" w14:textId="77777777" w:rsidR="009D4E80" w:rsidRPr="009D4E80" w:rsidRDefault="009D4E80" w:rsidP="009D4E80">
            <w:pPr>
              <w:tabs>
                <w:tab w:val="left" w:pos="567"/>
              </w:tabs>
              <w:ind w:right="-20"/>
              <w:jc w:val="center"/>
              <w:rPr>
                <w:b/>
                <w:bCs/>
                <w:lang w:val="en-GB"/>
              </w:rPr>
            </w:pPr>
          </w:p>
          <w:p w14:paraId="361F76CD" w14:textId="2C1207FD" w:rsidR="009D4E80" w:rsidRPr="009D4E80" w:rsidRDefault="009D4E80" w:rsidP="009D4E80">
            <w:pPr>
              <w:tabs>
                <w:tab w:val="left" w:pos="567"/>
              </w:tabs>
              <w:ind w:right="-20"/>
              <w:jc w:val="center"/>
              <w:rPr>
                <w:u w:val="single" w:color="000000"/>
                <w:lang w:val="en-GB"/>
              </w:rPr>
            </w:pPr>
            <w:r w:rsidRPr="009D4E80">
              <w:rPr>
                <w:b/>
                <w:bCs/>
                <w:lang w:val="en-GB"/>
              </w:rPr>
              <w:t>(83</w:t>
            </w:r>
            <w:r w:rsidR="008149B7">
              <w:rPr>
                <w:b/>
                <w:bCs/>
                <w:lang w:val="en-GB"/>
              </w:rPr>
              <w:t>,</w:t>
            </w:r>
            <w:r w:rsidRPr="009D4E80">
              <w:rPr>
                <w:b/>
                <w:bCs/>
                <w:lang w:val="en-GB"/>
              </w:rPr>
              <w:t>9</w:t>
            </w:r>
            <w:r w:rsidR="00C159F7">
              <w:rPr>
                <w:b/>
                <w:bCs/>
                <w:lang w:val="en-GB"/>
              </w:rPr>
              <w:t>;</w:t>
            </w:r>
            <w:r w:rsidRPr="009D4E80">
              <w:rPr>
                <w:b/>
                <w:bCs/>
                <w:lang w:val="en-GB"/>
              </w:rPr>
              <w:t xml:space="preserve"> 98</w:t>
            </w:r>
            <w:r w:rsidR="008149B7">
              <w:rPr>
                <w:b/>
                <w:bCs/>
                <w:lang w:val="en-GB"/>
              </w:rPr>
              <w:t>,</w:t>
            </w:r>
            <w:r w:rsidRPr="009D4E80">
              <w:rPr>
                <w:b/>
                <w:bCs/>
                <w:lang w:val="en-GB"/>
              </w:rPr>
              <w:t>2)</w:t>
            </w:r>
          </w:p>
        </w:tc>
        <w:tc>
          <w:tcPr>
            <w:tcW w:w="1276" w:type="dxa"/>
          </w:tcPr>
          <w:p w14:paraId="701D62D2" w14:textId="24D1109A" w:rsidR="009D4E80" w:rsidRPr="009D4E80" w:rsidRDefault="009D4E80" w:rsidP="009D4E80">
            <w:pPr>
              <w:tabs>
                <w:tab w:val="left" w:pos="567"/>
              </w:tabs>
              <w:ind w:right="-20"/>
              <w:jc w:val="center"/>
              <w:rPr>
                <w:b/>
                <w:bCs/>
                <w:lang w:val="en-GB"/>
              </w:rPr>
            </w:pPr>
            <w:r w:rsidRPr="009D4E80">
              <w:rPr>
                <w:b/>
                <w:bCs/>
                <w:lang w:val="en-GB"/>
              </w:rPr>
              <w:t>94</w:t>
            </w:r>
            <w:r w:rsidR="008149B7">
              <w:rPr>
                <w:b/>
                <w:bCs/>
                <w:lang w:val="en-GB"/>
              </w:rPr>
              <w:t>,</w:t>
            </w:r>
            <w:r w:rsidRPr="009D4E80">
              <w:rPr>
                <w:b/>
                <w:bCs/>
                <w:lang w:val="en-GB"/>
              </w:rPr>
              <w:t>3</w:t>
            </w:r>
          </w:p>
          <w:p w14:paraId="32651604" w14:textId="77777777" w:rsidR="009D4E80" w:rsidRPr="009D4E80" w:rsidRDefault="009D4E80" w:rsidP="009D4E80">
            <w:pPr>
              <w:tabs>
                <w:tab w:val="left" w:pos="567"/>
              </w:tabs>
              <w:ind w:right="-20"/>
              <w:jc w:val="center"/>
              <w:rPr>
                <w:b/>
                <w:bCs/>
                <w:lang w:val="en-GB"/>
              </w:rPr>
            </w:pPr>
          </w:p>
          <w:p w14:paraId="6B0A5784" w14:textId="4967C647" w:rsidR="009D4E80" w:rsidRPr="009D4E80" w:rsidRDefault="009D4E80" w:rsidP="00E83289">
            <w:pPr>
              <w:ind w:right="-20"/>
              <w:jc w:val="center"/>
              <w:rPr>
                <w:u w:val="single" w:color="000000"/>
                <w:lang w:val="en-GB"/>
              </w:rPr>
            </w:pPr>
            <w:r w:rsidRPr="009D4E80">
              <w:rPr>
                <w:b/>
                <w:bCs/>
                <w:lang w:val="en-GB"/>
              </w:rPr>
              <w:t>(85</w:t>
            </w:r>
            <w:r w:rsidR="008149B7">
              <w:rPr>
                <w:b/>
                <w:bCs/>
                <w:lang w:val="en-GB"/>
              </w:rPr>
              <w:t>,</w:t>
            </w:r>
            <w:r w:rsidRPr="009D4E80">
              <w:rPr>
                <w:b/>
                <w:bCs/>
                <w:lang w:val="en-GB"/>
              </w:rPr>
              <w:t>5</w:t>
            </w:r>
            <w:r w:rsidR="00C159F7">
              <w:rPr>
                <w:b/>
                <w:bCs/>
                <w:lang w:val="en-GB"/>
              </w:rPr>
              <w:t>;</w:t>
            </w:r>
            <w:r w:rsidRPr="009D4E80">
              <w:rPr>
                <w:b/>
                <w:bCs/>
                <w:lang w:val="en-GB"/>
              </w:rPr>
              <w:t xml:space="preserve"> 97</w:t>
            </w:r>
            <w:r w:rsidR="008149B7">
              <w:rPr>
                <w:b/>
                <w:bCs/>
                <w:lang w:val="en-GB"/>
              </w:rPr>
              <w:t>,</w:t>
            </w:r>
            <w:r w:rsidRPr="009D4E80">
              <w:rPr>
                <w:b/>
                <w:bCs/>
                <w:lang w:val="en-GB"/>
              </w:rPr>
              <w:t>9)</w:t>
            </w:r>
          </w:p>
        </w:tc>
        <w:tc>
          <w:tcPr>
            <w:tcW w:w="1276" w:type="dxa"/>
          </w:tcPr>
          <w:p w14:paraId="06CC4869" w14:textId="1A9579E2" w:rsidR="009D4E80" w:rsidRPr="009D4E80" w:rsidRDefault="009D4E80" w:rsidP="009D4E80">
            <w:pPr>
              <w:tabs>
                <w:tab w:val="left" w:pos="567"/>
              </w:tabs>
              <w:ind w:right="-20"/>
              <w:jc w:val="center"/>
              <w:rPr>
                <w:b/>
                <w:bCs/>
                <w:lang w:val="en-GB"/>
              </w:rPr>
            </w:pPr>
            <w:r w:rsidRPr="009D4E80">
              <w:rPr>
                <w:b/>
                <w:bCs/>
                <w:lang w:val="en-GB"/>
              </w:rPr>
              <w:t>96</w:t>
            </w:r>
            <w:r w:rsidR="008149B7">
              <w:rPr>
                <w:b/>
                <w:bCs/>
                <w:lang w:val="en-GB"/>
              </w:rPr>
              <w:t>,</w:t>
            </w:r>
            <w:r w:rsidRPr="009D4E80">
              <w:rPr>
                <w:b/>
                <w:bCs/>
                <w:lang w:val="en-GB"/>
              </w:rPr>
              <w:t>0</w:t>
            </w:r>
          </w:p>
          <w:p w14:paraId="66029585" w14:textId="77777777" w:rsidR="009D4E80" w:rsidRPr="009D4E80" w:rsidRDefault="009D4E80" w:rsidP="009D4E80">
            <w:pPr>
              <w:tabs>
                <w:tab w:val="left" w:pos="567"/>
              </w:tabs>
              <w:ind w:right="-20"/>
              <w:jc w:val="center"/>
              <w:rPr>
                <w:b/>
                <w:bCs/>
                <w:lang w:val="en-GB"/>
              </w:rPr>
            </w:pPr>
          </w:p>
          <w:p w14:paraId="0C2F040F" w14:textId="6AA6305A" w:rsidR="009D4E80" w:rsidRPr="009D4E80" w:rsidRDefault="009D4E80" w:rsidP="009D4E80">
            <w:pPr>
              <w:tabs>
                <w:tab w:val="left" w:pos="567"/>
              </w:tabs>
              <w:ind w:right="-20"/>
              <w:jc w:val="center"/>
              <w:rPr>
                <w:u w:val="single" w:color="000000"/>
                <w:lang w:val="en-GB"/>
              </w:rPr>
            </w:pPr>
            <w:r w:rsidRPr="009D4E80">
              <w:rPr>
                <w:b/>
                <w:bCs/>
                <w:lang w:val="en-GB"/>
              </w:rPr>
              <w:t>(74</w:t>
            </w:r>
            <w:r w:rsidR="008149B7">
              <w:rPr>
                <w:b/>
                <w:bCs/>
                <w:lang w:val="en-GB"/>
              </w:rPr>
              <w:t>,</w:t>
            </w:r>
            <w:r w:rsidRPr="009D4E80">
              <w:rPr>
                <w:b/>
                <w:bCs/>
                <w:lang w:val="en-GB"/>
              </w:rPr>
              <w:t>8</w:t>
            </w:r>
            <w:r w:rsidR="00C159F7">
              <w:rPr>
                <w:b/>
                <w:bCs/>
                <w:lang w:val="en-GB"/>
              </w:rPr>
              <w:t>;</w:t>
            </w:r>
            <w:r w:rsidRPr="009D4E80">
              <w:rPr>
                <w:b/>
                <w:bCs/>
                <w:lang w:val="en-GB"/>
              </w:rPr>
              <w:t xml:space="preserve"> 99</w:t>
            </w:r>
            <w:r w:rsidR="008149B7">
              <w:rPr>
                <w:b/>
                <w:bCs/>
                <w:lang w:val="en-GB"/>
              </w:rPr>
              <w:t>,</w:t>
            </w:r>
            <w:r w:rsidRPr="009D4E80">
              <w:rPr>
                <w:b/>
                <w:bCs/>
                <w:lang w:val="en-GB"/>
              </w:rPr>
              <w:t>4)</w:t>
            </w:r>
          </w:p>
        </w:tc>
        <w:tc>
          <w:tcPr>
            <w:tcW w:w="1249" w:type="dxa"/>
          </w:tcPr>
          <w:p w14:paraId="02BB66C7" w14:textId="58AB4654" w:rsidR="009D4E80" w:rsidRPr="009D4E80" w:rsidRDefault="009D4E80" w:rsidP="009D4E80">
            <w:pPr>
              <w:tabs>
                <w:tab w:val="left" w:pos="567"/>
              </w:tabs>
              <w:ind w:right="-20"/>
              <w:jc w:val="center"/>
              <w:rPr>
                <w:b/>
                <w:bCs/>
                <w:lang w:val="en-GB"/>
              </w:rPr>
            </w:pPr>
            <w:r w:rsidRPr="009D4E80">
              <w:rPr>
                <w:b/>
                <w:bCs/>
                <w:lang w:val="en-GB"/>
              </w:rPr>
              <w:t>93</w:t>
            </w:r>
            <w:r w:rsidR="008149B7">
              <w:rPr>
                <w:b/>
                <w:bCs/>
                <w:lang w:val="en-GB"/>
              </w:rPr>
              <w:t>,</w:t>
            </w:r>
            <w:r w:rsidRPr="009D4E80">
              <w:rPr>
                <w:b/>
                <w:bCs/>
                <w:lang w:val="en-GB"/>
              </w:rPr>
              <w:t>5</w:t>
            </w:r>
          </w:p>
          <w:p w14:paraId="6A62A407" w14:textId="77777777" w:rsidR="009D4E80" w:rsidRPr="009D4E80" w:rsidRDefault="009D4E80" w:rsidP="009D4E80">
            <w:pPr>
              <w:tabs>
                <w:tab w:val="left" w:pos="567"/>
              </w:tabs>
              <w:ind w:right="-20"/>
              <w:jc w:val="center"/>
              <w:rPr>
                <w:b/>
                <w:bCs/>
                <w:lang w:val="en-GB"/>
              </w:rPr>
            </w:pPr>
          </w:p>
          <w:p w14:paraId="653B822D" w14:textId="54F2F5EC" w:rsidR="009D4E80" w:rsidRPr="009D4E80" w:rsidRDefault="009D4E80" w:rsidP="009D4E80">
            <w:pPr>
              <w:tabs>
                <w:tab w:val="left" w:pos="567"/>
              </w:tabs>
              <w:ind w:right="-20"/>
              <w:jc w:val="center"/>
              <w:rPr>
                <w:u w:val="single" w:color="000000"/>
                <w:lang w:val="en-GB"/>
              </w:rPr>
            </w:pPr>
            <w:r w:rsidRPr="009D4E80">
              <w:rPr>
                <w:b/>
                <w:bCs/>
                <w:lang w:val="en-GB"/>
              </w:rPr>
              <w:t>(81</w:t>
            </w:r>
            <w:r w:rsidR="008149B7">
              <w:rPr>
                <w:b/>
                <w:bCs/>
                <w:lang w:val="en-GB"/>
              </w:rPr>
              <w:t>,</w:t>
            </w:r>
            <w:r w:rsidRPr="009D4E80">
              <w:rPr>
                <w:b/>
                <w:bCs/>
                <w:lang w:val="en-GB"/>
              </w:rPr>
              <w:t>0</w:t>
            </w:r>
            <w:r w:rsidR="00C159F7">
              <w:rPr>
                <w:b/>
                <w:bCs/>
                <w:lang w:val="en-GB"/>
              </w:rPr>
              <w:t>;</w:t>
            </w:r>
            <w:r w:rsidRPr="009D4E80">
              <w:rPr>
                <w:b/>
                <w:bCs/>
                <w:lang w:val="en-GB"/>
              </w:rPr>
              <w:t xml:space="preserve"> 97</w:t>
            </w:r>
            <w:r w:rsidR="008149B7">
              <w:rPr>
                <w:b/>
                <w:bCs/>
                <w:lang w:val="en-GB"/>
              </w:rPr>
              <w:t>,</w:t>
            </w:r>
            <w:r w:rsidRPr="009D4E80">
              <w:rPr>
                <w:b/>
                <w:bCs/>
                <w:lang w:val="en-GB"/>
              </w:rPr>
              <w:t>9)</w:t>
            </w:r>
          </w:p>
        </w:tc>
      </w:tr>
      <w:tr w:rsidR="008149B7" w:rsidRPr="009D4E80" w14:paraId="1E2E305B" w14:textId="77777777" w:rsidTr="00E83289">
        <w:tc>
          <w:tcPr>
            <w:tcW w:w="1838" w:type="dxa"/>
          </w:tcPr>
          <w:p w14:paraId="1E7134EC" w14:textId="567A0AD7" w:rsidR="00C159F7" w:rsidRPr="007E5A32" w:rsidRDefault="00C159F7" w:rsidP="00C159F7">
            <w:pPr>
              <w:tabs>
                <w:tab w:val="left" w:pos="567"/>
              </w:tabs>
              <w:ind w:right="-20"/>
              <w:rPr>
                <w:b/>
                <w:lang w:val="hu-HU"/>
              </w:rPr>
            </w:pPr>
            <w:r w:rsidRPr="007E5A32">
              <w:rPr>
                <w:b/>
                <w:lang w:val="hu-HU"/>
              </w:rPr>
              <w:t>≥ 12 hónap DoR-rel</w:t>
            </w:r>
            <w:r w:rsidRPr="007E5A32">
              <w:rPr>
                <w:b/>
                <w:vertAlign w:val="superscript"/>
                <w:lang w:val="hu-HU"/>
              </w:rPr>
              <w:t xml:space="preserve"> </w:t>
            </w:r>
            <w:r w:rsidRPr="007E5A32">
              <w:rPr>
                <w:b/>
                <w:lang w:val="hu-HU"/>
              </w:rPr>
              <w:t xml:space="preserve">rendelkező alanyok </w:t>
            </w:r>
            <w:r w:rsidRPr="00934095">
              <w:rPr>
                <w:b/>
                <w:bCs/>
                <w:lang w:val="hu-HU"/>
              </w:rPr>
              <w:t>%</w:t>
            </w:r>
            <w:r w:rsidR="00104634" w:rsidRPr="00934095">
              <w:rPr>
                <w:b/>
                <w:bCs/>
                <w:lang w:val="hu-HU"/>
              </w:rPr>
              <w:t>-</w:t>
            </w:r>
            <w:r w:rsidRPr="007E5A32">
              <w:rPr>
                <w:b/>
                <w:lang w:val="hu-HU"/>
              </w:rPr>
              <w:t>os aránya</w:t>
            </w:r>
          </w:p>
          <w:p w14:paraId="542AC109" w14:textId="780815F3" w:rsidR="00C159F7" w:rsidRPr="00E83289" w:rsidRDefault="00C159F7" w:rsidP="00C159F7">
            <w:pPr>
              <w:tabs>
                <w:tab w:val="left" w:pos="567"/>
              </w:tabs>
              <w:ind w:right="-20"/>
              <w:jc w:val="both"/>
              <w:rPr>
                <w:b/>
                <w:bCs/>
                <w:u w:val="single" w:color="000000"/>
                <w:lang w:val="en-GB"/>
              </w:rPr>
            </w:pPr>
            <w:r w:rsidRPr="007E5A32">
              <w:rPr>
                <w:b/>
                <w:lang w:val="en-GB"/>
              </w:rPr>
              <w:t>(95%-os CI)</w:t>
            </w:r>
            <w:r w:rsidRPr="007E5A32">
              <w:rPr>
                <w:b/>
                <w:vertAlign w:val="superscript"/>
                <w:lang w:val="en-GB"/>
              </w:rPr>
              <w:t>c</w:t>
            </w:r>
          </w:p>
        </w:tc>
        <w:tc>
          <w:tcPr>
            <w:tcW w:w="1252" w:type="dxa"/>
          </w:tcPr>
          <w:p w14:paraId="073C5356" w14:textId="13E454CD" w:rsidR="00C159F7" w:rsidRPr="009D4E80" w:rsidRDefault="00C159F7" w:rsidP="00C159F7">
            <w:pPr>
              <w:autoSpaceDE w:val="0"/>
              <w:autoSpaceDN w:val="0"/>
              <w:adjustRightInd w:val="0"/>
              <w:jc w:val="center"/>
              <w:rPr>
                <w:b/>
                <w:bCs/>
                <w:lang w:val="en-GB"/>
              </w:rPr>
            </w:pPr>
            <w:r w:rsidRPr="009D4E80">
              <w:rPr>
                <w:b/>
                <w:bCs/>
                <w:lang w:val="en-GB"/>
              </w:rPr>
              <w:t>79</w:t>
            </w:r>
            <w:r>
              <w:rPr>
                <w:b/>
                <w:bCs/>
                <w:lang w:val="en-GB"/>
              </w:rPr>
              <w:t>,</w:t>
            </w:r>
            <w:r w:rsidRPr="009D4E80">
              <w:rPr>
                <w:b/>
                <w:bCs/>
                <w:lang w:val="en-GB"/>
              </w:rPr>
              <w:t>1</w:t>
            </w:r>
          </w:p>
          <w:p w14:paraId="3055AE49" w14:textId="77777777" w:rsidR="00C159F7" w:rsidRPr="009D4E80" w:rsidRDefault="00C159F7" w:rsidP="00C159F7">
            <w:pPr>
              <w:autoSpaceDE w:val="0"/>
              <w:autoSpaceDN w:val="0"/>
              <w:adjustRightInd w:val="0"/>
              <w:jc w:val="center"/>
              <w:rPr>
                <w:b/>
                <w:bCs/>
                <w:lang w:val="en-GB"/>
              </w:rPr>
            </w:pPr>
          </w:p>
          <w:p w14:paraId="620BE828" w14:textId="243ADEA5" w:rsidR="00C159F7" w:rsidRPr="009D4E80" w:rsidRDefault="00C159F7" w:rsidP="00C159F7">
            <w:pPr>
              <w:tabs>
                <w:tab w:val="left" w:pos="567"/>
              </w:tabs>
              <w:ind w:right="-20"/>
              <w:jc w:val="both"/>
              <w:rPr>
                <w:u w:val="single" w:color="000000"/>
                <w:lang w:val="en-GB"/>
              </w:rPr>
            </w:pPr>
            <w:r w:rsidRPr="009D4E80">
              <w:rPr>
                <w:b/>
                <w:bCs/>
                <w:lang w:val="en-GB"/>
              </w:rPr>
              <w:t>(67</w:t>
            </w:r>
            <w:r>
              <w:rPr>
                <w:b/>
                <w:bCs/>
                <w:lang w:val="en-GB"/>
              </w:rPr>
              <w:t>,</w:t>
            </w:r>
            <w:r w:rsidRPr="009D4E80">
              <w:rPr>
                <w:b/>
                <w:bCs/>
                <w:lang w:val="en-GB"/>
              </w:rPr>
              <w:t>4</w:t>
            </w:r>
            <w:r>
              <w:rPr>
                <w:b/>
                <w:bCs/>
                <w:lang w:val="en-GB"/>
              </w:rPr>
              <w:t>;</w:t>
            </w:r>
            <w:r w:rsidRPr="009D4E80">
              <w:rPr>
                <w:b/>
                <w:bCs/>
                <w:lang w:val="en-GB"/>
              </w:rPr>
              <w:t xml:space="preserve"> 87</w:t>
            </w:r>
            <w:r>
              <w:rPr>
                <w:b/>
                <w:bCs/>
                <w:lang w:val="en-GB"/>
              </w:rPr>
              <w:t>,</w:t>
            </w:r>
            <w:r w:rsidRPr="009D4E80">
              <w:rPr>
                <w:b/>
                <w:bCs/>
                <w:lang w:val="en-GB"/>
              </w:rPr>
              <w:t>0)</w:t>
            </w:r>
          </w:p>
        </w:tc>
        <w:tc>
          <w:tcPr>
            <w:tcW w:w="1264" w:type="dxa"/>
          </w:tcPr>
          <w:p w14:paraId="7DD624DD" w14:textId="6BE4CAAB" w:rsidR="00C159F7" w:rsidRPr="009D4E80" w:rsidRDefault="00C159F7" w:rsidP="00C159F7">
            <w:pPr>
              <w:autoSpaceDE w:val="0"/>
              <w:autoSpaceDN w:val="0"/>
              <w:adjustRightInd w:val="0"/>
              <w:jc w:val="center"/>
              <w:rPr>
                <w:b/>
                <w:bCs/>
                <w:lang w:val="en-GB"/>
              </w:rPr>
            </w:pPr>
            <w:r w:rsidRPr="009D4E80">
              <w:rPr>
                <w:b/>
                <w:bCs/>
                <w:lang w:val="en-GB"/>
              </w:rPr>
              <w:t>73</w:t>
            </w:r>
            <w:r>
              <w:rPr>
                <w:b/>
                <w:bCs/>
                <w:lang w:val="en-GB"/>
              </w:rPr>
              <w:t>,</w:t>
            </w:r>
            <w:r w:rsidRPr="009D4E80">
              <w:rPr>
                <w:b/>
                <w:bCs/>
                <w:lang w:val="en-GB"/>
              </w:rPr>
              <w:t>3</w:t>
            </w:r>
          </w:p>
          <w:p w14:paraId="1B51266D" w14:textId="77777777" w:rsidR="00C159F7" w:rsidRPr="009D4E80" w:rsidRDefault="00C159F7" w:rsidP="00C159F7">
            <w:pPr>
              <w:autoSpaceDE w:val="0"/>
              <w:autoSpaceDN w:val="0"/>
              <w:adjustRightInd w:val="0"/>
              <w:rPr>
                <w:b/>
                <w:bCs/>
                <w:lang w:val="en-GB"/>
              </w:rPr>
            </w:pPr>
          </w:p>
          <w:p w14:paraId="133BEC0E" w14:textId="6934ED44" w:rsidR="00C159F7" w:rsidRPr="009D4E80" w:rsidRDefault="00C159F7" w:rsidP="00C159F7">
            <w:pPr>
              <w:tabs>
                <w:tab w:val="left" w:pos="567"/>
              </w:tabs>
              <w:ind w:right="-20"/>
              <w:jc w:val="both"/>
              <w:rPr>
                <w:u w:val="single" w:color="000000"/>
                <w:lang w:val="en-GB"/>
              </w:rPr>
            </w:pPr>
            <w:r w:rsidRPr="009D4E80">
              <w:rPr>
                <w:b/>
                <w:bCs/>
                <w:lang w:val="en-GB"/>
              </w:rPr>
              <w:t>(51</w:t>
            </w:r>
            <w:r>
              <w:rPr>
                <w:b/>
                <w:bCs/>
                <w:lang w:val="en-GB"/>
              </w:rPr>
              <w:t>,</w:t>
            </w:r>
            <w:r w:rsidRPr="009D4E80">
              <w:rPr>
                <w:b/>
                <w:bCs/>
                <w:lang w:val="en-GB"/>
              </w:rPr>
              <w:t>2</w:t>
            </w:r>
            <w:r>
              <w:rPr>
                <w:b/>
                <w:bCs/>
                <w:lang w:val="en-GB"/>
              </w:rPr>
              <w:t>;</w:t>
            </w:r>
            <w:r w:rsidRPr="009D4E80">
              <w:rPr>
                <w:b/>
                <w:bCs/>
                <w:lang w:val="en-GB"/>
              </w:rPr>
              <w:t xml:space="preserve"> 86</w:t>
            </w:r>
            <w:r>
              <w:rPr>
                <w:b/>
                <w:bCs/>
                <w:lang w:val="en-GB"/>
              </w:rPr>
              <w:t>,</w:t>
            </w:r>
            <w:r w:rsidRPr="009D4E80">
              <w:rPr>
                <w:b/>
                <w:bCs/>
                <w:lang w:val="en-GB"/>
              </w:rPr>
              <w:t>6)</w:t>
            </w:r>
          </w:p>
        </w:tc>
        <w:tc>
          <w:tcPr>
            <w:tcW w:w="1198" w:type="dxa"/>
          </w:tcPr>
          <w:p w14:paraId="7CDBA15C" w14:textId="64237C60" w:rsidR="00C159F7" w:rsidRPr="009D4E80" w:rsidRDefault="00C159F7" w:rsidP="00C159F7">
            <w:pPr>
              <w:autoSpaceDE w:val="0"/>
              <w:autoSpaceDN w:val="0"/>
              <w:adjustRightInd w:val="0"/>
              <w:jc w:val="center"/>
              <w:rPr>
                <w:b/>
                <w:bCs/>
                <w:lang w:val="en-GB"/>
              </w:rPr>
            </w:pPr>
            <w:r w:rsidRPr="009D4E80">
              <w:rPr>
                <w:b/>
                <w:bCs/>
                <w:lang w:val="en-GB"/>
              </w:rPr>
              <w:t>82</w:t>
            </w:r>
            <w:r>
              <w:rPr>
                <w:b/>
                <w:bCs/>
                <w:lang w:val="en-GB"/>
              </w:rPr>
              <w:t>,</w:t>
            </w:r>
            <w:r w:rsidRPr="009D4E80">
              <w:rPr>
                <w:b/>
                <w:bCs/>
                <w:lang w:val="en-GB"/>
              </w:rPr>
              <w:t>4</w:t>
            </w:r>
          </w:p>
          <w:p w14:paraId="10CA432E" w14:textId="77777777" w:rsidR="00C159F7" w:rsidRPr="009D4E80" w:rsidRDefault="00C159F7" w:rsidP="00C159F7">
            <w:pPr>
              <w:tabs>
                <w:tab w:val="left" w:pos="567"/>
              </w:tabs>
              <w:ind w:right="-20"/>
              <w:jc w:val="both"/>
              <w:rPr>
                <w:b/>
                <w:bCs/>
                <w:lang w:val="en-GB"/>
              </w:rPr>
            </w:pPr>
          </w:p>
          <w:p w14:paraId="3A7FFFD2" w14:textId="6AC4E0D0" w:rsidR="00C159F7" w:rsidRPr="009D4E80" w:rsidRDefault="00C159F7" w:rsidP="00C159F7">
            <w:pPr>
              <w:tabs>
                <w:tab w:val="left" w:pos="567"/>
              </w:tabs>
              <w:ind w:right="-20"/>
              <w:jc w:val="both"/>
              <w:rPr>
                <w:u w:val="single" w:color="000000"/>
                <w:lang w:val="en-GB"/>
              </w:rPr>
            </w:pPr>
            <w:r w:rsidRPr="009D4E80">
              <w:rPr>
                <w:b/>
                <w:bCs/>
                <w:lang w:val="en-GB"/>
              </w:rPr>
              <w:t>(67</w:t>
            </w:r>
            <w:r>
              <w:rPr>
                <w:b/>
                <w:bCs/>
                <w:lang w:val="en-GB"/>
              </w:rPr>
              <w:t>,</w:t>
            </w:r>
            <w:r w:rsidRPr="009D4E80">
              <w:rPr>
                <w:b/>
                <w:bCs/>
                <w:lang w:val="en-GB"/>
              </w:rPr>
              <w:t>5</w:t>
            </w:r>
            <w:r>
              <w:rPr>
                <w:b/>
                <w:bCs/>
                <w:lang w:val="en-GB"/>
              </w:rPr>
              <w:t>;</w:t>
            </w:r>
            <w:r w:rsidRPr="009D4E80">
              <w:rPr>
                <w:b/>
                <w:bCs/>
                <w:lang w:val="en-GB"/>
              </w:rPr>
              <w:t xml:space="preserve"> 90</w:t>
            </w:r>
            <w:r>
              <w:rPr>
                <w:b/>
                <w:bCs/>
                <w:lang w:val="en-GB"/>
              </w:rPr>
              <w:t>,</w:t>
            </w:r>
            <w:r w:rsidRPr="009D4E80">
              <w:rPr>
                <w:b/>
                <w:bCs/>
                <w:lang w:val="en-GB"/>
              </w:rPr>
              <w:t>9)</w:t>
            </w:r>
          </w:p>
        </w:tc>
        <w:tc>
          <w:tcPr>
            <w:tcW w:w="1276" w:type="dxa"/>
          </w:tcPr>
          <w:p w14:paraId="5B85F966" w14:textId="5486473A" w:rsidR="00C159F7" w:rsidRPr="009D4E80" w:rsidRDefault="00C159F7" w:rsidP="00C159F7">
            <w:pPr>
              <w:autoSpaceDE w:val="0"/>
              <w:autoSpaceDN w:val="0"/>
              <w:adjustRightInd w:val="0"/>
              <w:jc w:val="center"/>
              <w:rPr>
                <w:b/>
                <w:bCs/>
                <w:lang w:val="en-GB"/>
              </w:rPr>
            </w:pPr>
            <w:r w:rsidRPr="009D4E80">
              <w:rPr>
                <w:b/>
                <w:bCs/>
                <w:lang w:val="en-GB"/>
              </w:rPr>
              <w:t>79</w:t>
            </w:r>
            <w:r>
              <w:rPr>
                <w:b/>
                <w:bCs/>
                <w:lang w:val="en-GB"/>
              </w:rPr>
              <w:t>,</w:t>
            </w:r>
            <w:r w:rsidRPr="009D4E80">
              <w:rPr>
                <w:b/>
                <w:bCs/>
                <w:lang w:val="en-GB"/>
              </w:rPr>
              <w:t>5</w:t>
            </w:r>
          </w:p>
          <w:p w14:paraId="3DBD9D4A" w14:textId="77777777" w:rsidR="00C159F7" w:rsidRPr="009D4E80" w:rsidRDefault="00C159F7" w:rsidP="00C159F7">
            <w:pPr>
              <w:tabs>
                <w:tab w:val="left" w:pos="567"/>
              </w:tabs>
              <w:ind w:right="-20"/>
              <w:jc w:val="both"/>
              <w:rPr>
                <w:b/>
                <w:bCs/>
                <w:lang w:val="en-GB"/>
              </w:rPr>
            </w:pPr>
          </w:p>
          <w:p w14:paraId="2E47F48E" w14:textId="5A9015AB" w:rsidR="00C159F7" w:rsidRPr="009D4E80" w:rsidRDefault="00C159F7" w:rsidP="00E83289">
            <w:pPr>
              <w:ind w:right="-20"/>
              <w:jc w:val="both"/>
              <w:rPr>
                <w:u w:val="single" w:color="000000"/>
                <w:lang w:val="en-GB"/>
              </w:rPr>
            </w:pPr>
            <w:r w:rsidRPr="009D4E80">
              <w:rPr>
                <w:b/>
                <w:bCs/>
                <w:lang w:val="en-GB"/>
              </w:rPr>
              <w:t>(65</w:t>
            </w:r>
            <w:r>
              <w:rPr>
                <w:b/>
                <w:bCs/>
                <w:lang w:val="en-GB"/>
              </w:rPr>
              <w:t>,</w:t>
            </w:r>
            <w:r w:rsidRPr="009D4E80">
              <w:rPr>
                <w:b/>
                <w:bCs/>
                <w:lang w:val="en-GB"/>
              </w:rPr>
              <w:t>5</w:t>
            </w:r>
            <w:r>
              <w:rPr>
                <w:b/>
                <w:bCs/>
                <w:lang w:val="en-GB"/>
              </w:rPr>
              <w:t xml:space="preserve">; </w:t>
            </w:r>
            <w:r w:rsidRPr="009D4E80">
              <w:rPr>
                <w:b/>
                <w:bCs/>
                <w:lang w:val="en-GB"/>
              </w:rPr>
              <w:t>88</w:t>
            </w:r>
            <w:r>
              <w:rPr>
                <w:b/>
                <w:bCs/>
                <w:lang w:val="en-GB"/>
              </w:rPr>
              <w:t>,</w:t>
            </w:r>
            <w:r w:rsidRPr="009D4E80">
              <w:rPr>
                <w:b/>
                <w:bCs/>
                <w:lang w:val="en-GB"/>
              </w:rPr>
              <w:t>3)</w:t>
            </w:r>
          </w:p>
        </w:tc>
        <w:tc>
          <w:tcPr>
            <w:tcW w:w="1276" w:type="dxa"/>
          </w:tcPr>
          <w:p w14:paraId="197DA8CE" w14:textId="1C846EDF" w:rsidR="00C159F7" w:rsidRPr="009D4E80" w:rsidRDefault="00C159F7" w:rsidP="00C159F7">
            <w:pPr>
              <w:tabs>
                <w:tab w:val="left" w:pos="567"/>
              </w:tabs>
              <w:ind w:right="-20"/>
              <w:jc w:val="center"/>
              <w:rPr>
                <w:b/>
                <w:bCs/>
                <w:lang w:val="en-GB"/>
              </w:rPr>
            </w:pPr>
            <w:r w:rsidRPr="009D4E80">
              <w:rPr>
                <w:b/>
                <w:bCs/>
                <w:lang w:val="en-GB"/>
              </w:rPr>
              <w:t>73</w:t>
            </w:r>
            <w:r w:rsidR="008149B7">
              <w:rPr>
                <w:b/>
                <w:bCs/>
                <w:lang w:val="en-GB"/>
              </w:rPr>
              <w:t>,</w:t>
            </w:r>
            <w:r w:rsidRPr="009D4E80">
              <w:rPr>
                <w:b/>
                <w:bCs/>
                <w:lang w:val="en-GB"/>
              </w:rPr>
              <w:t>9</w:t>
            </w:r>
          </w:p>
          <w:p w14:paraId="04C1A9AD" w14:textId="77777777" w:rsidR="00C159F7" w:rsidRPr="009D4E80" w:rsidRDefault="00C159F7" w:rsidP="00C159F7">
            <w:pPr>
              <w:tabs>
                <w:tab w:val="left" w:pos="567"/>
              </w:tabs>
              <w:ind w:right="-20"/>
              <w:jc w:val="center"/>
              <w:rPr>
                <w:b/>
                <w:bCs/>
                <w:lang w:val="en-GB"/>
              </w:rPr>
            </w:pPr>
          </w:p>
          <w:p w14:paraId="1497063A" w14:textId="03890610" w:rsidR="00C159F7" w:rsidRPr="009D4E80" w:rsidRDefault="00C159F7" w:rsidP="00C159F7">
            <w:pPr>
              <w:tabs>
                <w:tab w:val="left" w:pos="567"/>
              </w:tabs>
              <w:ind w:right="-20"/>
              <w:jc w:val="center"/>
              <w:rPr>
                <w:u w:val="single" w:color="000000"/>
                <w:lang w:val="en-GB"/>
              </w:rPr>
            </w:pPr>
            <w:r w:rsidRPr="009D4E80">
              <w:rPr>
                <w:b/>
                <w:bCs/>
                <w:lang w:val="en-GB"/>
              </w:rPr>
              <w:t>(43</w:t>
            </w:r>
            <w:r w:rsidR="008149B7">
              <w:rPr>
                <w:b/>
                <w:bCs/>
                <w:lang w:val="en-GB"/>
              </w:rPr>
              <w:t>,</w:t>
            </w:r>
            <w:r w:rsidRPr="009D4E80">
              <w:rPr>
                <w:b/>
                <w:bCs/>
                <w:lang w:val="en-GB"/>
              </w:rPr>
              <w:t>0</w:t>
            </w:r>
            <w:r>
              <w:rPr>
                <w:b/>
                <w:bCs/>
                <w:lang w:val="en-GB"/>
              </w:rPr>
              <w:t>;</w:t>
            </w:r>
            <w:r w:rsidRPr="009D4E80">
              <w:rPr>
                <w:b/>
                <w:bCs/>
                <w:lang w:val="en-GB"/>
              </w:rPr>
              <w:t xml:space="preserve"> 89</w:t>
            </w:r>
            <w:r w:rsidR="008149B7">
              <w:rPr>
                <w:b/>
                <w:bCs/>
                <w:lang w:val="en-GB"/>
              </w:rPr>
              <w:t>,</w:t>
            </w:r>
            <w:r w:rsidRPr="009D4E80">
              <w:rPr>
                <w:b/>
                <w:bCs/>
                <w:lang w:val="en-GB"/>
              </w:rPr>
              <w:t>8)</w:t>
            </w:r>
          </w:p>
        </w:tc>
        <w:tc>
          <w:tcPr>
            <w:tcW w:w="1249" w:type="dxa"/>
          </w:tcPr>
          <w:p w14:paraId="00D69147" w14:textId="19F41509" w:rsidR="00C159F7" w:rsidRPr="009D4E80" w:rsidRDefault="00C159F7" w:rsidP="00C159F7">
            <w:pPr>
              <w:autoSpaceDE w:val="0"/>
              <w:autoSpaceDN w:val="0"/>
              <w:adjustRightInd w:val="0"/>
              <w:jc w:val="center"/>
              <w:rPr>
                <w:b/>
                <w:bCs/>
                <w:lang w:val="en-GB"/>
              </w:rPr>
            </w:pPr>
            <w:r w:rsidRPr="009D4E80">
              <w:rPr>
                <w:b/>
                <w:bCs/>
                <w:lang w:val="en-GB"/>
              </w:rPr>
              <w:t>81</w:t>
            </w:r>
            <w:r w:rsidR="008149B7">
              <w:rPr>
                <w:b/>
                <w:bCs/>
                <w:lang w:val="en-GB"/>
              </w:rPr>
              <w:t>,</w:t>
            </w:r>
            <w:r w:rsidRPr="009D4E80">
              <w:rPr>
                <w:b/>
                <w:bCs/>
                <w:lang w:val="en-GB"/>
              </w:rPr>
              <w:t>7</w:t>
            </w:r>
          </w:p>
          <w:p w14:paraId="428FF8BB" w14:textId="77777777" w:rsidR="00C159F7" w:rsidRPr="009D4E80" w:rsidRDefault="00C159F7" w:rsidP="00C159F7">
            <w:pPr>
              <w:tabs>
                <w:tab w:val="left" w:pos="567"/>
              </w:tabs>
              <w:ind w:right="-20"/>
              <w:jc w:val="both"/>
              <w:rPr>
                <w:b/>
                <w:bCs/>
                <w:lang w:val="en-GB"/>
              </w:rPr>
            </w:pPr>
          </w:p>
          <w:p w14:paraId="2845F0A8" w14:textId="04BBFA70" w:rsidR="00C159F7" w:rsidRPr="009D4E80" w:rsidRDefault="00C159F7" w:rsidP="00C159F7">
            <w:pPr>
              <w:tabs>
                <w:tab w:val="left" w:pos="567"/>
              </w:tabs>
              <w:ind w:right="-20"/>
              <w:jc w:val="both"/>
              <w:rPr>
                <w:u w:val="single" w:color="000000"/>
                <w:lang w:val="en-GB"/>
              </w:rPr>
            </w:pPr>
            <w:r w:rsidRPr="009D4E80">
              <w:rPr>
                <w:b/>
                <w:bCs/>
                <w:lang w:val="en-GB"/>
              </w:rPr>
              <w:t>(64</w:t>
            </w:r>
            <w:r w:rsidR="008149B7">
              <w:rPr>
                <w:b/>
                <w:bCs/>
                <w:lang w:val="en-GB"/>
              </w:rPr>
              <w:t>,</w:t>
            </w:r>
            <w:r w:rsidRPr="009D4E80">
              <w:rPr>
                <w:b/>
                <w:bCs/>
                <w:lang w:val="en-GB"/>
              </w:rPr>
              <w:t>8</w:t>
            </w:r>
            <w:r>
              <w:rPr>
                <w:b/>
                <w:bCs/>
                <w:lang w:val="en-GB"/>
              </w:rPr>
              <w:t>;</w:t>
            </w:r>
            <w:r w:rsidRPr="009D4E80">
              <w:rPr>
                <w:b/>
                <w:bCs/>
                <w:lang w:val="en-GB"/>
              </w:rPr>
              <w:t xml:space="preserve"> 91</w:t>
            </w:r>
            <w:r w:rsidR="008149B7">
              <w:rPr>
                <w:b/>
                <w:bCs/>
                <w:lang w:val="en-GB"/>
              </w:rPr>
              <w:t>,</w:t>
            </w:r>
            <w:r w:rsidRPr="009D4E80">
              <w:rPr>
                <w:b/>
                <w:bCs/>
                <w:lang w:val="en-GB"/>
              </w:rPr>
              <w:t>0)</w:t>
            </w:r>
          </w:p>
        </w:tc>
      </w:tr>
    </w:tbl>
    <w:p w14:paraId="060F164B" w14:textId="7BDE0CF6" w:rsidR="008149B7" w:rsidRPr="00E83289" w:rsidRDefault="008149B7" w:rsidP="008149B7">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CI = konfidenciaintervallum; DoR = válasz időtartama; FL = follicularis lymphoma</w:t>
      </w:r>
    </w:p>
    <w:p w14:paraId="0BD6E6A2" w14:textId="10F4E658" w:rsidR="008149B7" w:rsidRPr="00E83289" w:rsidRDefault="008149B7" w:rsidP="008149B7">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vertAlign w:val="superscript"/>
        </w:rPr>
        <w:t>a</w:t>
      </w:r>
      <w:r w:rsidRPr="00E83289">
        <w:rPr>
          <w:rFonts w:ascii="Times New Roman" w:eastAsia="Calibri" w:hAnsi="Times New Roman" w:cs="Times New Roman"/>
          <w:sz w:val="18"/>
          <w:szCs w:val="18"/>
        </w:rPr>
        <w:t xml:space="preserve"> Ebben a vizsgálatban az elsődleges elemzési populáció az értékelhető indukciós hatásossági populáció (induction efficacy evaluable, IEE).</w:t>
      </w:r>
    </w:p>
    <w:p w14:paraId="0326E4F1" w14:textId="4DF2BECF" w:rsidR="008149B7" w:rsidRPr="00E83289" w:rsidRDefault="008149B7" w:rsidP="008149B7">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vertAlign w:val="superscript"/>
        </w:rPr>
        <w:t>b</w:t>
      </w:r>
      <w:r w:rsidRPr="00E83289">
        <w:rPr>
          <w:rFonts w:ascii="Times New Roman" w:eastAsia="Calibri" w:hAnsi="Times New Roman" w:cs="Times New Roman"/>
          <w:sz w:val="18"/>
          <w:szCs w:val="18"/>
        </w:rPr>
        <w:t xml:space="preserve"> A válasz időtartamának meghatározása: a kezdeti választól (legalább PR) a betegségprogresszióig vagy a halál bekövetkeztéig eltelt idő (hónap), amelyik hamarabb bekövetkezik.</w:t>
      </w:r>
    </w:p>
    <w:p w14:paraId="06299752" w14:textId="28C1C4A2" w:rsidR="008149B7" w:rsidRPr="00E83289" w:rsidRDefault="008149B7" w:rsidP="008149B7">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vertAlign w:val="superscript"/>
        </w:rPr>
        <w:t>c</w:t>
      </w:r>
      <w:r w:rsidRPr="00E83289">
        <w:rPr>
          <w:rFonts w:ascii="Times New Roman" w:eastAsia="Calibri" w:hAnsi="Times New Roman" w:cs="Times New Roman"/>
          <w:sz w:val="18"/>
          <w:szCs w:val="18"/>
        </w:rPr>
        <w:t xml:space="preserve"> Kaplan–Meier-módszerrel kapott statisztikai adatok. A 95%-os CI a Greenwood-féle képleten alapul.</w:t>
      </w:r>
    </w:p>
    <w:p w14:paraId="3650AA6A" w14:textId="6D1B1780" w:rsidR="009D4E80" w:rsidRPr="00E83289" w:rsidRDefault="008149B7" w:rsidP="008149B7">
      <w:pPr>
        <w:spacing w:after="0" w:line="240" w:lineRule="auto"/>
        <w:rPr>
          <w:rFonts w:ascii="Times New Roman" w:eastAsia="Calibri" w:hAnsi="Times New Roman" w:cs="Times New Roman"/>
          <w:sz w:val="18"/>
          <w:szCs w:val="18"/>
        </w:rPr>
      </w:pPr>
      <w:r w:rsidRPr="00E83289">
        <w:rPr>
          <w:rFonts w:ascii="Times New Roman" w:eastAsia="Calibri" w:hAnsi="Times New Roman" w:cs="Times New Roman"/>
          <w:sz w:val="18"/>
          <w:szCs w:val="18"/>
        </w:rPr>
        <w:t>Megjegyzés: Az elemzést csak azoknál az alanyoknál végezték el, akik PR-t vagy ennél jobb választ értek el az indukciós kezelés első dózisa után, és a fenntartó időszakban kapott kezelés, illetve az indukciós időszakban kapott bármilyen további lymphoma-ellenes kezelés előtt. A százalékos érték a reszponderek teljes számán alapul.</w:t>
      </w:r>
    </w:p>
    <w:p w14:paraId="405598FF" w14:textId="77777777" w:rsidR="009D4E80" w:rsidRPr="00956F16" w:rsidRDefault="009D4E80" w:rsidP="009D4E80">
      <w:pPr>
        <w:spacing w:after="0" w:line="240" w:lineRule="auto"/>
        <w:rPr>
          <w:rFonts w:ascii="Times New Roman" w:eastAsia="Calibri" w:hAnsi="Times New Roman" w:cs="Times New Roman"/>
        </w:rPr>
      </w:pPr>
    </w:p>
    <w:p w14:paraId="0B117EF1"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lastRenderedPageBreak/>
        <w:t>Gyermekek és serdülők</w:t>
      </w:r>
    </w:p>
    <w:p w14:paraId="393FA1BE" w14:textId="6B62D815" w:rsidR="00956F16" w:rsidRPr="00956F16" w:rsidRDefault="00956F16" w:rsidP="0037051E">
      <w:pPr>
        <w:spacing w:after="0" w:line="240" w:lineRule="auto"/>
        <w:rPr>
          <w:rFonts w:ascii="Times New Roman" w:eastAsia="Calibri" w:hAnsi="Times New Roman" w:cs="Times New Roman"/>
        </w:rPr>
      </w:pPr>
      <w:r w:rsidRPr="00956F16">
        <w:rPr>
          <w:rFonts w:ascii="Times New Roman" w:eastAsia="Calibri" w:hAnsi="Times New Roman" w:cs="Times New Roman"/>
        </w:rPr>
        <w:t>Az Európai Gyógyszerügynökség</w:t>
      </w:r>
      <w:r w:rsidR="00AD40C4">
        <w:rPr>
          <w:rFonts w:ascii="Times New Roman" w:eastAsia="Calibri" w:hAnsi="Times New Roman" w:cs="Times New Roman"/>
        </w:rPr>
        <w:t xml:space="preserve"> (EMA)</w:t>
      </w:r>
      <w:r w:rsidRPr="00956F16">
        <w:rPr>
          <w:rFonts w:ascii="Times New Roman" w:eastAsia="Calibri" w:hAnsi="Times New Roman" w:cs="Times New Roman"/>
        </w:rPr>
        <w:t xml:space="preserve"> a gyermekek </w:t>
      </w:r>
      <w:r w:rsidR="00145B83">
        <w:rPr>
          <w:rFonts w:ascii="Times New Roman" w:eastAsia="Calibri" w:hAnsi="Times New Roman" w:cs="Times New Roman"/>
        </w:rPr>
        <w:t xml:space="preserve">és serdülők </w:t>
      </w:r>
      <w:r w:rsidRPr="00956F16">
        <w:rPr>
          <w:rFonts w:ascii="Times New Roman" w:eastAsia="Calibri" w:hAnsi="Times New Roman" w:cs="Times New Roman"/>
        </w:rPr>
        <w:t xml:space="preserve">esetén minden korosztálynál </w:t>
      </w:r>
      <w:r w:rsidR="001B2770" w:rsidRPr="001B2770">
        <w:rPr>
          <w:rFonts w:ascii="Times New Roman" w:eastAsia="Calibri" w:hAnsi="Times New Roman" w:cs="Times New Roman"/>
        </w:rPr>
        <w:t xml:space="preserve"> </w:t>
      </w:r>
      <w:r w:rsidR="001B2770" w:rsidRPr="0037051E">
        <w:rPr>
          <w:rFonts w:ascii="Times New Roman" w:eastAsia="Calibri" w:hAnsi="Times New Roman" w:cs="Times New Roman"/>
        </w:rPr>
        <w:t>termékspecifikus</w:t>
      </w:r>
      <w:r w:rsidR="001B2770">
        <w:rPr>
          <w:rFonts w:ascii="Times New Roman" w:eastAsia="Calibri" w:hAnsi="Times New Roman" w:cs="Times New Roman"/>
        </w:rPr>
        <w:t xml:space="preserve"> </w:t>
      </w:r>
      <w:r w:rsidR="001B2770" w:rsidRPr="0037051E">
        <w:rPr>
          <w:rFonts w:ascii="Times New Roman" w:eastAsia="Calibri" w:hAnsi="Times New Roman" w:cs="Times New Roman"/>
        </w:rPr>
        <w:t xml:space="preserve">mentesítést ad a </w:t>
      </w:r>
      <w:r w:rsidR="001B2770">
        <w:rPr>
          <w:rFonts w:ascii="Times New Roman" w:eastAsia="Calibri" w:hAnsi="Times New Roman" w:cs="Times New Roman"/>
        </w:rPr>
        <w:t>lenalidomid</w:t>
      </w:r>
      <w:r w:rsidR="001B2770" w:rsidRPr="0037051E">
        <w:rPr>
          <w:rFonts w:ascii="Times New Roman" w:eastAsia="Calibri" w:hAnsi="Times New Roman" w:cs="Times New Roman"/>
        </w:rPr>
        <w:t xml:space="preserve"> részére az érett B-sejtes neoplazmák kezelésére vonatkozóan </w:t>
      </w:r>
      <w:r w:rsidRPr="00956F16">
        <w:rPr>
          <w:rFonts w:ascii="Times New Roman" w:eastAsia="Calibri" w:hAnsi="Times New Roman" w:cs="Times New Roman"/>
        </w:rPr>
        <w:t xml:space="preserve">(lásd 4.2 pont, </w:t>
      </w:r>
      <w:r w:rsidR="009F6866">
        <w:rPr>
          <w:rFonts w:ascii="Times New Roman" w:eastAsia="Calibri" w:hAnsi="Times New Roman" w:cs="Times New Roman"/>
        </w:rPr>
        <w:t>gyermekgyógyászati</w:t>
      </w:r>
      <w:r w:rsidRPr="00956F16">
        <w:rPr>
          <w:rFonts w:ascii="Times New Roman" w:eastAsia="Calibri" w:hAnsi="Times New Roman" w:cs="Times New Roman"/>
        </w:rPr>
        <w:t xml:space="preserve"> alkalmazásra vonatkozó információk).</w:t>
      </w:r>
    </w:p>
    <w:p w14:paraId="7A61D270" w14:textId="77777777" w:rsidR="009F6866" w:rsidRPr="00956F16" w:rsidRDefault="009F6866" w:rsidP="00956F16">
      <w:pPr>
        <w:spacing w:after="0" w:line="240" w:lineRule="auto"/>
        <w:rPr>
          <w:rFonts w:ascii="Times New Roman" w:eastAsia="Calibri" w:hAnsi="Times New Roman" w:cs="Times New Roman"/>
          <w:i/>
          <w:u w:val="single"/>
        </w:rPr>
      </w:pPr>
    </w:p>
    <w:p w14:paraId="25D072BD"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5.2</w:t>
      </w:r>
      <w:r w:rsidRPr="00956F16">
        <w:rPr>
          <w:rFonts w:ascii="Times New Roman" w:eastAsia="Calibri" w:hAnsi="Times New Roman" w:cs="Times New Roman"/>
          <w:b/>
        </w:rPr>
        <w:tab/>
        <w:t>Farmakokinetikai tulajdonságok</w:t>
      </w:r>
    </w:p>
    <w:p w14:paraId="48CE73BB" w14:textId="77777777" w:rsidR="00956F16" w:rsidRPr="00956F16" w:rsidRDefault="00956F16" w:rsidP="00956F16">
      <w:pPr>
        <w:keepNext/>
        <w:spacing w:after="0" w:line="240" w:lineRule="auto"/>
        <w:rPr>
          <w:rFonts w:ascii="Times New Roman" w:eastAsia="Calibri" w:hAnsi="Times New Roman" w:cs="Times New Roman"/>
          <w:i/>
          <w:u w:val="single"/>
        </w:rPr>
      </w:pPr>
    </w:p>
    <w:p w14:paraId="333ABA2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egy aszimmetrikus szénatommal rendelkezik, ezért optikailag aktív S(-) és R(+) formákban fordul elő. A lenalidomidot racém keverék formájában állítják elő. A lenalidomid általában jobban oldódik szerves oldószerekben, de legjobban 0,1N-os HCl pufferben oldódik.</w:t>
      </w:r>
    </w:p>
    <w:p w14:paraId="6F054A1B" w14:textId="77777777" w:rsidR="00956F16" w:rsidRPr="00956F16" w:rsidRDefault="00956F16" w:rsidP="00956F16">
      <w:pPr>
        <w:spacing w:after="0" w:line="240" w:lineRule="auto"/>
        <w:rPr>
          <w:rFonts w:ascii="Times New Roman" w:eastAsia="Calibri" w:hAnsi="Times New Roman" w:cs="Times New Roman"/>
        </w:rPr>
      </w:pPr>
    </w:p>
    <w:p w14:paraId="38F8CE04"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Felszívódás</w:t>
      </w:r>
    </w:p>
    <w:p w14:paraId="3C0451FC" w14:textId="4A0882B5"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éhgyomri állapotban az egészséges önkénteseknél orális alkalmazás után gyorsan felszívódott, a maximális plazmakoncentrációt az adagolás után 0,5 és 2 óra között érte el. A maximális koncentráció (C</w:t>
      </w:r>
      <w:r w:rsidRPr="00956F16">
        <w:rPr>
          <w:rFonts w:ascii="Times New Roman" w:eastAsia="Calibri" w:hAnsi="Times New Roman" w:cs="Times New Roman"/>
          <w:vertAlign w:val="subscript"/>
        </w:rPr>
        <w:t>max</w:t>
      </w:r>
      <w:r w:rsidRPr="00956F16">
        <w:rPr>
          <w:rFonts w:ascii="Times New Roman" w:eastAsia="Calibri" w:hAnsi="Times New Roman" w:cs="Times New Roman"/>
        </w:rPr>
        <w:t xml:space="preserve">) és a koncentráció-idő görbe alatti terület (AUC) a dózis növelésével arányosan nő a betegeknél és az egészséges önkénteseknél egyaránt. </w:t>
      </w:r>
      <w:r w:rsidR="000636E8">
        <w:rPr>
          <w:rFonts w:ascii="Times New Roman" w:eastAsia="Calibri" w:hAnsi="Times New Roman" w:cs="Times New Roman"/>
        </w:rPr>
        <w:t>Ismételt</w:t>
      </w:r>
      <w:r w:rsidR="000636E8" w:rsidRPr="00956F16">
        <w:rPr>
          <w:rFonts w:ascii="Times New Roman" w:eastAsia="Calibri" w:hAnsi="Times New Roman" w:cs="Times New Roman"/>
        </w:rPr>
        <w:t xml:space="preserve"> </w:t>
      </w:r>
      <w:r w:rsidR="00426AD5">
        <w:rPr>
          <w:rFonts w:ascii="Times New Roman" w:eastAsia="Calibri" w:hAnsi="Times New Roman" w:cs="Times New Roman"/>
        </w:rPr>
        <w:t>dózisok</w:t>
      </w:r>
      <w:r w:rsidR="00426AD5" w:rsidRPr="00956F16">
        <w:rPr>
          <w:rFonts w:ascii="Times New Roman" w:eastAsia="Calibri" w:hAnsi="Times New Roman" w:cs="Times New Roman"/>
        </w:rPr>
        <w:t xml:space="preserve"> </w:t>
      </w:r>
      <w:r w:rsidRPr="00956F16">
        <w:rPr>
          <w:rFonts w:ascii="Times New Roman" w:eastAsia="Calibri" w:hAnsi="Times New Roman" w:cs="Times New Roman"/>
        </w:rPr>
        <w:t>alkalmazása nem vezet a gyógyszer</w:t>
      </w:r>
      <w:r w:rsidR="001B2770">
        <w:rPr>
          <w:rFonts w:ascii="Times New Roman" w:eastAsia="Calibri" w:hAnsi="Times New Roman" w:cs="Times New Roman"/>
        </w:rPr>
        <w:t xml:space="preserve"> jelentős</w:t>
      </w:r>
      <w:r w:rsidRPr="00956F16">
        <w:rPr>
          <w:rFonts w:ascii="Times New Roman" w:eastAsia="Calibri" w:hAnsi="Times New Roman" w:cs="Times New Roman"/>
        </w:rPr>
        <w:t xml:space="preserve"> akkumulációjához. A plazmában a lenalidomid S, illetve R enantiomerjének egymáshoz viszonyított expozíciója hozzávetőlegesen 56%, illetve 44%. </w:t>
      </w:r>
    </w:p>
    <w:p w14:paraId="0CCA04EB" w14:textId="77777777" w:rsidR="00956F16" w:rsidRPr="00956F16" w:rsidRDefault="00956F16" w:rsidP="00956F16">
      <w:pPr>
        <w:spacing w:after="0" w:line="240" w:lineRule="auto"/>
        <w:rPr>
          <w:rFonts w:ascii="Times New Roman" w:eastAsia="Calibri" w:hAnsi="Times New Roman" w:cs="Times New Roman"/>
        </w:rPr>
      </w:pPr>
    </w:p>
    <w:p w14:paraId="3D2B7314"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Egészséges önkénteseknél magas zsír- és kalóriatartalmú étellel együtt adva csökken a felszívódás mértéke, a koncentráció-idő görbe alatti területben (AUC) körülbelül 20%-os csökkenést, a plazma C</w:t>
      </w:r>
      <w:r w:rsidRPr="00956F16">
        <w:rPr>
          <w:rFonts w:ascii="Times New Roman" w:eastAsia="Calibri" w:hAnsi="Times New Roman" w:cs="Times New Roman"/>
          <w:vertAlign w:val="subscript"/>
        </w:rPr>
        <w:t>max</w:t>
      </w:r>
      <w:r w:rsidRPr="00956F16">
        <w:rPr>
          <w:rFonts w:ascii="Times New Roman" w:eastAsia="Calibri" w:hAnsi="Times New Roman" w:cs="Times New Roman"/>
        </w:rPr>
        <w:t>-ban pedig 50%-os csökkenést eredményezve. Ugyanakkor, a myeloma multiplex és myelodysplasiás szindrómák főbb regisztrációs vizsgálataiban, amelyek során a lenalidomid biztonságosságát és hatásosságát igazolták, a táplálékbeviteltől függetlenül adták a gyógyszert. Ezért a lenalidomid bevehető étkezés közben vagy étkezéstől függetlenül is.</w:t>
      </w:r>
    </w:p>
    <w:p w14:paraId="46EA9996" w14:textId="77777777" w:rsidR="00956F16" w:rsidRPr="00956F16" w:rsidRDefault="00956F16" w:rsidP="00956F16">
      <w:pPr>
        <w:spacing w:after="0" w:line="240" w:lineRule="auto"/>
        <w:rPr>
          <w:rFonts w:ascii="Times New Roman" w:eastAsia="Calibri" w:hAnsi="Times New Roman" w:cs="Times New Roman"/>
        </w:rPr>
      </w:pPr>
    </w:p>
    <w:p w14:paraId="3112E8BC" w14:textId="55C25C2A"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Populációs farmakokinetikai elemzések azt jelzik, hogy a lenalidomid orális felszívódási sebessége a MM-ben</w:t>
      </w:r>
      <w:r w:rsidR="00145B83">
        <w:rPr>
          <w:rFonts w:ascii="Times New Roman" w:eastAsia="Calibri" w:hAnsi="Times New Roman" w:cs="Times New Roman"/>
        </w:rPr>
        <w:t>,</w:t>
      </w:r>
      <w:r w:rsidRPr="00956F16">
        <w:rPr>
          <w:rFonts w:ascii="Times New Roman" w:eastAsia="Calibri" w:hAnsi="Times New Roman" w:cs="Times New Roman"/>
        </w:rPr>
        <w:t xml:space="preserve"> </w:t>
      </w:r>
      <w:r w:rsidR="00145B83" w:rsidRPr="00145B83">
        <w:rPr>
          <w:rFonts w:ascii="Times New Roman" w:eastAsia="Calibri" w:hAnsi="Times New Roman" w:cs="Times New Roman"/>
        </w:rPr>
        <w:t>MDS-ben és MCL-b</w:t>
      </w:r>
      <w:r w:rsidR="00145B83">
        <w:rPr>
          <w:rFonts w:ascii="Times New Roman" w:eastAsia="Calibri" w:hAnsi="Times New Roman" w:cs="Times New Roman"/>
        </w:rPr>
        <w:t>e</w:t>
      </w:r>
      <w:r w:rsidR="00145B83" w:rsidRPr="00145B83">
        <w:rPr>
          <w:rFonts w:ascii="Times New Roman" w:eastAsia="Calibri" w:hAnsi="Times New Roman" w:cs="Times New Roman"/>
        </w:rPr>
        <w:t>n</w:t>
      </w:r>
      <w:r w:rsidR="00145B83">
        <w:rPr>
          <w:rFonts w:ascii="Times New Roman" w:eastAsia="Calibri" w:hAnsi="Times New Roman" w:cs="Times New Roman"/>
        </w:rPr>
        <w:t xml:space="preserve"> </w:t>
      </w:r>
      <w:r w:rsidRPr="00956F16">
        <w:rPr>
          <w:rFonts w:ascii="Times New Roman" w:eastAsia="Calibri" w:hAnsi="Times New Roman" w:cs="Times New Roman"/>
        </w:rPr>
        <w:t>szenvedő betegek között hasonló.</w:t>
      </w:r>
    </w:p>
    <w:p w14:paraId="3D773496" w14:textId="77777777" w:rsidR="00956F16" w:rsidRPr="00956F16" w:rsidRDefault="00956F16" w:rsidP="00956F16">
      <w:pPr>
        <w:spacing w:after="0" w:line="240" w:lineRule="auto"/>
        <w:rPr>
          <w:rFonts w:ascii="Times New Roman" w:eastAsia="Calibri" w:hAnsi="Times New Roman" w:cs="Times New Roman"/>
          <w:u w:val="single"/>
        </w:rPr>
      </w:pPr>
    </w:p>
    <w:p w14:paraId="2129327D"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Eloszlás</w:t>
      </w:r>
    </w:p>
    <w:p w14:paraId="4482B0A3" w14:textId="77777777" w:rsidR="00956F16" w:rsidRPr="00956F16" w:rsidRDefault="00956F16" w:rsidP="00956F16">
      <w:pPr>
        <w:keepNext/>
        <w:spacing w:after="0" w:line="240" w:lineRule="auto"/>
        <w:rPr>
          <w:rFonts w:ascii="Times New Roman" w:eastAsia="Calibri" w:hAnsi="Times New Roman" w:cs="Times New Roman"/>
        </w:rPr>
      </w:pPr>
      <w:r w:rsidRPr="00956F16">
        <w:rPr>
          <w:rFonts w:ascii="Times New Roman" w:eastAsia="Calibri" w:hAnsi="Times New Roman" w:cs="Times New Roman"/>
          <w:i/>
        </w:rPr>
        <w:t>In vitro</w:t>
      </w:r>
      <w:r w:rsidRPr="00956F16">
        <w:rPr>
          <w:rFonts w:ascii="Times New Roman" w:eastAsia="Calibri" w:hAnsi="Times New Roman" w:cs="Times New Roman"/>
        </w:rPr>
        <w:t xml:space="preserve"> körülmények között a (</w:t>
      </w:r>
      <w:r w:rsidRPr="00956F16">
        <w:rPr>
          <w:rFonts w:ascii="Times New Roman" w:eastAsia="Calibri" w:hAnsi="Times New Roman" w:cs="Times New Roman"/>
          <w:vertAlign w:val="superscript"/>
        </w:rPr>
        <w:t>14</w:t>
      </w:r>
      <w:r w:rsidRPr="00956F16">
        <w:rPr>
          <w:rFonts w:ascii="Times New Roman" w:eastAsia="Calibri" w:hAnsi="Times New Roman" w:cs="Times New Roman"/>
        </w:rPr>
        <w:t>C)-lenalidomid kis hányadban kötődött plazmafehérjékhez, melynek középértéke 23% volt myeloma multiplexes betegeknél és 29% egészséges önkénteseknél.</w:t>
      </w:r>
    </w:p>
    <w:p w14:paraId="64BF4523" w14:textId="77777777" w:rsidR="00956F16" w:rsidRPr="00956F16" w:rsidRDefault="00956F16" w:rsidP="00956F16">
      <w:pPr>
        <w:spacing w:after="0" w:line="240" w:lineRule="auto"/>
        <w:rPr>
          <w:rFonts w:ascii="Times New Roman" w:eastAsia="Calibri" w:hAnsi="Times New Roman" w:cs="Times New Roman"/>
        </w:rPr>
      </w:pPr>
    </w:p>
    <w:p w14:paraId="18CC4D72" w14:textId="4E7ADD90"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Napi 25 mg alkalmazását követően a lenalidomid megjelenik a humán spermában (kevesebb mint a </w:t>
      </w:r>
      <w:r w:rsidR="00426AD5">
        <w:rPr>
          <w:rFonts w:ascii="Times New Roman" w:eastAsia="Calibri" w:hAnsi="Times New Roman" w:cs="Times New Roman"/>
        </w:rPr>
        <w:t>dózis</w:t>
      </w:r>
      <w:r w:rsidR="00426AD5" w:rsidRPr="00956F16">
        <w:rPr>
          <w:rFonts w:ascii="Times New Roman" w:eastAsia="Calibri" w:hAnsi="Times New Roman" w:cs="Times New Roman"/>
        </w:rPr>
        <w:t xml:space="preserve"> </w:t>
      </w:r>
      <w:r w:rsidRPr="00956F16">
        <w:rPr>
          <w:rFonts w:ascii="Times New Roman" w:eastAsia="Calibri" w:hAnsi="Times New Roman" w:cs="Times New Roman"/>
        </w:rPr>
        <w:t>0,01%-a), és egészséges alanyoknál a gyógyszer abbahagyása után 3 nappal már nem mutatható ki (lásd 4.4 pont).</w:t>
      </w:r>
    </w:p>
    <w:p w14:paraId="70C3E04F" w14:textId="77777777" w:rsidR="00956F16" w:rsidRPr="00956F16" w:rsidRDefault="00956F16" w:rsidP="00956F16">
      <w:pPr>
        <w:spacing w:after="0" w:line="240" w:lineRule="auto"/>
        <w:rPr>
          <w:rFonts w:ascii="Times New Roman" w:eastAsia="Calibri" w:hAnsi="Times New Roman" w:cs="Times New Roman"/>
          <w:u w:val="single"/>
        </w:rPr>
      </w:pPr>
    </w:p>
    <w:p w14:paraId="258124FF"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Biotranszformáció és elimináció</w:t>
      </w:r>
    </w:p>
    <w:p w14:paraId="66750C7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humán </w:t>
      </w:r>
      <w:r w:rsidRPr="00956F16">
        <w:rPr>
          <w:rFonts w:ascii="Times New Roman" w:eastAsia="Calibri" w:hAnsi="Times New Roman" w:cs="Times New Roman"/>
          <w:i/>
        </w:rPr>
        <w:t>in vitro</w:t>
      </w:r>
      <w:r w:rsidRPr="00956F16">
        <w:rPr>
          <w:rFonts w:ascii="Times New Roman" w:eastAsia="Calibri" w:hAnsi="Times New Roman" w:cs="Times New Roman"/>
        </w:rPr>
        <w:t xml:space="preserve"> anyagcsere-vizsgálatok eredményei azt mutatják, hogy a lenalidomid metabolizmusa nem citokróm P450 enzimeken keresztül történik, ami arra utal, hogy a lenalidomid alkalmazása citokróm P450 enzimgátló gyógyszerekkel embernél valószínűleg nem vezet gyógyszerkölcsönhatás kialakulásához. </w:t>
      </w:r>
      <w:r w:rsidRPr="00956F16">
        <w:rPr>
          <w:rFonts w:ascii="Times New Roman" w:eastAsia="Calibri" w:hAnsi="Times New Roman" w:cs="Times New Roman"/>
          <w:i/>
        </w:rPr>
        <w:t>In vitro</w:t>
      </w:r>
      <w:r w:rsidRPr="00956F16">
        <w:rPr>
          <w:rFonts w:ascii="Times New Roman" w:eastAsia="Calibri" w:hAnsi="Times New Roman" w:cs="Times New Roman"/>
        </w:rPr>
        <w:t xml:space="preserve"> vizsgálatok azt mutatják, hogy a lenalidomid a CYP1A2-, CYP2C9-, CYP2C19-, CYP2D6-, CYP2E1-, CYP3A- vagy UGT1A1-enzimekre nincs gátló hatással. Ezért nem valószínű, hogy a lenalidomid klinikailag jelentős gyógyszerkölcsönhatást okozna, amennyiben ezen enzimek szubsztrátjaival együtt alkalmazzák.</w:t>
      </w:r>
    </w:p>
    <w:p w14:paraId="336D5761" w14:textId="77777777" w:rsidR="00956F16" w:rsidRPr="00956F16" w:rsidRDefault="00956F16" w:rsidP="00956F16">
      <w:pPr>
        <w:spacing w:after="0" w:line="240" w:lineRule="auto"/>
        <w:rPr>
          <w:rFonts w:ascii="Times New Roman" w:eastAsia="Calibri" w:hAnsi="Times New Roman" w:cs="Times New Roman"/>
        </w:rPr>
      </w:pPr>
    </w:p>
    <w:p w14:paraId="04BDE5A8" w14:textId="4461797E"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i/>
        </w:rPr>
        <w:t>In vitro</w:t>
      </w:r>
      <w:r w:rsidRPr="00956F16">
        <w:rPr>
          <w:rFonts w:ascii="Times New Roman" w:eastAsia="Calibri" w:hAnsi="Times New Roman" w:cs="Times New Roman"/>
        </w:rPr>
        <w:t xml:space="preserve"> vizsgálatok azt mutatják, hogy a lenalidomid nem szubsztrátja a humán emlőrák</w:t>
      </w:r>
      <w:r w:rsidR="00D228B5">
        <w:rPr>
          <w:rFonts w:ascii="Times New Roman" w:eastAsia="Calibri" w:hAnsi="Times New Roman" w:cs="Times New Roman"/>
        </w:rPr>
        <w:t>-</w:t>
      </w:r>
      <w:r w:rsidRPr="00956F16">
        <w:rPr>
          <w:rFonts w:ascii="Times New Roman" w:eastAsia="Calibri" w:hAnsi="Times New Roman" w:cs="Times New Roman"/>
        </w:rPr>
        <w:t>rezisztencia</w:t>
      </w:r>
      <w:r w:rsidR="00D228B5">
        <w:rPr>
          <w:rFonts w:ascii="Times New Roman" w:eastAsia="Calibri" w:hAnsi="Times New Roman" w:cs="Times New Roman"/>
        </w:rPr>
        <w:t xml:space="preserve"> </w:t>
      </w:r>
      <w:r w:rsidRPr="00956F16">
        <w:rPr>
          <w:rFonts w:ascii="Times New Roman" w:eastAsia="Calibri" w:hAnsi="Times New Roman" w:cs="Times New Roman"/>
        </w:rPr>
        <w:t>proteinnek (breast cancer resistance protein - BCRP), az MRP1, MRP2, illetve MRP3 multidrug-rezisztencia protein (MRP) transzportereknek, az OAT1 és OAT3 organikus anion</w:t>
      </w:r>
      <w:r w:rsidR="00D228B5">
        <w:rPr>
          <w:rFonts w:ascii="Times New Roman" w:eastAsia="Calibri" w:hAnsi="Times New Roman" w:cs="Times New Roman"/>
        </w:rPr>
        <w:t>-</w:t>
      </w:r>
      <w:r w:rsidRPr="00956F16">
        <w:rPr>
          <w:rFonts w:ascii="Times New Roman" w:eastAsia="Calibri" w:hAnsi="Times New Roman" w:cs="Times New Roman"/>
        </w:rPr>
        <w:t>transzportereknek (OAT), az 1B1 organikus anion</w:t>
      </w:r>
      <w:r w:rsidR="00D228B5">
        <w:rPr>
          <w:rFonts w:ascii="Times New Roman" w:eastAsia="Calibri" w:hAnsi="Times New Roman" w:cs="Times New Roman"/>
        </w:rPr>
        <w:t>-</w:t>
      </w:r>
      <w:r w:rsidRPr="00956F16">
        <w:rPr>
          <w:rFonts w:ascii="Times New Roman" w:eastAsia="Calibri" w:hAnsi="Times New Roman" w:cs="Times New Roman"/>
        </w:rPr>
        <w:t>transzporter polipeptidnek (OATP1B1), az OCT1 és OCT2 organikus kation</w:t>
      </w:r>
      <w:r w:rsidR="00D228B5">
        <w:rPr>
          <w:rFonts w:ascii="Times New Roman" w:eastAsia="Calibri" w:hAnsi="Times New Roman" w:cs="Times New Roman"/>
        </w:rPr>
        <w:t>-</w:t>
      </w:r>
      <w:r w:rsidRPr="00956F16">
        <w:rPr>
          <w:rFonts w:ascii="Times New Roman" w:eastAsia="Calibri" w:hAnsi="Times New Roman" w:cs="Times New Roman"/>
        </w:rPr>
        <w:t>transzportereknek (OCT), a MATE1 multidrug és toxinkilökő proteinnek (MATE/multidrug and toxin extrusion protein), valamint az OCTN1 és OCTN2 újfajta organikus kation</w:t>
      </w:r>
      <w:r w:rsidR="00D228B5">
        <w:rPr>
          <w:rFonts w:ascii="Times New Roman" w:eastAsia="Calibri" w:hAnsi="Times New Roman" w:cs="Times New Roman"/>
        </w:rPr>
        <w:t>-</w:t>
      </w:r>
      <w:r w:rsidRPr="00956F16">
        <w:rPr>
          <w:rFonts w:ascii="Times New Roman" w:eastAsia="Calibri" w:hAnsi="Times New Roman" w:cs="Times New Roman"/>
        </w:rPr>
        <w:t>transzporternek (OCTN/organic cation transporters novel).</w:t>
      </w:r>
    </w:p>
    <w:p w14:paraId="0420011A" w14:textId="77777777" w:rsidR="00956F16" w:rsidRPr="00956F16" w:rsidRDefault="00956F16" w:rsidP="00956F16">
      <w:pPr>
        <w:spacing w:after="0" w:line="240" w:lineRule="auto"/>
        <w:rPr>
          <w:rFonts w:ascii="Times New Roman" w:eastAsia="Calibri" w:hAnsi="Times New Roman" w:cs="Times New Roman"/>
        </w:rPr>
      </w:pPr>
    </w:p>
    <w:p w14:paraId="5AD6F638" w14:textId="6A7E9F8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i/>
        </w:rPr>
        <w:t>In vitro</w:t>
      </w:r>
      <w:r w:rsidRPr="00956F16">
        <w:rPr>
          <w:rFonts w:ascii="Times New Roman" w:eastAsia="Calibri" w:hAnsi="Times New Roman" w:cs="Times New Roman"/>
        </w:rPr>
        <w:t xml:space="preserve"> vizsgálatok azt mutatják, hogy a lenalidomidnak nincs gátló hatása a humán epesó</w:t>
      </w:r>
      <w:r w:rsidR="00D228B5">
        <w:rPr>
          <w:rFonts w:ascii="Times New Roman" w:eastAsia="Calibri" w:hAnsi="Times New Roman" w:cs="Times New Roman"/>
        </w:rPr>
        <w:t>-</w:t>
      </w:r>
      <w:r w:rsidRPr="00956F16">
        <w:rPr>
          <w:rFonts w:ascii="Times New Roman" w:eastAsia="Calibri" w:hAnsi="Times New Roman" w:cs="Times New Roman"/>
        </w:rPr>
        <w:t>exportpumpára (BSEP/bile salt export pump), a BCRP-re, az MRP2-re, az OAT1-re, az OAT3-ra, az OATP1B1-re, az OATP1B3-ra, illetve az OCT2-re.</w:t>
      </w:r>
    </w:p>
    <w:p w14:paraId="03B0AFE5" w14:textId="77777777" w:rsidR="00956F16" w:rsidRPr="00956F16" w:rsidRDefault="00956F16" w:rsidP="00956F16">
      <w:pPr>
        <w:spacing w:after="0" w:line="240" w:lineRule="auto"/>
        <w:rPr>
          <w:rFonts w:ascii="Times New Roman" w:eastAsia="Calibri" w:hAnsi="Times New Roman" w:cs="Times New Roman"/>
        </w:rPr>
      </w:pPr>
    </w:p>
    <w:p w14:paraId="2C5886BC"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túlnyomó részben a vizelettel ürül ki. Egészséges veseműködésű alanyoknál a lenalidomid vesén keresztüli kiürülésének mértéke a teljes clearence 90%-a volt, és 4%-a ürült a széklettel.</w:t>
      </w:r>
    </w:p>
    <w:p w14:paraId="5B35AA05" w14:textId="77777777" w:rsidR="00956F16" w:rsidRPr="00956F16" w:rsidRDefault="00956F16" w:rsidP="00956F16">
      <w:pPr>
        <w:spacing w:after="0" w:line="240" w:lineRule="auto"/>
        <w:rPr>
          <w:rFonts w:ascii="Times New Roman" w:eastAsia="Calibri" w:hAnsi="Times New Roman" w:cs="Times New Roman"/>
        </w:rPr>
      </w:pPr>
    </w:p>
    <w:p w14:paraId="34C865D9" w14:textId="1B1DD213"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rosszul metabolizálódik, mivel a </w:t>
      </w:r>
      <w:r w:rsidR="00426AD5">
        <w:rPr>
          <w:rFonts w:ascii="Times New Roman" w:eastAsia="Calibri" w:hAnsi="Times New Roman" w:cs="Times New Roman"/>
        </w:rPr>
        <w:t>dózis</w:t>
      </w:r>
      <w:r w:rsidR="00426AD5" w:rsidRPr="00956F16">
        <w:rPr>
          <w:rFonts w:ascii="Times New Roman" w:eastAsia="Calibri" w:hAnsi="Times New Roman" w:cs="Times New Roman"/>
        </w:rPr>
        <w:t xml:space="preserve"> </w:t>
      </w:r>
      <w:r w:rsidRPr="00956F16">
        <w:rPr>
          <w:rFonts w:ascii="Times New Roman" w:eastAsia="Calibri" w:hAnsi="Times New Roman" w:cs="Times New Roman"/>
        </w:rPr>
        <w:t>82%-a változatlan formában választódik ki a vizeletben. A kiválasztott dózisnak a hidroxi-lenalidomid 4,59%-át, az N-acetil-lenalidomid pedig 1,83%-át teszi ki. A lenalidomid renalis clearance-e meghaladja a glomerul</w:t>
      </w:r>
      <w:r w:rsidR="00D228B5">
        <w:rPr>
          <w:rFonts w:ascii="Times New Roman" w:eastAsia="Calibri" w:hAnsi="Times New Roman" w:cs="Times New Roman"/>
        </w:rPr>
        <w:t>us</w:t>
      </w:r>
      <w:r w:rsidRPr="00956F16">
        <w:rPr>
          <w:rFonts w:ascii="Times New Roman" w:eastAsia="Calibri" w:hAnsi="Times New Roman" w:cs="Times New Roman"/>
        </w:rPr>
        <w:t xml:space="preserve"> filtrációs rátát, ezért aktív szekrécióval is ürül, legalábbis bizonyos mértékben.</w:t>
      </w:r>
    </w:p>
    <w:p w14:paraId="06F7FC1E" w14:textId="77777777" w:rsidR="00956F16" w:rsidRPr="00956F16" w:rsidRDefault="00956F16" w:rsidP="00956F16">
      <w:pPr>
        <w:spacing w:after="0" w:line="240" w:lineRule="auto"/>
        <w:rPr>
          <w:rFonts w:ascii="Times New Roman" w:eastAsia="Calibri" w:hAnsi="Times New Roman" w:cs="Times New Roman"/>
        </w:rPr>
      </w:pPr>
    </w:p>
    <w:p w14:paraId="728FCCE8" w14:textId="6210E86F"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Egészséges önkénteseknél 5</w:t>
      </w:r>
      <w:r w:rsidR="00D228B5">
        <w:rPr>
          <w:rFonts w:ascii="Times New Roman" w:eastAsia="Calibri" w:hAnsi="Times New Roman" w:cs="Times New Roman"/>
        </w:rPr>
        <w:t>–</w:t>
      </w:r>
      <w:r w:rsidRPr="00956F16">
        <w:rPr>
          <w:rFonts w:ascii="Times New Roman" w:eastAsia="Calibri" w:hAnsi="Times New Roman" w:cs="Times New Roman"/>
        </w:rPr>
        <w:t>25 mg/nap dózisok mellett a felezési idő a plazmában körülbelül 3 óra, myeloma multiplexben</w:t>
      </w:r>
      <w:r w:rsidR="00B50415">
        <w:rPr>
          <w:rFonts w:ascii="Times New Roman" w:eastAsia="Calibri" w:hAnsi="Times New Roman" w:cs="Times New Roman"/>
        </w:rPr>
        <w:t xml:space="preserve">, </w:t>
      </w:r>
      <w:r w:rsidR="00B50415" w:rsidRPr="00B50415">
        <w:rPr>
          <w:rFonts w:ascii="Times New Roman" w:eastAsia="Calibri" w:hAnsi="Times New Roman" w:cs="Times New Roman"/>
        </w:rPr>
        <w:t>myelodysplasiás szindrómákban, illetve köpenysejtes lymphomában</w:t>
      </w:r>
      <w:r w:rsidRPr="00956F16">
        <w:rPr>
          <w:rFonts w:ascii="Times New Roman" w:eastAsia="Calibri" w:hAnsi="Times New Roman" w:cs="Times New Roman"/>
        </w:rPr>
        <w:t xml:space="preserve"> szenvedő betegeknél pedig 3 és 5 óra között változik.</w:t>
      </w:r>
    </w:p>
    <w:p w14:paraId="11B4E176" w14:textId="77777777" w:rsidR="00956F16" w:rsidRPr="00956F16" w:rsidRDefault="00956F16" w:rsidP="00956F16">
      <w:pPr>
        <w:spacing w:after="0" w:line="240" w:lineRule="auto"/>
        <w:rPr>
          <w:rFonts w:ascii="Times New Roman" w:eastAsia="Calibri" w:hAnsi="Times New Roman" w:cs="Times New Roman"/>
        </w:rPr>
      </w:pPr>
    </w:p>
    <w:p w14:paraId="633A2509"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Idősek</w:t>
      </w:r>
    </w:p>
    <w:p w14:paraId="48ABBAD0" w14:textId="3DB1D9BE"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farmakokinetikájának kifejezetten idős betegeknél történő értékelésére nem végeztek klinikai vizsgálatokat. A populációs farmakokinetikai elemzésekbe 39</w:t>
      </w:r>
      <w:r w:rsidR="00D228B5">
        <w:rPr>
          <w:rFonts w:ascii="Times New Roman" w:eastAsia="Calibri" w:hAnsi="Times New Roman" w:cs="Times New Roman"/>
        </w:rPr>
        <w:t>–</w:t>
      </w:r>
      <w:r w:rsidRPr="00956F16">
        <w:rPr>
          <w:rFonts w:ascii="Times New Roman" w:eastAsia="Calibri" w:hAnsi="Times New Roman" w:cs="Times New Roman"/>
        </w:rPr>
        <w:t>85 éves betegeket vontak be, ami azt jelzi, hogy az életkor nincs hatással a lenalidomid clearance-ére (plazma-expozíció). Mivel a csökkent veseműködés valószínűsége idős betegeknél nagyobb, ezért körültekintően kell eljárni a dózis kiválasztásánál, és a vesefunkció ellenőrzése javasolt.</w:t>
      </w:r>
    </w:p>
    <w:p w14:paraId="7F2A90A8" w14:textId="77777777" w:rsidR="00956F16" w:rsidRPr="00956F16" w:rsidRDefault="00956F16" w:rsidP="00956F16">
      <w:pPr>
        <w:spacing w:after="0" w:line="240" w:lineRule="auto"/>
        <w:rPr>
          <w:rFonts w:ascii="Times New Roman" w:eastAsia="Calibri" w:hAnsi="Times New Roman" w:cs="Times New Roman"/>
        </w:rPr>
      </w:pPr>
    </w:p>
    <w:p w14:paraId="1EFC67BB"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Vesekárosodás</w:t>
      </w:r>
    </w:p>
    <w:p w14:paraId="54243D96" w14:textId="66DB16D5"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lenalidomid farmakokinetikáját nem malignus állapotok miatt kialakult vesekárosodásban szenvedő alanyok esetében is vizsgálták. Ebben a vizsgálatban két módszert alkalmaztak a vesefunkció osztályozására: a 24 óra alatt mért vizelet</w:t>
      </w:r>
      <w:r w:rsidR="00D228B5">
        <w:rPr>
          <w:rFonts w:ascii="Times New Roman" w:eastAsia="Calibri" w:hAnsi="Times New Roman" w:cs="Times New Roman"/>
        </w:rPr>
        <w:t>-</w:t>
      </w:r>
      <w:r w:rsidRPr="00956F16">
        <w:rPr>
          <w:rFonts w:ascii="Times New Roman" w:eastAsia="Calibri" w:hAnsi="Times New Roman" w:cs="Times New Roman"/>
        </w:rPr>
        <w:t>kreatinin-clearance-et és a Cockcroft</w:t>
      </w:r>
      <w:r w:rsidR="00D228B5">
        <w:rPr>
          <w:rFonts w:ascii="Times New Roman" w:eastAsia="Calibri" w:hAnsi="Times New Roman" w:cs="Times New Roman"/>
        </w:rPr>
        <w:t>–</w:t>
      </w:r>
      <w:r w:rsidRPr="00956F16">
        <w:rPr>
          <w:rFonts w:ascii="Times New Roman" w:eastAsia="Calibri" w:hAnsi="Times New Roman" w:cs="Times New Roman"/>
        </w:rPr>
        <w:t>Gault-képlet szerint becsült kreatinin-clearance-et. Az eredmények arra utalnak, hogy a veseműködés csökkenésével (&lt; 50 ml/perc) a teljes lenalidomid</w:t>
      </w:r>
      <w:r w:rsidR="00104634">
        <w:rPr>
          <w:rFonts w:ascii="Times New Roman" w:eastAsia="Calibri" w:hAnsi="Times New Roman" w:cs="Times New Roman"/>
        </w:rPr>
        <w:t>-</w:t>
      </w:r>
      <w:r w:rsidRPr="00956F16">
        <w:rPr>
          <w:rFonts w:ascii="Times New Roman" w:eastAsia="Calibri" w:hAnsi="Times New Roman" w:cs="Times New Roman"/>
        </w:rPr>
        <w:t>clearance arányosan csökken, ami a görbe alatti terület (AUC) növekedését eredményezi. Az AUC hozzávetőleg 2,5-szeresére növekedett közepes</w:t>
      </w:r>
      <w:r w:rsidR="004D1937">
        <w:rPr>
          <w:rFonts w:ascii="Times New Roman" w:eastAsia="Calibri" w:hAnsi="Times New Roman" w:cs="Times New Roman"/>
        </w:rPr>
        <w:t xml:space="preserve"> fokú</w:t>
      </w:r>
      <w:r w:rsidRPr="00956F16">
        <w:rPr>
          <w:rFonts w:ascii="Times New Roman" w:eastAsia="Calibri" w:hAnsi="Times New Roman" w:cs="Times New Roman"/>
        </w:rPr>
        <w:t xml:space="preserve"> vesekárosodásban, 4-szeresére súlyos </w:t>
      </w:r>
      <w:r w:rsidR="004D1937">
        <w:rPr>
          <w:rFonts w:ascii="Times New Roman" w:eastAsia="Calibri" w:hAnsi="Times New Roman" w:cs="Times New Roman"/>
        </w:rPr>
        <w:t xml:space="preserve">fokú </w:t>
      </w:r>
      <w:r w:rsidRPr="00956F16">
        <w:rPr>
          <w:rFonts w:ascii="Times New Roman" w:eastAsia="Calibri" w:hAnsi="Times New Roman" w:cs="Times New Roman"/>
        </w:rPr>
        <w:t xml:space="preserve">vesekárosodásban, illetve 5-szörösére végstádiumú vesebetegségben szenvedő alanyok esetében a normál veseműködésű alanyok, valamint az enyhe </w:t>
      </w:r>
      <w:r w:rsidR="004D1937">
        <w:rPr>
          <w:rFonts w:ascii="Times New Roman" w:eastAsia="Calibri" w:hAnsi="Times New Roman" w:cs="Times New Roman"/>
        </w:rPr>
        <w:t xml:space="preserve">fokú </w:t>
      </w:r>
      <w:r w:rsidRPr="00956F16">
        <w:rPr>
          <w:rFonts w:ascii="Times New Roman" w:eastAsia="Calibri" w:hAnsi="Times New Roman" w:cs="Times New Roman"/>
        </w:rPr>
        <w:t>vesekárosodásban szenvedő alanyok összevont csoportjához viszonyítva. Azoknál a betegeknél, akinél a kreatinin-clearance &lt; 50 ml/perc volt, lenalidomid f</w:t>
      </w:r>
      <w:r w:rsidR="00D228B5">
        <w:rPr>
          <w:rFonts w:ascii="Times New Roman" w:eastAsia="Calibri" w:hAnsi="Times New Roman" w:cs="Times New Roman"/>
        </w:rPr>
        <w:t xml:space="preserve">elezési </w:t>
      </w:r>
      <w:r w:rsidRPr="00956F16">
        <w:rPr>
          <w:rFonts w:ascii="Times New Roman" w:eastAsia="Calibri" w:hAnsi="Times New Roman" w:cs="Times New Roman"/>
        </w:rPr>
        <w:t>ideje kb. 3,5 óráról több mint 9 órára nőtt a kreatinin-clearance &gt; 50 ml/perc értékkel rendelkező alanyokkal szemben. A vesekárosodás azonban nem befolyásolta a lenalidomid orális felszívódását. Egészséges alanyoknál és vesekárosodásban szenvedő betegeknél a C</w:t>
      </w:r>
      <w:r w:rsidRPr="00956F16">
        <w:rPr>
          <w:rFonts w:ascii="Times New Roman" w:eastAsia="Calibri" w:hAnsi="Times New Roman" w:cs="Times New Roman"/>
          <w:vertAlign w:val="subscript"/>
        </w:rPr>
        <w:t>max</w:t>
      </w:r>
      <w:r w:rsidRPr="00956F16">
        <w:rPr>
          <w:rFonts w:ascii="Times New Roman" w:eastAsia="Calibri" w:hAnsi="Times New Roman" w:cs="Times New Roman"/>
        </w:rPr>
        <w:t>-értéke hasonló volt. A gyógyszer körülbelül 30%-a kiürült egy egyszeri 4 órás dialízis-kezelés során. A vesekárosodásban szenvedő betegeknél javasolt dózismódosítás a 4.2 pontban került leírásra.</w:t>
      </w:r>
    </w:p>
    <w:p w14:paraId="0D5B765E" w14:textId="77777777" w:rsidR="00956F16" w:rsidRPr="00956F16" w:rsidRDefault="00956F16" w:rsidP="00956F16">
      <w:pPr>
        <w:spacing w:after="0" w:line="240" w:lineRule="auto"/>
        <w:rPr>
          <w:rFonts w:ascii="Times New Roman" w:eastAsia="Calibri" w:hAnsi="Times New Roman" w:cs="Times New Roman"/>
        </w:rPr>
      </w:pPr>
    </w:p>
    <w:p w14:paraId="08D8A395"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Májkárosodás</w:t>
      </w:r>
    </w:p>
    <w:p w14:paraId="7A083DC7" w14:textId="0C519C14"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populációs farmakokinetikai elemzésekbe bevontak enyhe májkárosodásban szenvedő betegeket is (n = 16, összbilirubinszint a normálérték felső határának &gt; 1</w:t>
      </w:r>
      <w:r w:rsidR="00D228B5">
        <w:rPr>
          <w:rFonts w:ascii="Times New Roman" w:eastAsia="Calibri" w:hAnsi="Times New Roman" w:cs="Times New Roman"/>
        </w:rPr>
        <w:t>–</w:t>
      </w:r>
      <w:r w:rsidRPr="00956F16">
        <w:rPr>
          <w:rFonts w:ascii="Times New Roman" w:eastAsia="Calibri" w:hAnsi="Times New Roman" w:cs="Times New Roman"/>
        </w:rPr>
        <w:t xml:space="preserve"> ≤ 1,5-szerese, illetve AST &gt; a normálérték felső határa), és az elemzések azt jelzik, hogy az enyhe májkárosodás nincs hatással a lenalidomid clearance-ére (plazma-expozíció). Közepes vagy súlyos </w:t>
      </w:r>
      <w:r w:rsidR="004D1937">
        <w:rPr>
          <w:rFonts w:ascii="Times New Roman" w:eastAsia="Calibri" w:hAnsi="Times New Roman" w:cs="Times New Roman"/>
        </w:rPr>
        <w:t xml:space="preserve">fokú </w:t>
      </w:r>
      <w:r w:rsidRPr="00956F16">
        <w:rPr>
          <w:rFonts w:ascii="Times New Roman" w:eastAsia="Calibri" w:hAnsi="Times New Roman" w:cs="Times New Roman"/>
        </w:rPr>
        <w:t>májkárosodásban szenvedő betegekre vonatkozóan nem állnak rendelkezésre adatok.</w:t>
      </w:r>
    </w:p>
    <w:p w14:paraId="2936F368" w14:textId="77777777" w:rsidR="00956F16" w:rsidRPr="00956F16" w:rsidRDefault="00956F16" w:rsidP="00956F16">
      <w:pPr>
        <w:spacing w:after="0" w:line="240" w:lineRule="auto"/>
        <w:rPr>
          <w:rFonts w:ascii="Times New Roman" w:eastAsia="Calibri" w:hAnsi="Times New Roman" w:cs="Times New Roman"/>
        </w:rPr>
      </w:pPr>
    </w:p>
    <w:p w14:paraId="3C2496DA"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Egyéb intrinszik tényezők</w:t>
      </w:r>
    </w:p>
    <w:p w14:paraId="62BBFA44" w14:textId="31DD5B98"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Populációs farmakokinetikai elemzések azt jelzik, hogy a testtömeg (33</w:t>
      </w:r>
      <w:r w:rsidR="00D228B5">
        <w:rPr>
          <w:rFonts w:ascii="Times New Roman" w:eastAsia="Calibri" w:hAnsi="Times New Roman" w:cs="Times New Roman"/>
        </w:rPr>
        <w:t>–</w:t>
      </w:r>
      <w:r w:rsidRPr="00956F16">
        <w:rPr>
          <w:rFonts w:ascii="Times New Roman" w:eastAsia="Calibri" w:hAnsi="Times New Roman" w:cs="Times New Roman"/>
        </w:rPr>
        <w:t>135 kg), a nem, a rassz, valamint a hematológiai malignitás típusa (MM</w:t>
      </w:r>
      <w:r w:rsidR="00B50415">
        <w:rPr>
          <w:rFonts w:ascii="Times New Roman" w:eastAsia="Calibri" w:hAnsi="Times New Roman" w:cs="Times New Roman"/>
        </w:rPr>
        <w:t xml:space="preserve">, </w:t>
      </w:r>
      <w:r w:rsidR="00B50415" w:rsidRPr="00B50415">
        <w:rPr>
          <w:rFonts w:ascii="Times New Roman" w:eastAsia="Calibri" w:hAnsi="Times New Roman" w:cs="Times New Roman"/>
        </w:rPr>
        <w:t>MDS vagy MCL</w:t>
      </w:r>
      <w:r w:rsidRPr="00956F16">
        <w:rPr>
          <w:rFonts w:ascii="Times New Roman" w:eastAsia="Calibri" w:hAnsi="Times New Roman" w:cs="Times New Roman"/>
        </w:rPr>
        <w:t>) nincs klinikailag jelentős hatással a lenalidomid clearance-ére felnőtt betegeknél.</w:t>
      </w:r>
    </w:p>
    <w:p w14:paraId="607CF112" w14:textId="77777777" w:rsidR="00956F16" w:rsidRPr="00956F16" w:rsidRDefault="00956F16" w:rsidP="00956F16">
      <w:pPr>
        <w:spacing w:after="0" w:line="240" w:lineRule="auto"/>
        <w:rPr>
          <w:rFonts w:ascii="Times New Roman" w:eastAsia="Calibri" w:hAnsi="Times New Roman" w:cs="Times New Roman"/>
        </w:rPr>
      </w:pPr>
    </w:p>
    <w:p w14:paraId="34392EBC"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5.3</w:t>
      </w:r>
      <w:r w:rsidRPr="00956F16">
        <w:rPr>
          <w:rFonts w:ascii="Times New Roman" w:eastAsia="Calibri" w:hAnsi="Times New Roman" w:cs="Times New Roman"/>
          <w:b/>
        </w:rPr>
        <w:tab/>
        <w:t>A preklinikai biztonságossági vizsgálatok eredményei</w:t>
      </w:r>
    </w:p>
    <w:p w14:paraId="10C2AB0E" w14:textId="77777777" w:rsidR="00956F16" w:rsidRPr="00956F16" w:rsidRDefault="00956F16" w:rsidP="00956F16">
      <w:pPr>
        <w:keepNext/>
        <w:spacing w:after="0" w:line="240" w:lineRule="auto"/>
        <w:rPr>
          <w:rFonts w:ascii="Times New Roman" w:eastAsia="Calibri" w:hAnsi="Times New Roman" w:cs="Times New Roman"/>
        </w:rPr>
      </w:pPr>
    </w:p>
    <w:p w14:paraId="1728F9E0" w14:textId="140FB621"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Egy embriofoetális fejlődési vizsgálatot végeztek majmokon napi 0,5 mg/ttkg-tól legfeljebb 4 mg/ttkg</w:t>
      </w:r>
      <w:r w:rsidR="00104634">
        <w:rPr>
          <w:rFonts w:ascii="Times New Roman" w:eastAsia="Calibri" w:hAnsi="Times New Roman" w:cs="Times New Roman"/>
        </w:rPr>
        <w:t>-</w:t>
      </w:r>
      <w:r w:rsidRPr="00956F16">
        <w:rPr>
          <w:rFonts w:ascii="Times New Roman" w:eastAsia="Calibri" w:hAnsi="Times New Roman" w:cs="Times New Roman"/>
        </w:rPr>
        <w:t xml:space="preserve">ig terjedő dózistartományba eső lenalidomid adagolásával. Ezen vizsgálat eredményei azt mutatják, hogy a hatóanyagot vemhesség alatt kapó nőstény majmok utódainál a lenalidomid külső malformációkat okozott, köztük anus imperforatust, valamint a felső és alsó végtagok fejlődési </w:t>
      </w:r>
      <w:r w:rsidRPr="00956F16">
        <w:rPr>
          <w:rFonts w:ascii="Times New Roman" w:eastAsia="Calibri" w:hAnsi="Times New Roman" w:cs="Times New Roman"/>
        </w:rPr>
        <w:lastRenderedPageBreak/>
        <w:t>rendellenességeit (a végtagok görbülete, megrövidülése, alaki rendellenessége, malrotatiója és/vagy hiányzó végtagrészek, oligo- és/vagy polydactylia).</w:t>
      </w:r>
    </w:p>
    <w:p w14:paraId="1A06CC49" w14:textId="77777777" w:rsidR="00956F16" w:rsidRPr="00956F16" w:rsidRDefault="00956F16" w:rsidP="00956F16">
      <w:pPr>
        <w:spacing w:after="0" w:line="240" w:lineRule="auto"/>
        <w:rPr>
          <w:rFonts w:ascii="Times New Roman" w:eastAsia="Calibri" w:hAnsi="Times New Roman" w:cs="Times New Roman"/>
        </w:rPr>
      </w:pPr>
    </w:p>
    <w:p w14:paraId="11D7D20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Különböző visceralis hatásokat (elszíneződés, vörös gócok különböző szervekben, kis színtelen terimék az atrioventricularis billentyű felett, kisméretű epehólyag, diaphragma malformatio) szintén megfigyeltek egyes foetusoknál.</w:t>
      </w:r>
    </w:p>
    <w:p w14:paraId="1FA22C25" w14:textId="77777777" w:rsidR="00956F16" w:rsidRPr="00956F16" w:rsidRDefault="00956F16" w:rsidP="00956F16">
      <w:pPr>
        <w:spacing w:after="0" w:line="240" w:lineRule="auto"/>
        <w:rPr>
          <w:rFonts w:ascii="Times New Roman" w:eastAsia="Calibri" w:hAnsi="Times New Roman" w:cs="Times New Roman"/>
        </w:rPr>
      </w:pPr>
    </w:p>
    <w:p w14:paraId="2B843EBD" w14:textId="35995CCC"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 xml:space="preserve">A lenalidomid akut toxicitási potenciállal rendelkezik. Rágcsálóknál az orális alkalmazást követő minimális letális </w:t>
      </w:r>
      <w:r w:rsidR="00426AD5">
        <w:rPr>
          <w:rFonts w:ascii="Times New Roman" w:eastAsia="Calibri" w:hAnsi="Times New Roman" w:cs="Times New Roman"/>
        </w:rPr>
        <w:t>dózis</w:t>
      </w:r>
      <w:r w:rsidR="00426AD5" w:rsidRPr="00956F16">
        <w:rPr>
          <w:rFonts w:ascii="Times New Roman" w:eastAsia="Calibri" w:hAnsi="Times New Roman" w:cs="Times New Roman"/>
        </w:rPr>
        <w:t xml:space="preserve"> </w:t>
      </w:r>
      <w:r w:rsidRPr="00956F16">
        <w:rPr>
          <w:rFonts w:ascii="Times New Roman" w:eastAsia="Calibri" w:hAnsi="Times New Roman" w:cs="Times New Roman"/>
        </w:rPr>
        <w:t>&gt; 2000 mg/ttkg/nap. Patkányoknál 75, 150 és 300 mg/ttkg/nap dózis 26 héten keresztüli ismételt orális alkalmazása mind a három dózis esetén a kezeléssel kapcsolatos vesemedence-mineralizáció reverzibilis növekedését okozta, főként nőstény állatoknál. Az a szint, ahol nem figyelhető meg mellékhatás (NOAEL/no observed adverse effect level) kevesebb mint napi 75 mg/ttkg-nak felelt meg, ami hozzávetőleg 25-ször nagyobb, mint az AUC alapján számított humán napi expozíció. 4 és 6 mg/ttkg/nap dózis legfeljebb 20 héten keresztül történő ismételt orális alkalmazása majmoknál mortalitást és jelentős toxicitást okozott (jelentős súlyvesztést, a vörösvértestek, a fehérvérsejtek és a vérlemezkék számának csökkenését, több szervben vérzést, emésztőrendszeri gyulladást, nyirokcsomó- és csontvelő-atrófiát). 1 és 2 mg/ttkg/nap dózis legfeljebb 1 éven keresztül történő ismételt orális alkalmazása majmoknál a csontvelő sejtes állományának reverzibilis változását, a myeloid/erythroid sejtek arányának enyhe csökkenését és thymus-atrófiát okozott. A fehérvérsejtek számának enyhe szuppresszióját mutatták ki 1 mg/ttkg/nap dózis alkalmazása esetén, ami az AUC-értékek összehasonlítása alapján hozzávetőleg ugyanekkora humán dózisnak felel meg.</w:t>
      </w:r>
    </w:p>
    <w:p w14:paraId="0B67B473" w14:textId="77777777" w:rsidR="00956F16" w:rsidRPr="00956F16" w:rsidRDefault="00956F16" w:rsidP="00956F16">
      <w:pPr>
        <w:spacing w:after="0" w:line="240" w:lineRule="auto"/>
        <w:rPr>
          <w:rFonts w:ascii="Times New Roman" w:eastAsia="Calibri" w:hAnsi="Times New Roman" w:cs="Times New Roman"/>
        </w:rPr>
      </w:pPr>
    </w:p>
    <w:p w14:paraId="248266D0"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i/>
        </w:rPr>
        <w:t>In vitro</w:t>
      </w:r>
      <w:r w:rsidRPr="00956F16">
        <w:rPr>
          <w:rFonts w:ascii="Times New Roman" w:eastAsia="Calibri" w:hAnsi="Times New Roman" w:cs="Times New Roman"/>
        </w:rPr>
        <w:t xml:space="preserve"> (bakteriális mutáció, humán lymphocyta, egér lymphoma, aranyhörcsög embriósejt transzformáció) és </w:t>
      </w:r>
      <w:r w:rsidRPr="00956F16">
        <w:rPr>
          <w:rFonts w:ascii="Times New Roman" w:eastAsia="Calibri" w:hAnsi="Times New Roman" w:cs="Times New Roman"/>
          <w:i/>
        </w:rPr>
        <w:t>in vivo</w:t>
      </w:r>
      <w:r w:rsidRPr="00956F16">
        <w:rPr>
          <w:rFonts w:ascii="Times New Roman" w:eastAsia="Calibri" w:hAnsi="Times New Roman" w:cs="Times New Roman"/>
        </w:rPr>
        <w:t xml:space="preserve"> (patkány micronucleus) mutagenitás vizsgálatok nem mutattak ki sem gén-, sem kromoszómális szinten a gyógyszer alkalmazásával kapcsolatos hatásokat. A lenalidomiddal karcinogenetikai vizsgálatokat nem végeztek.</w:t>
      </w:r>
    </w:p>
    <w:p w14:paraId="39AEF488" w14:textId="77777777" w:rsidR="00956F16" w:rsidRPr="00956F16" w:rsidRDefault="00956F16" w:rsidP="00956F16">
      <w:pPr>
        <w:spacing w:after="0" w:line="240" w:lineRule="auto"/>
        <w:rPr>
          <w:rFonts w:ascii="Times New Roman" w:eastAsia="Calibri" w:hAnsi="Times New Roman" w:cs="Times New Roman"/>
        </w:rPr>
      </w:pPr>
    </w:p>
    <w:p w14:paraId="07E7DD60" w14:textId="5789C451"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Korábban nyulak</w:t>
      </w:r>
      <w:r w:rsidR="00D228B5">
        <w:rPr>
          <w:rFonts w:ascii="Times New Roman" w:eastAsia="Calibri" w:hAnsi="Times New Roman" w:cs="Times New Roman"/>
        </w:rPr>
        <w:t>kal</w:t>
      </w:r>
      <w:r w:rsidRPr="00956F16">
        <w:rPr>
          <w:rFonts w:ascii="Times New Roman" w:eastAsia="Calibri" w:hAnsi="Times New Roman" w:cs="Times New Roman"/>
        </w:rPr>
        <w:t xml:space="preserve"> végeztek fejlődési toxicitás vizsgálatokat. Ezekben a vizsgálatokban nyulaknál 3, 10 és 20 mg/ttkg/nap lenalidomidot alkalmaztak orálisan. 10 és 20 mg/ttkg/nap dózis mellett, dózisfüggő mértékben, a tüdő középső lebenyének hiányát, 20 mg/ttkg/nap dózis mellett a vesék rendellenes helyzetét figyelték meg. Habár ezeket a jelenségeket az anyára toxikus szintek mellett figyelték meg, lehetséges, hogy a hatás közvetlen. Napi 10 és 20 mg/ttkg-os dózisnál a magzat lágyrész</w:t>
      </w:r>
      <w:r w:rsidR="00D228B5">
        <w:rPr>
          <w:rFonts w:ascii="Times New Roman" w:eastAsia="Calibri" w:hAnsi="Times New Roman" w:cs="Times New Roman"/>
        </w:rPr>
        <w:t>-</w:t>
      </w:r>
      <w:r w:rsidRPr="00956F16">
        <w:rPr>
          <w:rFonts w:ascii="Times New Roman" w:eastAsia="Calibri" w:hAnsi="Times New Roman" w:cs="Times New Roman"/>
        </w:rPr>
        <w:t xml:space="preserve"> és vázrendszeri elváltozásait is megfigyelték.</w:t>
      </w:r>
    </w:p>
    <w:p w14:paraId="652468CA" w14:textId="77777777" w:rsidR="00956F16" w:rsidRPr="00956F16" w:rsidRDefault="00956F16" w:rsidP="00956F16">
      <w:pPr>
        <w:spacing w:after="0" w:line="240" w:lineRule="auto"/>
        <w:rPr>
          <w:rFonts w:ascii="Times New Roman" w:eastAsia="Calibri" w:hAnsi="Times New Roman" w:cs="Times New Roman"/>
        </w:rPr>
      </w:pPr>
    </w:p>
    <w:p w14:paraId="40D50113" w14:textId="77777777" w:rsidR="00956F16" w:rsidRPr="00956F16" w:rsidRDefault="00956F16" w:rsidP="00956F16">
      <w:pPr>
        <w:spacing w:after="0" w:line="240" w:lineRule="auto"/>
        <w:rPr>
          <w:rFonts w:ascii="Times New Roman" w:eastAsia="Calibri" w:hAnsi="Times New Roman" w:cs="Times New Roman"/>
        </w:rPr>
      </w:pPr>
    </w:p>
    <w:p w14:paraId="4696FAC3"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6.</w:t>
      </w:r>
      <w:r w:rsidRPr="00956F16">
        <w:rPr>
          <w:rFonts w:ascii="Times New Roman" w:eastAsia="Calibri" w:hAnsi="Times New Roman" w:cs="Times New Roman"/>
          <w:b/>
        </w:rPr>
        <w:tab/>
        <w:t>GYÓGYSZERÉSZETI JELLEMZŐK</w:t>
      </w:r>
    </w:p>
    <w:p w14:paraId="291EE1E9" w14:textId="77777777" w:rsidR="00956F16" w:rsidRPr="00956F16" w:rsidRDefault="00956F16" w:rsidP="00956F16">
      <w:pPr>
        <w:keepNext/>
        <w:spacing w:after="0" w:line="240" w:lineRule="auto"/>
        <w:rPr>
          <w:rFonts w:ascii="Times New Roman" w:eastAsia="Calibri" w:hAnsi="Times New Roman" w:cs="Times New Roman"/>
        </w:rPr>
      </w:pPr>
    </w:p>
    <w:p w14:paraId="20CD5DAC"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6.1</w:t>
      </w:r>
      <w:r w:rsidRPr="00956F16">
        <w:rPr>
          <w:rFonts w:ascii="Times New Roman" w:eastAsia="Calibri" w:hAnsi="Times New Roman" w:cs="Times New Roman"/>
          <w:b/>
        </w:rPr>
        <w:tab/>
        <w:t>Segédanyagok felsorolása</w:t>
      </w:r>
    </w:p>
    <w:p w14:paraId="018F418A" w14:textId="77777777" w:rsidR="00956F16" w:rsidRPr="00956F16" w:rsidRDefault="00956F16" w:rsidP="00956F16">
      <w:pPr>
        <w:keepNext/>
        <w:spacing w:after="0" w:line="240" w:lineRule="auto"/>
        <w:rPr>
          <w:rFonts w:ascii="Times New Roman" w:eastAsia="Calibri" w:hAnsi="Times New Roman" w:cs="Times New Roman"/>
        </w:rPr>
      </w:pPr>
    </w:p>
    <w:p w14:paraId="6FD20B7E"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Kapszulatöltet</w:t>
      </w:r>
    </w:p>
    <w:p w14:paraId="680FE219"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laktóz</w:t>
      </w:r>
    </w:p>
    <w:p w14:paraId="4461D217" w14:textId="1F00D6BF"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mikrokristályos cellulóz</w:t>
      </w:r>
      <w:r w:rsidR="0037051E">
        <w:rPr>
          <w:rFonts w:ascii="Times New Roman" w:eastAsia="Calibri" w:hAnsi="Times New Roman" w:cs="Times New Roman"/>
        </w:rPr>
        <w:t xml:space="preserve"> </w:t>
      </w:r>
      <w:r w:rsidR="0037051E" w:rsidRPr="0037051E">
        <w:rPr>
          <w:rFonts w:ascii="Times New Roman" w:eastAsia="Calibri" w:hAnsi="Times New Roman" w:cs="Times New Roman"/>
        </w:rPr>
        <w:t>(E460)</w:t>
      </w:r>
    </w:p>
    <w:p w14:paraId="77C5A39B" w14:textId="3D676E31"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kroszkarmellóz-nátrium</w:t>
      </w:r>
      <w:r w:rsidR="0037051E">
        <w:rPr>
          <w:rFonts w:ascii="Times New Roman" w:eastAsia="Calibri" w:hAnsi="Times New Roman" w:cs="Times New Roman"/>
        </w:rPr>
        <w:t xml:space="preserve"> </w:t>
      </w:r>
      <w:r w:rsidR="0037051E" w:rsidRPr="0037051E">
        <w:rPr>
          <w:rFonts w:ascii="Times New Roman" w:eastAsia="Calibri" w:hAnsi="Times New Roman" w:cs="Times New Roman"/>
        </w:rPr>
        <w:t>(E468)</w:t>
      </w:r>
    </w:p>
    <w:p w14:paraId="742256AF" w14:textId="5B3D38D5"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magnézium</w:t>
      </w:r>
      <w:r w:rsidR="00104634">
        <w:rPr>
          <w:rFonts w:ascii="Times New Roman" w:eastAsia="Calibri" w:hAnsi="Times New Roman" w:cs="Times New Roman"/>
        </w:rPr>
        <w:t>-</w:t>
      </w:r>
      <w:r w:rsidRPr="00956F16">
        <w:rPr>
          <w:rFonts w:ascii="Times New Roman" w:eastAsia="Calibri" w:hAnsi="Times New Roman" w:cs="Times New Roman"/>
        </w:rPr>
        <w:t>sztearát</w:t>
      </w:r>
      <w:r w:rsidR="0037051E">
        <w:rPr>
          <w:rFonts w:ascii="Times New Roman" w:eastAsia="Calibri" w:hAnsi="Times New Roman" w:cs="Times New Roman"/>
        </w:rPr>
        <w:t xml:space="preserve"> </w:t>
      </w:r>
      <w:r w:rsidR="0037051E" w:rsidRPr="0037051E">
        <w:rPr>
          <w:rFonts w:ascii="Times New Roman" w:eastAsia="Calibri" w:hAnsi="Times New Roman" w:cs="Times New Roman"/>
        </w:rPr>
        <w:t>(E470b)</w:t>
      </w:r>
    </w:p>
    <w:p w14:paraId="64646EA2" w14:textId="77777777" w:rsidR="00956F16" w:rsidRPr="00956F16" w:rsidRDefault="00956F16" w:rsidP="00956F16">
      <w:pPr>
        <w:spacing w:after="0" w:line="240" w:lineRule="auto"/>
        <w:rPr>
          <w:rFonts w:ascii="Times New Roman" w:eastAsia="Calibri" w:hAnsi="Times New Roman" w:cs="Times New Roman"/>
        </w:rPr>
      </w:pPr>
    </w:p>
    <w:p w14:paraId="7BF52ED0"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Kapszulahéj</w:t>
      </w:r>
    </w:p>
    <w:p w14:paraId="0811EC55"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2,5 mg</w:t>
      </w:r>
    </w:p>
    <w:p w14:paraId="32A43BA4"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titán-dioxid (E171)</w:t>
      </w:r>
    </w:p>
    <w:p w14:paraId="6190D659"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zselatin</w:t>
      </w:r>
    </w:p>
    <w:p w14:paraId="0C7BF106" w14:textId="56BA2250" w:rsidR="00956F16" w:rsidRPr="00956F16" w:rsidRDefault="00C3253E" w:rsidP="00956F16">
      <w:pPr>
        <w:spacing w:after="0" w:line="240" w:lineRule="auto"/>
        <w:rPr>
          <w:rFonts w:ascii="Times New Roman" w:eastAsia="Calibri" w:hAnsi="Times New Roman" w:cs="Times New Roman"/>
        </w:rPr>
      </w:pPr>
      <w:r>
        <w:rPr>
          <w:rFonts w:ascii="Times New Roman" w:eastAsia="Calibri" w:hAnsi="Times New Roman" w:cs="Times New Roman"/>
        </w:rPr>
        <w:t>brillantkék FCF</w:t>
      </w:r>
      <w:r w:rsidR="00956F16" w:rsidRPr="00956F16">
        <w:rPr>
          <w:rFonts w:ascii="Times New Roman" w:eastAsia="Calibri" w:hAnsi="Times New Roman" w:cs="Times New Roman"/>
        </w:rPr>
        <w:t xml:space="preserve"> (E133)</w:t>
      </w:r>
    </w:p>
    <w:p w14:paraId="09DA1AB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sárga vas-oxid (E172)</w:t>
      </w:r>
    </w:p>
    <w:p w14:paraId="0F40C145" w14:textId="77777777" w:rsidR="00956F16" w:rsidRPr="00956F16" w:rsidRDefault="00956F16" w:rsidP="00956F16">
      <w:pPr>
        <w:spacing w:after="0" w:line="240" w:lineRule="auto"/>
        <w:rPr>
          <w:rFonts w:ascii="Times New Roman" w:eastAsia="Calibri" w:hAnsi="Times New Roman" w:cs="Times New Roman"/>
          <w:u w:val="single"/>
        </w:rPr>
      </w:pPr>
    </w:p>
    <w:p w14:paraId="42432A2A"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5 mg</w:t>
      </w:r>
    </w:p>
    <w:p w14:paraId="25B56CA5"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titán-dioxid (E171)</w:t>
      </w:r>
    </w:p>
    <w:p w14:paraId="3C15B22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zselatin</w:t>
      </w:r>
    </w:p>
    <w:p w14:paraId="2761906A" w14:textId="77777777" w:rsidR="00956F16" w:rsidRPr="00956F16" w:rsidRDefault="00956F16" w:rsidP="00956F16">
      <w:pPr>
        <w:spacing w:after="0" w:line="240" w:lineRule="auto"/>
        <w:rPr>
          <w:rFonts w:ascii="Times New Roman" w:eastAsia="Calibri" w:hAnsi="Times New Roman" w:cs="Times New Roman"/>
        </w:rPr>
      </w:pPr>
    </w:p>
    <w:p w14:paraId="64EDF617"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lastRenderedPageBreak/>
        <w:t>Lenalidomide Grindeks 7,5 mg</w:t>
      </w:r>
    </w:p>
    <w:p w14:paraId="1806CA6B"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titán-dioxid (E171)</w:t>
      </w:r>
    </w:p>
    <w:p w14:paraId="57901A3A"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zselatin</w:t>
      </w:r>
    </w:p>
    <w:p w14:paraId="4E4AF51E"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sárga vas-oxid (E172)</w:t>
      </w:r>
    </w:p>
    <w:p w14:paraId="2CAA55C5" w14:textId="77777777" w:rsidR="00956F16" w:rsidRPr="00956F16" w:rsidRDefault="00956F16" w:rsidP="00956F16">
      <w:pPr>
        <w:spacing w:after="0" w:line="240" w:lineRule="auto"/>
        <w:rPr>
          <w:rFonts w:ascii="Times New Roman" w:eastAsia="Calibri" w:hAnsi="Times New Roman" w:cs="Times New Roman"/>
          <w:u w:val="single"/>
        </w:rPr>
      </w:pPr>
    </w:p>
    <w:p w14:paraId="1DA92030"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10 mg</w:t>
      </w:r>
    </w:p>
    <w:p w14:paraId="7C449F0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titán-dioxid (E171)</w:t>
      </w:r>
    </w:p>
    <w:p w14:paraId="6F97098B"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zselatin</w:t>
      </w:r>
    </w:p>
    <w:p w14:paraId="10560685"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sárga vas-oxid (E172)</w:t>
      </w:r>
    </w:p>
    <w:p w14:paraId="4F44DAE2" w14:textId="3DC33639" w:rsidR="00956F16" w:rsidRPr="00956F16" w:rsidRDefault="00C3253E" w:rsidP="00956F16">
      <w:pPr>
        <w:spacing w:after="0" w:line="240" w:lineRule="auto"/>
        <w:rPr>
          <w:rFonts w:ascii="Times New Roman" w:eastAsia="Calibri" w:hAnsi="Times New Roman" w:cs="Times New Roman"/>
        </w:rPr>
      </w:pPr>
      <w:r>
        <w:rPr>
          <w:rFonts w:ascii="Times New Roman" w:eastAsia="Calibri" w:hAnsi="Times New Roman" w:cs="Times New Roman"/>
        </w:rPr>
        <w:t>brillantkék FCF</w:t>
      </w:r>
      <w:r w:rsidR="00956F16" w:rsidRPr="00956F16">
        <w:rPr>
          <w:rFonts w:ascii="Times New Roman" w:eastAsia="Calibri" w:hAnsi="Times New Roman" w:cs="Times New Roman"/>
        </w:rPr>
        <w:t xml:space="preserve"> (E133)</w:t>
      </w:r>
    </w:p>
    <w:p w14:paraId="1F8DDD48" w14:textId="77777777" w:rsidR="00956F16" w:rsidRPr="00956F16" w:rsidRDefault="00956F16" w:rsidP="00956F16">
      <w:pPr>
        <w:spacing w:after="0" w:line="240" w:lineRule="auto"/>
        <w:rPr>
          <w:rFonts w:ascii="Times New Roman" w:eastAsia="Calibri" w:hAnsi="Times New Roman" w:cs="Times New Roman"/>
          <w:u w:val="single"/>
        </w:rPr>
      </w:pPr>
    </w:p>
    <w:p w14:paraId="206ECA15"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15 mg</w:t>
      </w:r>
    </w:p>
    <w:p w14:paraId="554B4093"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titán-dioxid (E171)</w:t>
      </w:r>
    </w:p>
    <w:p w14:paraId="42F9230A"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zselatin</w:t>
      </w:r>
    </w:p>
    <w:p w14:paraId="6AC21617" w14:textId="0503F669" w:rsidR="00956F16" w:rsidRPr="00956F16" w:rsidRDefault="00C3253E" w:rsidP="00956F16">
      <w:pPr>
        <w:spacing w:after="0" w:line="240" w:lineRule="auto"/>
        <w:rPr>
          <w:rFonts w:ascii="Times New Roman" w:eastAsia="Calibri" w:hAnsi="Times New Roman" w:cs="Times New Roman"/>
        </w:rPr>
      </w:pPr>
      <w:r>
        <w:rPr>
          <w:rFonts w:ascii="Times New Roman" w:eastAsia="Calibri" w:hAnsi="Times New Roman" w:cs="Times New Roman"/>
        </w:rPr>
        <w:t>brillantkék FCF</w:t>
      </w:r>
      <w:r w:rsidR="00956F16" w:rsidRPr="00956F16">
        <w:rPr>
          <w:rFonts w:ascii="Times New Roman" w:eastAsia="Calibri" w:hAnsi="Times New Roman" w:cs="Times New Roman"/>
        </w:rPr>
        <w:t xml:space="preserve"> (E133)</w:t>
      </w:r>
    </w:p>
    <w:p w14:paraId="32D659EE" w14:textId="77777777" w:rsidR="00956F16" w:rsidRPr="00956F16" w:rsidRDefault="00956F16" w:rsidP="00956F16">
      <w:pPr>
        <w:spacing w:after="0" w:line="240" w:lineRule="auto"/>
        <w:rPr>
          <w:rFonts w:ascii="Times New Roman" w:eastAsia="Calibri" w:hAnsi="Times New Roman" w:cs="Times New Roman"/>
        </w:rPr>
      </w:pPr>
    </w:p>
    <w:p w14:paraId="6444D6AD"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20 mg</w:t>
      </w:r>
    </w:p>
    <w:p w14:paraId="3FEC952C"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titán-dioxid (E171)</w:t>
      </w:r>
    </w:p>
    <w:p w14:paraId="72238928"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zselatin</w:t>
      </w:r>
    </w:p>
    <w:p w14:paraId="5851AB02" w14:textId="0410DB7C" w:rsidR="00956F16" w:rsidRPr="00956F16" w:rsidRDefault="00C3253E" w:rsidP="00956F16">
      <w:pPr>
        <w:spacing w:after="0" w:line="240" w:lineRule="auto"/>
        <w:rPr>
          <w:rFonts w:ascii="Times New Roman" w:eastAsia="Calibri" w:hAnsi="Times New Roman" w:cs="Times New Roman"/>
        </w:rPr>
      </w:pPr>
      <w:r>
        <w:rPr>
          <w:rFonts w:ascii="Times New Roman" w:eastAsia="Calibri" w:hAnsi="Times New Roman" w:cs="Times New Roman"/>
        </w:rPr>
        <w:t>brillantkék FCF</w:t>
      </w:r>
      <w:r w:rsidR="00956F16" w:rsidRPr="00956F16">
        <w:rPr>
          <w:rFonts w:ascii="Times New Roman" w:eastAsia="Calibri" w:hAnsi="Times New Roman" w:cs="Times New Roman"/>
        </w:rPr>
        <w:t xml:space="preserve"> (E133)</w:t>
      </w:r>
    </w:p>
    <w:p w14:paraId="501A3FB8"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sárga vas-oxid (E172)</w:t>
      </w:r>
    </w:p>
    <w:p w14:paraId="1A0B6770" w14:textId="77777777" w:rsidR="00956F16" w:rsidRPr="00956F16" w:rsidRDefault="00956F16" w:rsidP="00956F16">
      <w:pPr>
        <w:spacing w:after="0" w:line="240" w:lineRule="auto"/>
        <w:rPr>
          <w:rFonts w:ascii="Times New Roman" w:eastAsia="Calibri" w:hAnsi="Times New Roman" w:cs="Times New Roman"/>
        </w:rPr>
      </w:pPr>
    </w:p>
    <w:p w14:paraId="428BF540"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Lenalidomide Grindeks 25 mg</w:t>
      </w:r>
    </w:p>
    <w:p w14:paraId="0E4C6F9F"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titán-dioxid (E171)</w:t>
      </w:r>
    </w:p>
    <w:p w14:paraId="2562D24C"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zselatin</w:t>
      </w:r>
    </w:p>
    <w:p w14:paraId="5B2A758A" w14:textId="77777777" w:rsidR="00956F16" w:rsidRPr="00956F16" w:rsidRDefault="00956F16" w:rsidP="00956F16">
      <w:pPr>
        <w:spacing w:after="0" w:line="240" w:lineRule="auto"/>
        <w:rPr>
          <w:rFonts w:ascii="Times New Roman" w:eastAsia="Calibri" w:hAnsi="Times New Roman" w:cs="Times New Roman"/>
        </w:rPr>
      </w:pPr>
    </w:p>
    <w:p w14:paraId="06EC175D" w14:textId="77777777" w:rsidR="00956F16" w:rsidRPr="00956F16" w:rsidRDefault="00956F16" w:rsidP="00956F16">
      <w:pPr>
        <w:keepNext/>
        <w:spacing w:after="0" w:line="240" w:lineRule="auto"/>
        <w:rPr>
          <w:rFonts w:ascii="Times New Roman" w:eastAsia="Calibri" w:hAnsi="Times New Roman" w:cs="Times New Roman"/>
          <w:u w:val="single"/>
        </w:rPr>
      </w:pPr>
      <w:r w:rsidRPr="00956F16">
        <w:rPr>
          <w:rFonts w:ascii="Times New Roman" w:eastAsia="Calibri" w:hAnsi="Times New Roman" w:cs="Times New Roman"/>
          <w:u w:val="single"/>
        </w:rPr>
        <w:t>Jelölőfesték</w:t>
      </w:r>
    </w:p>
    <w:p w14:paraId="2A48F14D" w14:textId="6E8F829F"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sellak</w:t>
      </w:r>
      <w:r w:rsidR="0037051E">
        <w:rPr>
          <w:rFonts w:ascii="Times New Roman" w:eastAsia="Calibri" w:hAnsi="Times New Roman" w:cs="Times New Roman"/>
        </w:rPr>
        <w:t xml:space="preserve"> </w:t>
      </w:r>
      <w:r w:rsidR="0037051E" w:rsidRPr="0037051E">
        <w:rPr>
          <w:rFonts w:ascii="Times New Roman" w:eastAsia="Calibri" w:hAnsi="Times New Roman" w:cs="Times New Roman"/>
        </w:rPr>
        <w:t>(E904)</w:t>
      </w:r>
    </w:p>
    <w:p w14:paraId="4B5DD862" w14:textId="15C0E683"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propilénglikol</w:t>
      </w:r>
      <w:r w:rsidR="0037051E">
        <w:rPr>
          <w:rFonts w:ascii="Times New Roman" w:eastAsia="Calibri" w:hAnsi="Times New Roman" w:cs="Times New Roman"/>
        </w:rPr>
        <w:t xml:space="preserve"> </w:t>
      </w:r>
      <w:r w:rsidR="0037051E" w:rsidRPr="0037051E">
        <w:rPr>
          <w:rFonts w:ascii="Times New Roman" w:eastAsia="Calibri" w:hAnsi="Times New Roman" w:cs="Times New Roman"/>
        </w:rPr>
        <w:t>(E1520)</w:t>
      </w:r>
    </w:p>
    <w:p w14:paraId="6A431764"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fekete vas-oxid (E172)</w:t>
      </w:r>
    </w:p>
    <w:p w14:paraId="2AE557D5" w14:textId="22B72C32"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kálium-hidroxid</w:t>
      </w:r>
      <w:r w:rsidR="0037051E">
        <w:rPr>
          <w:rFonts w:ascii="Times New Roman" w:eastAsia="Calibri" w:hAnsi="Times New Roman" w:cs="Times New Roman"/>
        </w:rPr>
        <w:t xml:space="preserve"> </w:t>
      </w:r>
      <w:r w:rsidR="0037051E" w:rsidRPr="0037051E">
        <w:rPr>
          <w:rFonts w:ascii="Times New Roman" w:eastAsia="Calibri" w:hAnsi="Times New Roman" w:cs="Times New Roman"/>
        </w:rPr>
        <w:t>(E525)</w:t>
      </w:r>
    </w:p>
    <w:p w14:paraId="3B674D90" w14:textId="36A7ECC6"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tömény ammónia-oldat</w:t>
      </w:r>
      <w:r w:rsidR="0037051E">
        <w:rPr>
          <w:rFonts w:ascii="Times New Roman" w:eastAsia="Calibri" w:hAnsi="Times New Roman" w:cs="Times New Roman"/>
        </w:rPr>
        <w:t xml:space="preserve"> </w:t>
      </w:r>
      <w:r w:rsidR="0037051E" w:rsidRPr="0037051E">
        <w:rPr>
          <w:rFonts w:ascii="Times New Roman" w:eastAsia="Calibri" w:hAnsi="Times New Roman" w:cs="Times New Roman"/>
        </w:rPr>
        <w:t>(E527)</w:t>
      </w:r>
    </w:p>
    <w:p w14:paraId="05175639" w14:textId="77777777" w:rsidR="00956F16" w:rsidRPr="00956F16" w:rsidRDefault="00956F16" w:rsidP="00956F16">
      <w:pPr>
        <w:spacing w:after="0" w:line="240" w:lineRule="auto"/>
        <w:rPr>
          <w:rFonts w:ascii="Times New Roman" w:eastAsia="Calibri" w:hAnsi="Times New Roman" w:cs="Times New Roman"/>
        </w:rPr>
      </w:pPr>
    </w:p>
    <w:p w14:paraId="6B537211"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6.2</w:t>
      </w:r>
      <w:r w:rsidRPr="00956F16">
        <w:rPr>
          <w:rFonts w:ascii="Times New Roman" w:eastAsia="Calibri" w:hAnsi="Times New Roman" w:cs="Times New Roman"/>
          <w:b/>
        </w:rPr>
        <w:tab/>
        <w:t>Inkompatibilitások</w:t>
      </w:r>
    </w:p>
    <w:p w14:paraId="7B4BDA34" w14:textId="77777777" w:rsidR="00956F16" w:rsidRPr="00956F16" w:rsidRDefault="00956F16" w:rsidP="00956F16">
      <w:pPr>
        <w:keepNext/>
        <w:spacing w:after="0" w:line="240" w:lineRule="auto"/>
        <w:rPr>
          <w:rFonts w:ascii="Times New Roman" w:eastAsia="Calibri" w:hAnsi="Times New Roman" w:cs="Times New Roman"/>
        </w:rPr>
      </w:pPr>
    </w:p>
    <w:p w14:paraId="27FEE99D"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Nem értelmezhető.</w:t>
      </w:r>
    </w:p>
    <w:p w14:paraId="7954F516" w14:textId="77777777" w:rsidR="00956F16" w:rsidRPr="00956F16" w:rsidRDefault="00956F16" w:rsidP="00956F16">
      <w:pPr>
        <w:spacing w:after="0" w:line="240" w:lineRule="auto"/>
        <w:rPr>
          <w:rFonts w:ascii="Times New Roman" w:eastAsia="Calibri" w:hAnsi="Times New Roman" w:cs="Times New Roman"/>
        </w:rPr>
      </w:pPr>
    </w:p>
    <w:p w14:paraId="4B4B5104"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6.3</w:t>
      </w:r>
      <w:r w:rsidRPr="00956F16">
        <w:rPr>
          <w:rFonts w:ascii="Times New Roman" w:eastAsia="Calibri" w:hAnsi="Times New Roman" w:cs="Times New Roman"/>
          <w:b/>
        </w:rPr>
        <w:tab/>
        <w:t>Felhasználhatósági időtartam</w:t>
      </w:r>
    </w:p>
    <w:p w14:paraId="236FE264" w14:textId="77777777" w:rsidR="00956F16" w:rsidRPr="00956F16" w:rsidRDefault="00956F16" w:rsidP="00956F16">
      <w:pPr>
        <w:keepNext/>
        <w:spacing w:after="0" w:line="240" w:lineRule="auto"/>
        <w:rPr>
          <w:rFonts w:ascii="Times New Roman" w:eastAsia="Calibri" w:hAnsi="Times New Roman" w:cs="Times New Roman"/>
        </w:rPr>
      </w:pPr>
    </w:p>
    <w:p w14:paraId="164CEB4D" w14:textId="77777777" w:rsidR="00956F16" w:rsidRPr="00956F16" w:rsidRDefault="001870B1" w:rsidP="00956F16">
      <w:pPr>
        <w:spacing w:after="0" w:line="240" w:lineRule="auto"/>
        <w:rPr>
          <w:rFonts w:ascii="Times New Roman" w:eastAsia="Calibri" w:hAnsi="Times New Roman" w:cs="Times New Roman"/>
        </w:rPr>
      </w:pPr>
      <w:r>
        <w:rPr>
          <w:rFonts w:ascii="Times New Roman" w:eastAsia="Calibri" w:hAnsi="Times New Roman" w:cs="Times New Roman"/>
        </w:rPr>
        <w:t>3</w:t>
      </w:r>
      <w:r w:rsidR="00956F16" w:rsidRPr="00956F16">
        <w:rPr>
          <w:rFonts w:ascii="Times New Roman" w:eastAsia="Calibri" w:hAnsi="Times New Roman" w:cs="Times New Roman"/>
        </w:rPr>
        <w:t> év</w:t>
      </w:r>
    </w:p>
    <w:p w14:paraId="1FEB9BB4" w14:textId="77777777" w:rsidR="00956F16" w:rsidRPr="00956F16" w:rsidRDefault="00956F16" w:rsidP="00956F16">
      <w:pPr>
        <w:spacing w:after="0" w:line="240" w:lineRule="auto"/>
        <w:rPr>
          <w:rFonts w:ascii="Times New Roman" w:eastAsia="Calibri" w:hAnsi="Times New Roman" w:cs="Times New Roman"/>
        </w:rPr>
      </w:pPr>
    </w:p>
    <w:p w14:paraId="2CC0FABE"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6.4</w:t>
      </w:r>
      <w:r w:rsidRPr="00956F16">
        <w:rPr>
          <w:rFonts w:ascii="Times New Roman" w:eastAsia="Calibri" w:hAnsi="Times New Roman" w:cs="Times New Roman"/>
          <w:b/>
        </w:rPr>
        <w:tab/>
        <w:t>Különleges tárolási előírások</w:t>
      </w:r>
    </w:p>
    <w:p w14:paraId="02602744" w14:textId="77777777" w:rsidR="00956F16" w:rsidRPr="00956F16" w:rsidRDefault="00956F16" w:rsidP="00956F16">
      <w:pPr>
        <w:keepNext/>
        <w:spacing w:after="0" w:line="240" w:lineRule="auto"/>
        <w:rPr>
          <w:rFonts w:ascii="Times New Roman" w:eastAsia="Calibri" w:hAnsi="Times New Roman" w:cs="Times New Roman"/>
        </w:rPr>
      </w:pPr>
    </w:p>
    <w:p w14:paraId="3DCEFFD2"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Ez a gyógyszer nem igényel különleges tárolást.</w:t>
      </w:r>
    </w:p>
    <w:p w14:paraId="4938E3E6" w14:textId="77777777" w:rsidR="00956F16" w:rsidRPr="00956F16" w:rsidRDefault="00956F16" w:rsidP="00956F16">
      <w:pPr>
        <w:spacing w:after="0" w:line="240" w:lineRule="auto"/>
        <w:rPr>
          <w:rFonts w:ascii="Times New Roman" w:eastAsia="Calibri" w:hAnsi="Times New Roman" w:cs="Times New Roman"/>
        </w:rPr>
      </w:pPr>
    </w:p>
    <w:p w14:paraId="268BB969"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6.5</w:t>
      </w:r>
      <w:r w:rsidRPr="00956F16">
        <w:rPr>
          <w:rFonts w:ascii="Times New Roman" w:eastAsia="Calibri" w:hAnsi="Times New Roman" w:cs="Times New Roman"/>
          <w:b/>
        </w:rPr>
        <w:tab/>
        <w:t>Csomagolás típusa és kiszerelése</w:t>
      </w:r>
    </w:p>
    <w:p w14:paraId="5954B63A" w14:textId="77777777" w:rsidR="00956F16" w:rsidRPr="00956F16" w:rsidRDefault="00956F16" w:rsidP="00956F16">
      <w:pPr>
        <w:keepNext/>
        <w:spacing w:after="0" w:line="240" w:lineRule="auto"/>
        <w:rPr>
          <w:rFonts w:ascii="Times New Roman" w:eastAsia="Calibri" w:hAnsi="Times New Roman" w:cs="Times New Roman"/>
        </w:rPr>
      </w:pPr>
    </w:p>
    <w:p w14:paraId="21DFBB0B" w14:textId="77777777" w:rsidR="00956F16" w:rsidRPr="00441247" w:rsidRDefault="00956F16" w:rsidP="00956F16">
      <w:pPr>
        <w:tabs>
          <w:tab w:val="left" w:pos="567"/>
        </w:tabs>
        <w:spacing w:after="0" w:line="240" w:lineRule="auto"/>
        <w:rPr>
          <w:rFonts w:ascii="Times New Roman" w:eastAsia="Times New Roman" w:hAnsi="Times New Roman" w:cs="Times New Roman"/>
          <w:szCs w:val="20"/>
        </w:rPr>
      </w:pPr>
      <w:r w:rsidRPr="00441247">
        <w:rPr>
          <w:rFonts w:ascii="Times New Roman" w:eastAsia="Times New Roman" w:hAnsi="Times New Roman" w:cs="Times New Roman"/>
          <w:szCs w:val="20"/>
        </w:rPr>
        <w:t>7 db vagy 21 db kemény kapszula Al/PVC/Aclar/PVC buborékcsomagolásban, dobozban.</w:t>
      </w:r>
    </w:p>
    <w:p w14:paraId="1F176506" w14:textId="77777777" w:rsidR="00956F16" w:rsidRPr="00441247" w:rsidRDefault="00956F16" w:rsidP="00956F16">
      <w:pPr>
        <w:widowControl w:val="0"/>
        <w:tabs>
          <w:tab w:val="left" w:pos="567"/>
        </w:tabs>
        <w:autoSpaceDE w:val="0"/>
        <w:autoSpaceDN w:val="0"/>
        <w:adjustRightInd w:val="0"/>
        <w:spacing w:after="0" w:line="240" w:lineRule="auto"/>
        <w:rPr>
          <w:rFonts w:ascii="Times New Roman" w:eastAsia="Times New Roman" w:hAnsi="Times New Roman" w:cs="Times New Roman"/>
          <w:szCs w:val="20"/>
          <w:highlight w:val="lightGray"/>
        </w:rPr>
      </w:pPr>
    </w:p>
    <w:p w14:paraId="5F8B4A5B"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Nem feltétlenül mindegyik kiszerelés kerül kereskedelmi forgalomba.</w:t>
      </w:r>
    </w:p>
    <w:p w14:paraId="7DB06138" w14:textId="77777777" w:rsidR="00956F16" w:rsidRPr="00956F16" w:rsidRDefault="00956F16" w:rsidP="00956F16">
      <w:pPr>
        <w:spacing w:after="0" w:line="240" w:lineRule="auto"/>
        <w:rPr>
          <w:rFonts w:ascii="Times New Roman" w:eastAsia="Calibri" w:hAnsi="Times New Roman" w:cs="Times New Roman"/>
        </w:rPr>
      </w:pPr>
    </w:p>
    <w:p w14:paraId="728E8B37" w14:textId="77777777" w:rsidR="00956F16" w:rsidRPr="00956F16" w:rsidRDefault="00956F16" w:rsidP="00956F16">
      <w:pPr>
        <w:keepNext/>
        <w:spacing w:after="0" w:line="240" w:lineRule="auto"/>
        <w:ind w:left="567" w:hanging="567"/>
        <w:rPr>
          <w:rFonts w:ascii="Times New Roman" w:eastAsia="Calibri" w:hAnsi="Times New Roman" w:cs="Times New Roman"/>
          <w:b/>
        </w:rPr>
      </w:pPr>
      <w:r w:rsidRPr="00956F16">
        <w:rPr>
          <w:rFonts w:ascii="Times New Roman" w:eastAsia="Calibri" w:hAnsi="Times New Roman" w:cs="Times New Roman"/>
          <w:b/>
        </w:rPr>
        <w:t>6.6</w:t>
      </w:r>
      <w:r w:rsidRPr="00956F16">
        <w:rPr>
          <w:rFonts w:ascii="Times New Roman" w:eastAsia="Calibri" w:hAnsi="Times New Roman" w:cs="Times New Roman"/>
          <w:b/>
        </w:rPr>
        <w:tab/>
        <w:t>A megsemmisítésre vonatkozó különleges óvintézkedések, és egyéb, a készítmény kezelésével kapcsolatos információk</w:t>
      </w:r>
    </w:p>
    <w:p w14:paraId="617FB025" w14:textId="77777777" w:rsidR="00956F16" w:rsidRPr="00956F16" w:rsidRDefault="00956F16" w:rsidP="00956F16">
      <w:pPr>
        <w:keepNext/>
        <w:spacing w:after="0" w:line="240" w:lineRule="auto"/>
        <w:rPr>
          <w:rFonts w:ascii="Times New Roman" w:eastAsia="Calibri" w:hAnsi="Times New Roman" w:cs="Times New Roman"/>
        </w:rPr>
      </w:pPr>
    </w:p>
    <w:p w14:paraId="7A955C52" w14:textId="77777777" w:rsidR="00956F16" w:rsidRP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A kapszulákat nem szabad felnyitni vagy összetörni. Ha a lenalidomid por érintkezésbe kerül a bőrrel, azonnal alaposan le kell mosni szappannal és vízzel. Amennyiben a lenalidomid nyálkahártyával érintkezik, alaposan le kell öblíteni vízzel.</w:t>
      </w:r>
    </w:p>
    <w:p w14:paraId="4F03B0AC" w14:textId="40ED6E8C" w:rsidR="00956F16" w:rsidRDefault="00956F16" w:rsidP="00956F16">
      <w:pPr>
        <w:spacing w:after="0" w:line="240" w:lineRule="auto"/>
        <w:rPr>
          <w:rFonts w:ascii="Times New Roman" w:eastAsia="Calibri" w:hAnsi="Times New Roman" w:cs="Times New Roman"/>
        </w:rPr>
      </w:pPr>
    </w:p>
    <w:p w14:paraId="6FB6D4BC" w14:textId="7C354566" w:rsidR="0037051E" w:rsidRDefault="0037051E" w:rsidP="0037051E">
      <w:pPr>
        <w:spacing w:after="0" w:line="240" w:lineRule="auto"/>
        <w:rPr>
          <w:rFonts w:ascii="Times New Roman" w:eastAsia="Calibri" w:hAnsi="Times New Roman" w:cs="Times New Roman"/>
        </w:rPr>
      </w:pPr>
      <w:r w:rsidRPr="0037051E">
        <w:rPr>
          <w:rFonts w:ascii="Times New Roman" w:eastAsia="Calibri" w:hAnsi="Times New Roman" w:cs="Times New Roman"/>
        </w:rPr>
        <w:t>Az egészségügyi szakembereknek és gondozóknak eldobható kesztyűt kell viselniük a</w:t>
      </w:r>
      <w:r>
        <w:rPr>
          <w:rFonts w:ascii="Times New Roman" w:eastAsia="Calibri" w:hAnsi="Times New Roman" w:cs="Times New Roman"/>
        </w:rPr>
        <w:t xml:space="preserve"> </w:t>
      </w:r>
      <w:r w:rsidRPr="0037051E">
        <w:rPr>
          <w:rFonts w:ascii="Times New Roman" w:eastAsia="Calibri" w:hAnsi="Times New Roman" w:cs="Times New Roman"/>
        </w:rPr>
        <w:t>buborékcsomagolás, illetve a kapszula kezelésekor.</w:t>
      </w:r>
      <w:r>
        <w:rPr>
          <w:rFonts w:ascii="Times New Roman" w:eastAsia="Calibri" w:hAnsi="Times New Roman" w:cs="Times New Roman"/>
        </w:rPr>
        <w:t xml:space="preserve"> </w:t>
      </w:r>
      <w:r w:rsidRPr="0037051E">
        <w:rPr>
          <w:rFonts w:ascii="Times New Roman" w:eastAsia="Calibri" w:hAnsi="Times New Roman" w:cs="Times New Roman"/>
        </w:rPr>
        <w:t>Ezt követően a kesztyűt körültekintően kell levenni a bőrexpozíció elkerülése érdekében, majd</w:t>
      </w:r>
      <w:r>
        <w:rPr>
          <w:rFonts w:ascii="Times New Roman" w:eastAsia="Calibri" w:hAnsi="Times New Roman" w:cs="Times New Roman"/>
        </w:rPr>
        <w:t xml:space="preserve"> </w:t>
      </w:r>
      <w:r w:rsidRPr="0037051E">
        <w:rPr>
          <w:rFonts w:ascii="Times New Roman" w:eastAsia="Calibri" w:hAnsi="Times New Roman" w:cs="Times New Roman"/>
        </w:rPr>
        <w:t>lezárható műanyag polietilén zsákba kell helyezni</w:t>
      </w:r>
      <w:r w:rsidR="00D228B5">
        <w:rPr>
          <w:rFonts w:ascii="Times New Roman" w:eastAsia="Calibri" w:hAnsi="Times New Roman" w:cs="Times New Roman"/>
        </w:rPr>
        <w:t>,</w:t>
      </w:r>
      <w:r w:rsidRPr="0037051E">
        <w:rPr>
          <w:rFonts w:ascii="Times New Roman" w:eastAsia="Calibri" w:hAnsi="Times New Roman" w:cs="Times New Roman"/>
        </w:rPr>
        <w:t xml:space="preserve"> és hulladékként kell kezelni a helyi előírásoknak</w:t>
      </w:r>
      <w:r>
        <w:rPr>
          <w:rFonts w:ascii="Times New Roman" w:eastAsia="Calibri" w:hAnsi="Times New Roman" w:cs="Times New Roman"/>
        </w:rPr>
        <w:t xml:space="preserve"> </w:t>
      </w:r>
      <w:r w:rsidRPr="0037051E">
        <w:rPr>
          <w:rFonts w:ascii="Times New Roman" w:eastAsia="Calibri" w:hAnsi="Times New Roman" w:cs="Times New Roman"/>
        </w:rPr>
        <w:t>megfelelően. Ezután pedig szappannal és vízzel alaposan kezet kell mosni. A várandós vagy vélhetően</w:t>
      </w:r>
      <w:r w:rsidR="00B04154">
        <w:rPr>
          <w:rFonts w:ascii="Times New Roman" w:eastAsia="Calibri" w:hAnsi="Times New Roman" w:cs="Times New Roman"/>
        </w:rPr>
        <w:t xml:space="preserve"> </w:t>
      </w:r>
      <w:r w:rsidRPr="0037051E">
        <w:rPr>
          <w:rFonts w:ascii="Times New Roman" w:eastAsia="Calibri" w:hAnsi="Times New Roman" w:cs="Times New Roman"/>
        </w:rPr>
        <w:t>várandós nőknek tilos kezelniük a buborékcsomagolást vagy a kapszulát (lásd a 4.4</w:t>
      </w:r>
      <w:r w:rsidR="00B04154">
        <w:rPr>
          <w:rFonts w:ascii="Times New Roman" w:eastAsia="Calibri" w:hAnsi="Times New Roman" w:cs="Times New Roman"/>
        </w:rPr>
        <w:t> </w:t>
      </w:r>
      <w:r w:rsidRPr="0037051E">
        <w:rPr>
          <w:rFonts w:ascii="Times New Roman" w:eastAsia="Calibri" w:hAnsi="Times New Roman" w:cs="Times New Roman"/>
        </w:rPr>
        <w:t>pont).</w:t>
      </w:r>
    </w:p>
    <w:p w14:paraId="732C414B" w14:textId="77777777" w:rsidR="0037051E" w:rsidRPr="00956F16" w:rsidRDefault="0037051E" w:rsidP="0037051E">
      <w:pPr>
        <w:spacing w:after="0" w:line="240" w:lineRule="auto"/>
        <w:rPr>
          <w:rFonts w:ascii="Times New Roman" w:eastAsia="Calibri" w:hAnsi="Times New Roman" w:cs="Times New Roman"/>
        </w:rPr>
      </w:pPr>
    </w:p>
    <w:p w14:paraId="5B9D8C20" w14:textId="20C0D58A" w:rsidR="00956F16" w:rsidRDefault="00956F16" w:rsidP="00956F16">
      <w:pPr>
        <w:spacing w:after="0" w:line="240" w:lineRule="auto"/>
        <w:rPr>
          <w:rFonts w:ascii="Times New Roman" w:eastAsia="Calibri" w:hAnsi="Times New Roman" w:cs="Times New Roman"/>
        </w:rPr>
      </w:pPr>
      <w:r w:rsidRPr="00956F16">
        <w:rPr>
          <w:rFonts w:ascii="Times New Roman" w:eastAsia="Calibri" w:hAnsi="Times New Roman" w:cs="Times New Roman"/>
        </w:rPr>
        <w:t>Bármilyen fel nem használt gyógyszer, illetve hulladékanyagot megsemmisítését a gyógyszerekre vonatkozó előírások szerint kell végrehajtani.</w:t>
      </w:r>
    </w:p>
    <w:p w14:paraId="20CCD6B1" w14:textId="77777777" w:rsidR="00427F83" w:rsidRPr="00956F16" w:rsidRDefault="00427F83" w:rsidP="00956F16">
      <w:pPr>
        <w:spacing w:after="0" w:line="240" w:lineRule="auto"/>
        <w:rPr>
          <w:rFonts w:ascii="Times New Roman" w:eastAsia="Calibri" w:hAnsi="Times New Roman" w:cs="Times New Roman"/>
        </w:rPr>
      </w:pPr>
    </w:p>
    <w:p w14:paraId="5F9B2510" w14:textId="2457E77D" w:rsidR="00427F83" w:rsidRDefault="00427F83" w:rsidP="00427F83">
      <w:pPr>
        <w:pStyle w:val="Nincstrkz"/>
        <w:rPr>
          <w:rFonts w:cs="Times New Roman"/>
          <w:b/>
        </w:rPr>
      </w:pPr>
      <w:r w:rsidRPr="00BD2C19">
        <w:rPr>
          <w:rFonts w:cs="Times New Roman"/>
          <w:b/>
        </w:rPr>
        <w:t xml:space="preserve">Megjegyzés: </w:t>
      </w:r>
      <w:r w:rsidRPr="007E5A32">
        <w:rPr>
          <w:bCs/>
        </w:rPr>
        <w:sym w:font="Wingdings" w:char="F058"/>
      </w:r>
      <w:r w:rsidRPr="007E5A32">
        <w:rPr>
          <w:bCs/>
        </w:rPr>
        <w:sym w:font="Wingdings" w:char="F058"/>
      </w:r>
      <w:r w:rsidRPr="00684FFF">
        <w:rPr>
          <w:rFonts w:cs="Times New Roman"/>
          <w:b/>
        </w:rPr>
        <w:t xml:space="preserve"> (két kereszt jelzés)</w:t>
      </w:r>
    </w:p>
    <w:p w14:paraId="5DE9D105" w14:textId="77777777" w:rsidR="00427F83" w:rsidRDefault="00427F83" w:rsidP="00427F83">
      <w:pPr>
        <w:pStyle w:val="Nincstrkz"/>
        <w:rPr>
          <w:rFonts w:cs="Times New Roman"/>
          <w:b/>
        </w:rPr>
      </w:pPr>
      <w:r w:rsidRPr="00BD2C19">
        <w:rPr>
          <w:rFonts w:cs="Times New Roman"/>
          <w:b/>
        </w:rPr>
        <w:t>Osztályozás: II./2 csoport</w:t>
      </w:r>
    </w:p>
    <w:p w14:paraId="6E049078" w14:textId="77777777" w:rsidR="00427F83" w:rsidRDefault="00427F83" w:rsidP="00427F83">
      <w:pPr>
        <w:pStyle w:val="Nincstrkz"/>
      </w:pPr>
      <w:r w:rsidRPr="00BD2C19">
        <w:t>Korlátozott érvényű orvosi rendelvényhez kötött, szakorvosi/kórházi diagnózist követően folyamatos szakorvosi ellenőrzés mellett alkalmazható gyógyszer (Sz)</w:t>
      </w:r>
    </w:p>
    <w:p w14:paraId="46159911" w14:textId="77777777" w:rsidR="00956F16" w:rsidRPr="00956F16" w:rsidRDefault="00956F16" w:rsidP="00956F16">
      <w:pPr>
        <w:spacing w:after="0" w:line="240" w:lineRule="auto"/>
        <w:rPr>
          <w:rFonts w:ascii="Times New Roman" w:eastAsia="Calibri" w:hAnsi="Times New Roman" w:cs="Times New Roman"/>
        </w:rPr>
      </w:pPr>
    </w:p>
    <w:p w14:paraId="459DFB2A" w14:textId="77777777" w:rsidR="00956F16" w:rsidRPr="00956F16" w:rsidRDefault="00956F16" w:rsidP="00956F16">
      <w:pPr>
        <w:spacing w:after="0" w:line="240" w:lineRule="auto"/>
        <w:rPr>
          <w:rFonts w:ascii="Times New Roman" w:eastAsia="Calibri" w:hAnsi="Times New Roman" w:cs="Times New Roman"/>
        </w:rPr>
      </w:pPr>
    </w:p>
    <w:p w14:paraId="58B959DD" w14:textId="77777777" w:rsidR="00956F16" w:rsidRPr="00956F16" w:rsidRDefault="00956F16" w:rsidP="00956F16">
      <w:pPr>
        <w:keepNext/>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7.</w:t>
      </w:r>
      <w:r w:rsidRPr="00956F16">
        <w:rPr>
          <w:rFonts w:ascii="Times New Roman" w:eastAsia="Calibri" w:hAnsi="Times New Roman" w:cs="Times New Roman"/>
          <w:b/>
        </w:rPr>
        <w:tab/>
        <w:t>A FORGALOMBA HOZATALI ENGEDÉLY JOGOSULTJA</w:t>
      </w:r>
    </w:p>
    <w:p w14:paraId="59B96ACB" w14:textId="77777777" w:rsidR="00956F16" w:rsidRPr="00956F16" w:rsidRDefault="00956F16" w:rsidP="00956F16">
      <w:pPr>
        <w:keepNext/>
        <w:spacing w:after="0" w:line="240" w:lineRule="auto"/>
        <w:rPr>
          <w:rFonts w:ascii="Times New Roman" w:eastAsia="Calibri" w:hAnsi="Times New Roman" w:cs="Times New Roman"/>
        </w:rPr>
      </w:pPr>
    </w:p>
    <w:p w14:paraId="3942E316" w14:textId="77777777" w:rsidR="00956F16" w:rsidRPr="00441247" w:rsidRDefault="00956F16" w:rsidP="00956F16">
      <w:pPr>
        <w:keepNext/>
        <w:tabs>
          <w:tab w:val="left" w:pos="567"/>
        </w:tabs>
        <w:spacing w:after="0" w:line="260" w:lineRule="exact"/>
        <w:jc w:val="both"/>
        <w:rPr>
          <w:rFonts w:ascii="Times New Roman" w:eastAsia="Times New Roman" w:hAnsi="Times New Roman" w:cs="Times New Roman"/>
          <w:i/>
          <w:color w:val="000000"/>
          <w:szCs w:val="20"/>
          <w:lang w:val="pt-PT"/>
        </w:rPr>
      </w:pPr>
      <w:r w:rsidRPr="00441247">
        <w:rPr>
          <w:rFonts w:ascii="Times New Roman" w:eastAsia="Times New Roman" w:hAnsi="Times New Roman" w:cs="Times New Roman"/>
          <w:color w:val="000000"/>
          <w:szCs w:val="20"/>
          <w:lang w:val="pt-PT"/>
        </w:rPr>
        <w:t>AS GRINDEKS.</w:t>
      </w:r>
    </w:p>
    <w:p w14:paraId="560E87B3" w14:textId="77777777" w:rsidR="00956F16" w:rsidRPr="00956F16" w:rsidRDefault="00956F16" w:rsidP="00956F16">
      <w:pPr>
        <w:keepNext/>
        <w:tabs>
          <w:tab w:val="left" w:pos="567"/>
        </w:tabs>
        <w:autoSpaceDE w:val="0"/>
        <w:autoSpaceDN w:val="0"/>
        <w:adjustRightInd w:val="0"/>
        <w:spacing w:after="0" w:line="260" w:lineRule="exact"/>
        <w:rPr>
          <w:rFonts w:ascii="Times New Roman" w:eastAsia="Times New Roman" w:hAnsi="Times New Roman" w:cs="Times New Roman"/>
          <w:color w:val="000000"/>
          <w:szCs w:val="20"/>
          <w:lang w:val="lv-LV" w:eastAsia="lv-LV"/>
        </w:rPr>
      </w:pPr>
      <w:r w:rsidRPr="00956F16">
        <w:rPr>
          <w:rFonts w:ascii="Times New Roman" w:eastAsia="Times New Roman" w:hAnsi="Times New Roman" w:cs="Times New Roman"/>
          <w:color w:val="000000"/>
          <w:szCs w:val="20"/>
          <w:lang w:val="lv-LV" w:eastAsia="lv-LV"/>
        </w:rPr>
        <w:t xml:space="preserve">Krustpils iela 53, </w:t>
      </w:r>
    </w:p>
    <w:p w14:paraId="0678CD86" w14:textId="77777777" w:rsidR="00956F16" w:rsidRPr="00956F16" w:rsidRDefault="00956F16" w:rsidP="00956F16">
      <w:pPr>
        <w:keepNext/>
        <w:tabs>
          <w:tab w:val="left" w:pos="567"/>
        </w:tabs>
        <w:autoSpaceDE w:val="0"/>
        <w:autoSpaceDN w:val="0"/>
        <w:adjustRightInd w:val="0"/>
        <w:spacing w:after="0" w:line="260" w:lineRule="exact"/>
        <w:rPr>
          <w:rFonts w:ascii="Times New Roman" w:eastAsia="Times New Roman" w:hAnsi="Times New Roman" w:cs="Times New Roman"/>
          <w:color w:val="000000"/>
          <w:szCs w:val="20"/>
          <w:lang w:val="lv-LV" w:eastAsia="lv-LV"/>
        </w:rPr>
      </w:pPr>
      <w:r w:rsidRPr="00956F16">
        <w:rPr>
          <w:rFonts w:ascii="Times New Roman" w:eastAsia="Times New Roman" w:hAnsi="Times New Roman" w:cs="Times New Roman"/>
          <w:color w:val="000000"/>
          <w:szCs w:val="20"/>
          <w:lang w:val="lv-LV" w:eastAsia="lv-LV"/>
        </w:rPr>
        <w:t>Rīga, LV-1057</w:t>
      </w:r>
    </w:p>
    <w:p w14:paraId="63714BF1" w14:textId="77777777" w:rsidR="00956F16" w:rsidRPr="002B4A44" w:rsidRDefault="00956F16" w:rsidP="00956F16">
      <w:pPr>
        <w:tabs>
          <w:tab w:val="left" w:pos="567"/>
        </w:tabs>
        <w:autoSpaceDE w:val="0"/>
        <w:autoSpaceDN w:val="0"/>
        <w:adjustRightInd w:val="0"/>
        <w:spacing w:after="0" w:line="260" w:lineRule="exact"/>
        <w:rPr>
          <w:rFonts w:ascii="Times New Roman" w:eastAsia="Times New Roman" w:hAnsi="Times New Roman" w:cs="Times New Roman"/>
          <w:szCs w:val="20"/>
          <w:lang w:val="pt-PT"/>
        </w:rPr>
      </w:pPr>
      <w:r w:rsidRPr="00956F16">
        <w:rPr>
          <w:rFonts w:ascii="Times New Roman" w:eastAsia="Times New Roman" w:hAnsi="Times New Roman" w:cs="Times New Roman"/>
          <w:color w:val="000000"/>
          <w:szCs w:val="20"/>
          <w:lang w:val="lv-LV" w:eastAsia="lv-LV"/>
        </w:rPr>
        <w:t>Lettország</w:t>
      </w:r>
    </w:p>
    <w:p w14:paraId="1A36FE4D" w14:textId="501DFCE0" w:rsidR="00A14E4C" w:rsidRDefault="00A14E4C" w:rsidP="00956F16">
      <w:pPr>
        <w:spacing w:after="0" w:line="240" w:lineRule="auto"/>
        <w:rPr>
          <w:rFonts w:ascii="Times New Roman" w:eastAsia="Calibri" w:hAnsi="Times New Roman" w:cs="Times New Roman"/>
        </w:rPr>
      </w:pPr>
    </w:p>
    <w:p w14:paraId="297AF3FE" w14:textId="77777777" w:rsidR="00A14E4C" w:rsidRPr="00956F16" w:rsidRDefault="00A14E4C" w:rsidP="00956F16">
      <w:pPr>
        <w:spacing w:after="0" w:line="240" w:lineRule="auto"/>
        <w:rPr>
          <w:rFonts w:ascii="Times New Roman" w:eastAsia="Calibri" w:hAnsi="Times New Roman" w:cs="Times New Roman"/>
        </w:rPr>
      </w:pPr>
    </w:p>
    <w:p w14:paraId="734ECD88" w14:textId="1376D0B8" w:rsidR="00956F16" w:rsidRDefault="00956F16" w:rsidP="00956F16">
      <w:pPr>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8.</w:t>
      </w:r>
      <w:r w:rsidRPr="00956F16">
        <w:rPr>
          <w:rFonts w:ascii="Times New Roman" w:eastAsia="Calibri" w:hAnsi="Times New Roman" w:cs="Times New Roman"/>
          <w:b/>
        </w:rPr>
        <w:tab/>
        <w:t>A FORGALOMBA HOZATALI ENGEDÉLY SZÁMA(I)</w:t>
      </w:r>
    </w:p>
    <w:p w14:paraId="5031EA40" w14:textId="4F647F2B" w:rsidR="005228CF" w:rsidRDefault="005228CF" w:rsidP="00956F16">
      <w:pPr>
        <w:tabs>
          <w:tab w:val="left" w:pos="567"/>
        </w:tabs>
        <w:spacing w:after="0" w:line="240" w:lineRule="auto"/>
        <w:rPr>
          <w:rFonts w:ascii="Times New Roman" w:eastAsia="Calibri" w:hAnsi="Times New Roman" w:cs="Times New Roman"/>
          <w:b/>
        </w:rPr>
      </w:pPr>
    </w:p>
    <w:p w14:paraId="6ADCF209" w14:textId="24FA42E8" w:rsidR="005228CF" w:rsidRPr="007E5A32" w:rsidRDefault="005228CF" w:rsidP="00441247">
      <w:pPr>
        <w:keepNext/>
        <w:spacing w:after="0" w:line="240" w:lineRule="auto"/>
        <w:rPr>
          <w:rFonts w:ascii="Times New Roman" w:hAnsi="Times New Roman" w:cs="Times New Roman"/>
          <w:u w:val="single"/>
        </w:rPr>
      </w:pPr>
      <w:r w:rsidRPr="007E5A32">
        <w:rPr>
          <w:rFonts w:ascii="Times New Roman" w:hAnsi="Times New Roman" w:cs="Times New Roman"/>
          <w:u w:val="single"/>
        </w:rPr>
        <w:t xml:space="preserve">Lenalidomide Grindeks 2,5 mg kemény kapszula </w:t>
      </w:r>
    </w:p>
    <w:p w14:paraId="2208E93A" w14:textId="11C6E64B" w:rsidR="005228CF" w:rsidRPr="00D56C93" w:rsidRDefault="005228CF" w:rsidP="00441247">
      <w:pPr>
        <w:keepNext/>
        <w:spacing w:after="0" w:line="240" w:lineRule="auto"/>
        <w:rPr>
          <w:rFonts w:ascii="Times New Roman" w:hAnsi="Times New Roman" w:cs="Times New Roman"/>
        </w:rPr>
      </w:pPr>
      <w:r w:rsidRPr="00D56C93">
        <w:rPr>
          <w:rFonts w:ascii="Times New Roman" w:hAnsi="Times New Roman" w:cs="Times New Roman"/>
        </w:rPr>
        <w:t>OGYI-T-23591/01</w:t>
      </w:r>
      <w:r w:rsidR="0000135A">
        <w:rPr>
          <w:rFonts w:ascii="Times New Roman" w:hAnsi="Times New Roman" w:cs="Times New Roman"/>
        </w:rPr>
        <w:tab/>
      </w:r>
      <w:r w:rsidRPr="00D56C93">
        <w:rPr>
          <w:rFonts w:ascii="Times New Roman" w:hAnsi="Times New Roman" w:cs="Times New Roman"/>
        </w:rPr>
        <w:t>7</w:t>
      </w:r>
      <w:r w:rsidR="0000135A">
        <w:rPr>
          <w:rFonts w:ascii="Times New Roman" w:hAnsi="Times New Roman" w:cs="Times New Roman"/>
        </w:rPr>
        <w:t>×</w:t>
      </w:r>
      <w:r w:rsidR="00C3253E">
        <w:rPr>
          <w:rFonts w:ascii="Times New Roman" w:hAnsi="Times New Roman" w:cs="Times New Roman"/>
        </w:rPr>
        <w:tab/>
      </w:r>
      <w:r w:rsidR="00C3253E" w:rsidRPr="00D56C93">
        <w:rPr>
          <w:rFonts w:ascii="Times New Roman" w:hAnsi="Times New Roman" w:cs="Times New Roman"/>
        </w:rPr>
        <w:t>Al//PVC/Aclar/PVC buborékcsomagolás</w:t>
      </w:r>
    </w:p>
    <w:p w14:paraId="4AE81D8D" w14:textId="4ECF84B2" w:rsidR="005228CF" w:rsidRPr="00D56C93" w:rsidRDefault="005228CF" w:rsidP="00441247">
      <w:pPr>
        <w:spacing w:after="0" w:line="240" w:lineRule="auto"/>
        <w:rPr>
          <w:rFonts w:ascii="Times New Roman" w:hAnsi="Times New Roman" w:cs="Times New Roman"/>
        </w:rPr>
      </w:pPr>
      <w:r w:rsidRPr="00D56C93">
        <w:rPr>
          <w:rFonts w:ascii="Times New Roman" w:hAnsi="Times New Roman" w:cs="Times New Roman"/>
        </w:rPr>
        <w:t>OGYI-T-23591/02</w:t>
      </w:r>
      <w:r w:rsidR="0000135A">
        <w:rPr>
          <w:rFonts w:ascii="Times New Roman" w:hAnsi="Times New Roman" w:cs="Times New Roman"/>
        </w:rPr>
        <w:tab/>
      </w:r>
      <w:r w:rsidRPr="00D56C93">
        <w:rPr>
          <w:rFonts w:ascii="Times New Roman" w:hAnsi="Times New Roman" w:cs="Times New Roman"/>
        </w:rPr>
        <w:t>21</w:t>
      </w:r>
      <w:r w:rsidR="0000135A">
        <w:rPr>
          <w:rFonts w:ascii="Times New Roman" w:hAnsi="Times New Roman" w:cs="Times New Roman"/>
        </w:rPr>
        <w:t>×</w:t>
      </w:r>
      <w:r w:rsidR="00C3253E">
        <w:rPr>
          <w:rFonts w:ascii="Times New Roman" w:hAnsi="Times New Roman" w:cs="Times New Roman"/>
        </w:rPr>
        <w:tab/>
      </w:r>
      <w:r w:rsidR="00C3253E" w:rsidRPr="00D56C93">
        <w:rPr>
          <w:rFonts w:ascii="Times New Roman" w:hAnsi="Times New Roman" w:cs="Times New Roman"/>
        </w:rPr>
        <w:t>Al//PVC/Aclar/PVC buborékcsomagolás</w:t>
      </w:r>
    </w:p>
    <w:p w14:paraId="08B3F725" w14:textId="77777777" w:rsidR="005228CF" w:rsidRPr="00D56C93" w:rsidRDefault="005228CF" w:rsidP="00441247">
      <w:pPr>
        <w:spacing w:after="0" w:line="240" w:lineRule="auto"/>
        <w:rPr>
          <w:rFonts w:ascii="Times New Roman" w:hAnsi="Times New Roman" w:cs="Times New Roman"/>
        </w:rPr>
      </w:pPr>
    </w:p>
    <w:p w14:paraId="24DC0D85" w14:textId="7A49BA8E" w:rsidR="005228CF" w:rsidRPr="007E5A32" w:rsidRDefault="005228CF" w:rsidP="00441247">
      <w:pPr>
        <w:keepNext/>
        <w:spacing w:after="0" w:line="240" w:lineRule="auto"/>
        <w:jc w:val="both"/>
        <w:rPr>
          <w:rFonts w:ascii="Times New Roman" w:hAnsi="Times New Roman" w:cs="Times New Roman"/>
          <w:u w:val="single"/>
        </w:rPr>
      </w:pPr>
      <w:r w:rsidRPr="007E5A32">
        <w:rPr>
          <w:rFonts w:ascii="Times New Roman" w:hAnsi="Times New Roman" w:cs="Times New Roman"/>
          <w:u w:val="single"/>
        </w:rPr>
        <w:t xml:space="preserve">Lenalidomide Grindeks 5 mg kemény </w:t>
      </w:r>
      <w:r w:rsidR="00C95E79" w:rsidRPr="007E5A32">
        <w:rPr>
          <w:rFonts w:ascii="Times New Roman" w:hAnsi="Times New Roman" w:cs="Times New Roman"/>
          <w:u w:val="single"/>
        </w:rPr>
        <w:t>kapszula</w:t>
      </w:r>
    </w:p>
    <w:p w14:paraId="68A3DFE6" w14:textId="4DA15AF4" w:rsidR="005228CF" w:rsidRPr="00D56C93" w:rsidRDefault="005228CF" w:rsidP="00441247">
      <w:pPr>
        <w:keepNext/>
        <w:spacing w:after="0" w:line="240" w:lineRule="auto"/>
        <w:rPr>
          <w:rFonts w:ascii="Times New Roman" w:hAnsi="Times New Roman" w:cs="Times New Roman"/>
        </w:rPr>
      </w:pPr>
      <w:r w:rsidRPr="00D56C93">
        <w:rPr>
          <w:rFonts w:ascii="Times New Roman" w:hAnsi="Times New Roman" w:cs="Times New Roman"/>
        </w:rPr>
        <w:t>OGYI-T-23591/03</w:t>
      </w:r>
      <w:r w:rsidR="0000135A">
        <w:rPr>
          <w:rFonts w:ascii="Times New Roman" w:hAnsi="Times New Roman" w:cs="Times New Roman"/>
        </w:rPr>
        <w:tab/>
      </w:r>
      <w:r w:rsidR="0000135A" w:rsidRPr="00D56C93">
        <w:rPr>
          <w:rFonts w:ascii="Times New Roman" w:hAnsi="Times New Roman" w:cs="Times New Roman"/>
        </w:rPr>
        <w:t>7</w:t>
      </w:r>
      <w:r w:rsidR="0000135A">
        <w:rPr>
          <w:rFonts w:ascii="Times New Roman" w:hAnsi="Times New Roman" w:cs="Times New Roman"/>
        </w:rPr>
        <w:t>×</w:t>
      </w:r>
      <w:r w:rsidR="00C3253E">
        <w:rPr>
          <w:rFonts w:ascii="Times New Roman" w:hAnsi="Times New Roman" w:cs="Times New Roman"/>
        </w:rPr>
        <w:tab/>
      </w:r>
      <w:r w:rsidR="00C3253E" w:rsidRPr="00D56C93">
        <w:rPr>
          <w:rFonts w:ascii="Times New Roman" w:hAnsi="Times New Roman" w:cs="Times New Roman"/>
        </w:rPr>
        <w:t>Al//PVC/Aclar/PVC buborékcsomagolás</w:t>
      </w:r>
    </w:p>
    <w:p w14:paraId="71D15823" w14:textId="7D1DF3CB" w:rsidR="005228CF" w:rsidRPr="00D56C93" w:rsidRDefault="005228CF" w:rsidP="00441247">
      <w:pPr>
        <w:spacing w:after="0" w:line="240" w:lineRule="auto"/>
        <w:rPr>
          <w:rFonts w:ascii="Times New Roman" w:hAnsi="Times New Roman" w:cs="Times New Roman"/>
        </w:rPr>
      </w:pPr>
      <w:r w:rsidRPr="00D56C93">
        <w:rPr>
          <w:rFonts w:ascii="Times New Roman" w:hAnsi="Times New Roman" w:cs="Times New Roman"/>
        </w:rPr>
        <w:t>OGYI-T-23591/04 </w:t>
      </w:r>
      <w:r w:rsidR="0000135A">
        <w:rPr>
          <w:rFonts w:ascii="Times New Roman" w:hAnsi="Times New Roman" w:cs="Times New Roman"/>
        </w:rPr>
        <w:tab/>
      </w:r>
      <w:r w:rsidR="0000135A" w:rsidRPr="00D56C93">
        <w:rPr>
          <w:rFonts w:ascii="Times New Roman" w:hAnsi="Times New Roman" w:cs="Times New Roman"/>
        </w:rPr>
        <w:t>21</w:t>
      </w:r>
      <w:r w:rsidR="0000135A">
        <w:rPr>
          <w:rFonts w:ascii="Times New Roman" w:hAnsi="Times New Roman" w:cs="Times New Roman"/>
        </w:rPr>
        <w:t>×</w:t>
      </w:r>
      <w:r w:rsidR="00C3253E">
        <w:rPr>
          <w:rFonts w:ascii="Times New Roman" w:hAnsi="Times New Roman" w:cs="Times New Roman"/>
        </w:rPr>
        <w:tab/>
      </w:r>
      <w:r w:rsidR="00C3253E" w:rsidRPr="00D56C93">
        <w:rPr>
          <w:rFonts w:ascii="Times New Roman" w:hAnsi="Times New Roman" w:cs="Times New Roman"/>
        </w:rPr>
        <w:t>Al//PVC/Aclar/PVC buborékcsomagolás</w:t>
      </w:r>
    </w:p>
    <w:p w14:paraId="5053F789" w14:textId="77777777" w:rsidR="00D56C93" w:rsidRPr="00D56C93" w:rsidRDefault="00D56C93" w:rsidP="00441247">
      <w:pPr>
        <w:spacing w:after="0" w:line="240" w:lineRule="auto"/>
        <w:jc w:val="both"/>
        <w:rPr>
          <w:rFonts w:ascii="Times New Roman" w:hAnsi="Times New Roman" w:cs="Times New Roman"/>
        </w:rPr>
      </w:pPr>
    </w:p>
    <w:p w14:paraId="47B8E89B" w14:textId="3DECFE44" w:rsidR="005228CF" w:rsidRPr="007E5A32" w:rsidRDefault="005228CF" w:rsidP="00441247">
      <w:pPr>
        <w:keepNext/>
        <w:spacing w:after="0" w:line="240" w:lineRule="auto"/>
        <w:jc w:val="both"/>
        <w:rPr>
          <w:rFonts w:ascii="Times New Roman" w:hAnsi="Times New Roman" w:cs="Times New Roman"/>
          <w:u w:val="single"/>
        </w:rPr>
      </w:pPr>
      <w:r w:rsidRPr="007E5A32">
        <w:rPr>
          <w:rFonts w:ascii="Times New Roman" w:hAnsi="Times New Roman" w:cs="Times New Roman"/>
          <w:u w:val="single"/>
        </w:rPr>
        <w:t xml:space="preserve">Lenalidomide Grindeks 7,5 mg kemény kapszula </w:t>
      </w:r>
    </w:p>
    <w:p w14:paraId="3C5CDDD5" w14:textId="5B586D37" w:rsidR="005228CF" w:rsidRPr="00D56C93" w:rsidRDefault="005228CF" w:rsidP="00441247">
      <w:pPr>
        <w:keepNext/>
        <w:spacing w:after="0" w:line="240" w:lineRule="auto"/>
        <w:rPr>
          <w:rFonts w:ascii="Times New Roman" w:hAnsi="Times New Roman" w:cs="Times New Roman"/>
        </w:rPr>
      </w:pPr>
      <w:r w:rsidRPr="00D56C93">
        <w:rPr>
          <w:rFonts w:ascii="Times New Roman" w:hAnsi="Times New Roman" w:cs="Times New Roman"/>
        </w:rPr>
        <w:t>OGYI-T-23591/05</w:t>
      </w:r>
      <w:r w:rsidR="0000135A">
        <w:rPr>
          <w:rFonts w:ascii="Times New Roman" w:hAnsi="Times New Roman" w:cs="Times New Roman"/>
        </w:rPr>
        <w:tab/>
      </w:r>
      <w:r w:rsidR="0000135A" w:rsidRPr="00D56C93">
        <w:rPr>
          <w:rFonts w:ascii="Times New Roman" w:hAnsi="Times New Roman" w:cs="Times New Roman"/>
        </w:rPr>
        <w:t>7</w:t>
      </w:r>
      <w:r w:rsidR="00C3253E">
        <w:rPr>
          <w:rFonts w:ascii="Times New Roman" w:hAnsi="Times New Roman" w:cs="Times New Roman"/>
        </w:rPr>
        <w:t>×</w:t>
      </w:r>
      <w:r w:rsidR="00C3253E">
        <w:rPr>
          <w:rFonts w:ascii="Times New Roman" w:hAnsi="Times New Roman" w:cs="Times New Roman"/>
        </w:rPr>
        <w:tab/>
        <w:t>Al//PVC/Aclar/PVC buborékcsomagolás</w:t>
      </w:r>
    </w:p>
    <w:p w14:paraId="51B70AD8" w14:textId="6A62C9C5" w:rsidR="005228CF" w:rsidRPr="00D56C93" w:rsidRDefault="005228CF" w:rsidP="00441247">
      <w:pPr>
        <w:spacing w:after="0" w:line="240" w:lineRule="auto"/>
        <w:rPr>
          <w:rFonts w:ascii="Times New Roman" w:hAnsi="Times New Roman" w:cs="Times New Roman"/>
        </w:rPr>
      </w:pPr>
      <w:r w:rsidRPr="00D56C93">
        <w:rPr>
          <w:rFonts w:ascii="Times New Roman" w:hAnsi="Times New Roman" w:cs="Times New Roman"/>
        </w:rPr>
        <w:t>OGYI-T-23591/06</w:t>
      </w:r>
      <w:r w:rsidR="0000135A">
        <w:rPr>
          <w:rFonts w:ascii="Times New Roman" w:hAnsi="Times New Roman" w:cs="Times New Roman"/>
        </w:rPr>
        <w:tab/>
      </w:r>
      <w:r w:rsidR="0000135A" w:rsidRPr="00D56C93">
        <w:rPr>
          <w:rFonts w:ascii="Times New Roman" w:hAnsi="Times New Roman" w:cs="Times New Roman"/>
        </w:rPr>
        <w:t>21</w:t>
      </w:r>
      <w:r w:rsidR="00C3253E">
        <w:rPr>
          <w:rFonts w:ascii="Times New Roman" w:hAnsi="Times New Roman" w:cs="Times New Roman"/>
        </w:rPr>
        <w:t>×</w:t>
      </w:r>
      <w:r w:rsidR="00C3253E">
        <w:rPr>
          <w:rFonts w:ascii="Times New Roman" w:hAnsi="Times New Roman" w:cs="Times New Roman"/>
        </w:rPr>
        <w:tab/>
        <w:t>Al//PVC/Aclar/PVC buborékcsomagolás</w:t>
      </w:r>
    </w:p>
    <w:p w14:paraId="642CAF10" w14:textId="77777777" w:rsidR="00A14E4C" w:rsidRPr="00D56C93" w:rsidRDefault="00A14E4C">
      <w:pPr>
        <w:tabs>
          <w:tab w:val="left" w:pos="567"/>
        </w:tabs>
        <w:spacing w:after="0" w:line="240" w:lineRule="auto"/>
        <w:rPr>
          <w:rFonts w:ascii="Times New Roman" w:eastAsia="Calibri" w:hAnsi="Times New Roman" w:cs="Times New Roman"/>
          <w:b/>
        </w:rPr>
      </w:pPr>
    </w:p>
    <w:p w14:paraId="0D0C891A" w14:textId="28EA2900" w:rsidR="00A14E4C" w:rsidRPr="007E5A32" w:rsidRDefault="00A14E4C" w:rsidP="00441247">
      <w:pPr>
        <w:keepNext/>
        <w:spacing w:after="0" w:line="240" w:lineRule="auto"/>
        <w:jc w:val="both"/>
        <w:rPr>
          <w:rFonts w:ascii="Times New Roman" w:hAnsi="Times New Roman" w:cs="Times New Roman"/>
          <w:u w:val="single"/>
        </w:rPr>
      </w:pPr>
      <w:r w:rsidRPr="007E5A32">
        <w:rPr>
          <w:rFonts w:ascii="Times New Roman" w:hAnsi="Times New Roman" w:cs="Times New Roman"/>
          <w:u w:val="single"/>
        </w:rPr>
        <w:t xml:space="preserve">Lenalidomide Grindeks 10 mg kemény </w:t>
      </w:r>
      <w:r w:rsidR="00C95E79" w:rsidRPr="007E5A32">
        <w:rPr>
          <w:rFonts w:ascii="Times New Roman" w:hAnsi="Times New Roman" w:cs="Times New Roman"/>
          <w:u w:val="single"/>
        </w:rPr>
        <w:t>kapszula</w:t>
      </w:r>
    </w:p>
    <w:p w14:paraId="7A62D9CE" w14:textId="6AE36EE5" w:rsidR="00A14E4C" w:rsidRPr="00D56C93" w:rsidRDefault="00A14E4C" w:rsidP="00441247">
      <w:pPr>
        <w:keepNext/>
        <w:spacing w:after="0" w:line="240" w:lineRule="auto"/>
        <w:rPr>
          <w:rFonts w:ascii="Times New Roman" w:hAnsi="Times New Roman" w:cs="Times New Roman"/>
        </w:rPr>
      </w:pPr>
      <w:r w:rsidRPr="00D56C93">
        <w:rPr>
          <w:rFonts w:ascii="Times New Roman" w:hAnsi="Times New Roman" w:cs="Times New Roman"/>
        </w:rPr>
        <w:t>OGYI-T-23591/07</w:t>
      </w:r>
      <w:r w:rsidR="0000135A">
        <w:rPr>
          <w:rFonts w:ascii="Times New Roman" w:hAnsi="Times New Roman" w:cs="Times New Roman"/>
        </w:rPr>
        <w:tab/>
      </w:r>
      <w:r w:rsidR="0000135A" w:rsidRPr="00D56C93">
        <w:rPr>
          <w:rFonts w:ascii="Times New Roman" w:hAnsi="Times New Roman" w:cs="Times New Roman"/>
        </w:rPr>
        <w:t>7</w:t>
      </w:r>
      <w:r w:rsidR="00C3253E">
        <w:rPr>
          <w:rFonts w:ascii="Times New Roman" w:hAnsi="Times New Roman" w:cs="Times New Roman"/>
        </w:rPr>
        <w:t>×</w:t>
      </w:r>
      <w:r w:rsidR="00C3253E">
        <w:rPr>
          <w:rFonts w:ascii="Times New Roman" w:hAnsi="Times New Roman" w:cs="Times New Roman"/>
        </w:rPr>
        <w:tab/>
        <w:t>Al//PVC/Aclar/PVC buborékcsomagolás</w:t>
      </w:r>
    </w:p>
    <w:p w14:paraId="3D4AB131" w14:textId="32222959" w:rsidR="00A14E4C" w:rsidRPr="00D56C93" w:rsidRDefault="00A14E4C" w:rsidP="00441247">
      <w:pPr>
        <w:spacing w:after="0" w:line="240" w:lineRule="auto"/>
        <w:rPr>
          <w:rFonts w:ascii="Times New Roman" w:hAnsi="Times New Roman" w:cs="Times New Roman"/>
        </w:rPr>
      </w:pPr>
      <w:r w:rsidRPr="00D56C93">
        <w:rPr>
          <w:rFonts w:ascii="Times New Roman" w:hAnsi="Times New Roman" w:cs="Times New Roman"/>
        </w:rPr>
        <w:t>OGYI-T-23591/08</w:t>
      </w:r>
      <w:r w:rsidR="0000135A">
        <w:rPr>
          <w:rFonts w:ascii="Times New Roman" w:hAnsi="Times New Roman" w:cs="Times New Roman"/>
        </w:rPr>
        <w:tab/>
      </w:r>
      <w:r w:rsidR="0000135A" w:rsidRPr="00D56C93">
        <w:rPr>
          <w:rFonts w:ascii="Times New Roman" w:hAnsi="Times New Roman" w:cs="Times New Roman"/>
        </w:rPr>
        <w:t>21</w:t>
      </w:r>
      <w:r w:rsidR="00C3253E">
        <w:rPr>
          <w:rFonts w:ascii="Times New Roman" w:hAnsi="Times New Roman" w:cs="Times New Roman"/>
        </w:rPr>
        <w:t>×</w:t>
      </w:r>
      <w:r w:rsidR="00C3253E">
        <w:rPr>
          <w:rFonts w:ascii="Times New Roman" w:hAnsi="Times New Roman" w:cs="Times New Roman"/>
        </w:rPr>
        <w:tab/>
        <w:t>Al//PVC/Aclar/PVC buborékcsomagolás</w:t>
      </w:r>
    </w:p>
    <w:p w14:paraId="23E903AE" w14:textId="77777777" w:rsidR="00A14E4C" w:rsidRPr="00D56C93" w:rsidRDefault="00A14E4C" w:rsidP="00441247">
      <w:pPr>
        <w:spacing w:after="0" w:line="240" w:lineRule="auto"/>
        <w:rPr>
          <w:rFonts w:ascii="Times New Roman" w:hAnsi="Times New Roman" w:cs="Times New Roman"/>
        </w:rPr>
      </w:pPr>
    </w:p>
    <w:p w14:paraId="327B11FB" w14:textId="6650B96C" w:rsidR="00A14E4C" w:rsidRPr="007E5A32" w:rsidRDefault="00A14E4C" w:rsidP="00441247">
      <w:pPr>
        <w:keepNext/>
        <w:spacing w:after="0" w:line="240" w:lineRule="auto"/>
        <w:rPr>
          <w:rFonts w:ascii="Times New Roman" w:hAnsi="Times New Roman" w:cs="Times New Roman"/>
          <w:u w:val="single"/>
        </w:rPr>
      </w:pPr>
      <w:r w:rsidRPr="007E5A32">
        <w:rPr>
          <w:rFonts w:ascii="Times New Roman" w:hAnsi="Times New Roman" w:cs="Times New Roman"/>
          <w:u w:val="single"/>
        </w:rPr>
        <w:t xml:space="preserve">Lenalidomide Grindeks 15 mg kemény kapszula </w:t>
      </w:r>
    </w:p>
    <w:p w14:paraId="5EEA7A42" w14:textId="6399135F" w:rsidR="00A14E4C" w:rsidRPr="00D56C93" w:rsidRDefault="00A14E4C" w:rsidP="00441247">
      <w:pPr>
        <w:keepNext/>
        <w:spacing w:after="0" w:line="240" w:lineRule="auto"/>
        <w:rPr>
          <w:rFonts w:ascii="Times New Roman" w:hAnsi="Times New Roman" w:cs="Times New Roman"/>
        </w:rPr>
      </w:pPr>
      <w:r w:rsidRPr="00D56C93">
        <w:rPr>
          <w:rFonts w:ascii="Times New Roman" w:hAnsi="Times New Roman" w:cs="Times New Roman"/>
        </w:rPr>
        <w:t>OGYI-T-23591/09 </w:t>
      </w:r>
      <w:r w:rsidR="0000135A">
        <w:rPr>
          <w:rFonts w:ascii="Times New Roman" w:hAnsi="Times New Roman" w:cs="Times New Roman"/>
        </w:rPr>
        <w:tab/>
      </w:r>
      <w:r w:rsidR="0000135A" w:rsidRPr="00D56C93">
        <w:rPr>
          <w:rFonts w:ascii="Times New Roman" w:hAnsi="Times New Roman" w:cs="Times New Roman"/>
        </w:rPr>
        <w:t>7</w:t>
      </w:r>
      <w:r w:rsidR="00C3253E">
        <w:rPr>
          <w:rFonts w:ascii="Times New Roman" w:hAnsi="Times New Roman" w:cs="Times New Roman"/>
        </w:rPr>
        <w:t>×</w:t>
      </w:r>
      <w:r w:rsidR="00C3253E">
        <w:rPr>
          <w:rFonts w:ascii="Times New Roman" w:hAnsi="Times New Roman" w:cs="Times New Roman"/>
        </w:rPr>
        <w:tab/>
        <w:t>Al//PVC/Aclar/PVC buborékcsomagolás</w:t>
      </w:r>
    </w:p>
    <w:p w14:paraId="5A06B456" w14:textId="02890DC4" w:rsidR="0000135A" w:rsidRDefault="00A14E4C" w:rsidP="00441247">
      <w:pPr>
        <w:spacing w:after="0" w:line="240" w:lineRule="auto"/>
        <w:rPr>
          <w:rFonts w:ascii="Times New Roman" w:hAnsi="Times New Roman" w:cs="Times New Roman"/>
        </w:rPr>
      </w:pPr>
      <w:r w:rsidRPr="00D56C93">
        <w:rPr>
          <w:rFonts w:ascii="Times New Roman" w:hAnsi="Times New Roman" w:cs="Times New Roman"/>
        </w:rPr>
        <w:t>OGYI-T-23591/10</w:t>
      </w:r>
      <w:r w:rsidR="0000135A">
        <w:rPr>
          <w:rFonts w:ascii="Times New Roman" w:hAnsi="Times New Roman" w:cs="Times New Roman"/>
        </w:rPr>
        <w:tab/>
      </w:r>
      <w:r w:rsidR="0000135A" w:rsidRPr="00D56C93">
        <w:rPr>
          <w:rFonts w:ascii="Times New Roman" w:hAnsi="Times New Roman" w:cs="Times New Roman"/>
        </w:rPr>
        <w:t>21</w:t>
      </w:r>
      <w:r w:rsidR="00C3253E">
        <w:rPr>
          <w:rFonts w:ascii="Times New Roman" w:hAnsi="Times New Roman" w:cs="Times New Roman"/>
        </w:rPr>
        <w:t>×</w:t>
      </w:r>
      <w:r w:rsidR="00C3253E">
        <w:rPr>
          <w:rFonts w:ascii="Times New Roman" w:hAnsi="Times New Roman" w:cs="Times New Roman"/>
        </w:rPr>
        <w:tab/>
        <w:t>Al//PVC/Aclar/PVC buborékcsomagolás</w:t>
      </w:r>
    </w:p>
    <w:p w14:paraId="0FA65036" w14:textId="77777777" w:rsidR="00A14E4C" w:rsidRPr="00D56C93" w:rsidRDefault="00A14E4C" w:rsidP="00441247">
      <w:pPr>
        <w:spacing w:after="0" w:line="240" w:lineRule="auto"/>
        <w:rPr>
          <w:rFonts w:ascii="Times New Roman" w:hAnsi="Times New Roman" w:cs="Times New Roman"/>
        </w:rPr>
      </w:pPr>
    </w:p>
    <w:p w14:paraId="47593741" w14:textId="7F134E65" w:rsidR="00A14E4C" w:rsidRPr="007E5A32" w:rsidRDefault="00A14E4C" w:rsidP="00441247">
      <w:pPr>
        <w:keepNext/>
        <w:spacing w:after="0" w:line="240" w:lineRule="auto"/>
        <w:rPr>
          <w:rFonts w:ascii="Times New Roman" w:hAnsi="Times New Roman" w:cs="Times New Roman"/>
          <w:u w:val="single"/>
        </w:rPr>
      </w:pPr>
      <w:r w:rsidRPr="007E5A32">
        <w:rPr>
          <w:rFonts w:ascii="Times New Roman" w:hAnsi="Times New Roman" w:cs="Times New Roman"/>
          <w:u w:val="single"/>
        </w:rPr>
        <w:t xml:space="preserve">Lenalidomide Grindeks 20 mg kemény kapszula </w:t>
      </w:r>
    </w:p>
    <w:p w14:paraId="279FCFAA" w14:textId="5EE1BB0B" w:rsidR="00A14E4C" w:rsidRPr="00D56C93" w:rsidRDefault="00A14E4C" w:rsidP="00441247">
      <w:pPr>
        <w:keepNext/>
        <w:spacing w:after="0" w:line="240" w:lineRule="auto"/>
        <w:rPr>
          <w:rFonts w:ascii="Times New Roman" w:hAnsi="Times New Roman" w:cs="Times New Roman"/>
        </w:rPr>
      </w:pPr>
      <w:r w:rsidRPr="00D56C93">
        <w:rPr>
          <w:rFonts w:ascii="Times New Roman" w:hAnsi="Times New Roman" w:cs="Times New Roman"/>
        </w:rPr>
        <w:t>OGYI-T-23591/11</w:t>
      </w:r>
      <w:r w:rsidR="0000135A">
        <w:rPr>
          <w:rFonts w:ascii="Times New Roman" w:hAnsi="Times New Roman" w:cs="Times New Roman"/>
        </w:rPr>
        <w:tab/>
      </w:r>
      <w:r w:rsidR="0000135A" w:rsidRPr="00D56C93">
        <w:rPr>
          <w:rFonts w:ascii="Times New Roman" w:hAnsi="Times New Roman" w:cs="Times New Roman"/>
        </w:rPr>
        <w:t>7</w:t>
      </w:r>
      <w:r w:rsidR="00C3253E">
        <w:rPr>
          <w:rFonts w:ascii="Times New Roman" w:hAnsi="Times New Roman" w:cs="Times New Roman"/>
        </w:rPr>
        <w:t>×</w:t>
      </w:r>
      <w:r w:rsidR="00C3253E">
        <w:rPr>
          <w:rFonts w:ascii="Times New Roman" w:hAnsi="Times New Roman" w:cs="Times New Roman"/>
        </w:rPr>
        <w:tab/>
        <w:t>Al//PVC/Aclar/PVC buborékcsomagolás</w:t>
      </w:r>
    </w:p>
    <w:p w14:paraId="38EE6614" w14:textId="14D18099" w:rsidR="00A14E4C" w:rsidRPr="00D56C93" w:rsidRDefault="00A14E4C" w:rsidP="00441247">
      <w:pPr>
        <w:spacing w:after="0" w:line="240" w:lineRule="auto"/>
        <w:rPr>
          <w:rFonts w:ascii="Times New Roman" w:hAnsi="Times New Roman" w:cs="Times New Roman"/>
        </w:rPr>
      </w:pPr>
      <w:r w:rsidRPr="00D56C93">
        <w:rPr>
          <w:rFonts w:ascii="Times New Roman" w:hAnsi="Times New Roman" w:cs="Times New Roman"/>
        </w:rPr>
        <w:t>OGYI-T-23591/12</w:t>
      </w:r>
      <w:r w:rsidR="0000135A">
        <w:rPr>
          <w:rFonts w:ascii="Times New Roman" w:hAnsi="Times New Roman" w:cs="Times New Roman"/>
        </w:rPr>
        <w:tab/>
      </w:r>
      <w:r w:rsidR="0000135A" w:rsidRPr="00D56C93">
        <w:rPr>
          <w:rFonts w:ascii="Times New Roman" w:hAnsi="Times New Roman" w:cs="Times New Roman"/>
        </w:rPr>
        <w:t>21</w:t>
      </w:r>
      <w:r w:rsidR="00C3253E">
        <w:rPr>
          <w:rFonts w:ascii="Times New Roman" w:hAnsi="Times New Roman" w:cs="Times New Roman"/>
        </w:rPr>
        <w:t>×</w:t>
      </w:r>
      <w:r w:rsidR="00C3253E">
        <w:rPr>
          <w:rFonts w:ascii="Times New Roman" w:hAnsi="Times New Roman" w:cs="Times New Roman"/>
        </w:rPr>
        <w:tab/>
        <w:t>Al//PVC/Aclar/PVC buborékcsomagolás</w:t>
      </w:r>
    </w:p>
    <w:p w14:paraId="1842AB75" w14:textId="77777777" w:rsidR="00A14E4C" w:rsidRPr="00D56C93" w:rsidRDefault="00A14E4C" w:rsidP="00441247">
      <w:pPr>
        <w:spacing w:after="0" w:line="240" w:lineRule="auto"/>
        <w:rPr>
          <w:rFonts w:ascii="Times New Roman" w:hAnsi="Times New Roman" w:cs="Times New Roman"/>
        </w:rPr>
      </w:pPr>
    </w:p>
    <w:p w14:paraId="4E2AA277" w14:textId="1815C854" w:rsidR="00A14E4C" w:rsidRPr="007E5A32" w:rsidRDefault="00A14E4C" w:rsidP="00441247">
      <w:pPr>
        <w:keepNext/>
        <w:spacing w:after="0" w:line="240" w:lineRule="auto"/>
        <w:rPr>
          <w:rFonts w:ascii="Times New Roman" w:hAnsi="Times New Roman" w:cs="Times New Roman"/>
          <w:u w:val="single"/>
        </w:rPr>
      </w:pPr>
      <w:r w:rsidRPr="007E5A32">
        <w:rPr>
          <w:rFonts w:ascii="Times New Roman" w:hAnsi="Times New Roman" w:cs="Times New Roman"/>
          <w:u w:val="single"/>
        </w:rPr>
        <w:t xml:space="preserve">Lenalidomide Grindeks 25 mg kemény kapszula </w:t>
      </w:r>
    </w:p>
    <w:p w14:paraId="38C9BA27" w14:textId="443F31C4" w:rsidR="00A14E4C" w:rsidRPr="00D56C93" w:rsidRDefault="00A14E4C" w:rsidP="00441247">
      <w:pPr>
        <w:keepNext/>
        <w:spacing w:after="0" w:line="240" w:lineRule="auto"/>
        <w:rPr>
          <w:rFonts w:ascii="Times New Roman" w:hAnsi="Times New Roman" w:cs="Times New Roman"/>
        </w:rPr>
      </w:pPr>
      <w:r w:rsidRPr="00D56C93">
        <w:rPr>
          <w:rFonts w:ascii="Times New Roman" w:hAnsi="Times New Roman" w:cs="Times New Roman"/>
        </w:rPr>
        <w:t>OGYI-T-23591/13</w:t>
      </w:r>
      <w:r w:rsidR="0000135A">
        <w:rPr>
          <w:rFonts w:ascii="Times New Roman" w:hAnsi="Times New Roman" w:cs="Times New Roman"/>
        </w:rPr>
        <w:tab/>
      </w:r>
      <w:r w:rsidR="0000135A" w:rsidRPr="00D56C93">
        <w:rPr>
          <w:rFonts w:ascii="Times New Roman" w:hAnsi="Times New Roman" w:cs="Times New Roman"/>
        </w:rPr>
        <w:t>7</w:t>
      </w:r>
      <w:r w:rsidR="00C3253E">
        <w:rPr>
          <w:rFonts w:ascii="Times New Roman" w:hAnsi="Times New Roman" w:cs="Times New Roman"/>
        </w:rPr>
        <w:t>×</w:t>
      </w:r>
      <w:r w:rsidR="00C3253E">
        <w:rPr>
          <w:rFonts w:ascii="Times New Roman" w:hAnsi="Times New Roman" w:cs="Times New Roman"/>
        </w:rPr>
        <w:tab/>
        <w:t>Al//PVC/Aclar/PVC buborékcsomagolás</w:t>
      </w:r>
    </w:p>
    <w:p w14:paraId="54C25E47" w14:textId="47651148" w:rsidR="0000135A" w:rsidRDefault="00A14E4C" w:rsidP="00441247">
      <w:pPr>
        <w:spacing w:after="0" w:line="240" w:lineRule="auto"/>
        <w:rPr>
          <w:rFonts w:ascii="Times New Roman" w:hAnsi="Times New Roman" w:cs="Times New Roman"/>
        </w:rPr>
      </w:pPr>
      <w:r w:rsidRPr="00D56C93">
        <w:rPr>
          <w:rFonts w:ascii="Times New Roman" w:hAnsi="Times New Roman" w:cs="Times New Roman"/>
        </w:rPr>
        <w:t>OGYI-T-23591/14</w:t>
      </w:r>
      <w:r w:rsidR="0000135A">
        <w:rPr>
          <w:rFonts w:ascii="Times New Roman" w:hAnsi="Times New Roman" w:cs="Times New Roman"/>
        </w:rPr>
        <w:tab/>
      </w:r>
      <w:r w:rsidR="0000135A" w:rsidRPr="00D56C93">
        <w:rPr>
          <w:rFonts w:ascii="Times New Roman" w:hAnsi="Times New Roman" w:cs="Times New Roman"/>
        </w:rPr>
        <w:t>21</w:t>
      </w:r>
      <w:r w:rsidR="00C3253E">
        <w:rPr>
          <w:rFonts w:ascii="Times New Roman" w:hAnsi="Times New Roman" w:cs="Times New Roman"/>
        </w:rPr>
        <w:t>×</w:t>
      </w:r>
      <w:r w:rsidR="00C3253E">
        <w:rPr>
          <w:rFonts w:ascii="Times New Roman" w:hAnsi="Times New Roman" w:cs="Times New Roman"/>
        </w:rPr>
        <w:tab/>
        <w:t>Al//PVC/Aclar/PVC buborékcsomagolás</w:t>
      </w:r>
    </w:p>
    <w:p w14:paraId="2DF74655" w14:textId="6D198AFE" w:rsidR="00A14E4C" w:rsidRPr="00D56C93" w:rsidRDefault="00A14E4C" w:rsidP="00441247">
      <w:pPr>
        <w:spacing w:after="0" w:line="240" w:lineRule="auto"/>
        <w:rPr>
          <w:rFonts w:ascii="Times New Roman" w:hAnsi="Times New Roman" w:cs="Times New Roman"/>
        </w:rPr>
      </w:pPr>
    </w:p>
    <w:p w14:paraId="147ABD7E" w14:textId="77777777" w:rsidR="00956F16" w:rsidRPr="00956F16" w:rsidRDefault="00956F16" w:rsidP="00956F16">
      <w:pPr>
        <w:spacing w:after="0" w:line="240" w:lineRule="auto"/>
        <w:rPr>
          <w:rFonts w:ascii="Times New Roman" w:eastAsia="Calibri" w:hAnsi="Times New Roman" w:cs="Times New Roman"/>
        </w:rPr>
      </w:pPr>
    </w:p>
    <w:p w14:paraId="43C44990" w14:textId="77777777" w:rsidR="00956F16" w:rsidRPr="00956F16" w:rsidRDefault="00956F16" w:rsidP="00956F16">
      <w:pPr>
        <w:tabs>
          <w:tab w:val="left" w:pos="567"/>
        </w:tabs>
        <w:spacing w:after="0" w:line="240" w:lineRule="auto"/>
        <w:ind w:left="567" w:hanging="567"/>
        <w:rPr>
          <w:rFonts w:ascii="Times New Roman" w:eastAsia="Calibri" w:hAnsi="Times New Roman" w:cs="Times New Roman"/>
          <w:b/>
        </w:rPr>
      </w:pPr>
      <w:r w:rsidRPr="00956F16">
        <w:rPr>
          <w:rFonts w:ascii="Times New Roman" w:eastAsia="Calibri" w:hAnsi="Times New Roman" w:cs="Times New Roman"/>
          <w:b/>
        </w:rPr>
        <w:lastRenderedPageBreak/>
        <w:t>9.</w:t>
      </w:r>
      <w:r w:rsidRPr="00956F16">
        <w:rPr>
          <w:rFonts w:ascii="Times New Roman" w:eastAsia="Calibri" w:hAnsi="Times New Roman" w:cs="Times New Roman"/>
          <w:b/>
        </w:rPr>
        <w:tab/>
        <w:t>A FORGALOMBA HOZATALI ENGEDÉLY ELSŐ KIADÁSÁNAK/ MEGÚJÍTÁSÁNAK DÁTUMA</w:t>
      </w:r>
    </w:p>
    <w:p w14:paraId="5C46FB64" w14:textId="77777777" w:rsidR="00956F16" w:rsidRPr="00956F16" w:rsidRDefault="00956F16" w:rsidP="00956F16">
      <w:pPr>
        <w:spacing w:after="0" w:line="240" w:lineRule="auto"/>
        <w:rPr>
          <w:rFonts w:ascii="Times New Roman" w:eastAsia="Calibri" w:hAnsi="Times New Roman" w:cs="Times New Roman"/>
        </w:rPr>
      </w:pPr>
    </w:p>
    <w:p w14:paraId="2A27229E" w14:textId="705229BF" w:rsidR="00956F16" w:rsidRDefault="00956F16" w:rsidP="00956F16">
      <w:pPr>
        <w:spacing w:after="0" w:line="240" w:lineRule="auto"/>
        <w:rPr>
          <w:rFonts w:ascii="Times New Roman" w:hAnsi="Times New Roman" w:cs="Times New Roman"/>
        </w:rPr>
      </w:pPr>
      <w:r w:rsidRPr="00956F16">
        <w:rPr>
          <w:rFonts w:ascii="Times New Roman" w:eastAsia="Calibri" w:hAnsi="Times New Roman" w:cs="Times New Roman"/>
        </w:rPr>
        <w:t xml:space="preserve">A forgalomba hozatali engedély első kiadásának dátuma: </w:t>
      </w:r>
      <w:r w:rsidR="005228CF" w:rsidRPr="005228CF">
        <w:rPr>
          <w:rFonts w:ascii="Times New Roman" w:hAnsi="Times New Roman" w:cs="Times New Roman"/>
        </w:rPr>
        <w:t>2019. szeptember 23.</w:t>
      </w:r>
    </w:p>
    <w:p w14:paraId="21607106" w14:textId="42AB0F8F" w:rsidR="00765CD4" w:rsidRPr="005228CF" w:rsidRDefault="00765CD4" w:rsidP="00956F16">
      <w:pPr>
        <w:spacing w:after="0" w:line="240" w:lineRule="auto"/>
        <w:rPr>
          <w:rFonts w:ascii="Times New Roman" w:eastAsia="Calibri" w:hAnsi="Times New Roman" w:cs="Times New Roman"/>
        </w:rPr>
      </w:pPr>
      <w:r w:rsidRPr="00765CD4">
        <w:rPr>
          <w:rFonts w:ascii="Times New Roman" w:eastAsia="Calibri" w:hAnsi="Times New Roman" w:cs="Times New Roman"/>
        </w:rPr>
        <w:t>A forgalomba hozatali engedély legutóbbi megújításának dátuma:</w:t>
      </w:r>
      <w:r>
        <w:rPr>
          <w:rFonts w:ascii="Times New Roman" w:eastAsia="Calibri" w:hAnsi="Times New Roman" w:cs="Times New Roman"/>
        </w:rPr>
        <w:t xml:space="preserve"> 2024. </w:t>
      </w:r>
      <w:r w:rsidRPr="005228CF">
        <w:rPr>
          <w:rFonts w:ascii="Times New Roman" w:hAnsi="Times New Roman" w:cs="Times New Roman"/>
        </w:rPr>
        <w:t>szeptembe</w:t>
      </w:r>
      <w:r>
        <w:rPr>
          <w:rFonts w:ascii="Times New Roman" w:hAnsi="Times New Roman" w:cs="Times New Roman"/>
        </w:rPr>
        <w:t>r 30.</w:t>
      </w:r>
    </w:p>
    <w:p w14:paraId="3A67C178" w14:textId="77777777" w:rsidR="00956F16" w:rsidRPr="00956F16" w:rsidRDefault="00956F16" w:rsidP="00956F16">
      <w:pPr>
        <w:spacing w:after="0" w:line="240" w:lineRule="auto"/>
        <w:rPr>
          <w:rFonts w:ascii="Times New Roman" w:eastAsia="Calibri" w:hAnsi="Times New Roman" w:cs="Times New Roman"/>
        </w:rPr>
      </w:pPr>
    </w:p>
    <w:p w14:paraId="3975E9AB" w14:textId="77777777" w:rsidR="00956F16" w:rsidRPr="00956F16" w:rsidRDefault="00956F16" w:rsidP="00956F16">
      <w:pPr>
        <w:spacing w:after="0" w:line="240" w:lineRule="auto"/>
        <w:rPr>
          <w:rFonts w:ascii="Times New Roman" w:eastAsia="Calibri" w:hAnsi="Times New Roman" w:cs="Times New Roman"/>
        </w:rPr>
      </w:pPr>
    </w:p>
    <w:p w14:paraId="7B920D20" w14:textId="4B584102" w:rsidR="00956F16" w:rsidRDefault="00956F16" w:rsidP="00956F16">
      <w:pPr>
        <w:tabs>
          <w:tab w:val="left" w:pos="567"/>
        </w:tabs>
        <w:spacing w:after="0" w:line="240" w:lineRule="auto"/>
        <w:rPr>
          <w:rFonts w:ascii="Times New Roman" w:eastAsia="Calibri" w:hAnsi="Times New Roman" w:cs="Times New Roman"/>
          <w:b/>
        </w:rPr>
      </w:pPr>
      <w:r w:rsidRPr="00956F16">
        <w:rPr>
          <w:rFonts w:ascii="Times New Roman" w:eastAsia="Calibri" w:hAnsi="Times New Roman" w:cs="Times New Roman"/>
          <w:b/>
        </w:rPr>
        <w:t>10.</w:t>
      </w:r>
      <w:r w:rsidRPr="00956F16">
        <w:rPr>
          <w:rFonts w:ascii="Times New Roman" w:eastAsia="Calibri" w:hAnsi="Times New Roman" w:cs="Times New Roman"/>
          <w:b/>
        </w:rPr>
        <w:tab/>
        <w:t>A SZÖVEG ELLENŐRZÉSÉNEK DÁTUMA</w:t>
      </w:r>
    </w:p>
    <w:p w14:paraId="13C2BE8C" w14:textId="52582CA9" w:rsidR="005228CF" w:rsidRDefault="005228CF" w:rsidP="00956F16">
      <w:pPr>
        <w:tabs>
          <w:tab w:val="left" w:pos="567"/>
        </w:tabs>
        <w:spacing w:after="0" w:line="240" w:lineRule="auto"/>
        <w:rPr>
          <w:rFonts w:ascii="Times New Roman" w:eastAsia="Calibri" w:hAnsi="Times New Roman" w:cs="Times New Roman"/>
          <w:b/>
        </w:rPr>
      </w:pPr>
    </w:p>
    <w:p w14:paraId="2D0E73D2" w14:textId="34D20940" w:rsidR="00956F16" w:rsidRPr="005228CF" w:rsidRDefault="002A01FB" w:rsidP="00956F16">
      <w:pPr>
        <w:spacing w:after="0" w:line="240" w:lineRule="auto"/>
        <w:rPr>
          <w:rFonts w:ascii="Times New Roman" w:eastAsia="Calibri" w:hAnsi="Times New Roman" w:cs="Times New Roman"/>
        </w:rPr>
      </w:pPr>
      <w:r>
        <w:rPr>
          <w:rFonts w:ascii="Times New Roman" w:hAnsi="Times New Roman" w:cs="Times New Roman"/>
        </w:rPr>
        <w:t>202</w:t>
      </w:r>
      <w:r w:rsidR="00C3253E">
        <w:rPr>
          <w:rFonts w:ascii="Times New Roman" w:hAnsi="Times New Roman" w:cs="Times New Roman"/>
        </w:rPr>
        <w:t>5</w:t>
      </w:r>
      <w:r w:rsidR="00CC200F">
        <w:rPr>
          <w:rFonts w:ascii="Times New Roman" w:hAnsi="Times New Roman" w:cs="Times New Roman"/>
        </w:rPr>
        <w:t xml:space="preserve">. </w:t>
      </w:r>
      <w:r w:rsidR="008E4471">
        <w:rPr>
          <w:rFonts w:ascii="Times New Roman" w:hAnsi="Times New Roman" w:cs="Times New Roman"/>
        </w:rPr>
        <w:t>október</w:t>
      </w:r>
      <w:r w:rsidR="00CC200F">
        <w:rPr>
          <w:rFonts w:ascii="Times New Roman" w:hAnsi="Times New Roman" w:cs="Times New Roman"/>
        </w:rPr>
        <w:t xml:space="preserve"> </w:t>
      </w:r>
      <w:r w:rsidR="00C3253E">
        <w:rPr>
          <w:rFonts w:ascii="Times New Roman" w:hAnsi="Times New Roman" w:cs="Times New Roman"/>
        </w:rPr>
        <w:t>2</w:t>
      </w:r>
      <w:r w:rsidR="008E4471">
        <w:rPr>
          <w:rFonts w:ascii="Times New Roman" w:hAnsi="Times New Roman" w:cs="Times New Roman"/>
        </w:rPr>
        <w:t>5</w:t>
      </w:r>
      <w:r w:rsidR="00CC200F">
        <w:rPr>
          <w:rFonts w:ascii="Times New Roman" w:hAnsi="Times New Roman" w:cs="Times New Roman"/>
        </w:rPr>
        <w:t>.</w:t>
      </w:r>
    </w:p>
    <w:p w14:paraId="1E7E080C" w14:textId="77777777" w:rsidR="00956F16" w:rsidRPr="005228CF" w:rsidRDefault="00956F16" w:rsidP="00956F16">
      <w:pPr>
        <w:spacing w:after="0" w:line="240" w:lineRule="auto"/>
        <w:rPr>
          <w:rFonts w:ascii="Times New Roman" w:eastAsia="Calibri" w:hAnsi="Times New Roman" w:cs="Times New Roman"/>
        </w:rPr>
      </w:pPr>
    </w:p>
    <w:p w14:paraId="64077625" w14:textId="77777777" w:rsidR="00335CD2" w:rsidRPr="00956F16" w:rsidRDefault="00335CD2" w:rsidP="00956F16"/>
    <w:sectPr w:rsidR="00335CD2" w:rsidRPr="00956F16" w:rsidSect="006C5BF9">
      <w:headerReference w:type="default" r:id="rId9"/>
      <w:footerReference w:type="default" r:id="rId10"/>
      <w:footerReference w:type="first" r:id="rId11"/>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4DEAD" w14:textId="77777777" w:rsidR="00256766" w:rsidRDefault="00256766">
      <w:pPr>
        <w:spacing w:after="0" w:line="240" w:lineRule="auto"/>
      </w:pPr>
      <w:r>
        <w:separator/>
      </w:r>
    </w:p>
  </w:endnote>
  <w:endnote w:type="continuationSeparator" w:id="0">
    <w:p w14:paraId="777307E0" w14:textId="77777777" w:rsidR="00256766" w:rsidRDefault="002567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DD0D2" w14:textId="77777777" w:rsidR="004C4526" w:rsidRDefault="004C4526">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CCD939" w14:textId="77777777" w:rsidR="00747732" w:rsidRPr="00747732" w:rsidRDefault="00747732" w:rsidP="00747732">
    <w:pPr>
      <w:pStyle w:val="llb"/>
      <w:rPr>
        <w:rFonts w:ascii="Times New Roman" w:eastAsia="Calibri" w:hAnsi="Times New Roman"/>
        <w:sz w:val="18"/>
        <w:szCs w:val="18"/>
      </w:rPr>
    </w:pPr>
    <w:r w:rsidRPr="00747732">
      <w:rPr>
        <w:rFonts w:ascii="Times New Roman" w:eastAsia="Calibri" w:hAnsi="Times New Roman"/>
        <w:sz w:val="18"/>
        <w:szCs w:val="18"/>
      </w:rPr>
      <w:t>NNGYK/ETGY/12747/2025</w:t>
    </w:r>
  </w:p>
  <w:p w14:paraId="39B65113" w14:textId="77777777" w:rsidR="00747732" w:rsidRPr="00747732" w:rsidRDefault="00747732" w:rsidP="00747732">
    <w:pPr>
      <w:pStyle w:val="llb"/>
      <w:rPr>
        <w:rFonts w:ascii="Times New Roman" w:eastAsia="Calibri" w:hAnsi="Times New Roman"/>
        <w:sz w:val="18"/>
        <w:szCs w:val="18"/>
      </w:rPr>
    </w:pPr>
    <w:r w:rsidRPr="00747732">
      <w:rPr>
        <w:rFonts w:ascii="Times New Roman" w:eastAsia="Calibri" w:hAnsi="Times New Roman"/>
        <w:sz w:val="18"/>
        <w:szCs w:val="18"/>
      </w:rPr>
      <w:t>NNGYK/ETGY/12751/2025</w:t>
    </w:r>
  </w:p>
  <w:p w14:paraId="22512464" w14:textId="77777777" w:rsidR="00747732" w:rsidRPr="00747732" w:rsidRDefault="00747732" w:rsidP="00747732">
    <w:pPr>
      <w:pStyle w:val="llb"/>
      <w:rPr>
        <w:rFonts w:ascii="Times New Roman" w:eastAsia="Calibri" w:hAnsi="Times New Roman"/>
        <w:sz w:val="18"/>
        <w:szCs w:val="18"/>
      </w:rPr>
    </w:pPr>
    <w:r w:rsidRPr="00747732">
      <w:rPr>
        <w:rFonts w:ascii="Times New Roman" w:eastAsia="Calibri" w:hAnsi="Times New Roman"/>
        <w:sz w:val="18"/>
        <w:szCs w:val="18"/>
      </w:rPr>
      <w:t>NNGYK/ETGY/12752/2025</w:t>
    </w:r>
  </w:p>
  <w:p w14:paraId="1DEDC5AE" w14:textId="77777777" w:rsidR="00747732" w:rsidRPr="00747732" w:rsidRDefault="00747732" w:rsidP="00747732">
    <w:pPr>
      <w:pStyle w:val="llb"/>
      <w:rPr>
        <w:rFonts w:ascii="Times New Roman" w:eastAsia="Calibri" w:hAnsi="Times New Roman"/>
        <w:sz w:val="18"/>
        <w:szCs w:val="18"/>
      </w:rPr>
    </w:pPr>
    <w:r w:rsidRPr="00747732">
      <w:rPr>
        <w:rFonts w:ascii="Times New Roman" w:eastAsia="Calibri" w:hAnsi="Times New Roman"/>
        <w:sz w:val="18"/>
        <w:szCs w:val="18"/>
      </w:rPr>
      <w:t>NNGYK/ETGY/12757/2025</w:t>
    </w:r>
  </w:p>
  <w:p w14:paraId="45C56446" w14:textId="77777777" w:rsidR="00747732" w:rsidRPr="00747732" w:rsidRDefault="00747732" w:rsidP="00747732">
    <w:pPr>
      <w:pStyle w:val="llb"/>
      <w:rPr>
        <w:rFonts w:ascii="Times New Roman" w:eastAsia="Calibri" w:hAnsi="Times New Roman"/>
        <w:sz w:val="18"/>
        <w:szCs w:val="18"/>
      </w:rPr>
    </w:pPr>
    <w:r w:rsidRPr="00747732">
      <w:rPr>
        <w:rFonts w:ascii="Times New Roman" w:eastAsia="Calibri" w:hAnsi="Times New Roman"/>
        <w:sz w:val="18"/>
        <w:szCs w:val="18"/>
      </w:rPr>
      <w:t>NNGYK/ETGY/12760/2025</w:t>
    </w:r>
  </w:p>
  <w:p w14:paraId="40A4B6E2" w14:textId="77777777" w:rsidR="00747732" w:rsidRPr="00747732" w:rsidRDefault="00747732" w:rsidP="00747732">
    <w:pPr>
      <w:pStyle w:val="llb"/>
      <w:rPr>
        <w:rFonts w:ascii="Times New Roman" w:eastAsia="Calibri" w:hAnsi="Times New Roman"/>
        <w:sz w:val="18"/>
        <w:szCs w:val="18"/>
      </w:rPr>
    </w:pPr>
    <w:r w:rsidRPr="00747732">
      <w:rPr>
        <w:rFonts w:ascii="Times New Roman" w:eastAsia="Calibri" w:hAnsi="Times New Roman"/>
        <w:sz w:val="18"/>
        <w:szCs w:val="18"/>
      </w:rPr>
      <w:t>NNGYK/ETGY/12762/2025</w:t>
    </w:r>
  </w:p>
  <w:p w14:paraId="363FF4C3" w14:textId="5B9FC609" w:rsidR="00160418" w:rsidRDefault="00747732" w:rsidP="00FD2CC4">
    <w:pPr>
      <w:pStyle w:val="llb"/>
    </w:pPr>
    <w:r w:rsidRPr="00747732">
      <w:rPr>
        <w:rFonts w:ascii="Times New Roman" w:eastAsia="Calibri" w:hAnsi="Times New Roman"/>
        <w:sz w:val="18"/>
        <w:szCs w:val="18"/>
      </w:rPr>
      <w:t xml:space="preserve">NNGYK/ETGY/12764/2025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B35459" w14:textId="77777777" w:rsidR="00256766" w:rsidRDefault="00256766">
      <w:pPr>
        <w:spacing w:after="0" w:line="240" w:lineRule="auto"/>
      </w:pPr>
      <w:r>
        <w:separator/>
      </w:r>
    </w:p>
  </w:footnote>
  <w:footnote w:type="continuationSeparator" w:id="0">
    <w:p w14:paraId="47750AA4" w14:textId="77777777" w:rsidR="00256766" w:rsidRDefault="002567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695082"/>
      <w:docPartObj>
        <w:docPartGallery w:val="Page Numbers (Top of Page)"/>
        <w:docPartUnique/>
      </w:docPartObj>
    </w:sdtPr>
    <w:sdtEndPr>
      <w:rPr>
        <w:rFonts w:ascii="Times New Roman" w:hAnsi="Times New Roman"/>
        <w:sz w:val="18"/>
        <w:szCs w:val="18"/>
      </w:rPr>
    </w:sdtEndPr>
    <w:sdtContent>
      <w:p w14:paraId="5723E8B6" w14:textId="10285F23" w:rsidR="00160418" w:rsidRPr="00F766C9" w:rsidRDefault="00160418" w:rsidP="00694E9C">
        <w:pPr>
          <w:pStyle w:val="lfej"/>
          <w:jc w:val="center"/>
          <w:rPr>
            <w:rFonts w:ascii="Times New Roman" w:hAnsi="Times New Roman"/>
            <w:sz w:val="18"/>
            <w:szCs w:val="18"/>
          </w:rPr>
        </w:pPr>
        <w:r w:rsidRPr="00F766C9">
          <w:rPr>
            <w:rFonts w:ascii="Times New Roman" w:hAnsi="Times New Roman"/>
            <w:sz w:val="18"/>
            <w:szCs w:val="18"/>
          </w:rPr>
          <w:fldChar w:fldCharType="begin"/>
        </w:r>
        <w:r w:rsidRPr="00F766C9">
          <w:rPr>
            <w:rFonts w:ascii="Times New Roman" w:hAnsi="Times New Roman"/>
            <w:sz w:val="18"/>
            <w:szCs w:val="18"/>
          </w:rPr>
          <w:instrText>PAGE   \* MERGEFORMAT</w:instrText>
        </w:r>
        <w:r w:rsidRPr="00F766C9">
          <w:rPr>
            <w:rFonts w:ascii="Times New Roman" w:hAnsi="Times New Roman"/>
            <w:sz w:val="18"/>
            <w:szCs w:val="18"/>
          </w:rPr>
          <w:fldChar w:fldCharType="separate"/>
        </w:r>
        <w:r w:rsidR="00532CBF" w:rsidRPr="00532CBF">
          <w:rPr>
            <w:rFonts w:ascii="Times New Roman" w:hAnsi="Times New Roman"/>
            <w:noProof/>
            <w:sz w:val="18"/>
            <w:szCs w:val="18"/>
            <w:lang w:val="hu-HU"/>
          </w:rPr>
          <w:t>39</w:t>
        </w:r>
        <w:r w:rsidRPr="00F766C9">
          <w:rPr>
            <w:rFonts w:ascii="Times New Roman" w:hAnsi="Times New Roman"/>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555F"/>
    <w:multiLevelType w:val="hybridMultilevel"/>
    <w:tmpl w:val="C7BAAED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010C027D"/>
    <w:multiLevelType w:val="hybridMultilevel"/>
    <w:tmpl w:val="2040B2C2"/>
    <w:lvl w:ilvl="0" w:tplc="0426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AC97EC7"/>
    <w:multiLevelType w:val="hybridMultilevel"/>
    <w:tmpl w:val="D2045B26"/>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2B71753"/>
    <w:multiLevelType w:val="hybridMultilevel"/>
    <w:tmpl w:val="A8600AD0"/>
    <w:lvl w:ilvl="0" w:tplc="04070001">
      <w:start w:val="1"/>
      <w:numFmt w:val="bullet"/>
      <w:lvlText w:val=""/>
      <w:lvlJc w:val="left"/>
      <w:pPr>
        <w:ind w:left="644"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7CE7136"/>
    <w:multiLevelType w:val="hybridMultilevel"/>
    <w:tmpl w:val="88246FBA"/>
    <w:lvl w:ilvl="0" w:tplc="045698AC">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BD1633E"/>
    <w:multiLevelType w:val="hybridMultilevel"/>
    <w:tmpl w:val="0EEE1B4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F9E2EE7"/>
    <w:multiLevelType w:val="hybridMultilevel"/>
    <w:tmpl w:val="083E7DEC"/>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7"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8" w15:restartNumberingAfterBreak="0">
    <w:nsid w:val="2AF7021C"/>
    <w:multiLevelType w:val="hybridMultilevel"/>
    <w:tmpl w:val="556A38D8"/>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22504C1"/>
    <w:multiLevelType w:val="hybridMultilevel"/>
    <w:tmpl w:val="A610260A"/>
    <w:lvl w:ilvl="0" w:tplc="2A68232C">
      <w:start w:val="12"/>
      <w:numFmt w:val="decimal"/>
      <w:lvlText w:val="%1."/>
      <w:lvlJc w:val="left"/>
      <w:pPr>
        <w:ind w:left="927" w:hanging="360"/>
      </w:pPr>
      <w:rPr>
        <w:rFonts w:hint="default"/>
      </w:rPr>
    </w:lvl>
    <w:lvl w:ilvl="1" w:tplc="040E0019" w:tentative="1">
      <w:start w:val="1"/>
      <w:numFmt w:val="lowerLetter"/>
      <w:lvlText w:val="%2."/>
      <w:lvlJc w:val="left"/>
      <w:pPr>
        <w:ind w:left="1647" w:hanging="360"/>
      </w:pPr>
    </w:lvl>
    <w:lvl w:ilvl="2" w:tplc="040E001B" w:tentative="1">
      <w:start w:val="1"/>
      <w:numFmt w:val="lowerRoman"/>
      <w:lvlText w:val="%3."/>
      <w:lvlJc w:val="right"/>
      <w:pPr>
        <w:ind w:left="2367" w:hanging="180"/>
      </w:pPr>
    </w:lvl>
    <w:lvl w:ilvl="3" w:tplc="040E000F" w:tentative="1">
      <w:start w:val="1"/>
      <w:numFmt w:val="decimal"/>
      <w:lvlText w:val="%4."/>
      <w:lvlJc w:val="left"/>
      <w:pPr>
        <w:ind w:left="3087" w:hanging="360"/>
      </w:pPr>
    </w:lvl>
    <w:lvl w:ilvl="4" w:tplc="040E0019" w:tentative="1">
      <w:start w:val="1"/>
      <w:numFmt w:val="lowerLetter"/>
      <w:lvlText w:val="%5."/>
      <w:lvlJc w:val="left"/>
      <w:pPr>
        <w:ind w:left="3807" w:hanging="360"/>
      </w:pPr>
    </w:lvl>
    <w:lvl w:ilvl="5" w:tplc="040E001B" w:tentative="1">
      <w:start w:val="1"/>
      <w:numFmt w:val="lowerRoman"/>
      <w:lvlText w:val="%6."/>
      <w:lvlJc w:val="right"/>
      <w:pPr>
        <w:ind w:left="4527" w:hanging="180"/>
      </w:pPr>
    </w:lvl>
    <w:lvl w:ilvl="6" w:tplc="040E000F" w:tentative="1">
      <w:start w:val="1"/>
      <w:numFmt w:val="decimal"/>
      <w:lvlText w:val="%7."/>
      <w:lvlJc w:val="left"/>
      <w:pPr>
        <w:ind w:left="5247" w:hanging="360"/>
      </w:pPr>
    </w:lvl>
    <w:lvl w:ilvl="7" w:tplc="040E0019" w:tentative="1">
      <w:start w:val="1"/>
      <w:numFmt w:val="lowerLetter"/>
      <w:lvlText w:val="%8."/>
      <w:lvlJc w:val="left"/>
      <w:pPr>
        <w:ind w:left="5967" w:hanging="360"/>
      </w:pPr>
    </w:lvl>
    <w:lvl w:ilvl="8" w:tplc="040E001B" w:tentative="1">
      <w:start w:val="1"/>
      <w:numFmt w:val="lowerRoman"/>
      <w:lvlText w:val="%9."/>
      <w:lvlJc w:val="right"/>
      <w:pPr>
        <w:ind w:left="6687" w:hanging="180"/>
      </w:pPr>
    </w:lvl>
  </w:abstractNum>
  <w:abstractNum w:abstractNumId="10" w15:restartNumberingAfterBreak="0">
    <w:nsid w:val="3A06346A"/>
    <w:multiLevelType w:val="hybridMultilevel"/>
    <w:tmpl w:val="F578B144"/>
    <w:lvl w:ilvl="0" w:tplc="FFFFFFFF">
      <w:start w:val="1"/>
      <w:numFmt w:val="bullet"/>
      <w:lvlText w:val="-"/>
      <w:lvlJc w:val="left"/>
      <w:pPr>
        <w:ind w:left="720" w:hanging="360"/>
      </w:p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1" w15:restartNumberingAfterBreak="0">
    <w:nsid w:val="3B1B389B"/>
    <w:multiLevelType w:val="hybridMultilevel"/>
    <w:tmpl w:val="9FBC6ECE"/>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B7C36DF"/>
    <w:multiLevelType w:val="hybridMultilevel"/>
    <w:tmpl w:val="F96EB428"/>
    <w:lvl w:ilvl="0" w:tplc="7A5A4810">
      <w:numFmt w:val="bullet"/>
      <w:lvlText w:val="•"/>
      <w:lvlJc w:val="left"/>
      <w:pPr>
        <w:ind w:left="720" w:hanging="360"/>
      </w:pPr>
      <w:rPr>
        <w:rFonts w:ascii="Times New Roman" w:eastAsiaTheme="minorHAns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3D1045EA"/>
    <w:multiLevelType w:val="hybridMultilevel"/>
    <w:tmpl w:val="56AEBE36"/>
    <w:lvl w:ilvl="0" w:tplc="040E000F">
      <w:start w:val="1"/>
      <w:numFmt w:val="decimal"/>
      <w:lvlText w:val="%1."/>
      <w:lvlJc w:val="left"/>
      <w:pPr>
        <w:ind w:left="3763"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3D34455D"/>
    <w:multiLevelType w:val="hybridMultilevel"/>
    <w:tmpl w:val="A6A827F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461841D4"/>
    <w:multiLevelType w:val="hybridMultilevel"/>
    <w:tmpl w:val="5EA2F7F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DFD1EBB"/>
    <w:multiLevelType w:val="hybridMultilevel"/>
    <w:tmpl w:val="73E24496"/>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51F61CB8"/>
    <w:multiLevelType w:val="hybridMultilevel"/>
    <w:tmpl w:val="DA3848F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5CE61D3E"/>
    <w:multiLevelType w:val="hybridMultilevel"/>
    <w:tmpl w:val="FFB430CA"/>
    <w:lvl w:ilvl="0" w:tplc="60CE1FB8">
      <w:numFmt w:val="bullet"/>
      <w:lvlText w:val="•"/>
      <w:lvlJc w:val="left"/>
      <w:pPr>
        <w:ind w:left="862" w:hanging="360"/>
      </w:pPr>
      <w:rPr>
        <w:rFonts w:ascii="Times New Roman" w:eastAsia="Times New Roman" w:hAnsi="Times New Roman" w:cs="Times New Roman" w:hint="default"/>
        <w:w w:val="13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9" w15:restartNumberingAfterBreak="0">
    <w:nsid w:val="5DA7237D"/>
    <w:multiLevelType w:val="hybridMultilevel"/>
    <w:tmpl w:val="3C701EB6"/>
    <w:lvl w:ilvl="0" w:tplc="60CE1FB8">
      <w:numFmt w:val="bullet"/>
      <w:lvlText w:val="•"/>
      <w:lvlJc w:val="left"/>
      <w:pPr>
        <w:ind w:left="862" w:hanging="360"/>
      </w:pPr>
      <w:rPr>
        <w:rFonts w:ascii="Times New Roman" w:eastAsia="Times New Roman" w:hAnsi="Times New Roman" w:cs="Times New Roman" w:hint="default"/>
        <w:w w:val="13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0" w15:restartNumberingAfterBreak="0">
    <w:nsid w:val="5DF127A2"/>
    <w:multiLevelType w:val="hybridMultilevel"/>
    <w:tmpl w:val="58B8E02C"/>
    <w:lvl w:ilvl="0" w:tplc="A872B7C6">
      <w:numFmt w:val="bullet"/>
      <w:lvlText w:val=""/>
      <w:lvlJc w:val="left"/>
      <w:pPr>
        <w:ind w:left="755" w:hanging="361"/>
      </w:pPr>
      <w:rPr>
        <w:rFonts w:ascii="Symbol" w:eastAsia="Symbol" w:hAnsi="Symbol" w:cs="Symbol" w:hint="default"/>
        <w:b w:val="0"/>
        <w:bCs w:val="0"/>
        <w:i w:val="0"/>
        <w:iCs w:val="0"/>
        <w:spacing w:val="0"/>
        <w:w w:val="100"/>
        <w:sz w:val="22"/>
        <w:szCs w:val="22"/>
        <w:lang w:val="hu-HU" w:eastAsia="en-US" w:bidi="ar-SA"/>
      </w:rPr>
    </w:lvl>
    <w:lvl w:ilvl="1" w:tplc="DEF8524A">
      <w:numFmt w:val="bullet"/>
      <w:lvlText w:val=""/>
      <w:lvlJc w:val="left"/>
      <w:pPr>
        <w:ind w:left="1098" w:hanging="361"/>
      </w:pPr>
      <w:rPr>
        <w:rFonts w:ascii="Symbol" w:eastAsia="Symbol" w:hAnsi="Symbol" w:cs="Symbol" w:hint="default"/>
        <w:b w:val="0"/>
        <w:bCs w:val="0"/>
        <w:i w:val="0"/>
        <w:iCs w:val="0"/>
        <w:spacing w:val="0"/>
        <w:w w:val="100"/>
        <w:sz w:val="22"/>
        <w:szCs w:val="22"/>
        <w:lang w:val="hu-HU" w:eastAsia="en-US" w:bidi="ar-SA"/>
      </w:rPr>
    </w:lvl>
    <w:lvl w:ilvl="2" w:tplc="52340B2C">
      <w:numFmt w:val="bullet"/>
      <w:lvlText w:val="•"/>
      <w:lvlJc w:val="left"/>
      <w:pPr>
        <w:ind w:left="1100" w:hanging="361"/>
      </w:pPr>
      <w:rPr>
        <w:rFonts w:hint="default"/>
        <w:lang w:val="hu-HU" w:eastAsia="en-US" w:bidi="ar-SA"/>
      </w:rPr>
    </w:lvl>
    <w:lvl w:ilvl="3" w:tplc="E9D08FFC">
      <w:numFmt w:val="bullet"/>
      <w:lvlText w:val="•"/>
      <w:lvlJc w:val="left"/>
      <w:pPr>
        <w:ind w:left="2250" w:hanging="361"/>
      </w:pPr>
      <w:rPr>
        <w:rFonts w:hint="default"/>
        <w:lang w:val="hu-HU" w:eastAsia="en-US" w:bidi="ar-SA"/>
      </w:rPr>
    </w:lvl>
    <w:lvl w:ilvl="4" w:tplc="3C5AAECC">
      <w:numFmt w:val="bullet"/>
      <w:lvlText w:val="•"/>
      <w:lvlJc w:val="left"/>
      <w:pPr>
        <w:ind w:left="3401" w:hanging="361"/>
      </w:pPr>
      <w:rPr>
        <w:rFonts w:hint="default"/>
        <w:lang w:val="hu-HU" w:eastAsia="en-US" w:bidi="ar-SA"/>
      </w:rPr>
    </w:lvl>
    <w:lvl w:ilvl="5" w:tplc="6BD2C774">
      <w:numFmt w:val="bullet"/>
      <w:lvlText w:val="•"/>
      <w:lvlJc w:val="left"/>
      <w:pPr>
        <w:ind w:left="4552" w:hanging="361"/>
      </w:pPr>
      <w:rPr>
        <w:rFonts w:hint="default"/>
        <w:lang w:val="hu-HU" w:eastAsia="en-US" w:bidi="ar-SA"/>
      </w:rPr>
    </w:lvl>
    <w:lvl w:ilvl="6" w:tplc="23DE5344">
      <w:numFmt w:val="bullet"/>
      <w:lvlText w:val="•"/>
      <w:lvlJc w:val="left"/>
      <w:pPr>
        <w:ind w:left="5703" w:hanging="361"/>
      </w:pPr>
      <w:rPr>
        <w:rFonts w:hint="default"/>
        <w:lang w:val="hu-HU" w:eastAsia="en-US" w:bidi="ar-SA"/>
      </w:rPr>
    </w:lvl>
    <w:lvl w:ilvl="7" w:tplc="AE7419B0">
      <w:numFmt w:val="bullet"/>
      <w:lvlText w:val="•"/>
      <w:lvlJc w:val="left"/>
      <w:pPr>
        <w:ind w:left="6854" w:hanging="361"/>
      </w:pPr>
      <w:rPr>
        <w:rFonts w:hint="default"/>
        <w:lang w:val="hu-HU" w:eastAsia="en-US" w:bidi="ar-SA"/>
      </w:rPr>
    </w:lvl>
    <w:lvl w:ilvl="8" w:tplc="E3200200">
      <w:numFmt w:val="bullet"/>
      <w:lvlText w:val="•"/>
      <w:lvlJc w:val="left"/>
      <w:pPr>
        <w:ind w:left="8004" w:hanging="361"/>
      </w:pPr>
      <w:rPr>
        <w:rFonts w:hint="default"/>
        <w:lang w:val="hu-HU" w:eastAsia="en-US" w:bidi="ar-SA"/>
      </w:rPr>
    </w:lvl>
  </w:abstractNum>
  <w:abstractNum w:abstractNumId="21" w15:restartNumberingAfterBreak="0">
    <w:nsid w:val="641374F3"/>
    <w:multiLevelType w:val="hybridMultilevel"/>
    <w:tmpl w:val="D82828E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5A12A70"/>
    <w:multiLevelType w:val="hybridMultilevel"/>
    <w:tmpl w:val="338E4AF8"/>
    <w:lvl w:ilvl="0" w:tplc="0426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D7C77F6"/>
    <w:multiLevelType w:val="hybridMultilevel"/>
    <w:tmpl w:val="C674F530"/>
    <w:lvl w:ilvl="0" w:tplc="08090003">
      <w:start w:val="1"/>
      <w:numFmt w:val="bullet"/>
      <w:lvlText w:val="o"/>
      <w:lvlJc w:val="left"/>
      <w:pPr>
        <w:ind w:left="862" w:hanging="360"/>
      </w:pPr>
      <w:rPr>
        <w:rFonts w:ascii="Courier New" w:hAnsi="Courier New" w:cs="Courier New"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16cid:durableId="742412781">
    <w:abstractNumId w:val="16"/>
  </w:num>
  <w:num w:numId="2" w16cid:durableId="1449081626">
    <w:abstractNumId w:val="8"/>
  </w:num>
  <w:num w:numId="3" w16cid:durableId="1618950872">
    <w:abstractNumId w:val="4"/>
  </w:num>
  <w:num w:numId="4" w16cid:durableId="296685085">
    <w:abstractNumId w:val="17"/>
  </w:num>
  <w:num w:numId="5" w16cid:durableId="565603268">
    <w:abstractNumId w:val="12"/>
  </w:num>
  <w:num w:numId="6" w16cid:durableId="1241480531">
    <w:abstractNumId w:val="2"/>
  </w:num>
  <w:num w:numId="7" w16cid:durableId="101540783">
    <w:abstractNumId w:val="13"/>
  </w:num>
  <w:num w:numId="8" w16cid:durableId="688141345">
    <w:abstractNumId w:val="7"/>
  </w:num>
  <w:num w:numId="9" w16cid:durableId="1007445828">
    <w:abstractNumId w:val="18"/>
  </w:num>
  <w:num w:numId="10" w16cid:durableId="1502964296">
    <w:abstractNumId w:val="23"/>
  </w:num>
  <w:num w:numId="11" w16cid:durableId="320893792">
    <w:abstractNumId w:val="19"/>
  </w:num>
  <w:num w:numId="12" w16cid:durableId="979964440">
    <w:abstractNumId w:val="6"/>
  </w:num>
  <w:num w:numId="13" w16cid:durableId="404912523">
    <w:abstractNumId w:val="10"/>
  </w:num>
  <w:num w:numId="14" w16cid:durableId="1620334784">
    <w:abstractNumId w:val="5"/>
  </w:num>
  <w:num w:numId="15" w16cid:durableId="1975284533">
    <w:abstractNumId w:val="21"/>
  </w:num>
  <w:num w:numId="16" w16cid:durableId="1316838779">
    <w:abstractNumId w:val="14"/>
  </w:num>
  <w:num w:numId="17" w16cid:durableId="454445164">
    <w:abstractNumId w:val="0"/>
  </w:num>
  <w:num w:numId="18" w16cid:durableId="1386176906">
    <w:abstractNumId w:val="15"/>
  </w:num>
  <w:num w:numId="19" w16cid:durableId="341400656">
    <w:abstractNumId w:val="11"/>
  </w:num>
  <w:num w:numId="20" w16cid:durableId="1691488781">
    <w:abstractNumId w:val="3"/>
  </w:num>
  <w:num w:numId="21" w16cid:durableId="932012901">
    <w:abstractNumId w:val="22"/>
  </w:num>
  <w:num w:numId="22" w16cid:durableId="1709137606">
    <w:abstractNumId w:val="1"/>
  </w:num>
  <w:num w:numId="23" w16cid:durableId="879779537">
    <w:abstractNumId w:val="20"/>
  </w:num>
  <w:num w:numId="24" w16cid:durableId="14158615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6F16"/>
    <w:rsid w:val="0000135A"/>
    <w:rsid w:val="00002237"/>
    <w:rsid w:val="00017E3C"/>
    <w:rsid w:val="000405C0"/>
    <w:rsid w:val="0004457A"/>
    <w:rsid w:val="00057E5F"/>
    <w:rsid w:val="00062460"/>
    <w:rsid w:val="00062592"/>
    <w:rsid w:val="00062594"/>
    <w:rsid w:val="000636E8"/>
    <w:rsid w:val="00066563"/>
    <w:rsid w:val="00076A39"/>
    <w:rsid w:val="000801FE"/>
    <w:rsid w:val="00081115"/>
    <w:rsid w:val="00086596"/>
    <w:rsid w:val="00087FA6"/>
    <w:rsid w:val="000A2CC0"/>
    <w:rsid w:val="000A5D30"/>
    <w:rsid w:val="000A7346"/>
    <w:rsid w:val="000B2BE4"/>
    <w:rsid w:val="000C0238"/>
    <w:rsid w:val="000C20E4"/>
    <w:rsid w:val="000D5355"/>
    <w:rsid w:val="000F77BC"/>
    <w:rsid w:val="00102358"/>
    <w:rsid w:val="00104634"/>
    <w:rsid w:val="001070CC"/>
    <w:rsid w:val="00110560"/>
    <w:rsid w:val="00114DCB"/>
    <w:rsid w:val="001205A7"/>
    <w:rsid w:val="00127996"/>
    <w:rsid w:val="00132551"/>
    <w:rsid w:val="00143271"/>
    <w:rsid w:val="00145B83"/>
    <w:rsid w:val="00145FFC"/>
    <w:rsid w:val="00152B7B"/>
    <w:rsid w:val="0015309B"/>
    <w:rsid w:val="00153C38"/>
    <w:rsid w:val="00160418"/>
    <w:rsid w:val="001648F7"/>
    <w:rsid w:val="00170B62"/>
    <w:rsid w:val="00170BE2"/>
    <w:rsid w:val="00175335"/>
    <w:rsid w:val="00181C38"/>
    <w:rsid w:val="001870B1"/>
    <w:rsid w:val="001905BE"/>
    <w:rsid w:val="00191E06"/>
    <w:rsid w:val="001968CA"/>
    <w:rsid w:val="001A559E"/>
    <w:rsid w:val="001B2770"/>
    <w:rsid w:val="001C6743"/>
    <w:rsid w:val="001D0567"/>
    <w:rsid w:val="001D4862"/>
    <w:rsid w:val="001D741F"/>
    <w:rsid w:val="001E1887"/>
    <w:rsid w:val="001F6021"/>
    <w:rsid w:val="001F7D23"/>
    <w:rsid w:val="001F7D9A"/>
    <w:rsid w:val="002103C2"/>
    <w:rsid w:val="0021204A"/>
    <w:rsid w:val="00220447"/>
    <w:rsid w:val="002219EC"/>
    <w:rsid w:val="00225102"/>
    <w:rsid w:val="002321DD"/>
    <w:rsid w:val="0023317C"/>
    <w:rsid w:val="002335F5"/>
    <w:rsid w:val="00253E28"/>
    <w:rsid w:val="00256766"/>
    <w:rsid w:val="0026296C"/>
    <w:rsid w:val="002676A0"/>
    <w:rsid w:val="00270C16"/>
    <w:rsid w:val="002775B6"/>
    <w:rsid w:val="002A01FB"/>
    <w:rsid w:val="002B4A44"/>
    <w:rsid w:val="002B4D9F"/>
    <w:rsid w:val="002C399E"/>
    <w:rsid w:val="002D4315"/>
    <w:rsid w:val="002D6BC5"/>
    <w:rsid w:val="002E434A"/>
    <w:rsid w:val="002F17CB"/>
    <w:rsid w:val="002F39C0"/>
    <w:rsid w:val="0031580F"/>
    <w:rsid w:val="00316267"/>
    <w:rsid w:val="003331B6"/>
    <w:rsid w:val="00335CD2"/>
    <w:rsid w:val="00337981"/>
    <w:rsid w:val="00337FB2"/>
    <w:rsid w:val="00340147"/>
    <w:rsid w:val="00350BEB"/>
    <w:rsid w:val="00354452"/>
    <w:rsid w:val="003601C7"/>
    <w:rsid w:val="0037051E"/>
    <w:rsid w:val="00384E3B"/>
    <w:rsid w:val="003B1D7A"/>
    <w:rsid w:val="003B4C8B"/>
    <w:rsid w:val="003B55A8"/>
    <w:rsid w:val="003C61D4"/>
    <w:rsid w:val="003F7BE5"/>
    <w:rsid w:val="00402058"/>
    <w:rsid w:val="00404E9B"/>
    <w:rsid w:val="00406D1A"/>
    <w:rsid w:val="00413C3F"/>
    <w:rsid w:val="00426AD5"/>
    <w:rsid w:val="00427F83"/>
    <w:rsid w:val="00430504"/>
    <w:rsid w:val="00437BFC"/>
    <w:rsid w:val="00441247"/>
    <w:rsid w:val="0044374A"/>
    <w:rsid w:val="004541A6"/>
    <w:rsid w:val="00455AD0"/>
    <w:rsid w:val="00465FB1"/>
    <w:rsid w:val="004771E9"/>
    <w:rsid w:val="00481EC4"/>
    <w:rsid w:val="004B092C"/>
    <w:rsid w:val="004B5E05"/>
    <w:rsid w:val="004C065A"/>
    <w:rsid w:val="004C4526"/>
    <w:rsid w:val="004C5574"/>
    <w:rsid w:val="004D1937"/>
    <w:rsid w:val="004D431B"/>
    <w:rsid w:val="004D7709"/>
    <w:rsid w:val="004D7FF8"/>
    <w:rsid w:val="004F5A19"/>
    <w:rsid w:val="00514E22"/>
    <w:rsid w:val="005223C3"/>
    <w:rsid w:val="005228CF"/>
    <w:rsid w:val="00527677"/>
    <w:rsid w:val="00527ABE"/>
    <w:rsid w:val="00532806"/>
    <w:rsid w:val="00532CBF"/>
    <w:rsid w:val="005467DF"/>
    <w:rsid w:val="00553B86"/>
    <w:rsid w:val="0056110A"/>
    <w:rsid w:val="00562C7B"/>
    <w:rsid w:val="00562F92"/>
    <w:rsid w:val="00563904"/>
    <w:rsid w:val="0056421C"/>
    <w:rsid w:val="0056600A"/>
    <w:rsid w:val="0057275A"/>
    <w:rsid w:val="0057459B"/>
    <w:rsid w:val="00574FD3"/>
    <w:rsid w:val="005962CB"/>
    <w:rsid w:val="0059789D"/>
    <w:rsid w:val="005A0090"/>
    <w:rsid w:val="005A48A1"/>
    <w:rsid w:val="005B0C3D"/>
    <w:rsid w:val="005C1B79"/>
    <w:rsid w:val="005C2C1A"/>
    <w:rsid w:val="005C44EF"/>
    <w:rsid w:val="005D3594"/>
    <w:rsid w:val="005D4ACE"/>
    <w:rsid w:val="005D6838"/>
    <w:rsid w:val="005E13E2"/>
    <w:rsid w:val="005F50B2"/>
    <w:rsid w:val="00600D91"/>
    <w:rsid w:val="006133D3"/>
    <w:rsid w:val="00615B71"/>
    <w:rsid w:val="0062443B"/>
    <w:rsid w:val="00625BB2"/>
    <w:rsid w:val="00626A74"/>
    <w:rsid w:val="0064024C"/>
    <w:rsid w:val="006814B1"/>
    <w:rsid w:val="00694E9C"/>
    <w:rsid w:val="006A43A2"/>
    <w:rsid w:val="006B06E8"/>
    <w:rsid w:val="006B5AC4"/>
    <w:rsid w:val="006B74AA"/>
    <w:rsid w:val="006C5BF9"/>
    <w:rsid w:val="006D4258"/>
    <w:rsid w:val="006F2215"/>
    <w:rsid w:val="00701BDA"/>
    <w:rsid w:val="00706E08"/>
    <w:rsid w:val="00716B74"/>
    <w:rsid w:val="007210DA"/>
    <w:rsid w:val="007318A1"/>
    <w:rsid w:val="0073270E"/>
    <w:rsid w:val="00745949"/>
    <w:rsid w:val="00747732"/>
    <w:rsid w:val="00761422"/>
    <w:rsid w:val="007656AF"/>
    <w:rsid w:val="00765CD4"/>
    <w:rsid w:val="00771619"/>
    <w:rsid w:val="00792496"/>
    <w:rsid w:val="0079537F"/>
    <w:rsid w:val="00795B36"/>
    <w:rsid w:val="007A1194"/>
    <w:rsid w:val="007A649D"/>
    <w:rsid w:val="007A7BFE"/>
    <w:rsid w:val="007B69C5"/>
    <w:rsid w:val="007D162E"/>
    <w:rsid w:val="007D276A"/>
    <w:rsid w:val="007D4197"/>
    <w:rsid w:val="007D7E23"/>
    <w:rsid w:val="007E5A32"/>
    <w:rsid w:val="007F2952"/>
    <w:rsid w:val="008149B7"/>
    <w:rsid w:val="00821444"/>
    <w:rsid w:val="00826D42"/>
    <w:rsid w:val="00843AAD"/>
    <w:rsid w:val="0088368E"/>
    <w:rsid w:val="0088692E"/>
    <w:rsid w:val="00887676"/>
    <w:rsid w:val="00891512"/>
    <w:rsid w:val="008A3DE8"/>
    <w:rsid w:val="008A5454"/>
    <w:rsid w:val="008C33BE"/>
    <w:rsid w:val="008C78CD"/>
    <w:rsid w:val="008D029F"/>
    <w:rsid w:val="008D24F7"/>
    <w:rsid w:val="008D7944"/>
    <w:rsid w:val="008E4471"/>
    <w:rsid w:val="008E7F1D"/>
    <w:rsid w:val="00917594"/>
    <w:rsid w:val="00923AB9"/>
    <w:rsid w:val="0093377B"/>
    <w:rsid w:val="00934095"/>
    <w:rsid w:val="00940394"/>
    <w:rsid w:val="009524F3"/>
    <w:rsid w:val="0095327B"/>
    <w:rsid w:val="00956F16"/>
    <w:rsid w:val="00957E4D"/>
    <w:rsid w:val="0096481C"/>
    <w:rsid w:val="009706B9"/>
    <w:rsid w:val="009756A1"/>
    <w:rsid w:val="00985432"/>
    <w:rsid w:val="009A0FF9"/>
    <w:rsid w:val="009A1ADF"/>
    <w:rsid w:val="009A3DCB"/>
    <w:rsid w:val="009A6905"/>
    <w:rsid w:val="009B107D"/>
    <w:rsid w:val="009B7272"/>
    <w:rsid w:val="009C0FEC"/>
    <w:rsid w:val="009C23E8"/>
    <w:rsid w:val="009C724E"/>
    <w:rsid w:val="009D4E80"/>
    <w:rsid w:val="009F2FDA"/>
    <w:rsid w:val="009F6866"/>
    <w:rsid w:val="009F6E00"/>
    <w:rsid w:val="00A13403"/>
    <w:rsid w:val="00A14E4C"/>
    <w:rsid w:val="00A47B14"/>
    <w:rsid w:val="00A5448C"/>
    <w:rsid w:val="00A56632"/>
    <w:rsid w:val="00A6122A"/>
    <w:rsid w:val="00A7078B"/>
    <w:rsid w:val="00A878E3"/>
    <w:rsid w:val="00AB12D3"/>
    <w:rsid w:val="00AC39EB"/>
    <w:rsid w:val="00AC45D4"/>
    <w:rsid w:val="00AC4F6E"/>
    <w:rsid w:val="00AC6A30"/>
    <w:rsid w:val="00AD40C4"/>
    <w:rsid w:val="00AD4198"/>
    <w:rsid w:val="00AE053F"/>
    <w:rsid w:val="00AE5427"/>
    <w:rsid w:val="00AE5AEB"/>
    <w:rsid w:val="00AF35A9"/>
    <w:rsid w:val="00AF3E4C"/>
    <w:rsid w:val="00B04154"/>
    <w:rsid w:val="00B124EF"/>
    <w:rsid w:val="00B16058"/>
    <w:rsid w:val="00B20D30"/>
    <w:rsid w:val="00B21EC7"/>
    <w:rsid w:val="00B33F9B"/>
    <w:rsid w:val="00B35A2D"/>
    <w:rsid w:val="00B50415"/>
    <w:rsid w:val="00B518E8"/>
    <w:rsid w:val="00B51F02"/>
    <w:rsid w:val="00B527BD"/>
    <w:rsid w:val="00B61FB1"/>
    <w:rsid w:val="00B63C5E"/>
    <w:rsid w:val="00B66954"/>
    <w:rsid w:val="00B66EF1"/>
    <w:rsid w:val="00B70405"/>
    <w:rsid w:val="00B73880"/>
    <w:rsid w:val="00B805CB"/>
    <w:rsid w:val="00B92834"/>
    <w:rsid w:val="00B94410"/>
    <w:rsid w:val="00B96DA3"/>
    <w:rsid w:val="00B97B7C"/>
    <w:rsid w:val="00BA5F17"/>
    <w:rsid w:val="00BC59DA"/>
    <w:rsid w:val="00BD03D8"/>
    <w:rsid w:val="00BF0D2C"/>
    <w:rsid w:val="00BF6840"/>
    <w:rsid w:val="00BF734B"/>
    <w:rsid w:val="00C02639"/>
    <w:rsid w:val="00C044CB"/>
    <w:rsid w:val="00C159F7"/>
    <w:rsid w:val="00C21388"/>
    <w:rsid w:val="00C3253E"/>
    <w:rsid w:val="00C354C0"/>
    <w:rsid w:val="00C56927"/>
    <w:rsid w:val="00C57BF1"/>
    <w:rsid w:val="00C6088B"/>
    <w:rsid w:val="00C64D69"/>
    <w:rsid w:val="00C70941"/>
    <w:rsid w:val="00C72EC7"/>
    <w:rsid w:val="00C760F5"/>
    <w:rsid w:val="00C819C3"/>
    <w:rsid w:val="00C908C0"/>
    <w:rsid w:val="00C95E79"/>
    <w:rsid w:val="00CB14B5"/>
    <w:rsid w:val="00CB4B6D"/>
    <w:rsid w:val="00CC0B0C"/>
    <w:rsid w:val="00CC200F"/>
    <w:rsid w:val="00CC5B5A"/>
    <w:rsid w:val="00CD4AFD"/>
    <w:rsid w:val="00CD7E35"/>
    <w:rsid w:val="00CE47BE"/>
    <w:rsid w:val="00CE6C3B"/>
    <w:rsid w:val="00D1318C"/>
    <w:rsid w:val="00D1437B"/>
    <w:rsid w:val="00D228B5"/>
    <w:rsid w:val="00D32B06"/>
    <w:rsid w:val="00D34ABC"/>
    <w:rsid w:val="00D4753C"/>
    <w:rsid w:val="00D50DEF"/>
    <w:rsid w:val="00D56C93"/>
    <w:rsid w:val="00D66E2F"/>
    <w:rsid w:val="00D66EF9"/>
    <w:rsid w:val="00D72115"/>
    <w:rsid w:val="00DB6881"/>
    <w:rsid w:val="00DE5358"/>
    <w:rsid w:val="00DF2BF9"/>
    <w:rsid w:val="00DF37D9"/>
    <w:rsid w:val="00DF6B69"/>
    <w:rsid w:val="00DF77AD"/>
    <w:rsid w:val="00E03862"/>
    <w:rsid w:val="00E130F9"/>
    <w:rsid w:val="00E275EB"/>
    <w:rsid w:val="00E34B8F"/>
    <w:rsid w:val="00E52BE1"/>
    <w:rsid w:val="00E566EB"/>
    <w:rsid w:val="00E574E9"/>
    <w:rsid w:val="00E83289"/>
    <w:rsid w:val="00EA40BB"/>
    <w:rsid w:val="00EB0095"/>
    <w:rsid w:val="00EB542D"/>
    <w:rsid w:val="00EC50F3"/>
    <w:rsid w:val="00EC5575"/>
    <w:rsid w:val="00EC798C"/>
    <w:rsid w:val="00ED13B9"/>
    <w:rsid w:val="00ED4615"/>
    <w:rsid w:val="00EF6808"/>
    <w:rsid w:val="00F1363A"/>
    <w:rsid w:val="00F322D7"/>
    <w:rsid w:val="00F432F4"/>
    <w:rsid w:val="00F44D42"/>
    <w:rsid w:val="00F54CB9"/>
    <w:rsid w:val="00F96F4B"/>
    <w:rsid w:val="00FB1438"/>
    <w:rsid w:val="00FB2F0E"/>
    <w:rsid w:val="00FC748F"/>
    <w:rsid w:val="00FC75DD"/>
    <w:rsid w:val="00FC79D2"/>
    <w:rsid w:val="00FD2CC4"/>
    <w:rsid w:val="00FD3D04"/>
    <w:rsid w:val="00FF3040"/>
    <w:rsid w:val="00FF3627"/>
    <w:rsid w:val="00FF7BC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981D3"/>
  <w15:docId w15:val="{827EB657-2922-4C59-8301-AF33ADD6D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qFormat/>
    <w:rsid w:val="00956F16"/>
    <w:pPr>
      <w:tabs>
        <w:tab w:val="left" w:pos="567"/>
      </w:tabs>
      <w:spacing w:before="240" w:after="120" w:line="260" w:lineRule="exact"/>
      <w:ind w:left="357" w:hanging="357"/>
      <w:outlineLvl w:val="0"/>
    </w:pPr>
    <w:rPr>
      <w:rFonts w:ascii="Times New Roman" w:eastAsia="Times New Roman" w:hAnsi="Times New Roman" w:cs="Times New Roman"/>
      <w:b/>
      <w:caps/>
      <w:sz w:val="26"/>
      <w:szCs w:val="20"/>
      <w:lang w:val="en-US"/>
    </w:rPr>
  </w:style>
  <w:style w:type="paragraph" w:styleId="Cmsor2">
    <w:name w:val="heading 2"/>
    <w:basedOn w:val="Norml"/>
    <w:next w:val="Norml"/>
    <w:link w:val="Cmsor2Char"/>
    <w:qFormat/>
    <w:rsid w:val="00956F16"/>
    <w:pPr>
      <w:keepNext/>
      <w:tabs>
        <w:tab w:val="left" w:pos="567"/>
      </w:tabs>
      <w:spacing w:before="240" w:after="60" w:line="260" w:lineRule="exact"/>
      <w:outlineLvl w:val="1"/>
    </w:pPr>
    <w:rPr>
      <w:rFonts w:ascii="Helvetica" w:eastAsia="Times New Roman" w:hAnsi="Helvetica" w:cs="Times New Roman"/>
      <w:b/>
      <w:i/>
      <w:sz w:val="24"/>
      <w:szCs w:val="20"/>
      <w:lang w:val="en-GB"/>
    </w:rPr>
  </w:style>
  <w:style w:type="paragraph" w:styleId="Cmsor3">
    <w:name w:val="heading 3"/>
    <w:basedOn w:val="Norml"/>
    <w:next w:val="Norml"/>
    <w:link w:val="Cmsor3Char"/>
    <w:qFormat/>
    <w:rsid w:val="00956F16"/>
    <w:pPr>
      <w:keepNext/>
      <w:keepLines/>
      <w:tabs>
        <w:tab w:val="left" w:pos="567"/>
      </w:tabs>
      <w:spacing w:before="120" w:after="80" w:line="260" w:lineRule="exact"/>
      <w:outlineLvl w:val="2"/>
    </w:pPr>
    <w:rPr>
      <w:rFonts w:ascii="Times New Roman" w:eastAsia="Times New Roman" w:hAnsi="Times New Roman" w:cs="Times New Roman"/>
      <w:b/>
      <w:kern w:val="28"/>
      <w:sz w:val="24"/>
      <w:szCs w:val="20"/>
      <w:lang w:val="en-US"/>
    </w:rPr>
  </w:style>
  <w:style w:type="paragraph" w:styleId="Cmsor4">
    <w:name w:val="heading 4"/>
    <w:basedOn w:val="Norml"/>
    <w:next w:val="Norml"/>
    <w:link w:val="Cmsor4Char"/>
    <w:qFormat/>
    <w:rsid w:val="00956F16"/>
    <w:pPr>
      <w:keepNext/>
      <w:tabs>
        <w:tab w:val="left" w:pos="567"/>
      </w:tabs>
      <w:spacing w:after="0" w:line="260" w:lineRule="exact"/>
      <w:jc w:val="both"/>
      <w:outlineLvl w:val="3"/>
    </w:pPr>
    <w:rPr>
      <w:rFonts w:ascii="Times New Roman" w:eastAsia="Times New Roman" w:hAnsi="Times New Roman" w:cs="Times New Roman"/>
      <w:b/>
      <w:noProof/>
      <w:szCs w:val="20"/>
      <w:lang w:val="en-GB"/>
    </w:rPr>
  </w:style>
  <w:style w:type="paragraph" w:styleId="Cmsor5">
    <w:name w:val="heading 5"/>
    <w:basedOn w:val="Norml"/>
    <w:next w:val="Norml"/>
    <w:link w:val="Cmsor5Char"/>
    <w:qFormat/>
    <w:rsid w:val="00956F16"/>
    <w:pPr>
      <w:keepNext/>
      <w:tabs>
        <w:tab w:val="left" w:pos="567"/>
      </w:tabs>
      <w:spacing w:after="0" w:line="260" w:lineRule="exact"/>
      <w:jc w:val="both"/>
      <w:outlineLvl w:val="4"/>
    </w:pPr>
    <w:rPr>
      <w:rFonts w:ascii="Times New Roman" w:eastAsia="Times New Roman" w:hAnsi="Times New Roman" w:cs="Times New Roman"/>
      <w:noProof/>
      <w:szCs w:val="20"/>
      <w:lang w:val="en-GB"/>
    </w:rPr>
  </w:style>
  <w:style w:type="paragraph" w:styleId="Cmsor6">
    <w:name w:val="heading 6"/>
    <w:basedOn w:val="Norml"/>
    <w:next w:val="Norml"/>
    <w:link w:val="Cmsor6Char"/>
    <w:qFormat/>
    <w:rsid w:val="00956F16"/>
    <w:pPr>
      <w:keepNext/>
      <w:tabs>
        <w:tab w:val="left" w:pos="-720"/>
        <w:tab w:val="left" w:pos="567"/>
        <w:tab w:val="left" w:pos="4536"/>
      </w:tabs>
      <w:suppressAutoHyphens/>
      <w:spacing w:after="0" w:line="260" w:lineRule="exact"/>
      <w:outlineLvl w:val="5"/>
    </w:pPr>
    <w:rPr>
      <w:rFonts w:ascii="Times New Roman" w:eastAsia="Times New Roman" w:hAnsi="Times New Roman" w:cs="Times New Roman"/>
      <w:i/>
      <w:szCs w:val="20"/>
      <w:lang w:val="en-GB"/>
    </w:rPr>
  </w:style>
  <w:style w:type="paragraph" w:styleId="Cmsor7">
    <w:name w:val="heading 7"/>
    <w:basedOn w:val="Norml"/>
    <w:next w:val="Norml"/>
    <w:link w:val="Cmsor7Char"/>
    <w:qFormat/>
    <w:rsid w:val="00956F16"/>
    <w:pPr>
      <w:keepNext/>
      <w:tabs>
        <w:tab w:val="left" w:pos="-720"/>
        <w:tab w:val="left" w:pos="567"/>
        <w:tab w:val="left" w:pos="4536"/>
      </w:tabs>
      <w:suppressAutoHyphens/>
      <w:spacing w:after="0" w:line="260" w:lineRule="exact"/>
      <w:jc w:val="both"/>
      <w:outlineLvl w:val="6"/>
    </w:pPr>
    <w:rPr>
      <w:rFonts w:ascii="Times New Roman" w:eastAsia="Times New Roman" w:hAnsi="Times New Roman" w:cs="Times New Roman"/>
      <w:i/>
      <w:szCs w:val="20"/>
      <w:lang w:val="en-GB"/>
    </w:rPr>
  </w:style>
  <w:style w:type="paragraph" w:styleId="Cmsor8">
    <w:name w:val="heading 8"/>
    <w:basedOn w:val="Norml"/>
    <w:next w:val="Norml"/>
    <w:link w:val="Cmsor8Char"/>
    <w:qFormat/>
    <w:rsid w:val="00956F16"/>
    <w:pPr>
      <w:keepNext/>
      <w:tabs>
        <w:tab w:val="left" w:pos="567"/>
      </w:tabs>
      <w:spacing w:after="0" w:line="260" w:lineRule="exact"/>
      <w:ind w:left="567" w:hanging="567"/>
      <w:jc w:val="both"/>
      <w:outlineLvl w:val="7"/>
    </w:pPr>
    <w:rPr>
      <w:rFonts w:ascii="Times New Roman" w:eastAsia="Times New Roman" w:hAnsi="Times New Roman" w:cs="Times New Roman"/>
      <w:b/>
      <w:i/>
      <w:szCs w:val="20"/>
      <w:lang w:val="en-GB"/>
    </w:rPr>
  </w:style>
  <w:style w:type="paragraph" w:styleId="Cmsor9">
    <w:name w:val="heading 9"/>
    <w:basedOn w:val="Norml"/>
    <w:next w:val="Norml"/>
    <w:link w:val="Cmsor9Char"/>
    <w:qFormat/>
    <w:rsid w:val="00956F16"/>
    <w:pPr>
      <w:keepNext/>
      <w:tabs>
        <w:tab w:val="left" w:pos="567"/>
      </w:tabs>
      <w:spacing w:after="0" w:line="260" w:lineRule="exact"/>
      <w:jc w:val="both"/>
      <w:outlineLvl w:val="8"/>
    </w:pPr>
    <w:rPr>
      <w:rFonts w:ascii="Times New Roman" w:eastAsia="Times New Roman" w:hAnsi="Times New Roman" w:cs="Times New Roman"/>
      <w:b/>
      <w:i/>
      <w:szCs w:val="20"/>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956F16"/>
    <w:rPr>
      <w:rFonts w:ascii="Times New Roman" w:eastAsia="Times New Roman" w:hAnsi="Times New Roman" w:cs="Times New Roman"/>
      <w:b/>
      <w:caps/>
      <w:sz w:val="26"/>
      <w:szCs w:val="20"/>
      <w:lang w:val="en-US"/>
    </w:rPr>
  </w:style>
  <w:style w:type="character" w:customStyle="1" w:styleId="Cmsor2Char">
    <w:name w:val="Címsor 2 Char"/>
    <w:basedOn w:val="Bekezdsalapbettpusa"/>
    <w:link w:val="Cmsor2"/>
    <w:rsid w:val="00956F16"/>
    <w:rPr>
      <w:rFonts w:ascii="Helvetica" w:eastAsia="Times New Roman" w:hAnsi="Helvetica" w:cs="Times New Roman"/>
      <w:b/>
      <w:i/>
      <w:sz w:val="24"/>
      <w:szCs w:val="20"/>
      <w:lang w:val="en-GB"/>
    </w:rPr>
  </w:style>
  <w:style w:type="character" w:customStyle="1" w:styleId="Cmsor3Char">
    <w:name w:val="Címsor 3 Char"/>
    <w:basedOn w:val="Bekezdsalapbettpusa"/>
    <w:link w:val="Cmsor3"/>
    <w:rsid w:val="00956F16"/>
    <w:rPr>
      <w:rFonts w:ascii="Times New Roman" w:eastAsia="Times New Roman" w:hAnsi="Times New Roman" w:cs="Times New Roman"/>
      <w:b/>
      <w:kern w:val="28"/>
      <w:sz w:val="24"/>
      <w:szCs w:val="20"/>
      <w:lang w:val="en-US"/>
    </w:rPr>
  </w:style>
  <w:style w:type="character" w:customStyle="1" w:styleId="Cmsor4Char">
    <w:name w:val="Címsor 4 Char"/>
    <w:basedOn w:val="Bekezdsalapbettpusa"/>
    <w:link w:val="Cmsor4"/>
    <w:rsid w:val="00956F16"/>
    <w:rPr>
      <w:rFonts w:ascii="Times New Roman" w:eastAsia="Times New Roman" w:hAnsi="Times New Roman" w:cs="Times New Roman"/>
      <w:b/>
      <w:noProof/>
      <w:szCs w:val="20"/>
      <w:lang w:val="en-GB"/>
    </w:rPr>
  </w:style>
  <w:style w:type="character" w:customStyle="1" w:styleId="Cmsor5Char">
    <w:name w:val="Címsor 5 Char"/>
    <w:basedOn w:val="Bekezdsalapbettpusa"/>
    <w:link w:val="Cmsor5"/>
    <w:rsid w:val="00956F16"/>
    <w:rPr>
      <w:rFonts w:ascii="Times New Roman" w:eastAsia="Times New Roman" w:hAnsi="Times New Roman" w:cs="Times New Roman"/>
      <w:noProof/>
      <w:szCs w:val="20"/>
      <w:lang w:val="en-GB"/>
    </w:rPr>
  </w:style>
  <w:style w:type="character" w:customStyle="1" w:styleId="Cmsor6Char">
    <w:name w:val="Címsor 6 Char"/>
    <w:basedOn w:val="Bekezdsalapbettpusa"/>
    <w:link w:val="Cmsor6"/>
    <w:rsid w:val="00956F16"/>
    <w:rPr>
      <w:rFonts w:ascii="Times New Roman" w:eastAsia="Times New Roman" w:hAnsi="Times New Roman" w:cs="Times New Roman"/>
      <w:i/>
      <w:szCs w:val="20"/>
      <w:lang w:val="en-GB"/>
    </w:rPr>
  </w:style>
  <w:style w:type="character" w:customStyle="1" w:styleId="Cmsor7Char">
    <w:name w:val="Címsor 7 Char"/>
    <w:basedOn w:val="Bekezdsalapbettpusa"/>
    <w:link w:val="Cmsor7"/>
    <w:rsid w:val="00956F16"/>
    <w:rPr>
      <w:rFonts w:ascii="Times New Roman" w:eastAsia="Times New Roman" w:hAnsi="Times New Roman" w:cs="Times New Roman"/>
      <w:i/>
      <w:szCs w:val="20"/>
      <w:lang w:val="en-GB"/>
    </w:rPr>
  </w:style>
  <w:style w:type="character" w:customStyle="1" w:styleId="Cmsor8Char">
    <w:name w:val="Címsor 8 Char"/>
    <w:basedOn w:val="Bekezdsalapbettpusa"/>
    <w:link w:val="Cmsor8"/>
    <w:rsid w:val="00956F16"/>
    <w:rPr>
      <w:rFonts w:ascii="Times New Roman" w:eastAsia="Times New Roman" w:hAnsi="Times New Roman" w:cs="Times New Roman"/>
      <w:b/>
      <w:i/>
      <w:szCs w:val="20"/>
      <w:lang w:val="en-GB"/>
    </w:rPr>
  </w:style>
  <w:style w:type="character" w:customStyle="1" w:styleId="Cmsor9Char">
    <w:name w:val="Címsor 9 Char"/>
    <w:basedOn w:val="Bekezdsalapbettpusa"/>
    <w:link w:val="Cmsor9"/>
    <w:rsid w:val="00956F16"/>
    <w:rPr>
      <w:rFonts w:ascii="Times New Roman" w:eastAsia="Times New Roman" w:hAnsi="Times New Roman" w:cs="Times New Roman"/>
      <w:b/>
      <w:i/>
      <w:szCs w:val="20"/>
      <w:lang w:val="en-GB"/>
    </w:rPr>
  </w:style>
  <w:style w:type="numbering" w:customStyle="1" w:styleId="Nemlista1">
    <w:name w:val="Nem lista1"/>
    <w:next w:val="Nemlista"/>
    <w:uiPriority w:val="99"/>
    <w:semiHidden/>
    <w:unhideWhenUsed/>
    <w:rsid w:val="00956F16"/>
  </w:style>
  <w:style w:type="paragraph" w:customStyle="1" w:styleId="Listaszerbekezds1">
    <w:name w:val="Listaszerű bekezdés1"/>
    <w:basedOn w:val="Norml"/>
    <w:next w:val="Listaszerbekezds"/>
    <w:uiPriority w:val="34"/>
    <w:qFormat/>
    <w:rsid w:val="00956F16"/>
    <w:pPr>
      <w:spacing w:after="160" w:line="259" w:lineRule="auto"/>
      <w:ind w:left="720"/>
      <w:contextualSpacing/>
    </w:pPr>
  </w:style>
  <w:style w:type="paragraph" w:styleId="Nincstrkz">
    <w:name w:val="No Spacing"/>
    <w:uiPriority w:val="1"/>
    <w:qFormat/>
    <w:rsid w:val="00956F16"/>
    <w:pPr>
      <w:spacing w:after="0" w:line="240" w:lineRule="auto"/>
    </w:pPr>
    <w:rPr>
      <w:rFonts w:ascii="Times New Roman" w:hAnsi="Times New Roman"/>
    </w:rPr>
  </w:style>
  <w:style w:type="table" w:styleId="Rcsostblzat">
    <w:name w:val="Table Grid"/>
    <w:basedOn w:val="Normltblzat"/>
    <w:uiPriority w:val="59"/>
    <w:rsid w:val="00956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rsid w:val="00956F16"/>
    <w:pPr>
      <w:tabs>
        <w:tab w:val="left" w:pos="567"/>
        <w:tab w:val="center" w:pos="4153"/>
        <w:tab w:val="right" w:pos="8306"/>
      </w:tabs>
      <w:spacing w:after="0" w:line="240" w:lineRule="auto"/>
    </w:pPr>
    <w:rPr>
      <w:rFonts w:ascii="Helvetica" w:eastAsia="Times New Roman" w:hAnsi="Helvetica" w:cs="Times New Roman"/>
      <w:sz w:val="20"/>
      <w:szCs w:val="20"/>
      <w:lang w:val="en-GB"/>
    </w:rPr>
  </w:style>
  <w:style w:type="character" w:customStyle="1" w:styleId="lfejChar">
    <w:name w:val="Élőfej Char"/>
    <w:basedOn w:val="Bekezdsalapbettpusa"/>
    <w:link w:val="lfej"/>
    <w:uiPriority w:val="99"/>
    <w:rsid w:val="00956F16"/>
    <w:rPr>
      <w:rFonts w:ascii="Helvetica" w:eastAsia="Times New Roman" w:hAnsi="Helvetica" w:cs="Times New Roman"/>
      <w:sz w:val="20"/>
      <w:szCs w:val="20"/>
      <w:lang w:val="en-GB"/>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rsid w:val="00956F16"/>
    <w:pPr>
      <w:tabs>
        <w:tab w:val="left" w:pos="567"/>
        <w:tab w:val="center" w:pos="4536"/>
        <w:tab w:val="center" w:pos="8930"/>
      </w:tabs>
      <w:spacing w:after="0" w:line="240" w:lineRule="auto"/>
    </w:pPr>
    <w:rPr>
      <w:rFonts w:ascii="Helvetica" w:eastAsia="Times New Roman" w:hAnsi="Helvetica" w:cs="Times New Roman"/>
      <w:sz w:val="16"/>
      <w:szCs w:val="20"/>
      <w:lang w:val="en-GB"/>
    </w:rPr>
  </w:style>
  <w:style w:type="character" w:customStyle="1" w:styleId="llbChar">
    <w:name w:val="Élőláb Char"/>
    <w:aliases w:val="Footer Char1 Char1,Footer Char2 Char Char2,Footer Char1 Char Char Char1,Élőláb Char Char Char Char Char1,Footer Char1 Char Char Char Char1 Char1,Footer Char2 Char Char1 Char Char Char Char1,Footer Char1 Char Char Char Char1 Char Char Char"/>
    <w:basedOn w:val="Bekezdsalapbettpusa"/>
    <w:link w:val="llb"/>
    <w:uiPriority w:val="99"/>
    <w:rsid w:val="00956F16"/>
    <w:rPr>
      <w:rFonts w:ascii="Helvetica" w:eastAsia="Times New Roman" w:hAnsi="Helvetica" w:cs="Times New Roman"/>
      <w:sz w:val="16"/>
      <w:szCs w:val="20"/>
      <w:lang w:val="en-GB"/>
    </w:rPr>
  </w:style>
  <w:style w:type="character" w:styleId="Oldalszm">
    <w:name w:val="page number"/>
    <w:basedOn w:val="Bekezdsalapbettpusa"/>
    <w:rsid w:val="00956F16"/>
  </w:style>
  <w:style w:type="paragraph" w:styleId="Szvegtrzsbehzssal">
    <w:name w:val="Body Text Indent"/>
    <w:basedOn w:val="Norml"/>
    <w:link w:val="SzvegtrzsbehzssalChar"/>
    <w:rsid w:val="00956F16"/>
    <w:pPr>
      <w:autoSpaceDE w:val="0"/>
      <w:autoSpaceDN w:val="0"/>
      <w:adjustRightInd w:val="0"/>
      <w:spacing w:after="0" w:line="240" w:lineRule="auto"/>
      <w:ind w:left="720"/>
      <w:jc w:val="both"/>
    </w:pPr>
    <w:rPr>
      <w:rFonts w:ascii="Times New Roman" w:eastAsia="Times New Roman" w:hAnsi="Times New Roman" w:cs="Times New Roman"/>
      <w:lang w:val="en-GB" w:eastAsia="en-GB"/>
    </w:rPr>
  </w:style>
  <w:style w:type="character" w:customStyle="1" w:styleId="SzvegtrzsbehzssalChar">
    <w:name w:val="Szövegtörzs behúzással Char"/>
    <w:basedOn w:val="Bekezdsalapbettpusa"/>
    <w:link w:val="Szvegtrzsbehzssal"/>
    <w:rsid w:val="00956F16"/>
    <w:rPr>
      <w:rFonts w:ascii="Times New Roman" w:eastAsia="Times New Roman" w:hAnsi="Times New Roman" w:cs="Times New Roman"/>
      <w:lang w:val="en-GB" w:eastAsia="en-GB"/>
    </w:rPr>
  </w:style>
  <w:style w:type="paragraph" w:styleId="Szvegtrzs3">
    <w:name w:val="Body Text 3"/>
    <w:basedOn w:val="Norml"/>
    <w:link w:val="Szvegtrzs3Char"/>
    <w:rsid w:val="00956F16"/>
    <w:pPr>
      <w:autoSpaceDE w:val="0"/>
      <w:autoSpaceDN w:val="0"/>
      <w:adjustRightInd w:val="0"/>
      <w:spacing w:after="0" w:line="240" w:lineRule="auto"/>
      <w:jc w:val="both"/>
    </w:pPr>
    <w:rPr>
      <w:rFonts w:ascii="Times New Roman" w:eastAsia="Times New Roman" w:hAnsi="Times New Roman" w:cs="Times New Roman"/>
      <w:color w:val="0000FF"/>
      <w:lang w:val="en-GB" w:eastAsia="en-GB"/>
    </w:rPr>
  </w:style>
  <w:style w:type="character" w:customStyle="1" w:styleId="Szvegtrzs3Char">
    <w:name w:val="Szövegtörzs 3 Char"/>
    <w:basedOn w:val="Bekezdsalapbettpusa"/>
    <w:link w:val="Szvegtrzs3"/>
    <w:rsid w:val="00956F16"/>
    <w:rPr>
      <w:rFonts w:ascii="Times New Roman" w:eastAsia="Times New Roman" w:hAnsi="Times New Roman" w:cs="Times New Roman"/>
      <w:color w:val="0000FF"/>
      <w:lang w:val="en-GB" w:eastAsia="en-GB"/>
    </w:rPr>
  </w:style>
  <w:style w:type="paragraph" w:styleId="Szvegtrzsbehzssal2">
    <w:name w:val="Body Text Indent 2"/>
    <w:basedOn w:val="Norml"/>
    <w:link w:val="Szvegtrzsbehzssal2Char"/>
    <w:rsid w:val="00956F16"/>
    <w:pPr>
      <w:pBdr>
        <w:top w:val="wave" w:sz="6" w:space="0" w:color="auto"/>
        <w:left w:val="wave" w:sz="6" w:space="3" w:color="auto"/>
        <w:bottom w:val="wave" w:sz="6" w:space="1" w:color="auto"/>
        <w:right w:val="wave" w:sz="6" w:space="4" w:color="auto"/>
      </w:pBdr>
      <w:tabs>
        <w:tab w:val="left" w:pos="567"/>
      </w:tabs>
      <w:autoSpaceDE w:val="0"/>
      <w:autoSpaceDN w:val="0"/>
      <w:adjustRightInd w:val="0"/>
      <w:spacing w:after="0" w:line="260" w:lineRule="exact"/>
      <w:ind w:left="1134"/>
      <w:jc w:val="both"/>
    </w:pPr>
    <w:rPr>
      <w:rFonts w:ascii="Times New Roman" w:eastAsia="Times New Roman" w:hAnsi="Times New Roman" w:cs="Times New Roman"/>
      <w:b/>
      <w:bCs/>
      <w:color w:val="0000FF"/>
      <w:lang w:val="en-GB"/>
    </w:rPr>
  </w:style>
  <w:style w:type="character" w:customStyle="1" w:styleId="Szvegtrzsbehzssal2Char">
    <w:name w:val="Szövegtörzs behúzással 2 Char"/>
    <w:basedOn w:val="Bekezdsalapbettpusa"/>
    <w:link w:val="Szvegtrzsbehzssal2"/>
    <w:rsid w:val="00956F16"/>
    <w:rPr>
      <w:rFonts w:ascii="Times New Roman" w:eastAsia="Times New Roman" w:hAnsi="Times New Roman" w:cs="Times New Roman"/>
      <w:b/>
      <w:bCs/>
      <w:color w:val="0000FF"/>
      <w:lang w:val="en-GB"/>
    </w:rPr>
  </w:style>
  <w:style w:type="paragraph" w:styleId="Szvegtrzs">
    <w:name w:val="Body Text"/>
    <w:basedOn w:val="Norml"/>
    <w:link w:val="SzvegtrzsChar"/>
    <w:rsid w:val="00956F16"/>
    <w:pPr>
      <w:spacing w:after="0" w:line="240" w:lineRule="auto"/>
    </w:pPr>
    <w:rPr>
      <w:rFonts w:ascii="Times New Roman" w:eastAsia="Times New Roman" w:hAnsi="Times New Roman" w:cs="Times New Roman"/>
      <w:i/>
      <w:color w:val="008000"/>
      <w:szCs w:val="20"/>
      <w:lang w:val="en-GB"/>
    </w:rPr>
  </w:style>
  <w:style w:type="character" w:customStyle="1" w:styleId="SzvegtrzsChar">
    <w:name w:val="Szövegtörzs Char"/>
    <w:basedOn w:val="Bekezdsalapbettpusa"/>
    <w:link w:val="Szvegtrzs"/>
    <w:rsid w:val="00956F16"/>
    <w:rPr>
      <w:rFonts w:ascii="Times New Roman" w:eastAsia="Times New Roman" w:hAnsi="Times New Roman" w:cs="Times New Roman"/>
      <w:i/>
      <w:color w:val="008000"/>
      <w:szCs w:val="20"/>
      <w:lang w:val="en-GB"/>
    </w:rPr>
  </w:style>
  <w:style w:type="paragraph" w:styleId="Szvegtrzs2">
    <w:name w:val="Body Text 2"/>
    <w:basedOn w:val="Norml"/>
    <w:link w:val="Szvegtrzs2Char"/>
    <w:rsid w:val="00956F16"/>
    <w:pPr>
      <w:pBdr>
        <w:top w:val="wave" w:sz="6" w:space="0" w:color="auto"/>
        <w:left w:val="wave" w:sz="6" w:space="3" w:color="auto"/>
        <w:bottom w:val="wave" w:sz="6" w:space="1" w:color="auto"/>
        <w:right w:val="wave" w:sz="6" w:space="4" w:color="auto"/>
      </w:pBdr>
      <w:tabs>
        <w:tab w:val="left" w:pos="567"/>
      </w:tabs>
      <w:autoSpaceDE w:val="0"/>
      <w:autoSpaceDN w:val="0"/>
      <w:adjustRightInd w:val="0"/>
      <w:spacing w:after="0" w:line="260" w:lineRule="exact"/>
      <w:jc w:val="both"/>
    </w:pPr>
    <w:rPr>
      <w:rFonts w:ascii="Times New Roman" w:eastAsia="Times New Roman" w:hAnsi="Times New Roman" w:cs="Times New Roman"/>
      <w:b/>
      <w:bCs/>
      <w:color w:val="0000FF"/>
      <w:u w:val="single"/>
      <w:lang w:val="en-GB"/>
    </w:rPr>
  </w:style>
  <w:style w:type="character" w:customStyle="1" w:styleId="Szvegtrzs2Char">
    <w:name w:val="Szövegtörzs 2 Char"/>
    <w:basedOn w:val="Bekezdsalapbettpusa"/>
    <w:link w:val="Szvegtrzs2"/>
    <w:rsid w:val="00956F16"/>
    <w:rPr>
      <w:rFonts w:ascii="Times New Roman" w:eastAsia="Times New Roman" w:hAnsi="Times New Roman" w:cs="Times New Roman"/>
      <w:b/>
      <w:bCs/>
      <w:color w:val="0000FF"/>
      <w:u w:val="single"/>
      <w:lang w:val="en-GB"/>
    </w:rPr>
  </w:style>
  <w:style w:type="character" w:styleId="Jegyzethivatkozs">
    <w:name w:val="annotation reference"/>
    <w:semiHidden/>
    <w:rsid w:val="00956F16"/>
    <w:rPr>
      <w:sz w:val="16"/>
      <w:szCs w:val="16"/>
    </w:rPr>
  </w:style>
  <w:style w:type="paragraph" w:styleId="Jegyzetszveg">
    <w:name w:val="annotation text"/>
    <w:basedOn w:val="Norml"/>
    <w:link w:val="JegyzetszvegChar"/>
    <w:uiPriority w:val="99"/>
    <w:semiHidden/>
    <w:rsid w:val="00956F16"/>
    <w:pPr>
      <w:tabs>
        <w:tab w:val="left" w:pos="567"/>
      </w:tabs>
      <w:spacing w:after="0" w:line="260" w:lineRule="exact"/>
    </w:pPr>
    <w:rPr>
      <w:rFonts w:ascii="Times New Roman" w:eastAsia="Times New Roman" w:hAnsi="Times New Roman" w:cs="Times New Roman"/>
      <w:sz w:val="20"/>
      <w:szCs w:val="20"/>
      <w:lang w:val="en-GB"/>
    </w:rPr>
  </w:style>
  <w:style w:type="character" w:customStyle="1" w:styleId="JegyzetszvegChar">
    <w:name w:val="Jegyzetszöveg Char"/>
    <w:basedOn w:val="Bekezdsalapbettpusa"/>
    <w:link w:val="Jegyzetszveg"/>
    <w:uiPriority w:val="99"/>
    <w:semiHidden/>
    <w:rsid w:val="00956F16"/>
    <w:rPr>
      <w:rFonts w:ascii="Times New Roman" w:eastAsia="Times New Roman" w:hAnsi="Times New Roman" w:cs="Times New Roman"/>
      <w:sz w:val="20"/>
      <w:szCs w:val="20"/>
      <w:lang w:val="en-GB"/>
    </w:rPr>
  </w:style>
  <w:style w:type="paragraph" w:customStyle="1" w:styleId="EMEAEnBodyText">
    <w:name w:val="EMEA En Body Text"/>
    <w:basedOn w:val="Norml"/>
    <w:rsid w:val="00956F16"/>
    <w:pPr>
      <w:spacing w:before="120" w:after="120" w:line="240" w:lineRule="auto"/>
      <w:jc w:val="both"/>
    </w:pPr>
    <w:rPr>
      <w:rFonts w:ascii="Times New Roman" w:eastAsia="Times New Roman" w:hAnsi="Times New Roman" w:cs="Times New Roman"/>
      <w:szCs w:val="20"/>
      <w:lang w:val="en-US"/>
    </w:rPr>
  </w:style>
  <w:style w:type="paragraph" w:styleId="Dokumentumtrkp">
    <w:name w:val="Document Map"/>
    <w:basedOn w:val="Norml"/>
    <w:link w:val="DokumentumtrkpChar"/>
    <w:semiHidden/>
    <w:rsid w:val="00956F16"/>
    <w:pPr>
      <w:shd w:val="clear" w:color="auto" w:fill="000080"/>
      <w:tabs>
        <w:tab w:val="left" w:pos="567"/>
      </w:tabs>
      <w:spacing w:after="0" w:line="260" w:lineRule="exact"/>
    </w:pPr>
    <w:rPr>
      <w:rFonts w:ascii="Tahoma" w:eastAsia="Times New Roman" w:hAnsi="Tahoma" w:cs="Tahoma"/>
      <w:szCs w:val="20"/>
      <w:lang w:val="en-GB"/>
    </w:rPr>
  </w:style>
  <w:style w:type="character" w:customStyle="1" w:styleId="DokumentumtrkpChar">
    <w:name w:val="Dokumentumtérkép Char"/>
    <w:basedOn w:val="Bekezdsalapbettpusa"/>
    <w:link w:val="Dokumentumtrkp"/>
    <w:semiHidden/>
    <w:rsid w:val="00956F16"/>
    <w:rPr>
      <w:rFonts w:ascii="Tahoma" w:eastAsia="Times New Roman" w:hAnsi="Tahoma" w:cs="Tahoma"/>
      <w:szCs w:val="20"/>
      <w:shd w:val="clear" w:color="auto" w:fill="000080"/>
      <w:lang w:val="en-GB"/>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956F16"/>
    <w:rPr>
      <w:color w:val="0000FF"/>
      <w:u w:val="single"/>
    </w:rPr>
  </w:style>
  <w:style w:type="paragraph" w:customStyle="1" w:styleId="AHeader1">
    <w:name w:val="AHeader 1"/>
    <w:basedOn w:val="Norml"/>
    <w:rsid w:val="00956F16"/>
    <w:pPr>
      <w:numPr>
        <w:numId w:val="8"/>
      </w:numPr>
      <w:spacing w:after="120" w:line="240" w:lineRule="auto"/>
    </w:pPr>
    <w:rPr>
      <w:rFonts w:ascii="Arial" w:eastAsia="Times New Roman" w:hAnsi="Arial" w:cs="Arial"/>
      <w:b/>
      <w:bCs/>
      <w:sz w:val="24"/>
      <w:szCs w:val="20"/>
      <w:lang w:val="en-GB"/>
    </w:rPr>
  </w:style>
  <w:style w:type="paragraph" w:customStyle="1" w:styleId="AHeader2">
    <w:name w:val="AHeader 2"/>
    <w:basedOn w:val="AHeader1"/>
    <w:rsid w:val="00956F16"/>
    <w:pPr>
      <w:numPr>
        <w:ilvl w:val="1"/>
      </w:numPr>
      <w:tabs>
        <w:tab w:val="clear" w:pos="709"/>
        <w:tab w:val="num" w:pos="360"/>
      </w:tabs>
    </w:pPr>
    <w:rPr>
      <w:sz w:val="22"/>
    </w:rPr>
  </w:style>
  <w:style w:type="paragraph" w:customStyle="1" w:styleId="AHeader3">
    <w:name w:val="AHeader 3"/>
    <w:basedOn w:val="AHeader2"/>
    <w:rsid w:val="00956F16"/>
    <w:pPr>
      <w:numPr>
        <w:ilvl w:val="2"/>
      </w:numPr>
      <w:tabs>
        <w:tab w:val="clear" w:pos="1276"/>
        <w:tab w:val="num" w:pos="360"/>
      </w:tabs>
    </w:pPr>
  </w:style>
  <w:style w:type="paragraph" w:customStyle="1" w:styleId="AHeader2abc">
    <w:name w:val="AHeader 2 abc"/>
    <w:basedOn w:val="AHeader3"/>
    <w:rsid w:val="00956F16"/>
    <w:pPr>
      <w:numPr>
        <w:ilvl w:val="3"/>
      </w:numPr>
      <w:tabs>
        <w:tab w:val="clear" w:pos="1276"/>
        <w:tab w:val="num" w:pos="360"/>
      </w:tabs>
      <w:jc w:val="both"/>
    </w:pPr>
    <w:rPr>
      <w:b w:val="0"/>
      <w:bCs w:val="0"/>
    </w:rPr>
  </w:style>
  <w:style w:type="paragraph" w:customStyle="1" w:styleId="AHeader3abc">
    <w:name w:val="AHeader 3 abc"/>
    <w:basedOn w:val="AHeader2abc"/>
    <w:rsid w:val="00956F16"/>
    <w:pPr>
      <w:numPr>
        <w:ilvl w:val="4"/>
      </w:numPr>
      <w:tabs>
        <w:tab w:val="clear" w:pos="1701"/>
        <w:tab w:val="num" w:pos="360"/>
      </w:tabs>
    </w:pPr>
  </w:style>
  <w:style w:type="paragraph" w:styleId="Szvegtrzsbehzssal3">
    <w:name w:val="Body Text Indent 3"/>
    <w:basedOn w:val="Norml"/>
    <w:link w:val="Szvegtrzsbehzssal3Char"/>
    <w:rsid w:val="00956F16"/>
    <w:pPr>
      <w:tabs>
        <w:tab w:val="left" w:pos="567"/>
        <w:tab w:val="left" w:pos="1134"/>
      </w:tabs>
      <w:autoSpaceDE w:val="0"/>
      <w:autoSpaceDN w:val="0"/>
      <w:adjustRightInd w:val="0"/>
      <w:spacing w:after="0" w:line="260" w:lineRule="exact"/>
      <w:ind w:left="633"/>
      <w:jc w:val="both"/>
    </w:pPr>
    <w:rPr>
      <w:rFonts w:ascii="Times New Roman" w:eastAsia="Times New Roman" w:hAnsi="Times New Roman" w:cs="Times New Roman"/>
      <w:szCs w:val="21"/>
      <w:lang w:val="en-GB"/>
    </w:rPr>
  </w:style>
  <w:style w:type="character" w:customStyle="1" w:styleId="Szvegtrzsbehzssal3Char">
    <w:name w:val="Szövegtörzs behúzással 3 Char"/>
    <w:basedOn w:val="Bekezdsalapbettpusa"/>
    <w:link w:val="Szvegtrzsbehzssal3"/>
    <w:rsid w:val="00956F16"/>
    <w:rPr>
      <w:rFonts w:ascii="Times New Roman" w:eastAsia="Times New Roman" w:hAnsi="Times New Roman" w:cs="Times New Roman"/>
      <w:szCs w:val="21"/>
      <w:lang w:val="en-GB"/>
    </w:rPr>
  </w:style>
  <w:style w:type="character" w:styleId="Mrltotthiperhivatkozs">
    <w:name w:val="FollowedHyperlink"/>
    <w:rsid w:val="00956F16"/>
    <w:rPr>
      <w:color w:val="800080"/>
      <w:u w:val="single"/>
    </w:rPr>
  </w:style>
  <w:style w:type="paragraph" w:customStyle="1" w:styleId="Default">
    <w:name w:val="Default"/>
    <w:rsid w:val="00956F16"/>
    <w:pPr>
      <w:autoSpaceDE w:val="0"/>
      <w:autoSpaceDN w:val="0"/>
      <w:adjustRightInd w:val="0"/>
      <w:spacing w:after="0" w:line="240" w:lineRule="auto"/>
    </w:pPr>
    <w:rPr>
      <w:rFonts w:ascii="Times New Roman" w:eastAsia="Times New Roman" w:hAnsi="Times New Roman" w:cs="Times New Roman"/>
      <w:sz w:val="20"/>
      <w:szCs w:val="20"/>
      <w:lang w:val="en-US"/>
    </w:rPr>
  </w:style>
  <w:style w:type="paragraph" w:styleId="Buborkszveg">
    <w:name w:val="Balloon Text"/>
    <w:basedOn w:val="Norml"/>
    <w:link w:val="BuborkszvegChar"/>
    <w:uiPriority w:val="99"/>
    <w:semiHidden/>
    <w:rsid w:val="00956F16"/>
    <w:pPr>
      <w:tabs>
        <w:tab w:val="left" w:pos="567"/>
      </w:tabs>
      <w:spacing w:after="0" w:line="260" w:lineRule="exact"/>
    </w:pPr>
    <w:rPr>
      <w:rFonts w:ascii="Tahoma" w:eastAsia="Times New Roman" w:hAnsi="Tahoma" w:cs="Tahoma"/>
      <w:sz w:val="16"/>
      <w:szCs w:val="16"/>
      <w:lang w:val="en-GB"/>
    </w:rPr>
  </w:style>
  <w:style w:type="character" w:customStyle="1" w:styleId="BuborkszvegChar">
    <w:name w:val="Buborékszöveg Char"/>
    <w:basedOn w:val="Bekezdsalapbettpusa"/>
    <w:link w:val="Buborkszveg"/>
    <w:uiPriority w:val="99"/>
    <w:semiHidden/>
    <w:rsid w:val="00956F16"/>
    <w:rPr>
      <w:rFonts w:ascii="Tahoma" w:eastAsia="Times New Roman" w:hAnsi="Tahoma" w:cs="Tahoma"/>
      <w:sz w:val="16"/>
      <w:szCs w:val="16"/>
      <w:lang w:val="en-GB"/>
    </w:rPr>
  </w:style>
  <w:style w:type="paragraph" w:styleId="Megjegyzstrgya">
    <w:name w:val="annotation subject"/>
    <w:basedOn w:val="Jegyzetszveg"/>
    <w:next w:val="Jegyzetszveg"/>
    <w:link w:val="MegjegyzstrgyaChar"/>
    <w:uiPriority w:val="99"/>
    <w:semiHidden/>
    <w:rsid w:val="00956F16"/>
    <w:rPr>
      <w:b/>
      <w:bCs/>
    </w:rPr>
  </w:style>
  <w:style w:type="character" w:customStyle="1" w:styleId="MegjegyzstrgyaChar">
    <w:name w:val="Megjegyzés tárgya Char"/>
    <w:basedOn w:val="JegyzetszvegChar"/>
    <w:link w:val="Megjegyzstrgya"/>
    <w:uiPriority w:val="99"/>
    <w:semiHidden/>
    <w:rsid w:val="00956F16"/>
    <w:rPr>
      <w:rFonts w:ascii="Times New Roman" w:eastAsia="Times New Roman" w:hAnsi="Times New Roman" w:cs="Times New Roman"/>
      <w:b/>
      <w:bCs/>
      <w:sz w:val="20"/>
      <w:szCs w:val="20"/>
      <w:lang w:val="en-GB"/>
    </w:rPr>
  </w:style>
  <w:style w:type="paragraph" w:customStyle="1" w:styleId="BodytextAgency">
    <w:name w:val="Body text (Agency)"/>
    <w:basedOn w:val="Norml"/>
    <w:link w:val="BodytextAgencyChar"/>
    <w:rsid w:val="00956F16"/>
    <w:pPr>
      <w:spacing w:after="140" w:line="280" w:lineRule="atLeast"/>
    </w:pPr>
    <w:rPr>
      <w:rFonts w:ascii="Verdana" w:eastAsia="Verdana" w:hAnsi="Verdana" w:cs="Verdana"/>
      <w:sz w:val="18"/>
      <w:szCs w:val="18"/>
      <w:lang w:val="en-GB" w:eastAsia="en-GB"/>
    </w:rPr>
  </w:style>
  <w:style w:type="character" w:customStyle="1" w:styleId="BodytextAgencyChar">
    <w:name w:val="Body text (Agency) Char"/>
    <w:link w:val="BodytextAgency"/>
    <w:rsid w:val="00956F16"/>
    <w:rPr>
      <w:rFonts w:ascii="Verdana" w:eastAsia="Verdana" w:hAnsi="Verdana" w:cs="Verdana"/>
      <w:sz w:val="18"/>
      <w:szCs w:val="18"/>
      <w:lang w:val="en-GB" w:eastAsia="en-GB"/>
    </w:rPr>
  </w:style>
  <w:style w:type="numbering" w:customStyle="1" w:styleId="NoList1">
    <w:name w:val="No List1"/>
    <w:next w:val="Nemlista"/>
    <w:uiPriority w:val="99"/>
    <w:semiHidden/>
    <w:unhideWhenUsed/>
    <w:rsid w:val="00956F16"/>
  </w:style>
  <w:style w:type="paragraph" w:styleId="Vltozat">
    <w:name w:val="Revision"/>
    <w:hidden/>
    <w:uiPriority w:val="99"/>
    <w:semiHidden/>
    <w:rsid w:val="00956F16"/>
    <w:pPr>
      <w:spacing w:after="0" w:line="240" w:lineRule="auto"/>
    </w:pPr>
    <w:rPr>
      <w:rFonts w:ascii="Calibri" w:eastAsia="Times New Roman" w:hAnsi="Calibri" w:cs="Times New Roman"/>
      <w:lang w:val="en-GB" w:eastAsia="en-GB"/>
    </w:rPr>
  </w:style>
  <w:style w:type="paragraph" w:styleId="NormlWeb">
    <w:name w:val="Normal (Web)"/>
    <w:basedOn w:val="Norml"/>
    <w:uiPriority w:val="99"/>
    <w:unhideWhenUsed/>
    <w:rsid w:val="00956F16"/>
    <w:pPr>
      <w:spacing w:after="143" w:line="240" w:lineRule="auto"/>
    </w:pPr>
    <w:rPr>
      <w:rFonts w:ascii="Times New Roman" w:eastAsia="Times New Roman" w:hAnsi="Times New Roman" w:cs="Times New Roman"/>
      <w:sz w:val="24"/>
      <w:szCs w:val="24"/>
      <w:lang w:val="en-GB" w:eastAsia="en-GB"/>
    </w:rPr>
  </w:style>
  <w:style w:type="character" w:customStyle="1" w:styleId="FooterChar">
    <w:name w:val="Footer Char"/>
    <w:aliases w:val="Footer Char2 Char Char,Footer Char1 Char Char Char Char,Footer Char1 Char Char Char Char Char Char"/>
    <w:uiPriority w:val="99"/>
    <w:rsid w:val="00956F16"/>
    <w:rPr>
      <w:rFonts w:ascii="Times New Roman" w:hAnsi="Times New Roman" w:cs="Times New Roman"/>
      <w:snapToGrid w:val="0"/>
      <w:sz w:val="22"/>
      <w:szCs w:val="22"/>
      <w:lang w:val="en-GB" w:eastAsia="x-none"/>
    </w:rPr>
  </w:style>
  <w:style w:type="paragraph" w:styleId="Listaszerbekezds">
    <w:name w:val="List Paragraph"/>
    <w:basedOn w:val="Norml"/>
    <w:uiPriority w:val="34"/>
    <w:qFormat/>
    <w:rsid w:val="00956F16"/>
    <w:pPr>
      <w:ind w:left="720"/>
      <w:contextualSpacing/>
    </w:pPr>
  </w:style>
  <w:style w:type="table" w:customStyle="1" w:styleId="Rcsostblzat1">
    <w:name w:val="Rácsos táblázat1"/>
    <w:basedOn w:val="Normltblzat"/>
    <w:next w:val="Rcsostblzat"/>
    <w:rsid w:val="009D4E80"/>
    <w:pPr>
      <w:spacing w:after="0" w:line="240" w:lineRule="auto"/>
    </w:pPr>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2">
    <w:name w:val="Rácsos táblázat2"/>
    <w:basedOn w:val="Normltblzat"/>
    <w:next w:val="Rcsostblzat"/>
    <w:rsid w:val="005A0090"/>
    <w:pPr>
      <w:spacing w:after="0" w:line="240" w:lineRule="auto"/>
    </w:pPr>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csostblzat3">
    <w:name w:val="Rácsos táblázat3"/>
    <w:basedOn w:val="Normltblzat"/>
    <w:next w:val="Rcsostblzat"/>
    <w:rsid w:val="00563904"/>
    <w:pPr>
      <w:spacing w:after="0" w:line="240" w:lineRule="auto"/>
    </w:pPr>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Bekezdsalapbettpusa"/>
    <w:rsid w:val="00563904"/>
  </w:style>
  <w:style w:type="table" w:customStyle="1" w:styleId="Rcsostblzat4">
    <w:name w:val="Rácsos táblázat4"/>
    <w:basedOn w:val="Normltblzat"/>
    <w:next w:val="Rcsostblzat"/>
    <w:rsid w:val="004541A6"/>
    <w:pPr>
      <w:spacing w:after="0" w:line="240" w:lineRule="auto"/>
    </w:pPr>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9B107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0926510">
      <w:bodyDiv w:val="1"/>
      <w:marLeft w:val="0"/>
      <w:marRight w:val="0"/>
      <w:marTop w:val="0"/>
      <w:marBottom w:val="0"/>
      <w:divBdr>
        <w:top w:val="none" w:sz="0" w:space="0" w:color="auto"/>
        <w:left w:val="none" w:sz="0" w:space="0" w:color="auto"/>
        <w:bottom w:val="none" w:sz="0" w:space="0" w:color="auto"/>
        <w:right w:val="none" w:sz="0" w:space="0" w:color="auto"/>
      </w:divBdr>
    </w:div>
    <w:div w:id="778254115">
      <w:bodyDiv w:val="1"/>
      <w:marLeft w:val="0"/>
      <w:marRight w:val="0"/>
      <w:marTop w:val="0"/>
      <w:marBottom w:val="0"/>
      <w:divBdr>
        <w:top w:val="none" w:sz="0" w:space="0" w:color="auto"/>
        <w:left w:val="none" w:sz="0" w:space="0" w:color="auto"/>
        <w:bottom w:val="none" w:sz="0" w:space="0" w:color="auto"/>
        <w:right w:val="none" w:sz="0" w:space="0" w:color="auto"/>
      </w:divBdr>
    </w:div>
    <w:div w:id="181305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1040F-0630-4765-8E51-C9F733E3D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67</Pages>
  <Words>24437</Words>
  <Characters>168623</Characters>
  <Application>Microsoft Office Word</Application>
  <DocSecurity>0</DocSecurity>
  <Lines>1405</Lines>
  <Paragraphs>385</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192675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Vanda Városi</dc:creator>
  <cp:lastModifiedBy>HU_NNGYK_56.1</cp:lastModifiedBy>
  <cp:revision>2</cp:revision>
  <dcterms:created xsi:type="dcterms:W3CDTF">2026-07-24T11:41:00Z</dcterms:created>
  <dcterms:modified xsi:type="dcterms:W3CDTF">2026-07-24T11:41:00Z</dcterms:modified>
</cp:coreProperties>
</file>