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A9024" w14:textId="77777777" w:rsidR="00B911F8" w:rsidRDefault="00B7743C">
      <w:pPr>
        <w:widowControl w:val="0"/>
        <w:spacing w:line="240" w:lineRule="auto"/>
        <w:rPr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29892E3" w14:textId="77777777" w:rsidR="00B911F8" w:rsidRDefault="00B911F8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47F831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Valtricom 5 mg/160 mg/12,5 mg filmtabletta</w:t>
      </w:r>
    </w:p>
    <w:p w14:paraId="6E092E97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Valtricom 10 mg/160 mg/12,5 mg filmtabletta</w:t>
      </w:r>
    </w:p>
    <w:p w14:paraId="714D38EF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Valtricom 5 mg/160 mg/25 mg filmtabletta</w:t>
      </w:r>
    </w:p>
    <w:p w14:paraId="3A8E2030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Valtricom 10 mg/160 mg/25 mg filmtabletta</w:t>
      </w:r>
    </w:p>
    <w:p w14:paraId="7975928C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Valtricom 10 mg/320 mg/25 mg filmtabletta</w:t>
      </w:r>
    </w:p>
    <w:p w14:paraId="2E83FF25" w14:textId="77777777" w:rsidR="00B911F8" w:rsidRDefault="00B911F8">
      <w:pPr>
        <w:spacing w:line="240" w:lineRule="auto"/>
        <w:rPr>
          <w:lang w:val="hu-HU"/>
        </w:rPr>
      </w:pPr>
    </w:p>
    <w:p w14:paraId="18DFF2B4" w14:textId="77777777" w:rsidR="00B911F8" w:rsidRDefault="00B911F8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6EA912" w14:textId="77777777" w:rsidR="00B911F8" w:rsidRDefault="00B7743C">
      <w:pPr>
        <w:widowControl w:val="0"/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>
        <w:rPr>
          <w:b/>
          <w:lang w:val="hu-HU"/>
        </w:rPr>
        <w:tab/>
        <w:t>MINŐSÉGI ÉS MENNYISÉGI ÖSSZETÉTEL</w:t>
      </w:r>
    </w:p>
    <w:p w14:paraId="4A5914E5" w14:textId="77777777" w:rsidR="00B911F8" w:rsidRDefault="00B911F8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6836A9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Valtricom</w:t>
      </w:r>
      <w:r>
        <w:rPr>
          <w:snapToGrid/>
          <w:szCs w:val="22"/>
          <w:u w:val="single"/>
          <w:lang w:val="hu-HU" w:eastAsia="hu-HU"/>
        </w:rPr>
        <w:t xml:space="preserve"> 5 mg/160 mg/12,5 mg filmtabletta</w:t>
      </w:r>
    </w:p>
    <w:p w14:paraId="0A9DBF3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5 mg amlodipint (amlodipin-bezilát formájában), 160 mg valzartánt és 12,5 mg hidroklorotiazidot tartalmaz filmtablettánként.</w:t>
      </w:r>
    </w:p>
    <w:p w14:paraId="60BD3A9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Valtricom 10 mg/160 mg/12,5 mg filmtabletta</w:t>
      </w:r>
    </w:p>
    <w:p w14:paraId="567E2AC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10 mg amlodipint (amlodipin-bezilát formájában), 160 mg valzartánt és 12,5 mg hidroklorotiazidot tartalmaz filmtablettánként.</w:t>
      </w:r>
    </w:p>
    <w:p w14:paraId="413C897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Valtricom 5 mg/160 mg/25 mg filmtabletta</w:t>
      </w:r>
    </w:p>
    <w:p w14:paraId="4A7233E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5 mg amlodipint (amlodipin-bezilát formájában), 160 mg valzartánt és 25 mg hidroklorotiazidot tartalmaz filmtablettánként.</w:t>
      </w:r>
    </w:p>
    <w:p w14:paraId="1A3F16E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Valtricom 10 mg/160 mg/25 mg filmtabletta</w:t>
      </w:r>
    </w:p>
    <w:p w14:paraId="015EE69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10 mg amlodipint (amlodipin-bezilát formájában), 160 mg valzartánt és 25 mg hidroklorotiazidot tartalmaz filmtablettánként.</w:t>
      </w:r>
    </w:p>
    <w:p w14:paraId="30C1626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Valtricom 10 mg/320 mg/25 mg filmtabletta</w:t>
      </w:r>
    </w:p>
    <w:p w14:paraId="05E82B8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10 mg amlodipint (amlodipin-bezilát formájában), 320 mg valzartánt és 25 mg hidroklorotiazidot tartalmaz filmtablettánként.</w:t>
      </w:r>
    </w:p>
    <w:p w14:paraId="36DAF542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8FFB5F1" w14:textId="77777777" w:rsidR="00B911F8" w:rsidRDefault="00B7743C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snapToGrid/>
          <w:szCs w:val="22"/>
          <w:lang w:val="hu-HU" w:eastAsia="hu-HU"/>
        </w:rPr>
        <w:t>A segédanyagok teljes listáját lásd a 6.1 pontban.</w:t>
      </w:r>
    </w:p>
    <w:p w14:paraId="54F388F6" w14:textId="77777777" w:rsidR="00B911F8" w:rsidRDefault="00B911F8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u w:val="single"/>
          <w:lang w:val="hu-HU"/>
        </w:rPr>
      </w:pPr>
    </w:p>
    <w:p w14:paraId="1DDA17DE" w14:textId="77777777" w:rsidR="00B911F8" w:rsidRDefault="00B911F8">
      <w:pPr>
        <w:widowControl w:val="0"/>
        <w:spacing w:line="240" w:lineRule="auto"/>
        <w:rPr>
          <w:b/>
          <w:lang w:val="hu-HU"/>
        </w:rPr>
      </w:pPr>
    </w:p>
    <w:p w14:paraId="52D25299" w14:textId="77777777" w:rsidR="00B911F8" w:rsidRDefault="00B7743C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69B7A533" w14:textId="77777777" w:rsidR="00B911F8" w:rsidRDefault="00B911F8">
      <w:pPr>
        <w:spacing w:line="240" w:lineRule="auto"/>
        <w:ind w:left="567" w:hanging="567"/>
        <w:rPr>
          <w:b/>
          <w:lang w:val="hu-HU"/>
        </w:rPr>
      </w:pPr>
    </w:p>
    <w:p w14:paraId="45498BC4" w14:textId="77777777" w:rsidR="00B911F8" w:rsidRDefault="00B7743C">
      <w:pPr>
        <w:spacing w:line="240" w:lineRule="auto"/>
        <w:ind w:left="567" w:hanging="567"/>
        <w:rPr>
          <w:lang w:val="hu-HU" w:eastAsia="en-US"/>
        </w:rPr>
      </w:pPr>
      <w:r>
        <w:rPr>
          <w:lang w:val="hu-HU" w:eastAsia="en-US"/>
        </w:rPr>
        <w:t>Filmtabletta (tabletta).</w:t>
      </w:r>
    </w:p>
    <w:p w14:paraId="3183A9CF" w14:textId="77777777" w:rsidR="00B911F8" w:rsidRDefault="00B911F8">
      <w:pPr>
        <w:spacing w:line="240" w:lineRule="auto"/>
        <w:ind w:left="567" w:hanging="567"/>
        <w:rPr>
          <w:lang w:val="hu-HU" w:eastAsia="en-US"/>
        </w:rPr>
      </w:pPr>
    </w:p>
    <w:p w14:paraId="2316283E" w14:textId="77777777" w:rsidR="00B911F8" w:rsidRDefault="00B7743C">
      <w:pPr>
        <w:spacing w:line="240" w:lineRule="auto"/>
        <w:ind w:left="567" w:hanging="567"/>
        <w:rPr>
          <w:u w:val="single"/>
          <w:lang w:val="hu-HU" w:eastAsia="en-US"/>
        </w:rPr>
      </w:pPr>
      <w:r>
        <w:rPr>
          <w:u w:val="single"/>
          <w:lang w:val="hu-HU" w:eastAsia="en-US"/>
        </w:rPr>
        <w:t>Valtricom 5 mg/160 mg/12,5 mg filmtabletta:</w:t>
      </w:r>
    </w:p>
    <w:p w14:paraId="24129549" w14:textId="77777777" w:rsidR="00B911F8" w:rsidRDefault="00B7743C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Fehér, vagy majdnem fehér, ovális, mindkét oldalán domború filmtabletta, az egyik oldalán K1 mélynyomású jelöléssel ellátva. A filmtabletta méretei: 13 mm × 8 mm.</w:t>
      </w:r>
    </w:p>
    <w:p w14:paraId="77F5E549" w14:textId="77777777" w:rsidR="00B911F8" w:rsidRDefault="00B911F8">
      <w:pPr>
        <w:spacing w:line="240" w:lineRule="auto"/>
        <w:ind w:left="567" w:hanging="567"/>
        <w:rPr>
          <w:i/>
          <w:u w:val="single"/>
          <w:lang w:val="hu-HU" w:eastAsia="en-US"/>
        </w:rPr>
      </w:pPr>
    </w:p>
    <w:p w14:paraId="2F6A2492" w14:textId="77777777" w:rsidR="00B911F8" w:rsidRDefault="00B7743C">
      <w:pPr>
        <w:spacing w:line="240" w:lineRule="auto"/>
        <w:ind w:left="567" w:hanging="567"/>
        <w:rPr>
          <w:u w:val="single"/>
          <w:lang w:val="hu-HU" w:eastAsia="en-US"/>
        </w:rPr>
      </w:pPr>
      <w:r>
        <w:rPr>
          <w:u w:val="single"/>
          <w:lang w:val="hu-HU" w:eastAsia="en-US"/>
        </w:rPr>
        <w:t>Valtricom 5 mg/160 mg/25 mg filmtabletta:</w:t>
      </w:r>
    </w:p>
    <w:p w14:paraId="1609C30B" w14:textId="77777777" w:rsidR="00B911F8" w:rsidRDefault="00B7743C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Halványsárga, ovális, mindkét oldalán domború filmtabletta, az egyik oldalán K3 mélynyomású jelöléssel ellátva. A filmtabletta méretei: 13 mm × 8 mm.</w:t>
      </w:r>
    </w:p>
    <w:p w14:paraId="0F8C33D9" w14:textId="77777777" w:rsidR="00B911F8" w:rsidRDefault="00B911F8">
      <w:pPr>
        <w:spacing w:line="240" w:lineRule="auto"/>
        <w:ind w:left="567" w:hanging="567"/>
        <w:rPr>
          <w:lang w:val="hu-HU" w:eastAsia="en-US"/>
        </w:rPr>
      </w:pPr>
    </w:p>
    <w:p w14:paraId="10ADBDD0" w14:textId="77777777" w:rsidR="00B911F8" w:rsidRDefault="00B7743C">
      <w:pPr>
        <w:spacing w:line="240" w:lineRule="auto"/>
        <w:ind w:left="567" w:hanging="567"/>
        <w:rPr>
          <w:u w:val="single"/>
          <w:lang w:val="hu-HU"/>
        </w:rPr>
      </w:pPr>
      <w:r>
        <w:rPr>
          <w:u w:val="single"/>
          <w:lang w:val="hu-HU"/>
        </w:rPr>
        <w:t>Valtricom 10 mg/160 mg/12,5 mg filmtabletta:</w:t>
      </w:r>
    </w:p>
    <w:p w14:paraId="74578DF4" w14:textId="77777777" w:rsidR="00B911F8" w:rsidRDefault="00B7743C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Rózsaszín, ovális, mindkét oldalán domború filmtabletta, az egyik oldalán K2 mélynyomású jelöléssel ellátva. A filmtabletta méretei: 13 mm × 8 mm.</w:t>
      </w:r>
    </w:p>
    <w:p w14:paraId="5DEDCF16" w14:textId="77777777" w:rsidR="00B911F8" w:rsidRDefault="00B911F8">
      <w:pPr>
        <w:spacing w:line="240" w:lineRule="auto"/>
        <w:ind w:left="567" w:hanging="567"/>
        <w:rPr>
          <w:lang w:val="hu-HU" w:eastAsia="en-US"/>
        </w:rPr>
      </w:pPr>
    </w:p>
    <w:p w14:paraId="072E6C2B" w14:textId="77777777" w:rsidR="00B911F8" w:rsidRDefault="00B7743C">
      <w:pPr>
        <w:widowControl w:val="0"/>
        <w:rPr>
          <w:noProof/>
          <w:szCs w:val="22"/>
          <w:u w:val="single"/>
          <w:lang w:val="hu-HU" w:eastAsia="en-US"/>
        </w:rPr>
      </w:pPr>
      <w:r>
        <w:rPr>
          <w:noProof/>
          <w:szCs w:val="22"/>
          <w:u w:val="single"/>
          <w:lang w:val="hu-HU" w:eastAsia="en-US"/>
        </w:rPr>
        <w:t xml:space="preserve">Valtricom 10 mg/160 mg/25 mg </w:t>
      </w:r>
      <w:r>
        <w:rPr>
          <w:u w:val="single"/>
          <w:lang w:val="hu-HU"/>
        </w:rPr>
        <w:t>filmtabletta</w:t>
      </w:r>
      <w:r>
        <w:rPr>
          <w:noProof/>
          <w:szCs w:val="22"/>
          <w:u w:val="single"/>
          <w:lang w:val="hu-HU" w:eastAsia="en-US"/>
        </w:rPr>
        <w:t>:</w:t>
      </w:r>
    </w:p>
    <w:p w14:paraId="1AF853B0" w14:textId="77777777" w:rsidR="00B911F8" w:rsidRDefault="00B7743C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Barnássárga, ovális, mindkét oldalán domború filmtabletta, az egyik oldalán K4 mélynyomású jelöléssel ellátva. A filmtabletta méretei: 13 mm × 8 mm.</w:t>
      </w:r>
    </w:p>
    <w:p w14:paraId="43AF44E7" w14:textId="77777777" w:rsidR="00B911F8" w:rsidRDefault="00B911F8">
      <w:pPr>
        <w:spacing w:line="240" w:lineRule="auto"/>
        <w:ind w:left="567" w:hanging="567"/>
        <w:rPr>
          <w:lang w:val="hu-HU"/>
        </w:rPr>
      </w:pPr>
    </w:p>
    <w:p w14:paraId="35F33413" w14:textId="77777777" w:rsidR="00B911F8" w:rsidRDefault="00B7743C">
      <w:pPr>
        <w:widowControl w:val="0"/>
        <w:rPr>
          <w:noProof/>
          <w:szCs w:val="22"/>
          <w:u w:val="single"/>
          <w:lang w:val="hu-HU" w:eastAsia="en-US"/>
        </w:rPr>
      </w:pPr>
      <w:r>
        <w:rPr>
          <w:noProof/>
          <w:szCs w:val="22"/>
          <w:u w:val="single"/>
          <w:lang w:val="hu-HU" w:eastAsia="en-US"/>
        </w:rPr>
        <w:t>Valtricom 10 mg/320 mg/25 mg filmtabletta:</w:t>
      </w:r>
    </w:p>
    <w:p w14:paraId="4E2194CB" w14:textId="77777777" w:rsidR="00B911F8" w:rsidRDefault="00B7743C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Barnásvörös, ovális, mindkét oldalán domború filmtabletta. A filmtabletta méretei: 18 mm × 9 mm.</w:t>
      </w:r>
    </w:p>
    <w:p w14:paraId="79560C0E" w14:textId="77777777" w:rsidR="00B911F8" w:rsidRDefault="00B911F8">
      <w:pPr>
        <w:spacing w:line="240" w:lineRule="auto"/>
        <w:ind w:left="567" w:hanging="567"/>
        <w:rPr>
          <w:lang w:val="hu-HU"/>
        </w:rPr>
      </w:pPr>
    </w:p>
    <w:p w14:paraId="75196CE5" w14:textId="77777777" w:rsidR="00B911F8" w:rsidRDefault="00B911F8">
      <w:pPr>
        <w:spacing w:line="240" w:lineRule="auto"/>
        <w:rPr>
          <w:lang w:val="hu-HU"/>
        </w:rPr>
      </w:pPr>
    </w:p>
    <w:p w14:paraId="6B73781D" w14:textId="77777777" w:rsidR="00B911F8" w:rsidRDefault="00B7743C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  <w:t>KLINIKAI JELLEMZŐK</w:t>
      </w:r>
    </w:p>
    <w:p w14:paraId="47D3D22B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432892D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1C536C0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5D22E74" w14:textId="77777777" w:rsidR="00B911F8" w:rsidRDefault="00B7743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Esszenciális hypertonia kezelése szubsztitúciós terápiaként azoknál a felnőtt betegeknél, akiknek a vérnyomása három monokomponensű vagy egy kétkomponensű és egy monokomponensű készítmény formájában szedett amlodipin, valzartán és hidroklorotiazid (HCT) kombinációval megfelelően van beállítva.</w:t>
      </w:r>
    </w:p>
    <w:p w14:paraId="2B4CF5A7" w14:textId="77777777" w:rsidR="00B911F8" w:rsidRDefault="00B911F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78D585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30A41E98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3366771" w14:textId="77777777" w:rsidR="00B911F8" w:rsidRDefault="00B7743C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792B12B2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Valtricom javasolt adagja napi egy filmtabletta, lehetőség szerint reggel bevéve.</w:t>
      </w:r>
    </w:p>
    <w:p w14:paraId="04791CCC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5526167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Valtricom-ra történő áttérés előtt a betegeket az azonos időben bevett egyes hatóanyagok stabil dózisaira kell beállítani. A Valtricom adagjának a kombináció egyes hatóanyagainak az áttérés időpontjában szedett dózisain kell alapulnia.</w:t>
      </w:r>
    </w:p>
    <w:p w14:paraId="346F7519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2EC2144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Valtricom maximális javasolt adagja 10 mg/320 mg/25 mg.</w:t>
      </w:r>
    </w:p>
    <w:p w14:paraId="27C4F7BC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A60AC75" w14:textId="77777777" w:rsidR="00B911F8" w:rsidRDefault="00B7743C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Különleges betegcsoportok</w:t>
      </w:r>
    </w:p>
    <w:p w14:paraId="79C4D114" w14:textId="77777777" w:rsidR="00B911F8" w:rsidRDefault="00B911F8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0E95DE89" w14:textId="77777777" w:rsidR="00B911F8" w:rsidRDefault="00B7743C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t>Vesekárosodás</w:t>
      </w:r>
    </w:p>
    <w:p w14:paraId="2686E166" w14:textId="77777777" w:rsidR="00B911F8" w:rsidRDefault="00B911F8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</w:p>
    <w:p w14:paraId="1F81BF4D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hidroklorotiazid miatt a Valtricom alkalmazása ellenjavallt az anuriás betegeknél (lásd 4.3 pont) és a súlyos vesekárosodásban szenvedő betegeknél (glomeruláris filtrációs ráta (GFR) &lt;30 ml/perc/1,73 m</w:t>
      </w:r>
      <w:r>
        <w:rPr>
          <w:vertAlign w:val="superscript"/>
          <w:lang w:val="hu-HU"/>
        </w:rPr>
        <w:t>2</w:t>
      </w:r>
      <w:r>
        <w:rPr>
          <w:lang w:val="hu-HU"/>
        </w:rPr>
        <w:t>) (lásd 4.3, 4.4 és 5.2 pont).</w:t>
      </w:r>
    </w:p>
    <w:p w14:paraId="4F94BE1F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84E7A3D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Az enyhe vagy közepesen súlyos vesekárosodásban szenvedő betegek esetében nincs szükség a kezdő adag módosítására (lásd 4.4 és 5.2 pont).</w:t>
      </w:r>
    </w:p>
    <w:p w14:paraId="15B43ADF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E434624" w14:textId="77777777" w:rsidR="00B911F8" w:rsidRDefault="00B7743C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t>Májkárosodás</w:t>
      </w:r>
    </w:p>
    <w:p w14:paraId="35E6B7B5" w14:textId="77777777" w:rsidR="00B911F8" w:rsidRDefault="00B911F8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</w:p>
    <w:p w14:paraId="6F22726B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valzartán összetevő miatt a Valtricom ellenjavallt súlyos májkárosodásban szenvedő betegeknél (lásd 4.3 pont). Kolesztázissal nem járó, enyhe vagy közepesen súlyos májkárosodásban szenvedő betegek esetén a valzartán legmagasabb javasolt adagja 80 mg, ezért a Valtricom ezen betegcsoport számára nem alkalmas (lásd 4.3, 4.4 és 5.2 pont). Enyhe vagy közepesen súlyos májkárosodásban szenvedő betegeknél az amlodipin javasolt adagját nem állapították meg. Májkárosodásban szenvedő, hypertoniás, Valtricom-kezelésre alkalmas betegek (lásd 4.1 pont) átállításakor a legalacsonyabb rendelkezésre álló amlodipin összetevőt tartalmazó Valtricom-ot kell alkalmazni.</w:t>
      </w:r>
    </w:p>
    <w:p w14:paraId="178C60A5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7F645176" w14:textId="77777777" w:rsidR="00B911F8" w:rsidRDefault="00B7743C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t>Szívelégtelenség és koszorúér-betegség</w:t>
      </w:r>
    </w:p>
    <w:p w14:paraId="46960C8F" w14:textId="77777777" w:rsidR="00B911F8" w:rsidRDefault="00B911F8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</w:p>
    <w:p w14:paraId="056CAAFC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Szívelégtelenségben és koszorúér-betegségben szenvedő betegek esetén a Valtricom alkalmazásával csak korlátozott tapasztalat áll rendelkezésre, különösen a maximális adagra vonatkozóan. Szívelégtelenségben és koszorúér-betegségben szenvedő betegeknél elővigyázatosság javasolt, különösen a Valtricom maximális, 10 mg/320 mg/25 mg-os adagjánál.</w:t>
      </w:r>
    </w:p>
    <w:p w14:paraId="34E841A4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D2AFDFB" w14:textId="77777777" w:rsidR="00B911F8" w:rsidRDefault="00B7743C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t>Idősek (65 éves és idősebb)</w:t>
      </w:r>
    </w:p>
    <w:p w14:paraId="055E5204" w14:textId="77777777" w:rsidR="00B911F8" w:rsidRDefault="00B911F8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</w:p>
    <w:p w14:paraId="0E7D100A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Idős betegeknél elővigyázatosság – többek között a vérnyomás gyakoribb ellenőrzése – javasolt, különösen a Valtricom maximális, 10 mg/320 mg/25 mg-os adagjánál, mivel ebben a betegcsoportban csak korlátozott mennyiségű adat áll rendelkezésre. Hypertoniás, idős, Valtricom-kezelésre alkalmas betegek (lásd 4.1 pont) átállításakor a legalacsonyabb rendelkezésre álló amlodipin összetevőt tartalmazó Valtricom-ot kell alkalmazni.</w:t>
      </w:r>
    </w:p>
    <w:p w14:paraId="6EDD0607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03D35CD" w14:textId="77777777" w:rsidR="00B911F8" w:rsidRDefault="00B7743C">
      <w:pPr>
        <w:keepNext/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i/>
          <w:lang w:val="hu-HU"/>
        </w:rPr>
        <w:lastRenderedPageBreak/>
        <w:t>Gyermekek és serdülők</w:t>
      </w:r>
    </w:p>
    <w:p w14:paraId="3745CBAB" w14:textId="77777777" w:rsidR="00B911F8" w:rsidRDefault="00B7743C">
      <w:pPr>
        <w:keepNext/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A Valtricom-nak gyermekeknél és serdülőknél (18 </w:t>
      </w:r>
      <w:proofErr w:type="gramStart"/>
      <w:r>
        <w:rPr>
          <w:lang w:val="hu-HU"/>
        </w:rPr>
        <w:t>évesnél</w:t>
      </w:r>
      <w:proofErr w:type="gramEnd"/>
      <w:r>
        <w:rPr>
          <w:lang w:val="hu-HU"/>
        </w:rPr>
        <w:t xml:space="preserve"> fiatalabb betegeknél) az esszenciális hypertonia javallat esetén nincs releváns alkalmazása.</w:t>
      </w:r>
    </w:p>
    <w:p w14:paraId="0BA342EE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14B55D8" w14:textId="77777777" w:rsidR="00B911F8" w:rsidRDefault="00B7743C">
      <w:pPr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Az alkalmazás módja</w:t>
      </w:r>
    </w:p>
    <w:p w14:paraId="1228E77C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645335F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67D0AD9C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BA11B4E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Valtricom bevehető étellel vagy anélkül is.</w:t>
      </w:r>
    </w:p>
    <w:p w14:paraId="7EA14CCF" w14:textId="77777777" w:rsidR="00B911F8" w:rsidRDefault="00B911F8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0D0C9A5D" w14:textId="77777777" w:rsidR="00B911F8" w:rsidRDefault="00B7743C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tablettát egészben, vízzel kell bevenni, minden nap ugyanabban az időben, lehetőség szerint reggel.</w:t>
      </w:r>
    </w:p>
    <w:p w14:paraId="378A8A52" w14:textId="77777777" w:rsidR="00B911F8" w:rsidRDefault="00B911F8">
      <w:pPr>
        <w:spacing w:line="240" w:lineRule="auto"/>
        <w:rPr>
          <w:lang w:val="hu-HU"/>
        </w:rPr>
      </w:pPr>
    </w:p>
    <w:p w14:paraId="58E94FE4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09AAD172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931C04D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készítmény hatóanyagaival, más szulfonamid származékokkal, dihidropiridin származékokkal vagy a 6.1 pontban felsorolt bármely segédanyagával szembeni túlérzékenység.</w:t>
      </w:r>
    </w:p>
    <w:p w14:paraId="04AB4B87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terhesség második és harmadik trimesztere (lásd 4.4 és 4.6 pont).</w:t>
      </w:r>
    </w:p>
    <w:p w14:paraId="3A7D2FC4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Májkárosodás, biliaris cirrhosis vagy kolesztázis.</w:t>
      </w:r>
    </w:p>
    <w:p w14:paraId="6F9E551B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Súlyos vesekárosodás (GFR &lt;30 ml/perc/1,73 m</w:t>
      </w:r>
      <w:r>
        <w:rPr>
          <w:rFonts w:eastAsia="Times New Roman"/>
          <w:noProof/>
          <w:snapToGrid/>
          <w:szCs w:val="22"/>
          <w:vertAlign w:val="superscript"/>
          <w:lang w:val="hu-HU" w:eastAsia="en-US"/>
        </w:rPr>
        <w:t>2</w:t>
      </w:r>
      <w:r>
        <w:rPr>
          <w:rFonts w:eastAsia="Times New Roman"/>
          <w:noProof/>
          <w:snapToGrid/>
          <w:szCs w:val="22"/>
          <w:lang w:val="hu-HU" w:eastAsia="en-US"/>
        </w:rPr>
        <w:t>), anuria és dializált betegek esetében.</w:t>
      </w:r>
    </w:p>
    <w:p w14:paraId="2833E405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amlodipin/valzartán/HCT egyidejű alkalmazása aliszkirén tartalmú készítményekkel ellenjavallt diabetes mellitusban szenvedő vagy károsodott veseműködésű betegeknél (GFR &lt;60 ml/perc/1,73 m</w:t>
      </w:r>
      <w:r>
        <w:rPr>
          <w:rFonts w:eastAsia="Times New Roman"/>
          <w:noProof/>
          <w:snapToGrid/>
          <w:szCs w:val="22"/>
          <w:vertAlign w:val="superscript"/>
          <w:lang w:val="hu-HU" w:eastAsia="en-US"/>
        </w:rPr>
        <w:t>2</w:t>
      </w:r>
      <w:r>
        <w:rPr>
          <w:rFonts w:eastAsia="Times New Roman"/>
          <w:noProof/>
          <w:snapToGrid/>
          <w:szCs w:val="22"/>
          <w:lang w:val="hu-HU" w:eastAsia="en-US"/>
        </w:rPr>
        <w:t>) (lásd 4.5 és 5.1 pont).</w:t>
      </w:r>
    </w:p>
    <w:p w14:paraId="69BF6D5A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Refrakter hypokalaemia, hyponatraemia, hypercalcaemia és tüneteket okozó hyperuricaemia.</w:t>
      </w:r>
    </w:p>
    <w:p w14:paraId="6FD31838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Súlyos hypotonia.</w:t>
      </w:r>
    </w:p>
    <w:p w14:paraId="10550638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Sokk (a kardiogén sokkot is beleértve).</w:t>
      </w:r>
    </w:p>
    <w:p w14:paraId="28DC5F26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Balkamrai kiáramlási traktus obstrukciója (pl. obstruktív hypertrofiás cardiomiopathia és szignifikáns aorta stenosis).</w:t>
      </w:r>
    </w:p>
    <w:p w14:paraId="293AEF40" w14:textId="77777777" w:rsidR="00B911F8" w:rsidRDefault="00B7743C">
      <w:pPr>
        <w:numPr>
          <w:ilvl w:val="0"/>
          <w:numId w:val="44"/>
        </w:num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Akut myocardialis infarctust követő hemodinamikailag instabil szívelégtelenség.</w:t>
      </w:r>
    </w:p>
    <w:p w14:paraId="54F937CD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DE8D3C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FDD27DD" w14:textId="77777777" w:rsidR="00B911F8" w:rsidRDefault="00B911F8">
      <w:pPr>
        <w:spacing w:line="240" w:lineRule="auto"/>
        <w:rPr>
          <w:lang w:val="hu-HU"/>
        </w:rPr>
      </w:pPr>
    </w:p>
    <w:p w14:paraId="524F26DF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Hypertoniás krízisben az amlodipin biztonságosságát és hatásosságát nem állapították meg.</w:t>
      </w:r>
    </w:p>
    <w:p w14:paraId="41930DD5" w14:textId="77777777" w:rsidR="00B911F8" w:rsidRDefault="00B911F8">
      <w:pPr>
        <w:spacing w:line="240" w:lineRule="auto"/>
        <w:rPr>
          <w:lang w:val="hu-HU"/>
        </w:rPr>
      </w:pPr>
    </w:p>
    <w:p w14:paraId="41866F88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Nátrium- és/vagy volumenhiányos betegek</w:t>
      </w:r>
    </w:p>
    <w:p w14:paraId="5D71955D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697BEC45" w14:textId="77777777" w:rsidR="00B911F8" w:rsidRDefault="00B7743C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Egy közepesen súlyos vagy súlyos, nem szövődményes hypertoniában szenvedő betegekkel folytatott kontrollos klinikai vizsgálatban kifejezett hypotoniát, beleértve az orthostaticus hypotoniát is, észleltek az amlodipin/valzartán/HCT maximális adagjával (10 mg/320 mg/25 mg) kezelt betegek 1,7%-ánál, míg ezt a valzartán/hidroklorotiaziddal (320 mg/25 mg) kezelt betegek 1,8%-ánál, az amlodipin/valzartánnal (10 mg/320 mg) kezelt betegek 0,4%-ánál, és a hidroklorotiazid/amlodipinnel (25 mg/10 mg) kezelt betegek 0,2%-ánál észlelték.</w:t>
      </w:r>
      <w:proofErr w:type="gramEnd"/>
    </w:p>
    <w:p w14:paraId="52240AF3" w14:textId="77777777" w:rsidR="00B911F8" w:rsidRDefault="00B911F8">
      <w:pPr>
        <w:spacing w:line="240" w:lineRule="auto"/>
        <w:rPr>
          <w:lang w:val="hu-HU"/>
        </w:rPr>
      </w:pPr>
    </w:p>
    <w:p w14:paraId="4BC4FE18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nátrium- és/vagy volumenhiányos betegeknél, például olyanoknál, akik nagy dózisú diuretikumokat kapnak, az amlodipin/valzartán/HCT-kezelés elkezdése után tünetekkel járó hypotonia léphet fel. Az amlodipin/valzartán/HCT-t minden, már fennálló nátrium- és/vagy volumenhiány korrigálása után szabad csak alkalmazni.</w:t>
      </w:r>
    </w:p>
    <w:p w14:paraId="5F54B52F" w14:textId="77777777" w:rsidR="00B911F8" w:rsidRDefault="00B911F8">
      <w:pPr>
        <w:spacing w:line="240" w:lineRule="auto"/>
        <w:rPr>
          <w:lang w:val="hu-HU"/>
        </w:rPr>
      </w:pPr>
    </w:p>
    <w:p w14:paraId="4FB7BD71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Amennyiben amlodipin/valzartán/HCT-kezelés mellett kifejezett hypotonia alakul ki, a beteget hanyatt kell fektetni, és szükség esetén intravénás infúzióban fiziológiás sóoldatot kell adni. A vérnyomás stabilizálódása után a kezelés folytatható.</w:t>
      </w:r>
    </w:p>
    <w:p w14:paraId="56EB6B12" w14:textId="77777777" w:rsidR="00B911F8" w:rsidRDefault="00B911F8">
      <w:pPr>
        <w:spacing w:line="240" w:lineRule="auto"/>
        <w:rPr>
          <w:lang w:val="hu-HU"/>
        </w:rPr>
      </w:pPr>
    </w:p>
    <w:p w14:paraId="20777545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Szérum elektrolitszint változások</w:t>
      </w:r>
    </w:p>
    <w:p w14:paraId="21DAA8D7" w14:textId="77777777" w:rsidR="00B911F8" w:rsidRDefault="00B911F8">
      <w:pPr>
        <w:spacing w:line="240" w:lineRule="auto"/>
        <w:rPr>
          <w:lang w:val="hu-HU"/>
        </w:rPr>
      </w:pPr>
    </w:p>
    <w:p w14:paraId="5C8C129A" w14:textId="77777777" w:rsidR="00B911F8" w:rsidRDefault="00B7743C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Amlodipin/valzartán/hidroklorotiazid</w:t>
      </w:r>
    </w:p>
    <w:p w14:paraId="04B27744" w14:textId="77777777" w:rsidR="00B911F8" w:rsidRDefault="00B911F8">
      <w:pPr>
        <w:spacing w:line="240" w:lineRule="auto"/>
        <w:rPr>
          <w:i/>
          <w:lang w:val="hu-HU"/>
        </w:rPr>
      </w:pPr>
    </w:p>
    <w:p w14:paraId="4D960C99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lastRenderedPageBreak/>
        <w:t>Az amlodipin/valzartán/HCT-dal végzett kontrollos vizsgálatban a 320 mg valzartán és 25 mg hidroklorotiazid szérum káliumszintre gyakorolt ellentétes hatásai sok betegnél megközelítőleg kiegyenlítették egymást. Más betegeknél az egyik vagy a másik hatás lehet domináns. A lehetséges elektrolitzavarok kimutatása érdekében megfelelő időközönként rendszeresen el kell végezni a szérum elektrolitszintek meghatározását.</w:t>
      </w:r>
    </w:p>
    <w:p w14:paraId="106E1975" w14:textId="77777777" w:rsidR="00B911F8" w:rsidRDefault="00B911F8">
      <w:pPr>
        <w:spacing w:line="240" w:lineRule="auto"/>
        <w:rPr>
          <w:lang w:val="hu-HU"/>
        </w:rPr>
      </w:pPr>
    </w:p>
    <w:p w14:paraId="6AD3691B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lehetséges elektrolit-egyensúlyzavar kimutatása érdekében a szérum elektrolit- és káliumszintek meghatározását megfelelő időközönként rendszeresen el kell végezni, különösen olyan betegek esetében, akiknél egyéb kockázati tényező is fennáll, mint például a károsodott veseműködés, más gyógyszerekkel végzett kezelés, vagy az anamnézisben szereplő, korábbi elektrolit-egyensúlyzavar.</w:t>
      </w:r>
    </w:p>
    <w:p w14:paraId="4B741536" w14:textId="77777777" w:rsidR="00B911F8" w:rsidRDefault="00B911F8">
      <w:pPr>
        <w:spacing w:line="240" w:lineRule="auto"/>
        <w:rPr>
          <w:lang w:val="hu-HU"/>
        </w:rPr>
      </w:pPr>
    </w:p>
    <w:p w14:paraId="3F5EA1BE" w14:textId="77777777" w:rsidR="00B911F8" w:rsidRDefault="00B7743C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Valzartán</w:t>
      </w:r>
    </w:p>
    <w:p w14:paraId="2C6FC9CB" w14:textId="77777777" w:rsidR="00B911F8" w:rsidRDefault="00B911F8">
      <w:pPr>
        <w:spacing w:line="240" w:lineRule="auto"/>
        <w:rPr>
          <w:i/>
          <w:u w:val="single"/>
          <w:lang w:val="hu-HU"/>
        </w:rPr>
      </w:pPr>
    </w:p>
    <w:p w14:paraId="579D4D6E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Egyidejű adása káliumpótló készítményekkel, káliummegtakarító diuretikumokkal, káliumtartalmú sópótlókkal vagy egyéb gyógyszerekkel, amelyek növelhetik a káliumszintet (heparin stb.) nem ajánlott. A káliumszintet megfelelő módon rendszeresen ellenőrizni kell.</w:t>
      </w:r>
    </w:p>
    <w:p w14:paraId="48B06940" w14:textId="77777777" w:rsidR="00B911F8" w:rsidRDefault="00B911F8">
      <w:pPr>
        <w:spacing w:line="240" w:lineRule="auto"/>
        <w:rPr>
          <w:lang w:val="hu-HU"/>
        </w:rPr>
      </w:pPr>
    </w:p>
    <w:p w14:paraId="32C2927E" w14:textId="77777777" w:rsidR="00B911F8" w:rsidRDefault="00B7743C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Hidroklorotiazid</w:t>
      </w:r>
    </w:p>
    <w:p w14:paraId="6D7AC83C" w14:textId="77777777" w:rsidR="00B911F8" w:rsidRDefault="00B911F8">
      <w:pPr>
        <w:spacing w:line="240" w:lineRule="auto"/>
        <w:rPr>
          <w:i/>
          <w:u w:val="single"/>
          <w:lang w:val="hu-HU"/>
        </w:rPr>
      </w:pPr>
    </w:p>
    <w:p w14:paraId="1A60852F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Az amlodipin/valzartán/HCT-kezelést csak a hypokalaemia és minden, egyidejűleg fennálló hypomagnesaemia korrekciója után szabad elkezdeni. A tiazid diuretikumok újonnan kialakuló hypokalaemiát válthatnak ki, vagy súlyosbíthatják a már meglévő hypokalaemiát. A tiazid diuretikumokat óvatosan kell alkalmazni az olyan betegeknél, akiknek fokozott káliumvesztéssel járó betegségük van, mint amilyen a sóvesztő nephropathia vagy a prerenális (kardiogén eredetű) vesefunkció-károsodás. Ha a hidroklorotiazid-kezelés alatt hypokalaemia alakul ki, akkor az amlodipin/valzartán/HCT adását a kálium egyensúly stabil helyreállításáig abba kell hagyni.</w:t>
      </w:r>
    </w:p>
    <w:p w14:paraId="03E21865" w14:textId="77777777" w:rsidR="00B911F8" w:rsidRDefault="00B911F8">
      <w:pPr>
        <w:spacing w:line="240" w:lineRule="auto"/>
        <w:rPr>
          <w:lang w:val="hu-HU"/>
        </w:rPr>
      </w:pPr>
    </w:p>
    <w:p w14:paraId="13CE96A3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tiazid diuretikumok újonnan kialakuló hyponatraemiát és hypochloraemiás alkalosist válthatnak ki, vagy súlyosbíthatják a már meglévő hyponatraemiát. Neurológiai tünetekkel (hányinger, progresszív dezorientáció, apathia) járó hyponatraemiát észleltek. A hidroklorotiazid-kezelést csak a már meglévő hyponatraemia korrekciója után szabad elkezdeni. Az amlodipin/valzartán/HCT-kezelés alatti súlyos vagy gyorsan kialakuló hyponatraemia esetén a kezelést a nátriumszint rendeződéséig abba kell hagyni.</w:t>
      </w:r>
    </w:p>
    <w:p w14:paraId="7775AAAD" w14:textId="77777777" w:rsidR="00B911F8" w:rsidRDefault="00B911F8">
      <w:pPr>
        <w:spacing w:line="240" w:lineRule="auto"/>
        <w:rPr>
          <w:lang w:val="hu-HU"/>
        </w:rPr>
      </w:pPr>
    </w:p>
    <w:p w14:paraId="7821A947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Minden, tiazid diuretikumot kapó betegnél rendszeres időközönként ellenőrizni kell az elektrolitok, különösen a kálium, nátrium és magnézium szintjeit, az elektrolit-egyensúlyzavar felismerése érdekében.</w:t>
      </w:r>
    </w:p>
    <w:p w14:paraId="3E680181" w14:textId="77777777" w:rsidR="00B911F8" w:rsidRDefault="00B911F8">
      <w:pPr>
        <w:spacing w:line="240" w:lineRule="auto"/>
        <w:rPr>
          <w:lang w:val="hu-HU"/>
        </w:rPr>
      </w:pPr>
    </w:p>
    <w:p w14:paraId="370E7D51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Vesekárosodás</w:t>
      </w:r>
    </w:p>
    <w:p w14:paraId="41EA62E5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57E0B632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tiazid diuretikumok a krónikus vesebetegségben szenvedő betegeknél azotaemiát válthatnak ki. Ha az amlodipin/valzartán/HCT-t vesekárosodásban szenvedő betegeknél alkalmazzák, akkor a szérum elektrolitok (köztük a kálium), valamint a kreatinin és húgysav szérumszintjének rendszeres időközönkénti ellenőrzése javasolt. Az amlodipin/valzartán/HCT ellenjavallt a súlyos vesekárosodásban szenvedő, az anuriás vagy a dializált betegeknél (lásd 4.3 pont).</w:t>
      </w:r>
    </w:p>
    <w:p w14:paraId="62BA6F2F" w14:textId="77777777" w:rsidR="00B911F8" w:rsidRDefault="00B911F8">
      <w:pPr>
        <w:spacing w:line="240" w:lineRule="auto"/>
        <w:rPr>
          <w:lang w:val="hu-HU"/>
        </w:rPr>
      </w:pPr>
    </w:p>
    <w:p w14:paraId="254841CE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Enyhe vagy közepesen súlyos vesekárosodás esetén (GFR ≥30 ml/perc/1,73 m</w:t>
      </w:r>
      <w:r>
        <w:rPr>
          <w:vertAlign w:val="superscript"/>
          <w:lang w:val="hu-HU"/>
        </w:rPr>
        <w:t>2</w:t>
      </w:r>
      <w:r>
        <w:rPr>
          <w:lang w:val="hu-HU"/>
        </w:rPr>
        <w:t>) nem szükséges módosítani az amlodipin/valzartán/HCT adagját.</w:t>
      </w:r>
    </w:p>
    <w:p w14:paraId="60114C9B" w14:textId="77777777" w:rsidR="00B911F8" w:rsidRDefault="00B911F8">
      <w:pPr>
        <w:spacing w:line="240" w:lineRule="auto"/>
        <w:rPr>
          <w:lang w:val="hu-HU"/>
        </w:rPr>
      </w:pPr>
    </w:p>
    <w:p w14:paraId="12B4CF2C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veseartéria szűkülete</w:t>
      </w:r>
    </w:p>
    <w:p w14:paraId="3D7C7DF0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6BF82771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Az amlodipin/valzartán/HCT óvatosan alkalmazandó egy- vagy kétoldali veseartéria-szűkületben, illetve szoliter vese esetén egyoldali veseartéria-szűkületben szenvedő betegeknél, mivel a karbamidszint és a szérum kreatininszint az ilyen betegeknél emelkedett lehet.</w:t>
      </w:r>
    </w:p>
    <w:p w14:paraId="2A0E104A" w14:textId="77777777" w:rsidR="00B911F8" w:rsidRDefault="00B911F8">
      <w:pPr>
        <w:spacing w:line="240" w:lineRule="auto"/>
        <w:rPr>
          <w:lang w:val="hu-HU"/>
        </w:rPr>
      </w:pPr>
    </w:p>
    <w:p w14:paraId="7893B2A2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Vesetranszplantáció</w:t>
      </w:r>
    </w:p>
    <w:p w14:paraId="5538E331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0270AFD6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lastRenderedPageBreak/>
        <w:t>Nincsenek tapasztalatok az amlodipin/valzartán/HCT biztonságos alkalmazásáról olyan betegek esetében, akiknél a közelmúltban vesetranszplantáció történt.</w:t>
      </w:r>
    </w:p>
    <w:p w14:paraId="381660D6" w14:textId="77777777" w:rsidR="00B911F8" w:rsidRDefault="00B911F8">
      <w:pPr>
        <w:spacing w:line="240" w:lineRule="auto"/>
        <w:rPr>
          <w:lang w:val="hu-HU"/>
        </w:rPr>
      </w:pPr>
    </w:p>
    <w:p w14:paraId="4D8DBF25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Májkárosodás</w:t>
      </w:r>
    </w:p>
    <w:p w14:paraId="51EAD145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386B344F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valzartán nagyrészt változatlan formában az epével ürül. Májkárosodásban szenvedő betegek esetében az amlodipin felezési ideje meghosszabbodik és az AUC-értékek magasabbak. Adagolási javaslatot nem állapítottak meg. Az enyhe vagy közepesen súlyos májkárosodásban szenvedő, kolesztázisban nem szenvedő betegeknél a maximális javasolt adag 80 mg valzartán, ezért ennek a betegcsoportnak a kezelésére az amlodipin/valzartán/HCT nem alkalmas (lásd 4.2, 4.3 és 5.2 pont).</w:t>
      </w:r>
    </w:p>
    <w:p w14:paraId="03C2984A" w14:textId="77777777" w:rsidR="00B911F8" w:rsidRDefault="00B911F8">
      <w:pPr>
        <w:spacing w:line="240" w:lineRule="auto"/>
        <w:rPr>
          <w:lang w:val="hu-HU"/>
        </w:rPr>
      </w:pPr>
    </w:p>
    <w:p w14:paraId="5B58FD56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Angiooedema</w:t>
      </w:r>
    </w:p>
    <w:p w14:paraId="7FFBBDC1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77AB9C6E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valzartánnal kezelt betegeknél angiooedemáról, köztük légúti obstrukciót okozó gége- és glottis-oedemáról és/vagy az arc, az ajkak, a garat és/vagy a nyelv vizenyőjéről számoltak be. Ezen betegek közül néhány tapasztalt korábban angiooedemát egyéb gyógyszerek, köztük az ACE gátlók alkalmazásakor. Az amlodipin/valzartán/HCT adását azonnal abba kell hagyni az olyan betegeknél, akiknél angiooedema alakul ki, és azt nem szabad újra alkalmazni.</w:t>
      </w:r>
    </w:p>
    <w:p w14:paraId="0D9D29F7" w14:textId="77777777" w:rsidR="00B911F8" w:rsidRDefault="00B911F8">
      <w:pPr>
        <w:spacing w:line="240" w:lineRule="auto"/>
        <w:rPr>
          <w:lang w:val="hu-HU"/>
        </w:rPr>
      </w:pPr>
    </w:p>
    <w:p w14:paraId="615FA1E6" w14:textId="77777777" w:rsidR="00B911F8" w:rsidRDefault="00B7743C">
      <w:pPr>
        <w:pStyle w:val="NoSpacing1"/>
        <w:rPr>
          <w:rFonts w:ascii="Times New Roman" w:hAnsi="Times New Roman"/>
          <w:u w:val="single"/>
          <w:lang w:val="hu-HU"/>
        </w:rPr>
      </w:pPr>
      <w:r>
        <w:rPr>
          <w:rFonts w:ascii="Times New Roman" w:hAnsi="Times New Roman"/>
          <w:u w:val="single"/>
          <w:lang w:val="hu-HU"/>
        </w:rPr>
        <w:t>Intestinalis angiooedema</w:t>
      </w:r>
    </w:p>
    <w:p w14:paraId="2CD2E519" w14:textId="0D5F27CC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Intestinalis angiooedemáról számoltak be angiotenzin II-receptor-blokkolóval (többek között a valzartánnal) kezelt betegek esetében (lásd 4.8 pont). Ezeknél a betegeknél abdominalis fájdalom, hányinger, hányás és hasmenés jelentkezett. A tünetek az angiotenzin II-receptor-blokkolóval végzett kezelés leállítása után megszűntek. Amennyiben intestinalis angiooedemát diagnosztizálnak, a valzartán-kezelést le kell állítani, és a beteget megfelelően monitorozni kell mindaddig, amíg a tünetek teljes mértékben meg nem szűnnek.</w:t>
      </w:r>
    </w:p>
    <w:p w14:paraId="31ABC32E" w14:textId="77777777" w:rsidR="00B911F8" w:rsidRDefault="00B911F8">
      <w:pPr>
        <w:spacing w:line="240" w:lineRule="auto"/>
        <w:rPr>
          <w:lang w:val="hu-HU"/>
        </w:rPr>
      </w:pPr>
    </w:p>
    <w:p w14:paraId="256B800C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Szívelégtelenség és koszorúér-betegség/myocardialis infarctus utáni állapot</w:t>
      </w:r>
    </w:p>
    <w:p w14:paraId="281C1903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58F85AF6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 xml:space="preserve">A renin-angiotenzin-aldoszteron rendszer gátlásának következtében az arra érzékeny betegeknél a vesefunkció megváltozása várható. Olyan súlyos szívelégtelenségben szenvedő betegeknél, akik vesefunkciója a renin-angiotenzin-aldoszteron rendszer aktivitásától függhet, az ACE-gátlókkal, illetve angiotenzinreceptor-blokkolókkal történő kezelés oliguriát és/vagy progresszív azotaemiát, valamint (ritkán) akut veseelégtelenséget és/vagy halált okozott. Valzartán-kezelés kapcsán hasonló következményekről számoltak be. A szívelégtelenségben szenvedő vagy myocardialis infarctus utáni állapotban lévő betegek vizsgálata mindig ki </w:t>
      </w:r>
      <w:proofErr w:type="gramStart"/>
      <w:r>
        <w:rPr>
          <w:lang w:val="hu-HU"/>
        </w:rPr>
        <w:t>kell</w:t>
      </w:r>
      <w:proofErr w:type="gramEnd"/>
      <w:r>
        <w:rPr>
          <w:lang w:val="hu-HU"/>
        </w:rPr>
        <w:t xml:space="preserve"> terjedjen a vesefunkció értékelésére is.</w:t>
      </w:r>
    </w:p>
    <w:p w14:paraId="4AC66529" w14:textId="77777777" w:rsidR="00B911F8" w:rsidRDefault="00B911F8">
      <w:pPr>
        <w:spacing w:line="240" w:lineRule="auto"/>
        <w:rPr>
          <w:lang w:val="hu-HU"/>
        </w:rPr>
      </w:pPr>
    </w:p>
    <w:p w14:paraId="3823AEE9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Nem iszkémiás eredetű NYHA (New York Heart Association osztályozás) III. vagy IV. stádiumú szívelégtelenségben szenvedő betegek bevonásával végzett hosszú távú, placebokontrollos vizsgálatban (PRAISE-2) az amlodipin-kezelés kapcsán gyakrabban számoltak be tüdőödémáról, annak ellenére, hogy a placebóhoz viszonyítva nem volt lényeges különbség a szívelégtelenség súlyosbodásának előfordulása szempontjából.</w:t>
      </w:r>
    </w:p>
    <w:p w14:paraId="4BF9F264" w14:textId="77777777" w:rsidR="00B911F8" w:rsidRDefault="00B911F8">
      <w:pPr>
        <w:spacing w:line="240" w:lineRule="auto"/>
        <w:rPr>
          <w:lang w:val="hu-HU"/>
        </w:rPr>
      </w:pPr>
    </w:p>
    <w:p w14:paraId="4ED4C6AF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Pangásos szívelégtelenségben szenvedő betegek esetében a kalciumcsatorna-blokkolókat, beleértve az amlodipint, körültekintéssel kell alkalmazni, mert megnövelhetik a jövőbeli kardiovaszkuláris események kockázatát valamint a mortalitást.</w:t>
      </w:r>
    </w:p>
    <w:p w14:paraId="53D7180A" w14:textId="77777777" w:rsidR="00B911F8" w:rsidRDefault="00B911F8">
      <w:pPr>
        <w:spacing w:line="240" w:lineRule="auto"/>
        <w:rPr>
          <w:lang w:val="hu-HU"/>
        </w:rPr>
      </w:pPr>
    </w:p>
    <w:p w14:paraId="7DC22A1F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Szívelégtelenségben és koszorúér-betegségben szenvedő betegeknél elővigyázatosság javasolt, különösen az amlodipin/valzartán/HCT maximális, 10 mg/320 mg/25 mg-os adagjánál, mivel erről a betegcsoportról csak kevés adat áll rendelkezésre.</w:t>
      </w:r>
    </w:p>
    <w:p w14:paraId="1CD6D615" w14:textId="77777777" w:rsidR="00B911F8" w:rsidRDefault="00B911F8">
      <w:pPr>
        <w:spacing w:line="240" w:lineRule="auto"/>
        <w:rPr>
          <w:lang w:val="hu-HU"/>
        </w:rPr>
      </w:pPr>
    </w:p>
    <w:p w14:paraId="78DFAFFA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Aorta- és mitrális billentyűszűkület</w:t>
      </w:r>
    </w:p>
    <w:p w14:paraId="386F0D8C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176773ED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Egyéb értágítók alkalmazásához hasonlóan, rendkívüli óvatosság szükséges mitrális billentyűszűkület, illetve nem magas fokú, szignifikáns aorta sztenózis esetén.</w:t>
      </w:r>
    </w:p>
    <w:p w14:paraId="76D70A2F" w14:textId="77777777" w:rsidR="00B911F8" w:rsidRDefault="00B911F8">
      <w:pPr>
        <w:spacing w:line="240" w:lineRule="auto"/>
        <w:rPr>
          <w:lang w:val="hu-HU"/>
        </w:rPr>
      </w:pPr>
    </w:p>
    <w:p w14:paraId="32AEAB08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71E4126B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55A37BC5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Angiotenzin II (ATII)-receptor-antagonistával történő kezelést terhesség alatt nem szabad elkezdeni. Hacsak az ATII-receptor-antagonistával történő kezelés folytatása nem elengedhetetlen, a terhességet tervező betegeket olyan más antihipertenzív kezelésre kell átállítani, melynek a terhesség alatti alkalmazásra vonatkozó biztonságossági profilja megalapozott. Terhesség megállapítását követően az ATII-receptor-antagonista szedését azonnal abba kell hagyni és amennyiben szükséges, az alternatív kezelést el kell kezdeni (lásd 4.3 és 4.6 pont).</w:t>
      </w:r>
    </w:p>
    <w:p w14:paraId="7BD019CB" w14:textId="77777777" w:rsidR="00B911F8" w:rsidRDefault="00B911F8">
      <w:pPr>
        <w:spacing w:line="240" w:lineRule="auto"/>
        <w:rPr>
          <w:lang w:val="hu-HU"/>
        </w:rPr>
      </w:pPr>
    </w:p>
    <w:p w14:paraId="797A69CB" w14:textId="77777777" w:rsidR="00B911F8" w:rsidRDefault="00B7743C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Primer hyperaldosteronismus</w:t>
      </w:r>
    </w:p>
    <w:p w14:paraId="6839840F" w14:textId="77777777" w:rsidR="00B911F8" w:rsidRDefault="00B911F8">
      <w:pPr>
        <w:keepNext/>
        <w:spacing w:line="240" w:lineRule="auto"/>
        <w:rPr>
          <w:u w:val="single"/>
          <w:lang w:val="hu-HU"/>
        </w:rPr>
      </w:pPr>
    </w:p>
    <w:p w14:paraId="018C2246" w14:textId="77777777" w:rsidR="00B911F8" w:rsidRDefault="00B7743C">
      <w:pPr>
        <w:keepNext/>
        <w:spacing w:line="240" w:lineRule="auto"/>
        <w:rPr>
          <w:lang w:val="hu-HU"/>
        </w:rPr>
      </w:pPr>
      <w:r>
        <w:rPr>
          <w:lang w:val="hu-HU"/>
        </w:rPr>
        <w:t>Primer hyperaldosteronismusban szenvedő betegeket nem szabad az angiotenzin II-antagonista valzartánnal kezelni, mivel a renin-angiotenzin rendszerük nem aktivált. Ezért az amlodipin/valzartán/HCT alkalmazása ebben a betegcsoportban nem javasolt.</w:t>
      </w:r>
    </w:p>
    <w:p w14:paraId="780B7D57" w14:textId="77777777" w:rsidR="00B911F8" w:rsidRDefault="00B911F8">
      <w:pPr>
        <w:keepNext/>
        <w:spacing w:line="240" w:lineRule="auto"/>
        <w:rPr>
          <w:lang w:val="hu-HU"/>
        </w:rPr>
      </w:pPr>
    </w:p>
    <w:p w14:paraId="6BD46F5C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Szisztémás lupus erythematosus</w:t>
      </w:r>
    </w:p>
    <w:p w14:paraId="4FC1126F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Beszámoltak arról, hogy a tiazid diuretikumok, beleértve a hidroklorotiazidot is, súlyosbíthatják vagy aktiválhatják a szisztémás lupus erythematosust.</w:t>
      </w:r>
    </w:p>
    <w:p w14:paraId="3CED0976" w14:textId="77777777" w:rsidR="00B911F8" w:rsidRDefault="00B911F8">
      <w:pPr>
        <w:spacing w:line="240" w:lineRule="auto"/>
        <w:rPr>
          <w:lang w:val="hu-HU"/>
        </w:rPr>
      </w:pPr>
    </w:p>
    <w:p w14:paraId="6C90C53D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Egyéb metabolikus zavarok</w:t>
      </w:r>
    </w:p>
    <w:p w14:paraId="08EB990B" w14:textId="77777777" w:rsidR="00B911F8" w:rsidRDefault="00B911F8">
      <w:pPr>
        <w:spacing w:line="240" w:lineRule="auto"/>
        <w:rPr>
          <w:lang w:val="hu-HU"/>
        </w:rPr>
      </w:pPr>
    </w:p>
    <w:p w14:paraId="515AF36B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tiazid diuretikumok, így a hidroklorotiazid is, megváltoztathatják a glükóztoleranciát és növelhetik a szérum koleszterin-, triglicerid- és húgysavszintjét. Diabeteses betegeknél szükség lehet az inzulin vagy az orális antidiabetikumok adagjának módosítására.</w:t>
      </w:r>
    </w:p>
    <w:p w14:paraId="29392118" w14:textId="77777777" w:rsidR="00B911F8" w:rsidRDefault="00B911F8">
      <w:pPr>
        <w:spacing w:line="240" w:lineRule="auto"/>
        <w:rPr>
          <w:lang w:val="hu-HU"/>
        </w:rPr>
      </w:pPr>
    </w:p>
    <w:p w14:paraId="0FB76BAA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hidroklorotiazid összetevő miatt az amlodipin/valzartán/HCT tünetekkel járó hyperuricaemiában ellenjavallt. A hidroklorotiazid a csökkent húgysav-clearance miatt emelheti a szérum húgysavszintet, és hyperuricaemiát okozhat vagy súlyosbíthatja azt, valamint az arra fogékony betegeknél köszvényt válthat ki.</w:t>
      </w:r>
    </w:p>
    <w:p w14:paraId="0AAA1959" w14:textId="77777777" w:rsidR="00B911F8" w:rsidRDefault="00B911F8">
      <w:pPr>
        <w:spacing w:line="240" w:lineRule="auto"/>
        <w:rPr>
          <w:lang w:val="hu-HU"/>
        </w:rPr>
      </w:pPr>
    </w:p>
    <w:p w14:paraId="3A9B34D6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tiazidok csökkentik a kalcium vizelettel történő kiválasztódását, és ismert kalcium-anyagcserezavar nélkül is a szérum kalciumszint időszakos és enyhe emelkedését idézhetik elő. Az amlodipin/valzartán/HCT ellenjavallt hypercalcaemiában szenvedő betegeknél és csak minden, már fennálló hypercalcaemia korrigálása után szabad alkalmazni. Az amlodipin/valzartán/HCT adását abba kell hagyni, ha a kezelés alatt hypercalcaemia alakul ki. A szérum kalciumszintet a tiazid-kezelés ideje alatt rendszeres időközönként ellenőrizni kell. A jelentős hypercalcaemia a nem diagnosztizált hyperparathyreosis bizonyítéka lehet. A tiazidok adását a mellékpajzsmirigy funkciójának vizsgálata előtt abba kell hagyni.</w:t>
      </w:r>
    </w:p>
    <w:p w14:paraId="6F46D6D9" w14:textId="77777777" w:rsidR="00B911F8" w:rsidRDefault="00B911F8">
      <w:pPr>
        <w:spacing w:line="240" w:lineRule="auto"/>
        <w:rPr>
          <w:lang w:val="hu-HU"/>
        </w:rPr>
      </w:pPr>
    </w:p>
    <w:p w14:paraId="0BAD2C42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Fényérzékenység</w:t>
      </w:r>
    </w:p>
    <w:p w14:paraId="0D87A956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2877F50D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tiazid diuretikumok adása mellett fényérzékenységi reakciókról számoltak be (lásd 4.8 pont). Ha az amlodipin/valzartán/HCT-kezelés alatt fényérzékenységi reakció alakul ki, akkor a kezelés leállítása javasolt. Ha a diuretikum adása ismét szükségesnek tűnik, akkor a napnak vagy a mesterséges UV-A sugaraknak kitett területek védelme javasolt.</w:t>
      </w:r>
    </w:p>
    <w:p w14:paraId="1D00BF07" w14:textId="77777777" w:rsidR="00B911F8" w:rsidRDefault="00B911F8">
      <w:pPr>
        <w:spacing w:line="240" w:lineRule="auto"/>
        <w:rPr>
          <w:lang w:val="hu-HU"/>
        </w:rPr>
      </w:pPr>
    </w:p>
    <w:p w14:paraId="40AD3813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Choroidealis effusio, akut myopia és szekunder, zárt zugú glaucoma</w:t>
      </w:r>
    </w:p>
    <w:p w14:paraId="504D0426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35A4F814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szulfonamid vagy szulfonamid származék gyógyszerek idioszinkráziás reakciót válthatnak ki, amely látótérkieséssel járó choroidealis effusiót, átmeneti myopiát és akut zárt zugú glaucomát eredményezhet. A tünetek közé tartozik a hirtelen jelentkező látásélesség csökkenés vagy a szemfájdalom, és ezek jellemző módon a gyógyszeres kezelés megkezdése után órákon - heteken belül jelentkeznek. A kezeletlen akut zárt zugú glaucoma végleges látásvesztéshez vezethet.</w:t>
      </w:r>
    </w:p>
    <w:p w14:paraId="14CDDBAE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Az elsődleges kezelés a hidroklorotiazid adásának a lehető leggyorsabban történő abbahagyása. Azonnali gyógyszeres vagy műtéti kezelés megfontolandó, ha az intraocularis nyomás kontrollálatlan marad. Az akut zárt zugú glaucoma kialakulásának kockázati tényezői közé tartozhat az anamnaesisben szereplő szulfonamid- vagy penicillin-allergia.</w:t>
      </w:r>
    </w:p>
    <w:p w14:paraId="38714F78" w14:textId="77777777" w:rsidR="00B911F8" w:rsidRDefault="00B911F8">
      <w:pPr>
        <w:spacing w:line="240" w:lineRule="auto"/>
        <w:rPr>
          <w:lang w:val="hu-HU"/>
        </w:rPr>
      </w:pPr>
    </w:p>
    <w:p w14:paraId="6E027D57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lastRenderedPageBreak/>
        <w:t>Általános ismeretek</w:t>
      </w:r>
    </w:p>
    <w:p w14:paraId="708F6F22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49A7675C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Óvatosnak kell lenni az olyan betegeknél, akik korábban túlérzékenységet mutattak más angiotenzin-II receptor antagonistákkal szemben. Az allergiás és az asthmás betegeknél nagyobb a valószínűsége hidroklorotiaziddal szembeni túlérzékenységi reakció jelentkezésének.</w:t>
      </w:r>
    </w:p>
    <w:p w14:paraId="3634FF93" w14:textId="77777777" w:rsidR="00B911F8" w:rsidRDefault="00B911F8">
      <w:pPr>
        <w:spacing w:line="240" w:lineRule="auto"/>
        <w:rPr>
          <w:lang w:val="hu-HU"/>
        </w:rPr>
      </w:pPr>
    </w:p>
    <w:p w14:paraId="2A3D8B5C" w14:textId="77777777" w:rsidR="00B911F8" w:rsidRDefault="00B7743C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Idősek (65 évesek és idősebbek)</w:t>
      </w:r>
    </w:p>
    <w:p w14:paraId="161823EA" w14:textId="77777777" w:rsidR="00B911F8" w:rsidRDefault="00B911F8">
      <w:pPr>
        <w:keepNext/>
        <w:spacing w:line="240" w:lineRule="auto"/>
        <w:rPr>
          <w:u w:val="single"/>
          <w:lang w:val="hu-HU"/>
        </w:rPr>
      </w:pPr>
    </w:p>
    <w:p w14:paraId="3726732B" w14:textId="77777777" w:rsidR="00B911F8" w:rsidRDefault="00B7743C">
      <w:pPr>
        <w:keepNext/>
        <w:spacing w:line="240" w:lineRule="auto"/>
        <w:rPr>
          <w:lang w:val="hu-HU"/>
        </w:rPr>
      </w:pPr>
      <w:r>
        <w:rPr>
          <w:lang w:val="hu-HU"/>
        </w:rPr>
        <w:t>Idős betegeknél elővigyázatosság – többek között a vérnyomás gyakoribb ellenőrzése – javasolt, különösen az amlodipin/valzartán/HCT maximális, 10 mg/320 mg/25 mg-os adagjánál, mivel ebben a betegcsoportban csak kevés adat áll rendelkezésre.</w:t>
      </w:r>
    </w:p>
    <w:p w14:paraId="591D0413" w14:textId="77777777" w:rsidR="00B911F8" w:rsidRDefault="00B911F8">
      <w:pPr>
        <w:spacing w:line="240" w:lineRule="auto"/>
        <w:rPr>
          <w:lang w:val="hu-HU"/>
        </w:rPr>
      </w:pPr>
    </w:p>
    <w:p w14:paraId="4932235F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renin-angiotenzin-aldoszteron rendszer (RAAS) kettős blokádja</w:t>
      </w:r>
    </w:p>
    <w:p w14:paraId="2383BE84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1030A0FA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Bizonyíték van rá, hogy az ACE-gátlók, ARB-k vagy aliszkirén egyidejű alkalmazása fokozza a hypotonia, hyperkalaemia és csökkent veseműködés (beleértve az akut veseelégtelenség) kockázatát. A RAAS ACE-gátlók, ARB-k vagy aliszkirén kombinált alkalmazásával történő kettős blokádja ezért nem javasolt (lásd 4.5 és 5.1 pont).</w:t>
      </w:r>
    </w:p>
    <w:p w14:paraId="349C5430" w14:textId="77777777" w:rsidR="00B911F8" w:rsidRDefault="00B911F8">
      <w:pPr>
        <w:spacing w:line="240" w:lineRule="auto"/>
        <w:rPr>
          <w:lang w:val="hu-HU"/>
        </w:rPr>
      </w:pPr>
    </w:p>
    <w:p w14:paraId="6C568635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Ha a kettős-blokád kezelést abszolút szükségesnek ítélik, ez csak szakorvos felügyeletével, a vesefunkció, elektrolitszintek és a vérnyomás gyakori és szoros ellenőrzése mellett történhet. Az ACE-gátlók és angiotenzin II receptor blokkolók egyidejűleg diabeteses nephropathiaban szenvedő betegeknél nem alkalmazhatók.</w:t>
      </w:r>
    </w:p>
    <w:p w14:paraId="4E67981D" w14:textId="77777777" w:rsidR="00B911F8" w:rsidRDefault="00B911F8">
      <w:pPr>
        <w:spacing w:line="240" w:lineRule="auto"/>
        <w:rPr>
          <w:lang w:val="hu-HU"/>
        </w:rPr>
      </w:pPr>
    </w:p>
    <w:p w14:paraId="774369EC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Nem melanóma típusú bőrrák</w:t>
      </w:r>
    </w:p>
    <w:p w14:paraId="70437752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674576E7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nem melanóma típusú bőrrák (NMSC) [basalsejtes rák (BCC) és laphámsejtes rák (SCC)] megnövekedett kockázatát figyelték meg a hidroklorotiazid (HCTZ) növekvő kumulatív dózisával összefüggésben a Dán Nemzeti Rákregiszteren alapuló két epidemiológiai tanulmányban. Az NMSC lehetséges mechanizmusa a hidroklorotiazid fotoszenzitivitást okozó hatása.</w:t>
      </w:r>
    </w:p>
    <w:p w14:paraId="6EEF6E55" w14:textId="77777777" w:rsidR="00B911F8" w:rsidRDefault="00B911F8">
      <w:pPr>
        <w:spacing w:line="240" w:lineRule="auto"/>
        <w:rPr>
          <w:lang w:val="hu-HU"/>
        </w:rPr>
      </w:pPr>
    </w:p>
    <w:p w14:paraId="72689ABA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hidroklorotiazidot szedő betegeket tájékoztatni kell az NMSC kockázatáról, valamint arról, hogy rendszeresen ellenőrizzék bőrüket – különös tekintettel az esetleges új elváltozásokra – és haladéktalanul jelentsenek minden gyanús bőrelváltozást. A bőrrák kockázatának minimalizálása érdekében a betegeket tanáccsal kell ellátni a lehetséges megelőző intézkedésekkel, például a napfény és az UV-sugárzás korlátozásával, valamint a napfénynek való kitettség esetén a megfelelő védelem alkalmazásával kapcsolatban. A gyanús bőrelváltozásokat azonnal meg kell vizsgálni, potenciálisan beleértve a biopsziás szövettani vizsgálatokat is. Azoknál a betegeknél, akiknél korábban NMSC-t diagnosztizáltak, a hidroklorotiazid használatát felül kell vizsgálni (lásd még 4.8 pont).</w:t>
      </w:r>
    </w:p>
    <w:p w14:paraId="3204C87C" w14:textId="77777777" w:rsidR="00B911F8" w:rsidRDefault="00B911F8">
      <w:pPr>
        <w:pStyle w:val="Default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</w:p>
    <w:p w14:paraId="7C8BFAB6" w14:textId="77777777" w:rsidR="00B911F8" w:rsidRDefault="00B7743C">
      <w:pPr>
        <w:pStyle w:val="Default"/>
        <w:rPr>
          <w:rFonts w:ascii="Times New Roman" w:hAnsi="Times New Roman" w:cs="Times New Roman"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Cs/>
          <w:sz w:val="22"/>
          <w:szCs w:val="22"/>
          <w:u w:val="single"/>
        </w:rPr>
        <w:t>Akut légzőszervi toxicitás</w:t>
      </w:r>
    </w:p>
    <w:p w14:paraId="211E04C4" w14:textId="77777777" w:rsidR="00B911F8" w:rsidRDefault="00B7743C">
      <w:pPr>
        <w:pStyle w:val="BodyText1"/>
        <w:widowControl/>
        <w:spacing w:before="0" w:line="240" w:lineRule="auto"/>
        <w:jc w:val="left"/>
        <w:rPr>
          <w:bCs/>
          <w:i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Hidroklorotiazid bevételét követően nagyon ritkán akut légzőszervi toxicitásról, többek között akut respirációs distressz szindrómáról (ARDS) számoltak be. Pulmonális ödéma jellemzően a hidroklorotiazid bevételét követően perceken vagy órákon belül alakul ki. A jelentkezésekor fellépő tünetek közé tartozik a nehézlégzés, a láz, a légzőszervi tünetek romlása és az alacsony vérnyomás. Amennyiben felmerül az ARDS gyanúja, a Valtricom adását le kell állítani és megfelelő kezelést kell alkalmazni. Nem adható hidroklorotiazid olyan betegeknek, akiknél a hidroklorotiazid bevételét követően korábban ARDS lépett fel.</w:t>
      </w:r>
    </w:p>
    <w:p w14:paraId="17A9955E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5FD3F989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Nátrium</w:t>
      </w:r>
    </w:p>
    <w:p w14:paraId="6218D40F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 xml:space="preserve">A készítmény </w:t>
      </w:r>
      <w:proofErr w:type="gramStart"/>
      <w:r>
        <w:rPr>
          <w:lang w:val="hu-HU"/>
        </w:rPr>
        <w:t>kevesebb</w:t>
      </w:r>
      <w:proofErr w:type="gramEnd"/>
      <w:r>
        <w:rPr>
          <w:lang w:val="hu-HU"/>
        </w:rPr>
        <w:t xml:space="preserve"> mint 1 mmol (23 mg) nátriumot tartalmaz filmtablettánként, azaz gyakorlatilag „nátriummentes”.</w:t>
      </w:r>
    </w:p>
    <w:p w14:paraId="6D8C34BD" w14:textId="77777777" w:rsidR="00B911F8" w:rsidRDefault="00B911F8">
      <w:pPr>
        <w:spacing w:line="240" w:lineRule="auto"/>
        <w:rPr>
          <w:lang w:val="hu-HU"/>
        </w:rPr>
      </w:pPr>
    </w:p>
    <w:p w14:paraId="36D02914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6AC4A5D3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1A8D6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 xml:space="preserve">Az </w:t>
      </w:r>
      <w:r>
        <w:rPr>
          <w:lang w:val="hu-HU"/>
        </w:rPr>
        <w:t>amlodipin/valzartán/HCT</w:t>
      </w:r>
      <w:r>
        <w:rPr>
          <w:snapToGrid/>
          <w:szCs w:val="22"/>
          <w:lang w:val="hu-HU" w:eastAsia="hu-HU"/>
        </w:rPr>
        <w:t xml:space="preserve"> és egyéb gyógyszerek között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előírásszerű </w:t>
      </w:r>
      <w:r>
        <w:rPr>
          <w:snapToGrid/>
          <w:szCs w:val="22"/>
          <w:lang w:val="hu-HU" w:eastAsia="hu-HU"/>
        </w:rPr>
        <w:t>interakciós vizsgálatokat nem végeztek. Ezért ebben a részben csak az egyes hatóanyagokkal kapcsolatban, egyéb gyógyszerek esetén már ismert kölcsönhatások találhatók meg.</w:t>
      </w:r>
    </w:p>
    <w:p w14:paraId="36AEBA80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835886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napToGrid/>
          <w:szCs w:val="22"/>
          <w:lang w:val="hu-HU" w:eastAsia="hu-HU"/>
        </w:rPr>
        <w:t>Azt azonban fontos számításba venni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, hogy az </w:t>
      </w:r>
      <w:r>
        <w:rPr>
          <w:lang w:val="hu-HU"/>
        </w:rPr>
        <w:t>amlodipin/valzartán/HCT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növelheti más vérnyomáscsökkentők </w:t>
      </w:r>
      <w:r>
        <w:rPr>
          <w:snapToGrid/>
          <w:szCs w:val="22"/>
          <w:lang w:val="hu-HU" w:eastAsia="hu-HU"/>
        </w:rPr>
        <w:t>hipotenzív hatásait.</w:t>
      </w:r>
    </w:p>
    <w:p w14:paraId="68BFCC2F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21091A51" w14:textId="77777777" w:rsidR="00B911F8" w:rsidRDefault="00B7743C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Egyidejű alkalmazás nem javasolt</w:t>
      </w:r>
    </w:p>
    <w:p w14:paraId="754356D6" w14:textId="77777777" w:rsidR="00B911F8" w:rsidRDefault="00B911F8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410"/>
        <w:gridCol w:w="4926"/>
      </w:tblGrid>
      <w:tr w:rsidR="00B911F8" w14:paraId="77D43EEB" w14:textId="77777777">
        <w:tc>
          <w:tcPr>
            <w:tcW w:w="1951" w:type="dxa"/>
            <w:shd w:val="clear" w:color="auto" w:fill="auto"/>
          </w:tcPr>
          <w:p w14:paraId="33673F89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b/>
                <w:lang w:val="hu-HU"/>
              </w:rPr>
              <w:t>Amlodipin/ valzartán/HCT</w:t>
            </w:r>
            <w:r>
              <w:rPr>
                <w:snapToGrid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egyes összetevők</w:t>
            </w:r>
          </w:p>
        </w:tc>
        <w:tc>
          <w:tcPr>
            <w:tcW w:w="2410" w:type="dxa"/>
            <w:shd w:val="clear" w:color="auto" w:fill="auto"/>
          </w:tcPr>
          <w:p w14:paraId="1AFD44E9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Ismert interakciók az alábbi szerekkel</w:t>
            </w:r>
          </w:p>
        </w:tc>
        <w:tc>
          <w:tcPr>
            <w:tcW w:w="4926" w:type="dxa"/>
            <w:shd w:val="clear" w:color="auto" w:fill="auto"/>
          </w:tcPr>
          <w:p w14:paraId="014965D5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Egyéb gyógyszerrel történő interakció hatása</w:t>
            </w:r>
          </w:p>
        </w:tc>
      </w:tr>
      <w:tr w:rsidR="00B911F8" w14:paraId="35A7B08D" w14:textId="77777777">
        <w:tc>
          <w:tcPr>
            <w:tcW w:w="1951" w:type="dxa"/>
            <w:shd w:val="clear" w:color="auto" w:fill="auto"/>
          </w:tcPr>
          <w:p w14:paraId="247EB376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hu-HU"/>
              </w:rPr>
            </w:pPr>
            <w:r>
              <w:rPr>
                <w:snapToGrid/>
                <w:szCs w:val="22"/>
                <w:lang w:val="hu-HU" w:eastAsia="hu-HU"/>
              </w:rPr>
              <w:t>Valzartán és</w:t>
            </w:r>
          </w:p>
          <w:p w14:paraId="2BB77F13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HCT</w:t>
            </w:r>
          </w:p>
        </w:tc>
        <w:tc>
          <w:tcPr>
            <w:tcW w:w="2410" w:type="dxa"/>
            <w:shd w:val="clear" w:color="auto" w:fill="auto"/>
          </w:tcPr>
          <w:p w14:paraId="3992C123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Lítium</w:t>
            </w:r>
          </w:p>
        </w:tc>
        <w:tc>
          <w:tcPr>
            <w:tcW w:w="4926" w:type="dxa"/>
            <w:shd w:val="clear" w:color="auto" w:fill="auto"/>
          </w:tcPr>
          <w:p w14:paraId="4E082F42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 xml:space="preserve">ACE-gátlók, angiotenzin II receptor antagonisták, köztük a valzartán vagy tiazidok és lítium egyidejű alkalmazása kapcsán beszámoltak a szérum lítiumkoncentráció reverzibilis emelkedéséről és toxicitás kialakulásáról. Mivel a lítium renális clearance-ét a tiazidok csökkentik, </w:t>
            </w:r>
            <w:r>
              <w:rPr>
                <w:lang w:val="hu-HU"/>
              </w:rPr>
              <w:t>amlodipin/valzartán/HCT</w:t>
            </w:r>
            <w:r>
              <w:rPr>
                <w:rFonts w:eastAsia="Times New Roman"/>
                <w:snapToGrid/>
                <w:szCs w:val="22"/>
                <w:lang w:val="hu-HU" w:eastAsia="en-US"/>
              </w:rPr>
              <w:t>-kezelés mellett a lítiumtoxicitás kialakulásának kockázata feltehetően tovább növekedhet.</w:t>
            </w:r>
          </w:p>
          <w:p w14:paraId="2B09E51F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Ezért egyidejű alkalmazás esetén a szérum lítiumszint szoros monitorozása javasolt.</w:t>
            </w:r>
          </w:p>
        </w:tc>
      </w:tr>
      <w:tr w:rsidR="00B911F8" w14:paraId="0E1D7603" w14:textId="77777777">
        <w:tc>
          <w:tcPr>
            <w:tcW w:w="1951" w:type="dxa"/>
            <w:shd w:val="clear" w:color="auto" w:fill="auto"/>
          </w:tcPr>
          <w:p w14:paraId="7D2CE656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Valzartán</w:t>
            </w:r>
          </w:p>
        </w:tc>
        <w:tc>
          <w:tcPr>
            <w:tcW w:w="2410" w:type="dxa"/>
            <w:shd w:val="clear" w:color="auto" w:fill="auto"/>
          </w:tcPr>
          <w:p w14:paraId="3E8D7EA2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Káliummegtakarító vízhajtók, káliumpótló készítmények, káliumtartalmú sópótlók és egyéb hatóanyagok, amelyek megemelhetik a kálium koncentrációját</w:t>
            </w:r>
          </w:p>
        </w:tc>
        <w:tc>
          <w:tcPr>
            <w:tcW w:w="4926" w:type="dxa"/>
            <w:shd w:val="clear" w:color="auto" w:fill="auto"/>
          </w:tcPr>
          <w:p w14:paraId="553FDD66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Amennyiben valzartán-kezeléssel egyidejűleg káliumszintet befolyásoló gyógyszer alkalmazását tartják szükségesnek, a plazma káliumszintjének gyakori monitorozása javasolt.</w:t>
            </w:r>
          </w:p>
        </w:tc>
      </w:tr>
      <w:tr w:rsidR="00B911F8" w14:paraId="62B41A78" w14:textId="77777777">
        <w:tc>
          <w:tcPr>
            <w:tcW w:w="1951" w:type="dxa"/>
            <w:shd w:val="clear" w:color="auto" w:fill="auto"/>
          </w:tcPr>
          <w:p w14:paraId="1B451068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Amlodipin</w:t>
            </w:r>
          </w:p>
        </w:tc>
        <w:tc>
          <w:tcPr>
            <w:tcW w:w="2410" w:type="dxa"/>
            <w:shd w:val="clear" w:color="auto" w:fill="auto"/>
          </w:tcPr>
          <w:p w14:paraId="43932BEA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Grépfrút vagy grépfrútlé</w:t>
            </w:r>
          </w:p>
        </w:tc>
        <w:tc>
          <w:tcPr>
            <w:tcW w:w="4926" w:type="dxa"/>
            <w:shd w:val="clear" w:color="auto" w:fill="auto"/>
          </w:tcPr>
          <w:p w14:paraId="00088A73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Az amlodipin grépfrúttal vagy grépfrútlével történő alkalmazása nem javasolt, mivel bizonyos betegeknél fokozódhat a biohasznosulás, ami a vérnyomáscsökkentő hatások növekedését eredményezi.</w:t>
            </w:r>
          </w:p>
        </w:tc>
      </w:tr>
    </w:tbl>
    <w:p w14:paraId="32684C61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470418" w14:textId="77777777" w:rsidR="00B911F8" w:rsidRDefault="00B7743C">
      <w:pPr>
        <w:spacing w:line="240" w:lineRule="auto"/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  <w:t>Egyidejű alkalmazás esetén óvatosság szükséges</w:t>
      </w:r>
    </w:p>
    <w:p w14:paraId="4D750B46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410"/>
        <w:gridCol w:w="4926"/>
      </w:tblGrid>
      <w:tr w:rsidR="00B911F8" w14:paraId="16C44D41" w14:textId="77777777" w:rsidTr="007F6BFC">
        <w:tc>
          <w:tcPr>
            <w:tcW w:w="1951" w:type="dxa"/>
            <w:shd w:val="clear" w:color="auto" w:fill="auto"/>
          </w:tcPr>
          <w:p w14:paraId="1E3E4E41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b/>
                <w:lang w:val="hu-HU"/>
              </w:rPr>
              <w:t>Amlodipin/ valzartán/HCT</w:t>
            </w:r>
            <w:r>
              <w:rPr>
                <w:snapToGrid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egyes összetevők</w:t>
            </w:r>
          </w:p>
        </w:tc>
        <w:tc>
          <w:tcPr>
            <w:tcW w:w="2410" w:type="dxa"/>
            <w:shd w:val="clear" w:color="auto" w:fill="auto"/>
          </w:tcPr>
          <w:p w14:paraId="574CD493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Ismert interakciók az alábbi szerekkel</w:t>
            </w:r>
          </w:p>
        </w:tc>
        <w:tc>
          <w:tcPr>
            <w:tcW w:w="4926" w:type="dxa"/>
            <w:shd w:val="clear" w:color="auto" w:fill="auto"/>
          </w:tcPr>
          <w:p w14:paraId="3983F7C0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Egyéb gyógyszerrel történő interakció hatása</w:t>
            </w:r>
          </w:p>
        </w:tc>
      </w:tr>
      <w:tr w:rsidR="007F6BFC" w14:paraId="3E9FF580" w14:textId="77777777" w:rsidTr="007F6BFC">
        <w:tc>
          <w:tcPr>
            <w:tcW w:w="1951" w:type="dxa"/>
            <w:vMerge w:val="restart"/>
            <w:shd w:val="clear" w:color="auto" w:fill="auto"/>
          </w:tcPr>
          <w:p w14:paraId="03D47B8D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Amlodipin</w:t>
            </w:r>
          </w:p>
        </w:tc>
        <w:tc>
          <w:tcPr>
            <w:tcW w:w="2410" w:type="dxa"/>
            <w:shd w:val="clear" w:color="auto" w:fill="auto"/>
          </w:tcPr>
          <w:p w14:paraId="099487E6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iCs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iCs/>
                <w:snapToGrid/>
                <w:szCs w:val="22"/>
                <w:lang w:val="hu-HU" w:eastAsia="en-US"/>
              </w:rPr>
              <w:t>CYP3A4 gátlók</w:t>
            </w:r>
          </w:p>
          <w:p w14:paraId="222E3476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19F454B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(azaz ketokonazol, itrakonazol, ritonavir)</w:t>
            </w:r>
          </w:p>
        </w:tc>
        <w:tc>
          <w:tcPr>
            <w:tcW w:w="4926" w:type="dxa"/>
            <w:shd w:val="clear" w:color="auto" w:fill="auto"/>
          </w:tcPr>
          <w:p w14:paraId="36323174" w14:textId="77777777" w:rsidR="007F6BFC" w:rsidRDefault="007F6BF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Az amlodipin erős vagy közepesen erős CYP3A4 </w:t>
            </w:r>
            <w:r>
              <w:rPr>
                <w:snapToGrid/>
                <w:szCs w:val="22"/>
                <w:lang w:val="hu-HU" w:eastAsia="hu-HU"/>
              </w:rPr>
              <w:t xml:space="preserve">gátlókkal (proteáz inhibitorok, antifungális azolok, makrolidok mint az eritromicin vagy klaritromicin,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verapamil vagy diltiazem) történő egyidejű alkalmazása jelentősen meg</w:t>
            </w:r>
            <w:r>
              <w:rPr>
                <w:snapToGrid/>
                <w:szCs w:val="22"/>
                <w:lang w:val="hu-HU" w:eastAsia="hu-HU"/>
              </w:rPr>
              <w:t xml:space="preserve">emelheti az amlodipin expozíciót. Ezen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farmakokinetikai változásoknak idősek esetében van nagyobb klinikai jelentősége. Ezért klinikai ellenőrzésre </w:t>
            </w:r>
            <w:r>
              <w:rPr>
                <w:snapToGrid/>
                <w:szCs w:val="22"/>
                <w:lang w:val="hu-HU" w:eastAsia="hu-HU"/>
              </w:rPr>
              <w:t>és a dózis beállítására lehet szükség.</w:t>
            </w:r>
          </w:p>
        </w:tc>
      </w:tr>
      <w:tr w:rsidR="007F6BFC" w14:paraId="2BDAA5B4" w14:textId="77777777" w:rsidTr="007F6BFC">
        <w:tc>
          <w:tcPr>
            <w:tcW w:w="1951" w:type="dxa"/>
            <w:vMerge/>
            <w:shd w:val="clear" w:color="auto" w:fill="auto"/>
          </w:tcPr>
          <w:p w14:paraId="1999F87C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42DE5D60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iCs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iCs/>
                <w:snapToGrid/>
                <w:szCs w:val="22"/>
                <w:lang w:val="hu-HU" w:eastAsia="en-US"/>
              </w:rPr>
              <w:t>CYP3A4 induktorok</w:t>
            </w:r>
          </w:p>
          <w:p w14:paraId="67B10BC8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 xml:space="preserve">(antikonvulzívumok [pl. karbamazepin, fenobarbitál, fenitoin, foszfenitoin, primidon], rifampicin, </w:t>
            </w:r>
            <w:r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  <w:t>Hypericum perforatum</w:t>
            </w:r>
            <w:r>
              <w:rPr>
                <w:rFonts w:eastAsia="Times New Roman"/>
                <w:iCs/>
                <w:snapToGrid/>
                <w:szCs w:val="22"/>
                <w:lang w:val="hu-HU" w:eastAsia="en-US"/>
              </w:rPr>
              <w:t xml:space="preserve"> </w:t>
            </w:r>
            <w:r>
              <w:rPr>
                <w:rFonts w:eastAsia="Times New Roman"/>
                <w:snapToGrid/>
                <w:szCs w:val="22"/>
                <w:lang w:val="hu-HU" w:eastAsia="en-US"/>
              </w:rPr>
              <w:t>[orbáncfű])</w:t>
            </w:r>
          </w:p>
        </w:tc>
        <w:tc>
          <w:tcPr>
            <w:tcW w:w="4926" w:type="dxa"/>
            <w:shd w:val="clear" w:color="auto" w:fill="auto"/>
          </w:tcPr>
          <w:p w14:paraId="0E1DE4AE" w14:textId="77777777" w:rsidR="007F6BFC" w:rsidRDefault="007F6BF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Ismert CYP3A4-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induktorokkal való egyidejű alkalmazás </w:t>
            </w:r>
            <w:r>
              <w:rPr>
                <w:snapToGrid/>
                <w:szCs w:val="22"/>
                <w:lang w:val="hu-HU" w:eastAsia="hu-HU"/>
              </w:rPr>
              <w:t xml:space="preserve">esetén megváltozhat az amlodipin plazmakoncentrációja. Emiatt monitorozni kell a vérnyomást, és meg kell fontolni a dózis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módosítását az egyidejű gyógyszeralkalmazás alatt és után is, különösen erős </w:t>
            </w:r>
            <w:r>
              <w:rPr>
                <w:snapToGrid/>
                <w:szCs w:val="22"/>
                <w:lang w:val="hu-HU" w:eastAsia="hu-HU"/>
              </w:rPr>
              <w:t>CYP3A4-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induktorok (pl. rifampicin,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lastRenderedPageBreak/>
              <w:t xml:space="preserve">orbáncfű </w:t>
            </w:r>
            <w:r>
              <w:rPr>
                <w:snapToGrid/>
                <w:szCs w:val="22"/>
                <w:lang w:val="hu-HU" w:eastAsia="hu-HU"/>
              </w:rPr>
              <w:t xml:space="preserve">– </w:t>
            </w:r>
            <w:r>
              <w:rPr>
                <w:i/>
                <w:snapToGrid/>
                <w:szCs w:val="22"/>
                <w:lang w:val="hu-HU" w:eastAsia="hu-HU"/>
              </w:rPr>
              <w:t>Hypericum perforatum</w:t>
            </w:r>
            <w:r>
              <w:rPr>
                <w:snapToGrid/>
                <w:szCs w:val="22"/>
                <w:lang w:val="hu-HU" w:eastAsia="hu-HU"/>
              </w:rPr>
              <w:t>) használata esetén.</w:t>
            </w:r>
          </w:p>
        </w:tc>
      </w:tr>
      <w:tr w:rsidR="007F6BFC" w14:paraId="5E6513A0" w14:textId="77777777" w:rsidTr="007F6BFC">
        <w:tc>
          <w:tcPr>
            <w:tcW w:w="1951" w:type="dxa"/>
            <w:vMerge/>
            <w:shd w:val="clear" w:color="auto" w:fill="auto"/>
          </w:tcPr>
          <w:p w14:paraId="7E13B098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546ABEFD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Szimvasztatin</w:t>
            </w:r>
          </w:p>
        </w:tc>
        <w:tc>
          <w:tcPr>
            <w:tcW w:w="4926" w:type="dxa"/>
            <w:shd w:val="clear" w:color="auto" w:fill="auto"/>
          </w:tcPr>
          <w:p w14:paraId="1E2DCED9" w14:textId="77777777" w:rsidR="007F6BFC" w:rsidRDefault="007F6BF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 szimvasztatin önmagában történő adásához képest a </w:t>
            </w:r>
            <w:r>
              <w:rPr>
                <w:snapToGrid/>
                <w:szCs w:val="22"/>
                <w:lang w:val="hu-HU" w:eastAsia="hu-HU"/>
              </w:rPr>
              <w:t xml:space="preserve">10 mg amlodipin többszöri dózisainak 80 mg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szimvasztatinnal történő egyidejű alkalmazása a </w:t>
            </w:r>
            <w:r>
              <w:rPr>
                <w:snapToGrid/>
                <w:szCs w:val="22"/>
                <w:lang w:val="hu-HU" w:eastAsia="hu-HU"/>
              </w:rPr>
              <w:t>szimvasztatin-expozíció 77%-os növekedését eredményezte. Az amlodipint kapó betegeknél a szimvasztatin dózisát javasolt napi 20 mg-ra korlátozni.</w:t>
            </w:r>
          </w:p>
        </w:tc>
      </w:tr>
      <w:tr w:rsidR="007F6BFC" w14:paraId="09928165" w14:textId="77777777" w:rsidTr="007F6BFC">
        <w:tc>
          <w:tcPr>
            <w:tcW w:w="1951" w:type="dxa"/>
            <w:vMerge/>
            <w:shd w:val="clear" w:color="auto" w:fill="auto"/>
          </w:tcPr>
          <w:p w14:paraId="66AED530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5C357A23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Dantrolén (infúzió)</w:t>
            </w:r>
          </w:p>
        </w:tc>
        <w:tc>
          <w:tcPr>
            <w:tcW w:w="4926" w:type="dxa"/>
            <w:shd w:val="clear" w:color="auto" w:fill="auto"/>
          </w:tcPr>
          <w:p w14:paraId="0A9B798B" w14:textId="77777777" w:rsidR="007F6BFC" w:rsidRDefault="007F6BF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Állatoknál hyperkalaemiával társult, letális kamrafibrillációt és keringés összeomlást figyeltek meg verapamil és dantrolén intravénás adagolása után. A hyperkalaemia kockázata miatt a malignus hyperthermiára hajlamos betegeknél, és a malignus hyperthermia kezelése alatt a kalciumcsatorna-blokkolók, mint az amlodipin, alkalmazását kerülni kell.</w:t>
            </w:r>
          </w:p>
        </w:tc>
      </w:tr>
      <w:tr w:rsidR="007F6BFC" w14:paraId="7F2A08B3" w14:textId="77777777" w:rsidTr="007F6BFC">
        <w:tc>
          <w:tcPr>
            <w:tcW w:w="1951" w:type="dxa"/>
            <w:vMerge/>
            <w:shd w:val="clear" w:color="auto" w:fill="auto"/>
          </w:tcPr>
          <w:p w14:paraId="344D8F8C" w14:textId="77777777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1E88CF0B" w14:textId="427A714B" w:rsidR="007F6BFC" w:rsidRDefault="007F6BFC">
            <w:pPr>
              <w:widowControl w:val="0"/>
              <w:tabs>
                <w:tab w:val="clear" w:pos="567"/>
              </w:tabs>
              <w:spacing w:line="240" w:lineRule="auto"/>
              <w:rPr>
                <w:iCs/>
                <w:snapToGrid/>
                <w:szCs w:val="22"/>
                <w:lang w:val="hu-HU" w:eastAsia="hu-HU"/>
              </w:rPr>
            </w:pPr>
            <w:r>
              <w:rPr>
                <w:iCs/>
                <w:szCs w:val="22"/>
                <w:lang w:val="hu-HU" w:eastAsia="hu-HU"/>
              </w:rPr>
              <w:t>Takrolimusz</w:t>
            </w:r>
          </w:p>
        </w:tc>
        <w:tc>
          <w:tcPr>
            <w:tcW w:w="4926" w:type="dxa"/>
            <w:shd w:val="clear" w:color="auto" w:fill="auto"/>
          </w:tcPr>
          <w:p w14:paraId="017BA308" w14:textId="7B7151AE" w:rsidR="007F6BFC" w:rsidRDefault="007F6BFC" w:rsidP="007F6BF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hu-HU"/>
              </w:rPr>
            </w:pPr>
            <w:r>
              <w:rPr>
                <w:szCs w:val="22"/>
                <w:lang w:val="hu-HU" w:eastAsia="hu-HU"/>
              </w:rPr>
              <w:t>Fennáll a megemelkedett takrolimusz-vérszint kialakulásának kockázata, ha együtt adják amlodipinnel. A takrolimusz toxicitásának elkerüléséhez a takrolimusszal kezelt betegeknél az amlodipin adagolásakor a takrolimusz vérszintjének monitorozása és szükség esetén a takrolimusz dózisának módosítása szükséges.</w:t>
            </w:r>
          </w:p>
        </w:tc>
      </w:tr>
      <w:tr w:rsidR="00B911F8" w14:paraId="278FEF02" w14:textId="77777777" w:rsidTr="007F6BFC">
        <w:tc>
          <w:tcPr>
            <w:tcW w:w="1951" w:type="dxa"/>
            <w:shd w:val="clear" w:color="auto" w:fill="auto"/>
          </w:tcPr>
          <w:p w14:paraId="547AC67F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Valzartán és HCT</w:t>
            </w:r>
          </w:p>
        </w:tc>
        <w:tc>
          <w:tcPr>
            <w:tcW w:w="2410" w:type="dxa"/>
            <w:shd w:val="clear" w:color="auto" w:fill="auto"/>
          </w:tcPr>
          <w:p w14:paraId="051DE8EE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iCs/>
                <w:snapToGrid/>
                <w:szCs w:val="22"/>
                <w:lang w:val="hu-HU" w:eastAsia="hu-HU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Nem-szteroid gyulladásgátlók (NSAID), beleértve a szelektív ciklooxigenáz-2 inhibitorokat (COX-2 gátlók), acetilszalicilsavat (&gt; 3 g/nap) és a nem</w:t>
            </w:r>
          </w:p>
          <w:p w14:paraId="677DB06D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szelektív NSAID készítményeket</w:t>
            </w:r>
          </w:p>
        </w:tc>
        <w:tc>
          <w:tcPr>
            <w:tcW w:w="4926" w:type="dxa"/>
            <w:shd w:val="clear" w:color="auto" w:fill="auto"/>
          </w:tcPr>
          <w:p w14:paraId="5BE627C1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 xml:space="preserve">Az NSAID-ok csökkenteni tudják mind az angiotenzin II-antagonisták, mind a hidroklorotiazid vérnyomáscsökkentő hatását, ha azokkal egyidejűleg adják. Az </w:t>
            </w:r>
            <w:r>
              <w:rPr>
                <w:lang w:val="hu-HU"/>
              </w:rPr>
              <w:t>amlodipin/valzartán/HCT</w:t>
            </w:r>
            <w:r>
              <w:rPr>
                <w:rFonts w:eastAsia="Times New Roman"/>
                <w:snapToGrid/>
                <w:szCs w:val="22"/>
                <w:lang w:val="hu-HU" w:eastAsia="en-US"/>
              </w:rPr>
              <w:t xml:space="preserve"> és az NSAID-ok egyidejű alkalmazása ezen kívül a veseműködés romlásához és a szérum káliumszint emelkedéséhez vezethet. Ezért a kezelés kezdetén a veseműködés monitorozása és a beteg megfelelő hidrálása javasolt.</w:t>
            </w:r>
          </w:p>
        </w:tc>
      </w:tr>
      <w:tr w:rsidR="00B911F8" w14:paraId="22F4524F" w14:textId="77777777" w:rsidTr="007F6BFC">
        <w:tc>
          <w:tcPr>
            <w:tcW w:w="1951" w:type="dxa"/>
            <w:shd w:val="clear" w:color="auto" w:fill="auto"/>
          </w:tcPr>
          <w:p w14:paraId="57D0D5AC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Valzartán</w:t>
            </w:r>
          </w:p>
        </w:tc>
        <w:tc>
          <w:tcPr>
            <w:tcW w:w="2410" w:type="dxa"/>
            <w:shd w:val="clear" w:color="auto" w:fill="auto"/>
          </w:tcPr>
          <w:p w14:paraId="01A21F4D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Uptake-transzporter inhibitorok (rifampicin, ciklosporin) vagy efflux-transzporter inhibitorok (ritonavir)</w:t>
            </w:r>
          </w:p>
        </w:tc>
        <w:tc>
          <w:tcPr>
            <w:tcW w:w="4926" w:type="dxa"/>
            <w:shd w:val="clear" w:color="auto" w:fill="auto"/>
          </w:tcPr>
          <w:p w14:paraId="43976B18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Egy humán májszövettel végzett </w:t>
            </w:r>
            <w:r>
              <w:rPr>
                <w:i/>
                <w:iCs/>
                <w:snapToGrid/>
                <w:szCs w:val="22"/>
                <w:lang w:val="hu-HU" w:eastAsia="hu-HU"/>
              </w:rPr>
              <w:t xml:space="preserve">in vitro </w:t>
            </w:r>
            <w:r>
              <w:rPr>
                <w:snapToGrid/>
                <w:szCs w:val="22"/>
                <w:lang w:val="hu-HU" w:eastAsia="hu-HU"/>
              </w:rPr>
              <w:t>vizsgálat eredményei azt mutatják, hogy a valzartán a hepaticus uptake-transzporter OATP1B1 és a hepaticus efflux-transzporter MRP2 szubsztrátja. Az uptake-transzporter inhibitorok (rifampicin, ciklosporin) vagy efflux-tra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nszporter inhibitorok (ritonavir) egyidejű </w:t>
            </w:r>
            <w:r>
              <w:rPr>
                <w:snapToGrid/>
                <w:szCs w:val="22"/>
                <w:lang w:val="hu-HU" w:eastAsia="hu-HU"/>
              </w:rPr>
              <w:t>alkalmazása növelheti a valzartán szisztémás expozícióját.</w:t>
            </w:r>
          </w:p>
        </w:tc>
      </w:tr>
      <w:tr w:rsidR="00B911F8" w14:paraId="12DFC629" w14:textId="77777777" w:rsidTr="007F6BFC">
        <w:tc>
          <w:tcPr>
            <w:tcW w:w="1951" w:type="dxa"/>
            <w:vMerge w:val="restart"/>
            <w:shd w:val="clear" w:color="auto" w:fill="auto"/>
          </w:tcPr>
          <w:p w14:paraId="120676CC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HCT</w:t>
            </w:r>
          </w:p>
        </w:tc>
        <w:tc>
          <w:tcPr>
            <w:tcW w:w="2410" w:type="dxa"/>
            <w:shd w:val="clear" w:color="auto" w:fill="auto"/>
          </w:tcPr>
          <w:p w14:paraId="1D081846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Alkohol, barbiturátok vagy narkotikumok</w:t>
            </w:r>
          </w:p>
        </w:tc>
        <w:tc>
          <w:tcPr>
            <w:tcW w:w="4926" w:type="dxa"/>
            <w:shd w:val="clear" w:color="auto" w:fill="auto"/>
          </w:tcPr>
          <w:p w14:paraId="5A97F6B1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tiazid diuretikumok olyan hatóanyagokkal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történő egyidejű alkalmazása</w:t>
            </w:r>
            <w:r>
              <w:rPr>
                <w:snapToGrid/>
                <w:szCs w:val="22"/>
                <w:lang w:val="hu-HU" w:eastAsia="hu-HU"/>
              </w:rPr>
              <w:t>, amelyeknek szintén vérnyomáscsökkent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ő hatás</w:t>
            </w:r>
            <w:r>
              <w:rPr>
                <w:snapToGrid/>
                <w:szCs w:val="22"/>
                <w:lang w:val="hu-HU" w:eastAsia="hu-HU"/>
              </w:rPr>
              <w:t>uk van (pl. csökkentik a központi idegrendszeri szimpatikus aktivitást vagy direkt vasodilatatorok), potenciálhatja az orthostaticus hypotoniát.</w:t>
            </w:r>
          </w:p>
        </w:tc>
      </w:tr>
      <w:tr w:rsidR="00B911F8" w14:paraId="0A390AA6" w14:textId="77777777" w:rsidTr="007F6BFC">
        <w:tc>
          <w:tcPr>
            <w:tcW w:w="1951" w:type="dxa"/>
            <w:vMerge/>
            <w:shd w:val="clear" w:color="auto" w:fill="auto"/>
          </w:tcPr>
          <w:p w14:paraId="2DC1CEEA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7F2BAD70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Amantadin</w:t>
            </w:r>
          </w:p>
        </w:tc>
        <w:tc>
          <w:tcPr>
            <w:tcW w:w="4926" w:type="dxa"/>
            <w:shd w:val="clear" w:color="auto" w:fill="auto"/>
          </w:tcPr>
          <w:p w14:paraId="49A99800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tiazidok, köztük a hidroklorotiazid, növelhetik az amantadin okozta mellékhatások kockázatát.</w:t>
            </w:r>
          </w:p>
        </w:tc>
      </w:tr>
      <w:tr w:rsidR="00B911F8" w14:paraId="41289CCD" w14:textId="77777777" w:rsidTr="007F6BFC">
        <w:tc>
          <w:tcPr>
            <w:tcW w:w="1951" w:type="dxa"/>
            <w:vMerge/>
            <w:shd w:val="clear" w:color="auto" w:fill="auto"/>
          </w:tcPr>
          <w:p w14:paraId="495A4331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26D0942E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Antikolinerg szerek és a gyomor motilitására ható egyéb gyógyszerek</w:t>
            </w:r>
          </w:p>
        </w:tc>
        <w:tc>
          <w:tcPr>
            <w:tcW w:w="4926" w:type="dxa"/>
            <w:shd w:val="clear" w:color="auto" w:fill="auto"/>
          </w:tcPr>
          <w:p w14:paraId="2AD17956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Az antikolinerg szerek (pl. atropin, biperidén)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– </w:t>
            </w:r>
            <w:r>
              <w:rPr>
                <w:snapToGrid/>
                <w:szCs w:val="22"/>
                <w:lang w:val="hu-HU" w:eastAsia="hu-HU"/>
              </w:rPr>
              <w:t xml:space="preserve">nyilvánvalóan a tápcsatorna motilitásának és a gyomorürülés sebességének csökkentése révén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– </w:t>
            </w:r>
            <w:r>
              <w:rPr>
                <w:snapToGrid/>
                <w:szCs w:val="22"/>
                <w:lang w:val="hu-HU" w:eastAsia="hu-HU"/>
              </w:rPr>
              <w:t xml:space="preserve">növelhetik a tiazid-típusú diuretikumok biohasznosulását. Ezzel szemben a prokinetikus hatóanyagok, például a ciszaprid várhatóan </w:t>
            </w:r>
            <w:r>
              <w:rPr>
                <w:snapToGrid/>
                <w:szCs w:val="22"/>
                <w:lang w:val="hu-HU" w:eastAsia="hu-HU"/>
              </w:rPr>
              <w:lastRenderedPageBreak/>
              <w:t>csökkenthetik a tiazid típusú diuretikumok biohasznosulását.</w:t>
            </w:r>
          </w:p>
        </w:tc>
      </w:tr>
      <w:tr w:rsidR="00B911F8" w14:paraId="4F61676F" w14:textId="77777777" w:rsidTr="007F6BFC">
        <w:tc>
          <w:tcPr>
            <w:tcW w:w="1951" w:type="dxa"/>
            <w:vMerge/>
            <w:shd w:val="clear" w:color="auto" w:fill="auto"/>
          </w:tcPr>
          <w:p w14:paraId="4E144607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7ACF6769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iCs/>
                <w:snapToGrid/>
                <w:szCs w:val="22"/>
                <w:lang w:val="hu-HU" w:eastAsia="hu-HU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Antidiabetikus szerek</w:t>
            </w:r>
          </w:p>
          <w:p w14:paraId="01BF246E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hu-HU"/>
              </w:rPr>
            </w:pPr>
            <w:r>
              <w:rPr>
                <w:snapToGrid/>
                <w:szCs w:val="22"/>
                <w:lang w:val="hu-HU" w:eastAsia="hu-HU"/>
              </w:rPr>
              <w:t>(pl. inzulin és az orális</w:t>
            </w:r>
          </w:p>
          <w:p w14:paraId="1CE5380D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antidiabetikumok)</w:t>
            </w:r>
          </w:p>
        </w:tc>
        <w:tc>
          <w:tcPr>
            <w:tcW w:w="4926" w:type="dxa"/>
            <w:shd w:val="clear" w:color="auto" w:fill="auto"/>
          </w:tcPr>
          <w:p w14:paraId="20A40505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tiazidok megváltoztathatják a glükóz toleranciát. Az antidiabetikus gyógyszer dózisának módosítása szükséges lehet.</w:t>
            </w:r>
          </w:p>
        </w:tc>
      </w:tr>
      <w:tr w:rsidR="00B911F8" w14:paraId="6CC1CCFC" w14:textId="77777777" w:rsidTr="007F6BFC">
        <w:tc>
          <w:tcPr>
            <w:tcW w:w="1951" w:type="dxa"/>
            <w:vMerge/>
            <w:shd w:val="clear" w:color="auto" w:fill="auto"/>
          </w:tcPr>
          <w:p w14:paraId="66C9E643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6A93897B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Metformin</w:t>
            </w:r>
          </w:p>
        </w:tc>
        <w:tc>
          <w:tcPr>
            <w:tcW w:w="4926" w:type="dxa"/>
            <w:shd w:val="clear" w:color="auto" w:fill="auto"/>
          </w:tcPr>
          <w:p w14:paraId="390E182A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metformint óvatosan kell alkalmazni a hidroklorotiazid-kezelés mellett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néha előforduló </w:t>
            </w:r>
            <w:r>
              <w:rPr>
                <w:snapToGrid/>
                <w:szCs w:val="22"/>
                <w:lang w:val="hu-HU" w:eastAsia="hu-HU"/>
              </w:rPr>
              <w:t>funkcionális veseelégtelenség okozta laktát-acidózis kockázata miatt.</w:t>
            </w:r>
          </w:p>
        </w:tc>
      </w:tr>
      <w:tr w:rsidR="00B911F8" w14:paraId="4F6068AA" w14:textId="77777777" w:rsidTr="007F6BFC">
        <w:tc>
          <w:tcPr>
            <w:tcW w:w="1951" w:type="dxa"/>
            <w:vMerge/>
            <w:shd w:val="clear" w:color="auto" w:fill="auto"/>
          </w:tcPr>
          <w:p w14:paraId="61E1D58F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2FCAAC16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Béta-blokkolók és diazoxid</w:t>
            </w:r>
          </w:p>
        </w:tc>
        <w:tc>
          <w:tcPr>
            <w:tcW w:w="4926" w:type="dxa"/>
            <w:shd w:val="clear" w:color="auto" w:fill="auto"/>
          </w:tcPr>
          <w:p w14:paraId="0D38995E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tiazid diuretikumok, köztük a hidroklorotiazid béta-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blokkolókkal történő együttes alkalmazása növelheti </w:t>
            </w:r>
            <w:r>
              <w:rPr>
                <w:snapToGrid/>
                <w:szCs w:val="22"/>
                <w:lang w:val="hu-HU" w:eastAsia="hu-HU"/>
              </w:rPr>
              <w:t>a hyperglykaemia kockázatát. A tiazid diuretikumok, köztük a hidroklorotiazid fokozhatja a diazoxid hyperglykaemiás hatását.</w:t>
            </w:r>
          </w:p>
        </w:tc>
      </w:tr>
      <w:tr w:rsidR="00B911F8" w14:paraId="5044AAC4" w14:textId="77777777" w:rsidTr="007F6BFC">
        <w:tc>
          <w:tcPr>
            <w:tcW w:w="1951" w:type="dxa"/>
            <w:shd w:val="clear" w:color="auto" w:fill="auto"/>
          </w:tcPr>
          <w:p w14:paraId="409C2078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409665D9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Ciklosporin</w:t>
            </w:r>
          </w:p>
        </w:tc>
        <w:tc>
          <w:tcPr>
            <w:tcW w:w="4926" w:type="dxa"/>
            <w:shd w:val="clear" w:color="auto" w:fill="auto"/>
          </w:tcPr>
          <w:p w14:paraId="64CE0FE5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 ciklosporinnal történő egyidejű kezelés növelheti a </w:t>
            </w:r>
            <w:r>
              <w:rPr>
                <w:snapToGrid/>
                <w:szCs w:val="22"/>
                <w:lang w:val="hu-HU" w:eastAsia="hu-HU"/>
              </w:rPr>
              <w:t xml:space="preserve">hyperuricaemia és a köszvényhez hasonló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szövődmények </w:t>
            </w:r>
            <w:r>
              <w:rPr>
                <w:snapToGrid/>
                <w:szCs w:val="22"/>
                <w:lang w:val="hu-HU" w:eastAsia="hu-HU"/>
              </w:rPr>
              <w:t>kockázatát.</w:t>
            </w:r>
          </w:p>
        </w:tc>
      </w:tr>
      <w:tr w:rsidR="00B911F8" w14:paraId="2FC06FD5" w14:textId="77777777" w:rsidTr="007F6BFC">
        <w:tc>
          <w:tcPr>
            <w:tcW w:w="1951" w:type="dxa"/>
            <w:shd w:val="clear" w:color="auto" w:fill="auto"/>
          </w:tcPr>
          <w:p w14:paraId="75581497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4F1ADA91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Cytotoxikus szerek</w:t>
            </w:r>
          </w:p>
        </w:tc>
        <w:tc>
          <w:tcPr>
            <w:tcW w:w="4926" w:type="dxa"/>
            <w:shd w:val="clear" w:color="auto" w:fill="auto"/>
          </w:tcPr>
          <w:p w14:paraId="543FD44D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tiazidok, köztük a hidroklorotiazid csökkenthetik a cytotoxikus szerek (pl. ciklofoszfamid, metotrexát) renalis kiválasztódását, és potencírozhatják azok myelosuppressiv hatásait.</w:t>
            </w:r>
          </w:p>
        </w:tc>
        <w:bookmarkStart w:id="0" w:name="_GoBack"/>
        <w:bookmarkEnd w:id="0"/>
      </w:tr>
      <w:tr w:rsidR="00B911F8" w14:paraId="2D67C412" w14:textId="77777777" w:rsidTr="007F6BFC">
        <w:tc>
          <w:tcPr>
            <w:tcW w:w="1951" w:type="dxa"/>
            <w:shd w:val="clear" w:color="auto" w:fill="auto"/>
          </w:tcPr>
          <w:p w14:paraId="048EFA67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7C28E17C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Digitálisz glikozidok</w:t>
            </w:r>
          </w:p>
        </w:tc>
        <w:tc>
          <w:tcPr>
            <w:tcW w:w="4926" w:type="dxa"/>
            <w:shd w:val="clear" w:color="auto" w:fill="auto"/>
          </w:tcPr>
          <w:p w14:paraId="475F485C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Nemkívánatos hatásként a tiazid hypokalaemiát vagy hypomagnesaemiát okozhat, ami kedvez a digitálisz indukálta cardialis arrhythmiák kialakulásának.</w:t>
            </w:r>
          </w:p>
        </w:tc>
      </w:tr>
      <w:tr w:rsidR="00B911F8" w14:paraId="4A687D70" w14:textId="77777777" w:rsidTr="007F6BFC">
        <w:tc>
          <w:tcPr>
            <w:tcW w:w="1951" w:type="dxa"/>
            <w:shd w:val="clear" w:color="auto" w:fill="auto"/>
          </w:tcPr>
          <w:p w14:paraId="00D9A76E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8F8E5FA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Jódtartalmú kontrasztanyagok</w:t>
            </w:r>
          </w:p>
        </w:tc>
        <w:tc>
          <w:tcPr>
            <w:tcW w:w="4926" w:type="dxa"/>
            <w:shd w:val="clear" w:color="auto" w:fill="auto"/>
          </w:tcPr>
          <w:p w14:paraId="3F9B7872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Diuretikum által kiváltott dehydratio esetén fokozott az akut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 veseelégtelenség kockázata, főként </w:t>
            </w:r>
            <w:r>
              <w:rPr>
                <w:snapToGrid/>
                <w:szCs w:val="22"/>
                <w:lang w:val="hu-HU" w:eastAsia="hu-HU"/>
              </w:rPr>
              <w:t xml:space="preserve">jódkészítmények nagy dózisai esetén. A betegeket ezek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alkalmazása előtt rehidrálni kell.</w:t>
            </w:r>
          </w:p>
        </w:tc>
      </w:tr>
      <w:tr w:rsidR="00B911F8" w14:paraId="2A67AC6D" w14:textId="77777777" w:rsidTr="007F6BFC">
        <w:tc>
          <w:tcPr>
            <w:tcW w:w="1951" w:type="dxa"/>
            <w:shd w:val="clear" w:color="auto" w:fill="auto"/>
          </w:tcPr>
          <w:p w14:paraId="25A10B3B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2E388C3C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iCs/>
                <w:snapToGrid/>
                <w:szCs w:val="22"/>
                <w:lang w:val="hu-HU" w:eastAsia="hu-HU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Ioncserélő gyanták</w:t>
            </w:r>
          </w:p>
        </w:tc>
        <w:tc>
          <w:tcPr>
            <w:tcW w:w="4926" w:type="dxa"/>
            <w:shd w:val="clear" w:color="auto" w:fill="auto"/>
          </w:tcPr>
          <w:p w14:paraId="4A689D4F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tiazid diuretikumok, köztük a hidroklorotiazid felszívódását csökkenti a kolesztiramin vagy a kolesztipol. Ez a tiazid diuretikumok szubterápiás hatását eredményezheti.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Ezért a kölcsönhatások lehetőség szerinti </w:t>
            </w:r>
            <w:r>
              <w:rPr>
                <w:snapToGrid/>
                <w:szCs w:val="22"/>
                <w:lang w:val="hu-HU" w:eastAsia="hu-HU"/>
              </w:rPr>
              <w:t xml:space="preserve">minimalizálása érdekében a hidroklorotiazid és a gyanta adásának szétválasztása javasolt, például a hidroklorotiazidot legalább 4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órával a gyanták adása előtt vagy azt követően 4</w:t>
            </w:r>
            <w:r>
              <w:rPr>
                <w:snapToGrid/>
                <w:szCs w:val="22"/>
                <w:lang w:val="hu-HU" w:eastAsia="hu-HU"/>
              </w:rPr>
              <w:t>-6 órával kell alkalmazni.</w:t>
            </w:r>
          </w:p>
        </w:tc>
      </w:tr>
      <w:tr w:rsidR="00B911F8" w14:paraId="58F614DD" w14:textId="77777777" w:rsidTr="007F6BFC">
        <w:tc>
          <w:tcPr>
            <w:tcW w:w="1951" w:type="dxa"/>
            <w:shd w:val="clear" w:color="auto" w:fill="auto"/>
          </w:tcPr>
          <w:p w14:paraId="664EAB6F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7313B95B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A szérum káliumszintet befolyásoló gyógyszerek</w:t>
            </w:r>
          </w:p>
        </w:tc>
        <w:tc>
          <w:tcPr>
            <w:tcW w:w="4926" w:type="dxa"/>
            <w:shd w:val="clear" w:color="auto" w:fill="auto"/>
          </w:tcPr>
          <w:p w14:paraId="56BAD7CF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hidroklorotiazid hypokalaemiás hatását növelheti a kaliuretikus diuretikumok, kortikoszteroidok, laxatívumok, adrenokortikotrop hormon (ACTH), amfotericin, karbenoxolon, penicillin G és szalicilsav származékok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vagy antiarrhythmiás szerek egyidejű </w:t>
            </w:r>
            <w:r>
              <w:rPr>
                <w:snapToGrid/>
                <w:szCs w:val="22"/>
                <w:lang w:val="hu-HU" w:eastAsia="hu-HU"/>
              </w:rPr>
              <w:t xml:space="preserve">alkalmazása. Ha ezeket a gyógyszereket az amlodipin/valzartán/hidroklorotiazid kombinációval együtt rendelik, akkor a plazma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káliumszint ellenőrzése </w:t>
            </w:r>
            <w:r>
              <w:rPr>
                <w:snapToGrid/>
                <w:szCs w:val="22"/>
                <w:lang w:val="hu-HU" w:eastAsia="hu-HU"/>
              </w:rPr>
              <w:t>javasolt.</w:t>
            </w:r>
          </w:p>
        </w:tc>
      </w:tr>
      <w:tr w:rsidR="00B911F8" w14:paraId="33EF84D6" w14:textId="77777777" w:rsidTr="007F6BFC">
        <w:tc>
          <w:tcPr>
            <w:tcW w:w="1951" w:type="dxa"/>
            <w:shd w:val="clear" w:color="auto" w:fill="auto"/>
          </w:tcPr>
          <w:p w14:paraId="738B3501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E7D5595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A szérum nátriumszintet befolyásoló gyógyszerek</w:t>
            </w:r>
          </w:p>
        </w:tc>
        <w:tc>
          <w:tcPr>
            <w:tcW w:w="4926" w:type="dxa"/>
            <w:shd w:val="clear" w:color="auto" w:fill="auto"/>
          </w:tcPr>
          <w:p w14:paraId="69491675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 vízhajtók hyponatraemiás hatását felerősítheti az olyan gyógyszerek egyidejű alkalmazása, mint például az </w:t>
            </w:r>
            <w:r>
              <w:rPr>
                <w:snapToGrid/>
                <w:szCs w:val="22"/>
                <w:lang w:val="hu-HU" w:eastAsia="hu-HU"/>
              </w:rPr>
              <w:t xml:space="preserve">antidepresszánsok, antipszichotikumok, antiepileptikumok stb. Ezeknek a gyógyszereknek a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hosszan tartó alkalmazásakor elővigyázatosság indokolt.</w:t>
            </w:r>
          </w:p>
        </w:tc>
      </w:tr>
      <w:tr w:rsidR="00B911F8" w14:paraId="697F133E" w14:textId="77777777" w:rsidTr="007F6BFC">
        <w:tc>
          <w:tcPr>
            <w:tcW w:w="1951" w:type="dxa"/>
            <w:shd w:val="clear" w:color="auto" w:fill="auto"/>
          </w:tcPr>
          <w:p w14:paraId="06C7C2AA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8839AB9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 xml:space="preserve">Gyógyszerek, melyek </w:t>
            </w:r>
            <w:r>
              <w:rPr>
                <w:i/>
                <w:iCs/>
                <w:snapToGrid/>
                <w:szCs w:val="22"/>
                <w:lang w:val="hu-HU" w:eastAsia="hu-HU"/>
              </w:rPr>
              <w:t>torsades de pointes</w:t>
            </w:r>
            <w:r>
              <w:rPr>
                <w:iCs/>
                <w:snapToGrid/>
                <w:szCs w:val="22"/>
                <w:lang w:val="hu-HU" w:eastAsia="hu-HU"/>
              </w:rPr>
              <w:t>-t képesek indukálni</w:t>
            </w:r>
          </w:p>
        </w:tc>
        <w:tc>
          <w:tcPr>
            <w:tcW w:w="4926" w:type="dxa"/>
            <w:shd w:val="clear" w:color="auto" w:fill="auto"/>
          </w:tcPr>
          <w:p w14:paraId="2BD37011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hypokalaemia kockázata miatt a hidroklorotiazidot óvatosan kell az olyan gyógyszerekkel együtt alkalmazni, amelyek </w:t>
            </w:r>
            <w:r>
              <w:rPr>
                <w:i/>
                <w:iCs/>
                <w:snapToGrid/>
                <w:szCs w:val="22"/>
                <w:lang w:val="hu-HU" w:eastAsia="hu-HU"/>
              </w:rPr>
              <w:t>torsades de pointes</w:t>
            </w:r>
            <w:r>
              <w:rPr>
                <w:snapToGrid/>
                <w:szCs w:val="22"/>
                <w:lang w:val="hu-HU" w:eastAsia="hu-HU"/>
              </w:rPr>
              <w:t>-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t képesek előidézni, </w:t>
            </w:r>
            <w:r>
              <w:rPr>
                <w:snapToGrid/>
                <w:szCs w:val="22"/>
                <w:lang w:val="hu-HU" w:eastAsia="hu-HU"/>
              </w:rPr>
              <w:t xml:space="preserve">különösen az Ia és a III. osztályba tartozó </w:t>
            </w:r>
            <w:r>
              <w:rPr>
                <w:snapToGrid/>
                <w:szCs w:val="22"/>
                <w:lang w:val="hu-HU" w:eastAsia="hu-HU"/>
              </w:rPr>
              <w:lastRenderedPageBreak/>
              <w:t>antiarrhythmiás gyógyszerekkel és bizonyos antipszichotikumokkal.</w:t>
            </w:r>
          </w:p>
        </w:tc>
      </w:tr>
      <w:tr w:rsidR="00B911F8" w14:paraId="601E9B2B" w14:textId="77777777" w:rsidTr="007F6BFC">
        <w:tc>
          <w:tcPr>
            <w:tcW w:w="1951" w:type="dxa"/>
            <w:shd w:val="clear" w:color="auto" w:fill="auto"/>
          </w:tcPr>
          <w:p w14:paraId="4B120DE9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EAC7C10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 xml:space="preserve">A köszvény kezelésére alkalmazott gyógyszerek </w:t>
            </w:r>
            <w:r>
              <w:rPr>
                <w:snapToGrid/>
                <w:szCs w:val="22"/>
                <w:lang w:val="hu-HU" w:eastAsia="hu-HU"/>
              </w:rPr>
              <w:t>(probenecid, szulfinpirazon és allopurinol)</w:t>
            </w:r>
          </w:p>
        </w:tc>
        <w:tc>
          <w:tcPr>
            <w:tcW w:w="4926" w:type="dxa"/>
            <w:shd w:val="clear" w:color="auto" w:fill="auto"/>
          </w:tcPr>
          <w:p w14:paraId="0A20322E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hu-HU"/>
              </w:rPr>
            </w:pPr>
            <w:r>
              <w:rPr>
                <w:snapToGrid/>
                <w:szCs w:val="22"/>
                <w:lang w:val="hu-HU" w:eastAsia="hu-HU"/>
              </w:rPr>
              <w:t>Az uricosuriás gyógyszerek adagjának módosítása válhat szükségessé, mivel a hidroklorotiazid emelheti a szérum húgysavszintet. A probenecid vagy a szulfinpirazon adagjának emelése válhat szükségessé.</w:t>
            </w:r>
          </w:p>
          <w:p w14:paraId="1031C350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tiazid diuretikumok, köztük a hidroklorotiazid együttes alkalmazása növelheti az allopurinollal szembeni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túlérzékenységi reakciók előfordulási gyakoriságát.</w:t>
            </w:r>
          </w:p>
        </w:tc>
      </w:tr>
      <w:tr w:rsidR="00B911F8" w14:paraId="50A5E70A" w14:textId="77777777" w:rsidTr="007F6BFC">
        <w:tc>
          <w:tcPr>
            <w:tcW w:w="1951" w:type="dxa"/>
            <w:shd w:val="clear" w:color="auto" w:fill="auto"/>
          </w:tcPr>
          <w:p w14:paraId="1133A8ED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5E43995" w14:textId="77777777" w:rsidR="00B911F8" w:rsidRDefault="00B7743C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Metildopa</w:t>
            </w:r>
          </w:p>
        </w:tc>
        <w:tc>
          <w:tcPr>
            <w:tcW w:w="4926" w:type="dxa"/>
            <w:shd w:val="clear" w:color="auto" w:fill="auto"/>
          </w:tcPr>
          <w:p w14:paraId="1F81C66C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Elvétve előforduló </w:t>
            </w:r>
            <w:r>
              <w:rPr>
                <w:snapToGrid/>
                <w:szCs w:val="22"/>
                <w:lang w:val="hu-HU" w:eastAsia="hu-HU"/>
              </w:rPr>
              <w:t xml:space="preserve">haemolyticus anaemiáról számoltak be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 hidroklorotiazid és a metildopa egyidejű </w:t>
            </w:r>
            <w:r>
              <w:rPr>
                <w:snapToGrid/>
                <w:szCs w:val="22"/>
                <w:lang w:val="hu-HU" w:eastAsia="hu-HU"/>
              </w:rPr>
              <w:t>alkalmazásakor.</w:t>
            </w:r>
          </w:p>
        </w:tc>
      </w:tr>
      <w:tr w:rsidR="00B911F8" w14:paraId="67A7A13E" w14:textId="77777777" w:rsidTr="007F6BFC">
        <w:tc>
          <w:tcPr>
            <w:tcW w:w="1951" w:type="dxa"/>
            <w:vMerge w:val="restart"/>
            <w:shd w:val="clear" w:color="auto" w:fill="auto"/>
          </w:tcPr>
          <w:p w14:paraId="079D4141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6DD0D31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 xml:space="preserve">Nem depolarizáló harántcsíkolt-izomrelaxánsok </w:t>
            </w:r>
            <w:r>
              <w:rPr>
                <w:snapToGrid/>
                <w:szCs w:val="22"/>
                <w:lang w:val="hu-HU" w:eastAsia="hu-HU"/>
              </w:rPr>
              <w:t>(pl. tubokurarin)</w:t>
            </w:r>
          </w:p>
        </w:tc>
        <w:tc>
          <w:tcPr>
            <w:tcW w:w="4926" w:type="dxa"/>
            <w:shd w:val="clear" w:color="auto" w:fill="auto"/>
          </w:tcPr>
          <w:p w14:paraId="594FDB94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tiazidok, köztük a hidroklorotiazid potencírozhatják a kuráre-származékok hatását.</w:t>
            </w:r>
          </w:p>
        </w:tc>
      </w:tr>
      <w:tr w:rsidR="00B911F8" w14:paraId="03D616A5" w14:textId="77777777" w:rsidTr="007F6BFC">
        <w:tc>
          <w:tcPr>
            <w:tcW w:w="1951" w:type="dxa"/>
            <w:vMerge/>
            <w:shd w:val="clear" w:color="auto" w:fill="auto"/>
          </w:tcPr>
          <w:p w14:paraId="24E1B79E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24DF80D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Egyéb vérnyomáscsökkentő gyógyszerek</w:t>
            </w:r>
          </w:p>
        </w:tc>
        <w:tc>
          <w:tcPr>
            <w:tcW w:w="4926" w:type="dxa"/>
            <w:shd w:val="clear" w:color="auto" w:fill="auto"/>
          </w:tcPr>
          <w:p w14:paraId="0431C16D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 tiazidok potenciálják más vérnyomáscsökkentő </w:t>
            </w:r>
            <w:r>
              <w:rPr>
                <w:snapToGrid/>
                <w:szCs w:val="22"/>
                <w:lang w:val="hu-HU" w:eastAsia="hu-HU"/>
              </w:rPr>
              <w:t>gyógyszerek (pl. guanetidin, metildopa, béta-blokkolók, vazodilatátorok, kalciumcsatorna-blokkolók, ACE-gátlók, ARB-k és a direkt renin-inhibitorok [DRI-k]) antihypertensiv hatását.</w:t>
            </w:r>
          </w:p>
        </w:tc>
      </w:tr>
      <w:tr w:rsidR="00B911F8" w14:paraId="4E08BB68" w14:textId="77777777" w:rsidTr="007F6BFC">
        <w:tc>
          <w:tcPr>
            <w:tcW w:w="1951" w:type="dxa"/>
            <w:vMerge/>
            <w:shd w:val="clear" w:color="auto" w:fill="auto"/>
          </w:tcPr>
          <w:p w14:paraId="472F6A35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010A5FA2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 xml:space="preserve">Presszoraminok </w:t>
            </w:r>
            <w:r>
              <w:rPr>
                <w:snapToGrid/>
                <w:szCs w:val="22"/>
                <w:lang w:val="hu-HU" w:eastAsia="hu-HU"/>
              </w:rPr>
              <w:t>(pl. noradrenalin, adrenalin)</w:t>
            </w:r>
          </w:p>
        </w:tc>
        <w:tc>
          <w:tcPr>
            <w:tcW w:w="4926" w:type="dxa"/>
            <w:shd w:val="clear" w:color="auto" w:fill="auto"/>
          </w:tcPr>
          <w:p w14:paraId="06037769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hidroklorotiazid csökkentheti a presszoraminokra, például a noradrenalinra adott választ. Ennek a hatásnak a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klinikai jelentősége bizonytalan, és nem elegendő ahhoz, </w:t>
            </w:r>
            <w:r>
              <w:rPr>
                <w:snapToGrid/>
                <w:szCs w:val="22"/>
                <w:lang w:val="hu-HU" w:eastAsia="hu-HU"/>
              </w:rPr>
              <w:t>hogy eleve kizárja ezek alkalmazását.</w:t>
            </w:r>
          </w:p>
        </w:tc>
      </w:tr>
      <w:tr w:rsidR="00B911F8" w14:paraId="1EAD595E" w14:textId="77777777" w:rsidTr="007F6BFC">
        <w:tc>
          <w:tcPr>
            <w:tcW w:w="1951" w:type="dxa"/>
            <w:vMerge/>
            <w:shd w:val="clear" w:color="auto" w:fill="auto"/>
          </w:tcPr>
          <w:p w14:paraId="400A55F6" w14:textId="77777777" w:rsidR="00B911F8" w:rsidRDefault="00B911F8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67909C66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iCs/>
                <w:snapToGrid/>
                <w:szCs w:val="22"/>
                <w:lang w:val="hu-HU" w:eastAsia="hu-HU"/>
              </w:rPr>
              <w:t>D-vitamin és kalciumsók</w:t>
            </w:r>
          </w:p>
        </w:tc>
        <w:tc>
          <w:tcPr>
            <w:tcW w:w="4926" w:type="dxa"/>
            <w:shd w:val="clear" w:color="auto" w:fill="auto"/>
          </w:tcPr>
          <w:p w14:paraId="31CCF3AF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tiazid diuretikumok, köztük a hidroklorotiazid D</w:t>
            </w:r>
            <w:r>
              <w:rPr>
                <w:snapToGrid/>
                <w:szCs w:val="22"/>
                <w:lang w:val="hu-HU" w:eastAsia="hu-HU"/>
              </w:rPr>
              <w:noBreakHyphen/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vitaminnal vagy kalcium sókkal történő együttes </w:t>
            </w:r>
            <w:r>
              <w:rPr>
                <w:snapToGrid/>
                <w:szCs w:val="22"/>
                <w:lang w:val="hu-HU" w:eastAsia="hu-HU"/>
              </w:rPr>
              <w:t>alka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lmazása elősegítheti a szérum kalciumszint </w:t>
            </w:r>
            <w:r>
              <w:rPr>
                <w:snapToGrid/>
                <w:szCs w:val="22"/>
                <w:lang w:val="hu-HU" w:eastAsia="hu-HU"/>
              </w:rPr>
              <w:t>emelkedését. A tiazid-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típusú diuretikumok egyidejű </w:t>
            </w:r>
            <w:r>
              <w:rPr>
                <w:snapToGrid/>
                <w:szCs w:val="22"/>
                <w:lang w:val="hu-HU" w:eastAsia="hu-HU"/>
              </w:rPr>
              <w:t>alkalmazása a hypercalcaemiára predisponált betegeknél (pl. hyperparathyreosis, malignitás vagy D</w:t>
            </w:r>
            <w:r>
              <w:rPr>
                <w:snapToGrid/>
                <w:szCs w:val="22"/>
                <w:lang w:val="hu-HU" w:eastAsia="hu-HU"/>
              </w:rPr>
              <w:noBreakHyphen/>
              <w:t>vitamin mediált állapotok) a tubuláris kalcium-reabszorpció növelésével hypercalcaemiához vezethet.</w:t>
            </w:r>
          </w:p>
        </w:tc>
      </w:tr>
    </w:tbl>
    <w:p w14:paraId="7B4A27FD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ED01A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A RAAS kettős blokádja ARB-kel, ACE gátlókkal és aliszkirénnel</w:t>
      </w:r>
    </w:p>
    <w:p w14:paraId="2D646CE8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00B2DDF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napToGrid/>
          <w:szCs w:val="22"/>
          <w:lang w:val="hu-HU" w:eastAsia="hu-HU"/>
        </w:rPr>
        <w:t xml:space="preserve">A klinikai vizsgálati adatok azt mutatták, hogy a RAAS-nek ACE-gátlók, ARB-k vagy aliszkirén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kombinációjával történő kettős blokádja nagyobb gyakorisággal </w:t>
      </w:r>
      <w:r>
        <w:rPr>
          <w:snapToGrid/>
          <w:szCs w:val="22"/>
          <w:lang w:val="hu-HU" w:eastAsia="hu-HU"/>
        </w:rPr>
        <w:t>okoz mellékhatásokat, például hypotoniát, hyperkalae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miát vagy beszűkült veseműködést (többek között akut veseelégtelenséget), </w:t>
      </w:r>
      <w:r>
        <w:rPr>
          <w:snapToGrid/>
          <w:szCs w:val="22"/>
          <w:lang w:val="hu-HU" w:eastAsia="hu-HU"/>
        </w:rPr>
        <w:t>mint csak egyféle RAAS-ra ható gyógyszer alkalmazása (lásd 4.3, 4.4 és 5.1 pont).</w:t>
      </w:r>
    </w:p>
    <w:p w14:paraId="68F94256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D72CAA4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7D4BC02" w14:textId="77777777" w:rsidR="00B911F8" w:rsidRDefault="00B911F8">
      <w:pPr>
        <w:spacing w:line="240" w:lineRule="auto"/>
        <w:rPr>
          <w:i/>
          <w:lang w:val="hu-HU"/>
        </w:rPr>
      </w:pPr>
    </w:p>
    <w:p w14:paraId="373D8F0A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4FA54547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125F9C0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Amlodipin</w:t>
      </w:r>
    </w:p>
    <w:p w14:paraId="78F2375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7F432E7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Terhes nőknél az amlodipin biztonságosságát nem bizonyították. Állatkísérletekben magas dózisok </w:t>
      </w:r>
      <w:r>
        <w:rPr>
          <w:snapToGrid/>
          <w:szCs w:val="22"/>
          <w:lang w:val="hu-HU" w:eastAsia="hu-HU"/>
        </w:rPr>
        <w:t>esetében reprodukciós toxicitást figyeltek meg (lásd 5.3 pont). Alkalmazása a terhesség ideje alatt csak akkor javasolt, ha nincs biztonságosabb alternatíva és a betegség önmagában nagyobb kockázatot jelent az anya és a magzat számára.</w:t>
      </w:r>
    </w:p>
    <w:p w14:paraId="4F5BA90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0A71861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Valzartán</w:t>
      </w:r>
    </w:p>
    <w:p w14:paraId="4031A11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4AFE5B9B" w14:textId="77777777" w:rsidR="00B911F8" w:rsidRDefault="00B774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ATII-receptor antagonisták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alkalmazása nem javasolt a terhesség első trimeszterében (lásd </w:t>
      </w:r>
      <w:r>
        <w:rPr>
          <w:snapToGrid/>
          <w:szCs w:val="22"/>
          <w:lang w:val="hu-HU" w:eastAsia="hu-HU"/>
        </w:rPr>
        <w:t>4.4 pont). Az ATII-receptor antagonisták alkalmazása ellenjavallt a terhesség második és harmadik trimeszterében (lásd 4.3 és 4.4 pont).</w:t>
      </w:r>
    </w:p>
    <w:p w14:paraId="1B0D1823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063AD7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 terhesség első harmada alatti ACE</w:t>
      </w:r>
      <w:r>
        <w:rPr>
          <w:snapToGrid/>
          <w:szCs w:val="22"/>
          <w:lang w:val="hu-HU" w:eastAsia="hu-HU"/>
        </w:rPr>
        <w:t>-gátló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–expozíciót követő teratogenitási kockázatra vonatkozó epidemiológiai bizonyíték nem volt meggyőző, a kockázat </w:t>
      </w:r>
      <w:proofErr w:type="gram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kis mértékű</w:t>
      </w:r>
      <w:proofErr w:type="gram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növekedése azonban </w:t>
      </w:r>
      <w:r>
        <w:rPr>
          <w:snapToGrid/>
          <w:szCs w:val="22"/>
          <w:lang w:val="hu-HU" w:eastAsia="hu-HU"/>
        </w:rPr>
        <w:t xml:space="preserve">nem zárható ki. Mivel az angiotenzin-II (ATII)receptor antagonisták alkalmazásával járó kockázatra vonatkozóan, nem állnak rendelkezésre kontrollált epidemiológiai adatok, hasonló kockázattal lehet számolni </w:t>
      </w:r>
      <w:proofErr w:type="gramStart"/>
      <w:r>
        <w:rPr>
          <w:snapToGrid/>
          <w:szCs w:val="22"/>
          <w:lang w:val="hu-HU" w:eastAsia="hu-HU"/>
        </w:rPr>
        <w:t>ezen</w:t>
      </w:r>
      <w:proofErr w:type="gramEnd"/>
      <w:r>
        <w:rPr>
          <w:snapToGrid/>
          <w:szCs w:val="22"/>
          <w:lang w:val="hu-HU" w:eastAsia="hu-HU"/>
        </w:rPr>
        <w:t xml:space="preserve"> gyógyszercsoport esetén is. Hacsak az ATII-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receptor antagonistával történő kezelés folytatása nem elengedhetetlen, a terhességet tervező betegeket olyan más antihipertenzív kezelésre </w:t>
      </w:r>
      <w:r>
        <w:rPr>
          <w:snapToGrid/>
          <w:szCs w:val="22"/>
          <w:lang w:val="hu-HU" w:eastAsia="hu-HU"/>
        </w:rPr>
        <w:t>kell átállítani, melynek terhesség alatti alkalmazására vonatkozó biztonságossági profilja megalapozott. Terhesség m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egállapítását követően az ATII</w:t>
      </w:r>
      <w:r>
        <w:rPr>
          <w:snapToGrid/>
          <w:szCs w:val="22"/>
          <w:lang w:val="hu-HU" w:eastAsia="hu-HU"/>
        </w:rPr>
        <w:t>-receptor antagonista szedését azonnal abba kell hagyni és amennyiben lehetséges, az alternatív kezelést el kell kezdeni.</w:t>
      </w:r>
    </w:p>
    <w:p w14:paraId="6B0365C8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C648D8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angiotenzin-II-receptor antagonista kezelés a terhesség második és harmadik harmadában ismerten magzati toxicitást (csökkent vesefunkció, oligohydramnion, a koponya-csontosodás retardációja) és újszülöttkori toxicitást (veseelégtelenség, hypotonia, hyperkalaemia) okoz. (lásd 5.3 pont).</w:t>
      </w:r>
    </w:p>
    <w:p w14:paraId="38969F8E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573DBE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Amennyiben az ATII-receptor antagonista expozíció a terhesség második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trimeszterétől kezdve </w:t>
      </w:r>
      <w:r>
        <w:rPr>
          <w:snapToGrid/>
          <w:szCs w:val="22"/>
          <w:lang w:val="hu-HU" w:eastAsia="hu-HU"/>
        </w:rPr>
        <w:t>történt, a vesefunkció és a koponya ultrahangvizsgálata javasolt.</w:t>
      </w:r>
    </w:p>
    <w:p w14:paraId="48C74A03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06F37E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Azokat a csecsemőket, akiknek édesanyja angiotenzin</w:t>
      </w:r>
      <w:r>
        <w:rPr>
          <w:snapToGrid/>
          <w:szCs w:val="22"/>
          <w:lang w:val="hu-HU" w:eastAsia="hu-HU"/>
        </w:rPr>
        <w:t>-II-receptor antagonistát szedett, hypotonia kialakulása szempontjából szoros megfigyelés alatt kell tartani (lásd 4.3 és 4.4 pont).</w:t>
      </w:r>
    </w:p>
    <w:p w14:paraId="65C1229D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3D59BE9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Hidroklorotiazid</w:t>
      </w:r>
    </w:p>
    <w:p w14:paraId="36F2AE95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720554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hidroklorotiazid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terhesség, és különösen az első trimeszter alatt történő alkalmazásával </w:t>
      </w:r>
      <w:r>
        <w:rPr>
          <w:snapToGrid/>
          <w:szCs w:val="22"/>
          <w:lang w:val="hu-HU" w:eastAsia="hu-HU"/>
        </w:rPr>
        <w:t>kapcsolatban csak korlátozott tapasztalat áll rendelkezésre. Az állatkísérletek hiányosak.</w:t>
      </w:r>
    </w:p>
    <w:p w14:paraId="4E748C1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830100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hidroklorotiazid átjut a placentán. A hidroklorotiazid farmakológiai hatásmechanizmusa alapján a második-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és harmadik trimeszter alatt történő alkalmazása </w:t>
      </w:r>
      <w:r>
        <w:rPr>
          <w:snapToGrid/>
          <w:szCs w:val="22"/>
          <w:lang w:val="hu-HU" w:eastAsia="hu-HU"/>
        </w:rPr>
        <w:t xml:space="preserve">ronthatja a foeto-placentáris perfúziót, és olyan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foetalis és neonatalis hatásokat idézhet elő, </w:t>
      </w:r>
      <w:r>
        <w:rPr>
          <w:snapToGrid/>
          <w:szCs w:val="22"/>
          <w:lang w:val="hu-HU" w:eastAsia="hu-HU"/>
        </w:rPr>
        <w:t>mint például az icterus, az elektrolit-egyensúly felborulása és thrombocytopenia.</w:t>
      </w:r>
    </w:p>
    <w:p w14:paraId="16E387B4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1D9CFD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Amlodipin/valzartán/hidroklorotiazid</w:t>
      </w:r>
    </w:p>
    <w:p w14:paraId="0C0767F1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132B2D3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Nincs tapasztalat az </w:t>
      </w:r>
      <w:r>
        <w:rPr>
          <w:iCs/>
          <w:snapToGrid/>
          <w:szCs w:val="22"/>
          <w:lang w:val="hu-HU" w:eastAsia="hu-HU"/>
        </w:rPr>
        <w:t>amlodipin/valzartán/hidroklorotiazid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terhes nőknél történő </w:t>
      </w:r>
      <w:r>
        <w:rPr>
          <w:snapToGrid/>
          <w:szCs w:val="22"/>
          <w:lang w:val="hu-HU" w:eastAsia="hu-HU"/>
        </w:rPr>
        <w:t xml:space="preserve">alkalmazása tekintetében.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Az összetevőkre </w:t>
      </w:r>
      <w:r>
        <w:rPr>
          <w:snapToGrid/>
          <w:szCs w:val="22"/>
          <w:lang w:val="hu-HU" w:eastAsia="hu-HU"/>
        </w:rPr>
        <w:t xml:space="preserve">vonatkozó,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meglévő adatok alapján az </w:t>
      </w:r>
      <w:r>
        <w:rPr>
          <w:iCs/>
          <w:snapToGrid/>
          <w:szCs w:val="22"/>
          <w:lang w:val="hu-HU" w:eastAsia="hu-HU"/>
        </w:rPr>
        <w:t>amlodipin/valzartán/hidroklorotiazid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alkalmazása nem javasolt a terh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esség első </w:t>
      </w:r>
      <w:r>
        <w:rPr>
          <w:snapToGrid/>
          <w:szCs w:val="22"/>
          <w:lang w:val="hu-HU" w:eastAsia="hu-HU"/>
        </w:rPr>
        <w:t>trimeszterében és ellenjavallt a második és harmadik trimeszterében (lásd 4.3 és 4.4 pont).</w:t>
      </w:r>
    </w:p>
    <w:p w14:paraId="7A7183D1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6FDAF304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14:paraId="3DA9D7AA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37C36E4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Az amlodipin kiválasztódik a humán anyatejbe. Becslések szerint a csecsemő által felvett dózis </w:t>
      </w:r>
      <w:r>
        <w:rPr>
          <w:snapToGrid/>
          <w:szCs w:val="22"/>
          <w:lang w:val="hu-HU" w:eastAsia="hu-HU"/>
        </w:rPr>
        <w:t xml:space="preserve">az anyai dózis 3-7%-os interkvartilis tartományában található, de legfeljebb 15%. Az amlodipin hatásai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csecsemőre nem ismertek.</w:t>
      </w:r>
    </w:p>
    <w:p w14:paraId="5F6B35C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Nem állnak rendelkezésre adatok a valzartán szoptatás ideje alatt történő </w:t>
      </w:r>
      <w:r>
        <w:rPr>
          <w:snapToGrid/>
          <w:szCs w:val="22"/>
          <w:lang w:val="hu-HU" w:eastAsia="hu-HU"/>
        </w:rPr>
        <w:t>alkalmazásával kapcsolatosan.</w:t>
      </w:r>
    </w:p>
    <w:p w14:paraId="2EFAB07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hidroklorotiazid kis mennyiségben kiválasztódik az anyatejbe. A tiazidok nagy dózisai intenzív diurézist okozva gátolhatják a tejtermelést.</w:t>
      </w:r>
    </w:p>
    <w:p w14:paraId="624FABC7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57DCB2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>
        <w:rPr>
          <w:snapToGrid/>
          <w:szCs w:val="22"/>
          <w:lang w:val="hu-HU" w:eastAsia="hu-HU"/>
        </w:rPr>
        <w:t xml:space="preserve">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 xml:space="preserve">HCT alkalmazása szoptatás alatt nem javasolt. Ha a szoptatás alatt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 xml:space="preserve">HCT-t alkalmaznak, akkor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dózist a lehető legalacsonyabban kell tartani. </w:t>
      </w:r>
      <w:r>
        <w:rPr>
          <w:snapToGrid/>
          <w:szCs w:val="22"/>
          <w:lang w:val="hu-HU" w:eastAsia="hu-HU"/>
        </w:rPr>
        <w:t>Olyan alternatí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 kezelést kell előnyben részesíteni, </w:t>
      </w:r>
      <w:r>
        <w:rPr>
          <w:snapToGrid/>
          <w:szCs w:val="22"/>
          <w:lang w:val="hu-HU" w:eastAsia="hu-HU"/>
        </w:rPr>
        <w:t>melynek a szoptatás idejére vonatkozó biztonságossági profilja jobban ismert, különösen az újszülöttek vagy koraszülöttek szoptatása esetén.</w:t>
      </w:r>
    </w:p>
    <w:p w14:paraId="65E6A905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5CEF2491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lastRenderedPageBreak/>
        <w:t>Termékenység</w:t>
      </w:r>
    </w:p>
    <w:p w14:paraId="5D5AC343" w14:textId="77777777" w:rsidR="00B911F8" w:rsidRDefault="00B911F8">
      <w:pPr>
        <w:spacing w:line="240" w:lineRule="auto"/>
        <w:rPr>
          <w:lang w:val="hu-HU"/>
        </w:rPr>
      </w:pPr>
    </w:p>
    <w:p w14:paraId="7E01D37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termékenységre vonatkozóan nincsenek klinikai vizsgálatok 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>HCT-dal.</w:t>
      </w:r>
    </w:p>
    <w:p w14:paraId="2719FB7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2AD17EB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Valzartán</w:t>
      </w:r>
    </w:p>
    <w:p w14:paraId="41F714F0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3EEB089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valzartánnak hím és nőstény patkányok esetén 200 </w:t>
      </w:r>
      <w:r>
        <w:rPr>
          <w:snapToGrid/>
          <w:szCs w:val="22"/>
          <w:lang w:val="hu-HU" w:eastAsia="hu-HU"/>
        </w:rPr>
        <w:t xml:space="preserve">mg/kg/nap-os </w:t>
      </w:r>
      <w:r>
        <w:rPr>
          <w:i/>
          <w:snapToGrid/>
          <w:szCs w:val="22"/>
          <w:lang w:val="hu-HU" w:eastAsia="hu-HU"/>
        </w:rPr>
        <w:t>per os</w:t>
      </w:r>
      <w:r>
        <w:rPr>
          <w:snapToGrid/>
          <w:szCs w:val="22"/>
          <w:lang w:val="hu-HU" w:eastAsia="hu-HU"/>
        </w:rPr>
        <w:t xml:space="preserve"> dózisig nincs a reproduktív teljesítményre gyakorolt mellékhatása. Ez a dózis a mg/m</w:t>
      </w:r>
      <w:r>
        <w:rPr>
          <w:snapToGrid/>
          <w:szCs w:val="22"/>
          <w:vertAlign w:val="superscript"/>
          <w:lang w:val="hu-HU" w:eastAsia="hu-HU"/>
        </w:rPr>
        <w:t xml:space="preserve">2 </w:t>
      </w:r>
      <w:r>
        <w:rPr>
          <w:snapToGrid/>
          <w:szCs w:val="22"/>
          <w:lang w:val="hu-HU" w:eastAsia="hu-HU"/>
        </w:rPr>
        <w:t xml:space="preserve">alapon számított maximális javasolt humán dózis 6-szorosa (a számítások napi 320 mg-os </w:t>
      </w:r>
      <w:r>
        <w:rPr>
          <w:i/>
          <w:snapToGrid/>
          <w:szCs w:val="22"/>
          <w:lang w:val="hu-HU" w:eastAsia="hu-HU"/>
        </w:rPr>
        <w:t>per os</w:t>
      </w:r>
      <w:r>
        <w:rPr>
          <w:snapToGrid/>
          <w:szCs w:val="22"/>
          <w:lang w:val="hu-HU" w:eastAsia="hu-HU"/>
        </w:rPr>
        <w:t xml:space="preserve"> dózist és egy 60 kg-os beteget tételeznek fel).</w:t>
      </w:r>
    </w:p>
    <w:p w14:paraId="59B554A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C7E908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Amlodipin</w:t>
      </w:r>
    </w:p>
    <w:p w14:paraId="3E7B1B14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13CAA32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hu-HU"/>
        </w:rPr>
        <w:t xml:space="preserve">Kalciumcsatorna-blokkolókkal kezelt néhány beteg esetében a spermatozoa feji végének reverzíbilis biokémiai változásait figyelték meg. Az amlodipinnek a termékenységre gyakorolt lehetséges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hatásáról nincs elegendő klinikai adat. Egy patkánykísérletekben a hímek termékenység</w:t>
      </w:r>
      <w:r>
        <w:rPr>
          <w:snapToGrid/>
          <w:szCs w:val="22"/>
          <w:lang w:val="hu-HU" w:eastAsia="hu-HU"/>
        </w:rPr>
        <w:t>ére gyakorolt mellékhatást tapasztaltak (lásd 5.3 pont).</w:t>
      </w:r>
    </w:p>
    <w:p w14:paraId="5FE22E04" w14:textId="77777777" w:rsidR="00B911F8" w:rsidRDefault="00B911F8">
      <w:pPr>
        <w:spacing w:line="240" w:lineRule="auto"/>
        <w:rPr>
          <w:lang w:val="hu-HU"/>
        </w:rPr>
      </w:pPr>
    </w:p>
    <w:p w14:paraId="030C2C4B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050BEEC0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5D2E36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>HCT-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t szedő és gépjárműveket vezető vagy </w:t>
      </w:r>
      <w:r>
        <w:rPr>
          <w:snapToGrid/>
          <w:szCs w:val="22"/>
          <w:lang w:val="hu-HU" w:eastAsia="hu-HU"/>
        </w:rPr>
        <w:t>gépek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et kezelő betegeknek </w:t>
      </w:r>
      <w:r>
        <w:rPr>
          <w:snapToGrid/>
          <w:szCs w:val="22"/>
          <w:lang w:val="hu-HU" w:eastAsia="hu-HU"/>
        </w:rPr>
        <w:t xml:space="preserve">figyelembe kell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venniük azt, hogy időnként szédülés vagy fáradtság léphet fel.</w:t>
      </w:r>
    </w:p>
    <w:p w14:paraId="766A412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6552F4F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amlodipin kis-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vagy közepes mértékben befolyásolhatja a gépjárművezetéshez és </w:t>
      </w:r>
      <w:r>
        <w:rPr>
          <w:snapToGrid/>
          <w:szCs w:val="22"/>
          <w:lang w:val="hu-HU" w:eastAsia="hu-HU"/>
        </w:rPr>
        <w:t xml:space="preserve">a gépek kezeléséhez szükséges képességeket. Ha 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 xml:space="preserve">HCT-t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szedő betegek szédüléstől, fejfájástól, fáradtságtól vagy hányingertől szenvednek, reakciókészségük romolhat.</w:t>
      </w:r>
    </w:p>
    <w:p w14:paraId="3A8CD318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8B0301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3AFF1B8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7D0B00F" w14:textId="77777777" w:rsidR="00B911F8" w:rsidRDefault="00B7743C">
      <w:pPr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Nagyon gyakori: (≥1/10);</w:t>
      </w:r>
    </w:p>
    <w:p w14:paraId="4BFF265C" w14:textId="77777777" w:rsidR="00B911F8" w:rsidRDefault="00B7743C">
      <w:pPr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Gyakori: (≥1/100 – &lt;1/10);</w:t>
      </w:r>
    </w:p>
    <w:p w14:paraId="166F7B61" w14:textId="77777777" w:rsidR="00B911F8" w:rsidRDefault="00B7743C">
      <w:pPr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Nem gyakori: (≥1/1000 – &lt;1/100); </w:t>
      </w:r>
    </w:p>
    <w:p w14:paraId="4DDCF78D" w14:textId="77777777" w:rsidR="00B911F8" w:rsidRDefault="00B7743C">
      <w:pPr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Ritka: (≥1/10 000 – &lt;1/1000);</w:t>
      </w:r>
    </w:p>
    <w:p w14:paraId="3111C8B8" w14:textId="77777777" w:rsidR="00B911F8" w:rsidRDefault="00B7743C">
      <w:pPr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Nagyon ritka (&lt;1/10 000),</w:t>
      </w:r>
    </w:p>
    <w:p w14:paraId="124E1549" w14:textId="77777777" w:rsidR="00B911F8" w:rsidRDefault="00B7743C">
      <w:pPr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Nem ismert (a gyakoriság a rendelkezésre álló adatokból nem állapítható meg).</w:t>
      </w:r>
    </w:p>
    <w:p w14:paraId="58934E3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62C4C6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 xml:space="preserve">HCT alább bemutatott biztonságossági profilja 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 xml:space="preserve">HCT-vel végzett klinikai vizsgálatokon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és az egyes összetevők</w:t>
      </w:r>
      <w:r>
        <w:rPr>
          <w:snapToGrid/>
          <w:szCs w:val="22"/>
          <w:lang w:val="hu-HU" w:eastAsia="hu-HU"/>
        </w:rPr>
        <w:t>, vagyis az amlodipin, a valzartán és a hidroklorotiazid ismert biztonságossági profilján alapul.</w:t>
      </w:r>
    </w:p>
    <w:p w14:paraId="0C7BDCA5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6CC558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 biztonságossági profil összefoglalása</w:t>
      </w:r>
    </w:p>
    <w:p w14:paraId="67F9B64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>HCT biztonságosságát a maximális 10 mg/320 mg/25 mg-os adagja mellett egy kontrollos, rövid ideig tartó (8 hét) klinikai vizsgálatban 2271 betegnél értékelték, akik közül 582 kapott valzartánt amlodipinnel és hidroklorotiaziddal kombinációban. A mellékhatások természetüket tekintve általában enyhék é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 átmeneti jellegűek voltak, és csak ritkán tették szükségessé a kezelés </w:t>
      </w:r>
      <w:r>
        <w:rPr>
          <w:snapToGrid/>
          <w:szCs w:val="22"/>
          <w:lang w:val="hu-HU" w:eastAsia="hu-HU"/>
        </w:rPr>
        <w:t xml:space="preserve">abbahagyását. Ebben az aktív kontrollos klinikai vizsgálatban 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>HCT-vel végzett kezelés abbahagyásának leggyakoribb oka a szédülés és a hypotonia volt (0,7%).</w:t>
      </w:r>
    </w:p>
    <w:p w14:paraId="71D23E91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9B7482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8 hetes kont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rollos klinikai vizsgálatban a monoterápia vagy a kettős kezelés összetevőinek ismert hatásaihoz képest a hármas kezelés esetén nem észleltek jelentősebb új vagy váratlan </w:t>
      </w:r>
      <w:r>
        <w:rPr>
          <w:snapToGrid/>
          <w:szCs w:val="22"/>
          <w:lang w:val="hu-HU" w:eastAsia="hu-HU"/>
        </w:rPr>
        <w:t>mellékhatásokat.</w:t>
      </w:r>
    </w:p>
    <w:p w14:paraId="77579CD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729B9E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>
        <w:rPr>
          <w:snapToGrid/>
          <w:szCs w:val="22"/>
          <w:lang w:val="hu-HU" w:eastAsia="hu-HU"/>
        </w:rPr>
        <w:t xml:space="preserve">A 8 hetes kontrollos klinikai vizsgálatban az </w:t>
      </w:r>
      <w:r>
        <w:rPr>
          <w:iCs/>
          <w:snapToGrid/>
          <w:szCs w:val="22"/>
          <w:lang w:val="hu-HU" w:eastAsia="hu-HU"/>
        </w:rPr>
        <w:t>amlodipin/valzartán/</w:t>
      </w:r>
      <w:r>
        <w:rPr>
          <w:snapToGrid/>
          <w:szCs w:val="22"/>
          <w:lang w:val="hu-HU" w:eastAsia="hu-HU"/>
        </w:rPr>
        <w:t>HCT kombináció esetén a laboratóriumi paraméterekben észlelt változások csekélyek voltak, és összhangban voltak a monoterápiában adott szerek farmakológiai hatásmechanizmusával. A hármas kombinációban a valzartán jelenléte csökkentette a hidroklorotiazid hypokalaemiás hatását.</w:t>
      </w:r>
    </w:p>
    <w:p w14:paraId="16CEABD1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11A22800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 mellékhatások táblázatos felsorolása</w:t>
      </w:r>
    </w:p>
    <w:p w14:paraId="14E54EE3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C10077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>Az alábbi, amlodipin/valzartán/HCT kombinációra és amlodipinre, valzartánra és HCT-re önmagában vonatkozó jellegzetes mellékhatások MedDRA szervrendszeri kategóriánként és gyakoriság szerint kerültek felsorolásra.</w:t>
      </w:r>
    </w:p>
    <w:p w14:paraId="4DFC7358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1337"/>
        <w:gridCol w:w="1356"/>
        <w:gridCol w:w="1338"/>
        <w:gridCol w:w="1338"/>
        <w:gridCol w:w="15"/>
      </w:tblGrid>
      <w:tr w:rsidR="00B911F8" w14:paraId="1AE95F2B" w14:textId="77777777">
        <w:tc>
          <w:tcPr>
            <w:tcW w:w="1384" w:type="dxa"/>
            <w:vMerge w:val="restart"/>
            <w:shd w:val="clear" w:color="auto" w:fill="auto"/>
          </w:tcPr>
          <w:p w14:paraId="68E1D97F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b/>
                <w:bCs/>
                <w:snapToGrid/>
                <w:szCs w:val="22"/>
                <w:lang w:val="hu-HU" w:eastAsia="hu-HU"/>
              </w:rPr>
              <w:t>MedDRA szerv-rendszeri kategória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3B61D7D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b/>
                <w:bCs/>
                <w:snapToGrid/>
                <w:szCs w:val="22"/>
                <w:lang w:val="hu-HU" w:eastAsia="hu-HU"/>
              </w:rPr>
              <w:t>Mellékhatások</w:t>
            </w:r>
          </w:p>
        </w:tc>
        <w:tc>
          <w:tcPr>
            <w:tcW w:w="5384" w:type="dxa"/>
            <w:gridSpan w:val="5"/>
            <w:shd w:val="clear" w:color="auto" w:fill="auto"/>
          </w:tcPr>
          <w:p w14:paraId="33A34DB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b/>
                <w:bCs/>
                <w:snapToGrid/>
                <w:szCs w:val="22"/>
                <w:lang w:val="hu-HU" w:eastAsia="hu-HU"/>
              </w:rPr>
              <w:t>Gyakoriság</w:t>
            </w:r>
          </w:p>
        </w:tc>
      </w:tr>
      <w:tr w:rsidR="00B911F8" w14:paraId="71A2C17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5F4A78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15CA99C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1337" w:type="dxa"/>
            <w:shd w:val="clear" w:color="auto" w:fill="auto"/>
          </w:tcPr>
          <w:p w14:paraId="187AAE6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Amlodipin/Valzartán/HCT</w:t>
            </w:r>
          </w:p>
        </w:tc>
        <w:tc>
          <w:tcPr>
            <w:tcW w:w="1356" w:type="dxa"/>
            <w:shd w:val="clear" w:color="auto" w:fill="auto"/>
          </w:tcPr>
          <w:p w14:paraId="35808A7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Amlodipin</w:t>
            </w:r>
          </w:p>
        </w:tc>
        <w:tc>
          <w:tcPr>
            <w:tcW w:w="1338" w:type="dxa"/>
            <w:shd w:val="clear" w:color="auto" w:fill="auto"/>
          </w:tcPr>
          <w:p w14:paraId="1F4CDF2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Valzartán</w:t>
            </w:r>
          </w:p>
        </w:tc>
        <w:tc>
          <w:tcPr>
            <w:tcW w:w="1338" w:type="dxa"/>
            <w:shd w:val="clear" w:color="auto" w:fill="auto"/>
          </w:tcPr>
          <w:p w14:paraId="6319D8E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b/>
                <w:snapToGrid/>
                <w:szCs w:val="22"/>
                <w:lang w:val="hu-HU" w:eastAsia="en-US"/>
              </w:rPr>
              <w:t>HCT</w:t>
            </w:r>
          </w:p>
        </w:tc>
      </w:tr>
      <w:tr w:rsidR="00B911F8" w14:paraId="337343D8" w14:textId="77777777">
        <w:trPr>
          <w:gridAfter w:val="1"/>
          <w:wAfter w:w="15" w:type="dxa"/>
        </w:trPr>
        <w:tc>
          <w:tcPr>
            <w:tcW w:w="1384" w:type="dxa"/>
            <w:shd w:val="clear" w:color="auto" w:fill="auto"/>
          </w:tcPr>
          <w:p w14:paraId="0BE44713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08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Jó-, rosszin-dulatú és nem meghatározott daganatok (beleértve a cisztákat és polipokat is)</w:t>
            </w:r>
          </w:p>
        </w:tc>
        <w:tc>
          <w:tcPr>
            <w:tcW w:w="2552" w:type="dxa"/>
            <w:shd w:val="clear" w:color="auto" w:fill="auto"/>
          </w:tcPr>
          <w:p w14:paraId="4F8765C4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Nem melanóma típusú b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őrrák (Basalsejtes rák és </w:t>
            </w:r>
            <w:r>
              <w:rPr>
                <w:snapToGrid/>
                <w:szCs w:val="22"/>
                <w:lang w:val="hu-HU" w:eastAsia="hu-HU"/>
              </w:rPr>
              <w:t>Laphámsejtes rák)</w:t>
            </w:r>
          </w:p>
        </w:tc>
        <w:tc>
          <w:tcPr>
            <w:tcW w:w="1337" w:type="dxa"/>
            <w:shd w:val="clear" w:color="auto" w:fill="auto"/>
          </w:tcPr>
          <w:p w14:paraId="1857DD1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DC9300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A44DF6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F3C32B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67D8940D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67FE7E5F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Vérképző-szervi </w:t>
            </w:r>
            <w:r>
              <w:rPr>
                <w:snapToGrid/>
                <w:szCs w:val="22"/>
                <w:lang w:val="hu-HU" w:eastAsia="hu-HU"/>
              </w:rPr>
              <w:t>és nyirokrend-szeri betegségek és tünetek</w:t>
            </w:r>
          </w:p>
        </w:tc>
        <w:tc>
          <w:tcPr>
            <w:tcW w:w="2552" w:type="dxa"/>
            <w:shd w:val="clear" w:color="auto" w:fill="auto"/>
          </w:tcPr>
          <w:p w14:paraId="2942F89A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Agranulocytosis, csontvelő </w:t>
            </w:r>
            <w:r>
              <w:rPr>
                <w:snapToGrid/>
                <w:szCs w:val="22"/>
                <w:lang w:val="hu-HU" w:eastAsia="hu-HU"/>
              </w:rPr>
              <w:t>elégtelenség</w:t>
            </w:r>
          </w:p>
        </w:tc>
        <w:tc>
          <w:tcPr>
            <w:tcW w:w="1337" w:type="dxa"/>
            <w:shd w:val="clear" w:color="auto" w:fill="auto"/>
          </w:tcPr>
          <w:p w14:paraId="0947E99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6D9F25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231F5C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1AF944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5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6F36BCAE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7AB4A743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F81AECC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Haemoglobinszint és haematokritérték csökkenés</w:t>
            </w:r>
          </w:p>
        </w:tc>
        <w:tc>
          <w:tcPr>
            <w:tcW w:w="1337" w:type="dxa"/>
            <w:shd w:val="clear" w:color="auto" w:fill="auto"/>
          </w:tcPr>
          <w:p w14:paraId="2D1BB2E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1AAA5BC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49076D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052B751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F88FA1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1F13F3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F122ED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Haemolyticus anaemia</w:t>
            </w:r>
          </w:p>
        </w:tc>
        <w:tc>
          <w:tcPr>
            <w:tcW w:w="1337" w:type="dxa"/>
            <w:shd w:val="clear" w:color="auto" w:fill="auto"/>
          </w:tcPr>
          <w:p w14:paraId="379CBBF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12E49B6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72969C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ACB97B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5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4D8861D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4EF025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038E5F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Leukopenia</w:t>
            </w:r>
          </w:p>
        </w:tc>
        <w:tc>
          <w:tcPr>
            <w:tcW w:w="1337" w:type="dxa"/>
            <w:shd w:val="clear" w:color="auto" w:fill="auto"/>
          </w:tcPr>
          <w:p w14:paraId="31DA4CC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1EC1572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69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7A391E4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C4A681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5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7F6C8A1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41D8DEF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CDAB8B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Neutropenia</w:t>
            </w:r>
          </w:p>
        </w:tc>
        <w:tc>
          <w:tcPr>
            <w:tcW w:w="1337" w:type="dxa"/>
            <w:shd w:val="clear" w:color="auto" w:fill="auto"/>
          </w:tcPr>
          <w:p w14:paraId="6DEDAC8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5200CC1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3A1D9A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7328CDD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82B3D10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1FA72FE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01A3DA3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Thrombocytopenia, néha purpurával</w:t>
            </w:r>
          </w:p>
        </w:tc>
        <w:tc>
          <w:tcPr>
            <w:tcW w:w="1337" w:type="dxa"/>
            <w:shd w:val="clear" w:color="auto" w:fill="auto"/>
          </w:tcPr>
          <w:p w14:paraId="09BB550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2B9007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69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3E52CD0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0990196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3573ED3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DD274F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DDD0B3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Aplasticus anaemia</w:t>
            </w:r>
          </w:p>
        </w:tc>
        <w:tc>
          <w:tcPr>
            <w:tcW w:w="1337" w:type="dxa"/>
            <w:shd w:val="clear" w:color="auto" w:fill="auto"/>
          </w:tcPr>
          <w:p w14:paraId="2403B8F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DDA8A2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3F2F88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B34036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1049052E" w14:textId="77777777">
        <w:trPr>
          <w:gridAfter w:val="1"/>
          <w:wAfter w:w="15" w:type="dxa"/>
        </w:trPr>
        <w:tc>
          <w:tcPr>
            <w:tcW w:w="1384" w:type="dxa"/>
            <w:shd w:val="clear" w:color="auto" w:fill="auto"/>
          </w:tcPr>
          <w:p w14:paraId="3B5F8263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Immunrend-szeri betegségek és tünetek</w:t>
            </w:r>
          </w:p>
        </w:tc>
        <w:tc>
          <w:tcPr>
            <w:tcW w:w="2552" w:type="dxa"/>
            <w:shd w:val="clear" w:color="auto" w:fill="auto"/>
          </w:tcPr>
          <w:p w14:paraId="5A19E70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Túlérzékenység</w:t>
            </w:r>
          </w:p>
        </w:tc>
        <w:tc>
          <w:tcPr>
            <w:tcW w:w="1337" w:type="dxa"/>
            <w:shd w:val="clear" w:color="auto" w:fill="auto"/>
          </w:tcPr>
          <w:p w14:paraId="2EC0FA4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C4EE7A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69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3A1A251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180EF13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55" w:right="-14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36812BBF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5C5877A5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08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Anyagcsere- és táplálkozási betegségek és tünetek</w:t>
            </w:r>
          </w:p>
        </w:tc>
        <w:tc>
          <w:tcPr>
            <w:tcW w:w="2552" w:type="dxa"/>
            <w:shd w:val="clear" w:color="auto" w:fill="auto"/>
          </w:tcPr>
          <w:p w14:paraId="48F2EF2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Étvágytalanság</w:t>
            </w:r>
          </w:p>
        </w:tc>
        <w:tc>
          <w:tcPr>
            <w:tcW w:w="1337" w:type="dxa"/>
            <w:shd w:val="clear" w:color="auto" w:fill="auto"/>
          </w:tcPr>
          <w:p w14:paraId="2ACD687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52D40A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416DD1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C2D076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963ACA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477FC8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A1EAA9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Hypercalcaemia</w:t>
            </w:r>
          </w:p>
        </w:tc>
        <w:tc>
          <w:tcPr>
            <w:tcW w:w="1337" w:type="dxa"/>
            <w:shd w:val="clear" w:color="auto" w:fill="auto"/>
          </w:tcPr>
          <w:p w14:paraId="658358D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7AF519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7E8258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FF4476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5FF8B2E8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FE28C8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1351FE8" w14:textId="168673A9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Hypergly</w:t>
            </w:r>
            <w:r w:rsidR="00421159">
              <w:rPr>
                <w:rFonts w:eastAsia="Times New Roman"/>
                <w:snapToGrid/>
                <w:szCs w:val="22"/>
                <w:lang w:val="hu-HU" w:eastAsia="en-US"/>
              </w:rPr>
              <w:t>k</w:t>
            </w:r>
            <w:r>
              <w:rPr>
                <w:rFonts w:eastAsia="Times New Roman"/>
                <w:snapToGrid/>
                <w:szCs w:val="22"/>
                <w:lang w:val="hu-HU" w:eastAsia="en-US"/>
              </w:rPr>
              <w:t>aemia</w:t>
            </w:r>
          </w:p>
        </w:tc>
        <w:tc>
          <w:tcPr>
            <w:tcW w:w="1337" w:type="dxa"/>
            <w:shd w:val="clear" w:color="auto" w:fill="auto"/>
          </w:tcPr>
          <w:p w14:paraId="4E15E89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989A70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69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70D88E4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ED72D7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32627D8F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2F44559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01543B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Hyperlipidaemia</w:t>
            </w:r>
          </w:p>
        </w:tc>
        <w:tc>
          <w:tcPr>
            <w:tcW w:w="1337" w:type="dxa"/>
            <w:shd w:val="clear" w:color="auto" w:fill="auto"/>
          </w:tcPr>
          <w:p w14:paraId="5AD3C24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08D044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8E8885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BC3D22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09D5F9F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777AACC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4E0116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Hyperuricaemia</w:t>
            </w:r>
          </w:p>
        </w:tc>
        <w:tc>
          <w:tcPr>
            <w:tcW w:w="1337" w:type="dxa"/>
            <w:shd w:val="clear" w:color="auto" w:fill="auto"/>
          </w:tcPr>
          <w:p w14:paraId="7308663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4466F5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D299C1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0560F8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3C81EE9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069FA2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CADA20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Hypochloraemiás alkalosis</w:t>
            </w:r>
          </w:p>
        </w:tc>
        <w:tc>
          <w:tcPr>
            <w:tcW w:w="1337" w:type="dxa"/>
            <w:shd w:val="clear" w:color="auto" w:fill="auto"/>
          </w:tcPr>
          <w:p w14:paraId="5C2D19F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94A00A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708046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99D8EF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5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4BA09BBF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FAA3F43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149E09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Hypokalaemia</w:t>
            </w:r>
          </w:p>
        </w:tc>
        <w:tc>
          <w:tcPr>
            <w:tcW w:w="1337" w:type="dxa"/>
            <w:shd w:val="clear" w:color="auto" w:fill="auto"/>
          </w:tcPr>
          <w:p w14:paraId="2A39758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795F1EE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132443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0709F6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55" w:right="-142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gyakori</w:t>
            </w:r>
          </w:p>
        </w:tc>
      </w:tr>
      <w:tr w:rsidR="00B911F8" w14:paraId="231C1891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B83B9FD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783035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Hypomagnesaemia</w:t>
            </w:r>
          </w:p>
        </w:tc>
        <w:tc>
          <w:tcPr>
            <w:tcW w:w="1337" w:type="dxa"/>
            <w:shd w:val="clear" w:color="auto" w:fill="auto"/>
          </w:tcPr>
          <w:p w14:paraId="3822FD3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157EE3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55A43F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2ED427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68C52180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7E728C7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A14135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Hyponatraemia</w:t>
            </w:r>
          </w:p>
        </w:tc>
        <w:tc>
          <w:tcPr>
            <w:tcW w:w="1337" w:type="dxa"/>
            <w:shd w:val="clear" w:color="auto" w:fill="auto"/>
          </w:tcPr>
          <w:p w14:paraId="7F35C6A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4D13697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CC1978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9DEF0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49F9426B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DA30BD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30AC107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diabeteses anyagcsere-státusz romlása</w:t>
            </w:r>
          </w:p>
        </w:tc>
        <w:tc>
          <w:tcPr>
            <w:tcW w:w="1337" w:type="dxa"/>
            <w:shd w:val="clear" w:color="auto" w:fill="auto"/>
          </w:tcPr>
          <w:p w14:paraId="6E9BF5B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02F6FC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6E146B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B62D7A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29050F66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7A75E7CC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Pszichiátriai kórképek</w:t>
            </w:r>
          </w:p>
        </w:tc>
        <w:tc>
          <w:tcPr>
            <w:tcW w:w="2552" w:type="dxa"/>
            <w:shd w:val="clear" w:color="auto" w:fill="auto"/>
          </w:tcPr>
          <w:p w14:paraId="184A70A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Depresszió</w:t>
            </w:r>
          </w:p>
        </w:tc>
        <w:tc>
          <w:tcPr>
            <w:tcW w:w="1337" w:type="dxa"/>
            <w:shd w:val="clear" w:color="auto" w:fill="auto"/>
          </w:tcPr>
          <w:p w14:paraId="7AD06DB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90ED8E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39A40FD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5FFFFC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6DD571E0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22C912C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2CA2C0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Insomnia/alvászavar</w:t>
            </w:r>
          </w:p>
        </w:tc>
        <w:tc>
          <w:tcPr>
            <w:tcW w:w="1337" w:type="dxa"/>
            <w:shd w:val="clear" w:color="auto" w:fill="auto"/>
          </w:tcPr>
          <w:p w14:paraId="61073F90" w14:textId="77777777" w:rsidR="00B911F8" w:rsidRDefault="00B7743C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E1E544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C94D16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4326EE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5386726E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07E9609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34EB44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Hangulatingadozás</w:t>
            </w:r>
          </w:p>
        </w:tc>
        <w:tc>
          <w:tcPr>
            <w:tcW w:w="1337" w:type="dxa"/>
            <w:shd w:val="clear" w:color="auto" w:fill="auto"/>
          </w:tcPr>
          <w:p w14:paraId="7D660B6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ED0A74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35ADD0A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82AF85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4C2A5A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7E0C8B7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580FDC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Zavartság</w:t>
            </w:r>
          </w:p>
        </w:tc>
        <w:tc>
          <w:tcPr>
            <w:tcW w:w="1337" w:type="dxa"/>
            <w:shd w:val="clear" w:color="auto" w:fill="auto"/>
          </w:tcPr>
          <w:p w14:paraId="3093B6D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DD96AB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  <w:tc>
          <w:tcPr>
            <w:tcW w:w="1338" w:type="dxa"/>
            <w:shd w:val="clear" w:color="auto" w:fill="auto"/>
          </w:tcPr>
          <w:p w14:paraId="08E07CF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7272BA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46B72CD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5A598E12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Idegrend-szeri betegségek és tünetek</w:t>
            </w:r>
          </w:p>
        </w:tc>
        <w:tc>
          <w:tcPr>
            <w:tcW w:w="2552" w:type="dxa"/>
            <w:shd w:val="clear" w:color="auto" w:fill="auto"/>
          </w:tcPr>
          <w:p w14:paraId="38AC2E4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Koordinációs zavar</w:t>
            </w:r>
          </w:p>
        </w:tc>
        <w:tc>
          <w:tcPr>
            <w:tcW w:w="1337" w:type="dxa"/>
            <w:shd w:val="clear" w:color="auto" w:fill="auto"/>
          </w:tcPr>
          <w:p w14:paraId="4078C05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7377ECA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ABE7FB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9372AA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9302F5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91FF62C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A33A55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Szédülés</w:t>
            </w:r>
          </w:p>
        </w:tc>
        <w:tc>
          <w:tcPr>
            <w:tcW w:w="1337" w:type="dxa"/>
            <w:shd w:val="clear" w:color="auto" w:fill="auto"/>
          </w:tcPr>
          <w:p w14:paraId="2A5ACCA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7869F89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14735FA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92846C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7046F96E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894D76D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1193AA1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Testhelyzettől függő </w:t>
            </w:r>
            <w:r>
              <w:rPr>
                <w:snapToGrid/>
                <w:szCs w:val="22"/>
                <w:lang w:val="hu-HU" w:eastAsia="hu-HU"/>
              </w:rPr>
              <w:t xml:space="preserve">szédülés, fizikai terhelésre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jelentkező szédülés</w:t>
            </w:r>
          </w:p>
        </w:tc>
        <w:tc>
          <w:tcPr>
            <w:tcW w:w="1337" w:type="dxa"/>
            <w:shd w:val="clear" w:color="auto" w:fill="auto"/>
          </w:tcPr>
          <w:p w14:paraId="5FEAF7A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542B67E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03D150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25BA14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D1A1CE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DDBEC97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91051F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Dysgeusia</w:t>
            </w:r>
          </w:p>
        </w:tc>
        <w:tc>
          <w:tcPr>
            <w:tcW w:w="1337" w:type="dxa"/>
            <w:shd w:val="clear" w:color="auto" w:fill="auto"/>
          </w:tcPr>
          <w:p w14:paraId="72256D5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0E058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29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59B7D0E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BD6DE4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7AD270B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DD31B3C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6C8C6D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Extrapyramidalis szindróma</w:t>
            </w:r>
          </w:p>
        </w:tc>
        <w:tc>
          <w:tcPr>
            <w:tcW w:w="1337" w:type="dxa"/>
            <w:shd w:val="clear" w:color="auto" w:fill="auto"/>
          </w:tcPr>
          <w:p w14:paraId="6F81955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594B76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3F15F5D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885FFA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83189F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8BFC37D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FBB5AD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Fejfájás</w:t>
            </w:r>
          </w:p>
        </w:tc>
        <w:tc>
          <w:tcPr>
            <w:tcW w:w="1337" w:type="dxa"/>
            <w:shd w:val="clear" w:color="auto" w:fill="auto"/>
          </w:tcPr>
          <w:p w14:paraId="3199C2E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72D7D47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5CFFA9C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722415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1469ADFF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7F8676A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483187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Hypertonia</w:t>
            </w:r>
          </w:p>
        </w:tc>
        <w:tc>
          <w:tcPr>
            <w:tcW w:w="1337" w:type="dxa"/>
            <w:shd w:val="clear" w:color="auto" w:fill="auto"/>
          </w:tcPr>
          <w:p w14:paraId="144F979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C76E1A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07BAC7A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38A86F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6DEBD854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544BC7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8FE2CB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Lethargia</w:t>
            </w:r>
          </w:p>
        </w:tc>
        <w:tc>
          <w:tcPr>
            <w:tcW w:w="1337" w:type="dxa"/>
            <w:shd w:val="clear" w:color="auto" w:fill="auto"/>
          </w:tcPr>
          <w:p w14:paraId="3A06576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052D11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42D648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C76A02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5C82455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BD703A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2B30DB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Paraesthesia</w:t>
            </w:r>
          </w:p>
        </w:tc>
        <w:tc>
          <w:tcPr>
            <w:tcW w:w="1337" w:type="dxa"/>
            <w:shd w:val="clear" w:color="auto" w:fill="auto"/>
          </w:tcPr>
          <w:p w14:paraId="3A229B6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5CB0511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7323288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6D5DE9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7A184ACE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A26D1E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E4F8307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Perifériás neuropathia, neuropathia</w:t>
            </w:r>
          </w:p>
        </w:tc>
        <w:tc>
          <w:tcPr>
            <w:tcW w:w="1337" w:type="dxa"/>
            <w:shd w:val="clear" w:color="auto" w:fill="auto"/>
          </w:tcPr>
          <w:p w14:paraId="2B6283E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7D6AFF0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0CC6554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FC3802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E0B7DC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0FABD9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E48345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Somnolencia</w:t>
            </w:r>
          </w:p>
        </w:tc>
        <w:tc>
          <w:tcPr>
            <w:tcW w:w="1337" w:type="dxa"/>
            <w:shd w:val="clear" w:color="auto" w:fill="auto"/>
          </w:tcPr>
          <w:p w14:paraId="330C58A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7BB0D15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495C8B1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E50D51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11BD9FCF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9E49ADA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2155E2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Eszméletvesztés</w:t>
            </w:r>
          </w:p>
        </w:tc>
        <w:tc>
          <w:tcPr>
            <w:tcW w:w="1337" w:type="dxa"/>
            <w:shd w:val="clear" w:color="auto" w:fill="auto"/>
          </w:tcPr>
          <w:p w14:paraId="38CA10E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3AF6546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710533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854A15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2E39B9C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2A87395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366FB7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Tremor</w:t>
            </w:r>
          </w:p>
        </w:tc>
        <w:tc>
          <w:tcPr>
            <w:tcW w:w="1337" w:type="dxa"/>
            <w:shd w:val="clear" w:color="auto" w:fill="auto"/>
          </w:tcPr>
          <w:p w14:paraId="20CAB48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1B7BF81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7DE9061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F9B464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855262D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0D581B7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9DE45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Hypoesthesia</w:t>
            </w:r>
          </w:p>
        </w:tc>
        <w:tc>
          <w:tcPr>
            <w:tcW w:w="1337" w:type="dxa"/>
            <w:shd w:val="clear" w:color="auto" w:fill="auto"/>
          </w:tcPr>
          <w:p w14:paraId="5F25371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1BFAE2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188A92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2CDB2E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CFAC510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75A67984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Szembeteg-ségek és szemészeti tünetek</w:t>
            </w:r>
          </w:p>
        </w:tc>
        <w:tc>
          <w:tcPr>
            <w:tcW w:w="2552" w:type="dxa"/>
            <w:shd w:val="clear" w:color="auto" w:fill="auto"/>
          </w:tcPr>
          <w:p w14:paraId="0E90AFD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Akut zárt zugú glaucoma</w:t>
            </w:r>
          </w:p>
        </w:tc>
        <w:tc>
          <w:tcPr>
            <w:tcW w:w="1337" w:type="dxa"/>
            <w:shd w:val="clear" w:color="auto" w:fill="auto"/>
          </w:tcPr>
          <w:p w14:paraId="5FB5D04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5D04D89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DF6D32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11064E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1B632654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B66A89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C5D8D8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Látászavar</w:t>
            </w:r>
          </w:p>
        </w:tc>
        <w:tc>
          <w:tcPr>
            <w:tcW w:w="1337" w:type="dxa"/>
            <w:shd w:val="clear" w:color="auto" w:fill="auto"/>
          </w:tcPr>
          <w:p w14:paraId="2C0B5F7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B5B2A8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037B815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41EC47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FF5D29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5C220FC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3782D6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Látásromlás</w:t>
            </w:r>
          </w:p>
        </w:tc>
        <w:tc>
          <w:tcPr>
            <w:tcW w:w="1337" w:type="dxa"/>
            <w:shd w:val="clear" w:color="auto" w:fill="auto"/>
          </w:tcPr>
          <w:p w14:paraId="74738C2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0FD5BBE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5960B5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83E0FE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4FED3D6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49C9603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633E2E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hu-HU"/>
              </w:rPr>
            </w:pPr>
            <w:r>
              <w:rPr>
                <w:snapToGrid/>
                <w:szCs w:val="22"/>
                <w:lang w:val="hu-HU" w:eastAsia="hu-HU"/>
              </w:rPr>
              <w:t>Choroidealis effusio</w:t>
            </w:r>
          </w:p>
        </w:tc>
        <w:tc>
          <w:tcPr>
            <w:tcW w:w="1337" w:type="dxa"/>
            <w:shd w:val="clear" w:color="auto" w:fill="auto"/>
          </w:tcPr>
          <w:p w14:paraId="5F94B4B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66E6F4C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548632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50FF31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1ABD4D05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5B596AEA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fül és az egyensúly-é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rzékelő szerv </w:t>
            </w:r>
            <w:r>
              <w:rPr>
                <w:snapToGrid/>
                <w:szCs w:val="22"/>
                <w:lang w:val="hu-HU" w:eastAsia="hu-HU"/>
              </w:rPr>
              <w:t>betegségei és tünetei</w:t>
            </w:r>
          </w:p>
        </w:tc>
        <w:tc>
          <w:tcPr>
            <w:tcW w:w="2552" w:type="dxa"/>
            <w:shd w:val="clear" w:color="auto" w:fill="auto"/>
          </w:tcPr>
          <w:p w14:paraId="10676C5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Tinnitus</w:t>
            </w:r>
          </w:p>
        </w:tc>
        <w:tc>
          <w:tcPr>
            <w:tcW w:w="1337" w:type="dxa"/>
            <w:shd w:val="clear" w:color="auto" w:fill="auto"/>
          </w:tcPr>
          <w:p w14:paraId="6AB3736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15F530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4100B26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2C9974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423402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B40849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52AA10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Vertigo</w:t>
            </w:r>
          </w:p>
        </w:tc>
        <w:tc>
          <w:tcPr>
            <w:tcW w:w="1337" w:type="dxa"/>
            <w:shd w:val="clear" w:color="auto" w:fill="auto"/>
          </w:tcPr>
          <w:p w14:paraId="6F6FF77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3576328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27C4C6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1" w:right="-4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458C584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B6D8699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476035DD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Szívbeteg-ségek és a szívvel kapcsolatos tünetek</w:t>
            </w:r>
          </w:p>
        </w:tc>
        <w:tc>
          <w:tcPr>
            <w:tcW w:w="2552" w:type="dxa"/>
            <w:shd w:val="clear" w:color="auto" w:fill="auto"/>
          </w:tcPr>
          <w:p w14:paraId="50FF2D2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Palpitációk</w:t>
            </w:r>
          </w:p>
        </w:tc>
        <w:tc>
          <w:tcPr>
            <w:tcW w:w="1337" w:type="dxa"/>
            <w:shd w:val="clear" w:color="auto" w:fill="auto"/>
          </w:tcPr>
          <w:p w14:paraId="687366F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E42D87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557838C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02736C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6A4A4E15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3D183A9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7B4B7C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Tachycardia</w:t>
            </w:r>
          </w:p>
        </w:tc>
        <w:tc>
          <w:tcPr>
            <w:tcW w:w="1337" w:type="dxa"/>
            <w:shd w:val="clear" w:color="auto" w:fill="auto"/>
          </w:tcPr>
          <w:p w14:paraId="3AFBD8F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ABE422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FFBEF1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F11006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AB7C704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FA25877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228A917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Arrhythmiák (beleértve a bradycardiát, ventricularis tachycardiát és a pitvarfibrillációt)</w:t>
            </w:r>
          </w:p>
        </w:tc>
        <w:tc>
          <w:tcPr>
            <w:tcW w:w="1337" w:type="dxa"/>
            <w:shd w:val="clear" w:color="auto" w:fill="auto"/>
          </w:tcPr>
          <w:p w14:paraId="7CEBCBB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CF32F0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1861046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CF3A96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7774EDA1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75AA71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BC7FD0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Myocardialis infarctus</w:t>
            </w:r>
          </w:p>
        </w:tc>
        <w:tc>
          <w:tcPr>
            <w:tcW w:w="1337" w:type="dxa"/>
            <w:shd w:val="clear" w:color="auto" w:fill="auto"/>
          </w:tcPr>
          <w:p w14:paraId="42421AA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D056C4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5417EA6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488997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27330C6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5BCD338C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Érbeteg-ségek és tünetek</w:t>
            </w:r>
          </w:p>
        </w:tc>
        <w:tc>
          <w:tcPr>
            <w:tcW w:w="2552" w:type="dxa"/>
            <w:shd w:val="clear" w:color="auto" w:fill="auto"/>
          </w:tcPr>
          <w:p w14:paraId="6A3F57A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Kipirulás</w:t>
            </w:r>
          </w:p>
        </w:tc>
        <w:tc>
          <w:tcPr>
            <w:tcW w:w="1337" w:type="dxa"/>
            <w:shd w:val="clear" w:color="auto" w:fill="auto"/>
          </w:tcPr>
          <w:p w14:paraId="1B127AA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EF95D5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2F7DF32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DE5C2E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F77F4A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822E46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DA0763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Hypotonia</w:t>
            </w:r>
          </w:p>
        </w:tc>
        <w:tc>
          <w:tcPr>
            <w:tcW w:w="1337" w:type="dxa"/>
            <w:shd w:val="clear" w:color="auto" w:fill="auto"/>
          </w:tcPr>
          <w:p w14:paraId="1FE4FEE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2F14416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371E09E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66F861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D75253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7F16B6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3B24C3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Orthostaticus hypotonia</w:t>
            </w:r>
          </w:p>
        </w:tc>
        <w:tc>
          <w:tcPr>
            <w:tcW w:w="1337" w:type="dxa"/>
            <w:shd w:val="clear" w:color="auto" w:fill="auto"/>
          </w:tcPr>
          <w:p w14:paraId="3A22FF9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BB36E3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D97F63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9CD8BB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41A60A55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220E0D5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25E13E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Phlebitis, thrombophlebitis</w:t>
            </w:r>
          </w:p>
        </w:tc>
        <w:tc>
          <w:tcPr>
            <w:tcW w:w="1337" w:type="dxa"/>
            <w:shd w:val="clear" w:color="auto" w:fill="auto"/>
          </w:tcPr>
          <w:p w14:paraId="4E2EA4E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E78911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26356D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807E34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8A7022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9E730EE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54CC9F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Vasculitis</w:t>
            </w:r>
          </w:p>
        </w:tc>
        <w:tc>
          <w:tcPr>
            <w:tcW w:w="1337" w:type="dxa"/>
            <w:shd w:val="clear" w:color="auto" w:fill="auto"/>
          </w:tcPr>
          <w:p w14:paraId="7DECE8B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4A8821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4F94268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0197691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1791F2F9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2A0A5C80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Légzőrend-szeri, </w:t>
            </w:r>
            <w:r>
              <w:rPr>
                <w:snapToGrid/>
                <w:szCs w:val="22"/>
                <w:lang w:val="hu-HU" w:eastAsia="hu-HU"/>
              </w:rPr>
              <w:t>mellkasi és mediastinalis betegségek és tünetek</w:t>
            </w:r>
          </w:p>
        </w:tc>
        <w:tc>
          <w:tcPr>
            <w:tcW w:w="2552" w:type="dxa"/>
            <w:shd w:val="clear" w:color="auto" w:fill="auto"/>
          </w:tcPr>
          <w:p w14:paraId="6A8B60A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Köhögés</w:t>
            </w:r>
          </w:p>
        </w:tc>
        <w:tc>
          <w:tcPr>
            <w:tcW w:w="1337" w:type="dxa"/>
            <w:shd w:val="clear" w:color="auto" w:fill="auto"/>
          </w:tcPr>
          <w:p w14:paraId="0008713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5EEC8BD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33BDCC2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34D4D0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BF829B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522E89D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742A4A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Dyspnoea</w:t>
            </w:r>
          </w:p>
        </w:tc>
        <w:tc>
          <w:tcPr>
            <w:tcW w:w="1337" w:type="dxa"/>
            <w:shd w:val="clear" w:color="auto" w:fill="auto"/>
          </w:tcPr>
          <w:p w14:paraId="12B4724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F915AD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7657FC9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88330E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CF3E48A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A645D5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75DBDFA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Respiratorikus distressz, pulmonalis oedema, pneumonitis</w:t>
            </w:r>
          </w:p>
        </w:tc>
        <w:tc>
          <w:tcPr>
            <w:tcW w:w="1337" w:type="dxa"/>
            <w:shd w:val="clear" w:color="auto" w:fill="auto"/>
          </w:tcPr>
          <w:p w14:paraId="724E04D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61BE6C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771F95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A77B1F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30" w:right="-126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0D00448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39373BA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ACB682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Rhinitis</w:t>
            </w:r>
          </w:p>
        </w:tc>
        <w:tc>
          <w:tcPr>
            <w:tcW w:w="1337" w:type="dxa"/>
            <w:shd w:val="clear" w:color="auto" w:fill="auto"/>
          </w:tcPr>
          <w:p w14:paraId="2866B7B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7A2DFB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0E6E43F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731CFD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1150E42B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E51B074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EEB41E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Torok irritáció</w:t>
            </w:r>
          </w:p>
        </w:tc>
        <w:tc>
          <w:tcPr>
            <w:tcW w:w="1337" w:type="dxa"/>
            <w:shd w:val="clear" w:color="auto" w:fill="auto"/>
          </w:tcPr>
          <w:p w14:paraId="224D47F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09CE95F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55CDAC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6421C9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75ACB3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74E086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7A46B5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hu-HU"/>
              </w:rPr>
            </w:pPr>
            <w:r>
              <w:rPr>
                <w:snapToGrid/>
                <w:szCs w:val="22"/>
                <w:lang w:val="hu-HU" w:eastAsia="hu-HU"/>
              </w:rPr>
              <w:t>Akut respirációs distressz szindróma (ARDS) (lásd 4.4 pont)</w:t>
            </w:r>
          </w:p>
        </w:tc>
        <w:tc>
          <w:tcPr>
            <w:tcW w:w="1337" w:type="dxa"/>
            <w:shd w:val="clear" w:color="auto" w:fill="auto"/>
          </w:tcPr>
          <w:p w14:paraId="39B7F83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61B98A7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6015A6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CF53E1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3C68E96B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41321FC5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Emésztőrendszer</w:t>
            </w:r>
            <w:r>
              <w:rPr>
                <w:snapToGrid/>
                <w:szCs w:val="22"/>
                <w:lang w:val="hu-HU" w:eastAsia="hu-HU"/>
              </w:rPr>
              <w:t>i betegségek és tünetek</w:t>
            </w:r>
          </w:p>
        </w:tc>
        <w:tc>
          <w:tcPr>
            <w:tcW w:w="2552" w:type="dxa"/>
            <w:shd w:val="clear" w:color="auto" w:fill="auto"/>
          </w:tcPr>
          <w:p w14:paraId="3AF9A3E8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Hasi diszkomfort, gyomortáji fájdalom</w:t>
            </w:r>
          </w:p>
        </w:tc>
        <w:tc>
          <w:tcPr>
            <w:tcW w:w="1337" w:type="dxa"/>
            <w:shd w:val="clear" w:color="auto" w:fill="auto"/>
          </w:tcPr>
          <w:p w14:paraId="1611BED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41D41E5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019CEBB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1" w:right="-4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7C0A90F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2E1F985B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FCF730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47CC67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Kellemetlen szagú lehelet</w:t>
            </w:r>
          </w:p>
        </w:tc>
        <w:tc>
          <w:tcPr>
            <w:tcW w:w="1337" w:type="dxa"/>
            <w:shd w:val="clear" w:color="auto" w:fill="auto"/>
          </w:tcPr>
          <w:p w14:paraId="71D74EF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BFC9A4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4B7026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BE3682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6BF85F6D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D249C06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082582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Széklethabitus változás</w:t>
            </w:r>
          </w:p>
        </w:tc>
        <w:tc>
          <w:tcPr>
            <w:tcW w:w="1337" w:type="dxa"/>
            <w:shd w:val="clear" w:color="auto" w:fill="auto"/>
          </w:tcPr>
          <w:p w14:paraId="337D0FC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5FD270C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73D39F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2E590F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8FBB571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271BBE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041742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Székrekedés</w:t>
            </w:r>
          </w:p>
        </w:tc>
        <w:tc>
          <w:tcPr>
            <w:tcW w:w="1337" w:type="dxa"/>
            <w:shd w:val="clear" w:color="auto" w:fill="auto"/>
          </w:tcPr>
          <w:p w14:paraId="7A1154E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5F31B3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A685CE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0C10C2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0DF096E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B6C8D57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E76FB8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Étvágycsökkenés</w:t>
            </w:r>
          </w:p>
        </w:tc>
        <w:tc>
          <w:tcPr>
            <w:tcW w:w="1337" w:type="dxa"/>
            <w:shd w:val="clear" w:color="auto" w:fill="auto"/>
          </w:tcPr>
          <w:p w14:paraId="359D2BD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69A8767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ED530A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3B97CA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63771D5A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1D9A2CF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547D44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Hasmenés</w:t>
            </w:r>
          </w:p>
        </w:tc>
        <w:tc>
          <w:tcPr>
            <w:tcW w:w="1337" w:type="dxa"/>
            <w:shd w:val="clear" w:color="auto" w:fill="auto"/>
          </w:tcPr>
          <w:p w14:paraId="5FA8D73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B55C81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54E9725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AD4741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44C8D8CD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BADF4F6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B9B777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Szájszárazság</w:t>
            </w:r>
          </w:p>
        </w:tc>
        <w:tc>
          <w:tcPr>
            <w:tcW w:w="1337" w:type="dxa"/>
            <w:shd w:val="clear" w:color="auto" w:fill="auto"/>
          </w:tcPr>
          <w:p w14:paraId="6642812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0623B4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7388881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7D9421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0B629C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831FAA6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069ABC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Dyspepsia</w:t>
            </w:r>
          </w:p>
        </w:tc>
        <w:tc>
          <w:tcPr>
            <w:tcW w:w="1337" w:type="dxa"/>
            <w:shd w:val="clear" w:color="auto" w:fill="auto"/>
          </w:tcPr>
          <w:p w14:paraId="50EF428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05D874C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5C0515E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A25A19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D5AC3E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76D890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02F24F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Gastritis</w:t>
            </w:r>
          </w:p>
        </w:tc>
        <w:tc>
          <w:tcPr>
            <w:tcW w:w="1337" w:type="dxa"/>
            <w:shd w:val="clear" w:color="auto" w:fill="auto"/>
          </w:tcPr>
          <w:p w14:paraId="7BAAEE6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6787CB5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5F919D9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0580F9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40FB2FA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E199F94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80BA89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Gingiva hyperplasia</w:t>
            </w:r>
          </w:p>
        </w:tc>
        <w:tc>
          <w:tcPr>
            <w:tcW w:w="1337" w:type="dxa"/>
            <w:shd w:val="clear" w:color="auto" w:fill="auto"/>
          </w:tcPr>
          <w:p w14:paraId="524F68B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B70453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2D1C0C9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81B22B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EF0D3FC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951FB4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920F60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Hányinger</w:t>
            </w:r>
          </w:p>
        </w:tc>
        <w:tc>
          <w:tcPr>
            <w:tcW w:w="1337" w:type="dxa"/>
            <w:shd w:val="clear" w:color="auto" w:fill="auto"/>
          </w:tcPr>
          <w:p w14:paraId="408B6FB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4048AA8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3EC2AC9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D6536B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28155ECA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8014BA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4C02F1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Pancreatitis</w:t>
            </w:r>
          </w:p>
        </w:tc>
        <w:tc>
          <w:tcPr>
            <w:tcW w:w="1337" w:type="dxa"/>
            <w:shd w:val="clear" w:color="auto" w:fill="auto"/>
          </w:tcPr>
          <w:p w14:paraId="7BDB74F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D244D3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64B2936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1CD327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30" w:right="-126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370F9145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6E22C45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DC9387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Hányás</w:t>
            </w:r>
          </w:p>
        </w:tc>
        <w:tc>
          <w:tcPr>
            <w:tcW w:w="1337" w:type="dxa"/>
            <w:shd w:val="clear" w:color="auto" w:fill="auto"/>
          </w:tcPr>
          <w:p w14:paraId="6B873E0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3E63CA3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5509B6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067BEC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1D17B491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B44D2E3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A5B51F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napToGrid/>
                <w:szCs w:val="22"/>
                <w:lang w:val="hu-HU" w:eastAsia="hu-HU"/>
              </w:rPr>
            </w:pPr>
            <w:r>
              <w:rPr>
                <w:szCs w:val="22"/>
                <w:lang w:val="hu-HU"/>
              </w:rPr>
              <w:t>Intestinalis angiooedema</w:t>
            </w:r>
          </w:p>
        </w:tc>
        <w:tc>
          <w:tcPr>
            <w:tcW w:w="1337" w:type="dxa"/>
            <w:shd w:val="clear" w:color="auto" w:fill="auto"/>
          </w:tcPr>
          <w:p w14:paraId="2C64422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1D4BA33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9C08FC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zCs w:val="22"/>
                <w:lang w:val="hu-HU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6B57A9B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6855CF1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3176F0B9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Máj- és epebetegségek, illetve tünetek</w:t>
            </w:r>
          </w:p>
        </w:tc>
        <w:tc>
          <w:tcPr>
            <w:tcW w:w="2552" w:type="dxa"/>
            <w:shd w:val="clear" w:color="auto" w:fill="auto"/>
          </w:tcPr>
          <w:p w14:paraId="3AFDBF13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Kóros májfunkciós vizsgálati eredmények, beleértve a vér bilirubinszintjének emelkedését is</w:t>
            </w:r>
          </w:p>
        </w:tc>
        <w:tc>
          <w:tcPr>
            <w:tcW w:w="1337" w:type="dxa"/>
            <w:shd w:val="clear" w:color="auto" w:fill="auto"/>
          </w:tcPr>
          <w:p w14:paraId="33981BE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6D72A11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ritka**</w:t>
            </w:r>
          </w:p>
        </w:tc>
        <w:tc>
          <w:tcPr>
            <w:tcW w:w="1338" w:type="dxa"/>
            <w:shd w:val="clear" w:color="auto" w:fill="auto"/>
          </w:tcPr>
          <w:p w14:paraId="619AD01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0B2DC90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87C0E1B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754B761E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AFF64B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Hepatitis</w:t>
            </w:r>
          </w:p>
        </w:tc>
        <w:tc>
          <w:tcPr>
            <w:tcW w:w="1337" w:type="dxa"/>
            <w:shd w:val="clear" w:color="auto" w:fill="auto"/>
          </w:tcPr>
          <w:p w14:paraId="62C8B30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887E91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21059B8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F2D50A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15AC570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A35E9F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15D7F7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Intrahepatic cholestasis, icterus</w:t>
            </w:r>
          </w:p>
        </w:tc>
        <w:tc>
          <w:tcPr>
            <w:tcW w:w="1337" w:type="dxa"/>
            <w:shd w:val="clear" w:color="auto" w:fill="auto"/>
          </w:tcPr>
          <w:p w14:paraId="0AF1120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5D4CE5F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6A20002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8B227C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17CC3EB1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0F92A22D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A bőr és a bőr </w:t>
            </w:r>
            <w:r>
              <w:rPr>
                <w:snapToGrid/>
                <w:szCs w:val="22"/>
                <w:lang w:val="hu-HU" w:eastAsia="hu-HU"/>
              </w:rPr>
              <w:t>alatti szövet betegségei és tünetei</w:t>
            </w:r>
          </w:p>
        </w:tc>
        <w:tc>
          <w:tcPr>
            <w:tcW w:w="2552" w:type="dxa"/>
            <w:shd w:val="clear" w:color="auto" w:fill="auto"/>
          </w:tcPr>
          <w:p w14:paraId="07643F8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Alopecia</w:t>
            </w:r>
          </w:p>
        </w:tc>
        <w:tc>
          <w:tcPr>
            <w:tcW w:w="1337" w:type="dxa"/>
            <w:shd w:val="clear" w:color="auto" w:fill="auto"/>
          </w:tcPr>
          <w:p w14:paraId="2BE6448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BE0067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C652D7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08E227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0548F48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18DC6AC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70B7B1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Angioedema</w:t>
            </w:r>
          </w:p>
        </w:tc>
        <w:tc>
          <w:tcPr>
            <w:tcW w:w="1337" w:type="dxa"/>
            <w:shd w:val="clear" w:color="auto" w:fill="auto"/>
          </w:tcPr>
          <w:p w14:paraId="5E7D190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037452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6364571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1B6EAFA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EB5C825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7095DD3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D6148F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Dermatitis bullosa</w:t>
            </w:r>
          </w:p>
        </w:tc>
        <w:tc>
          <w:tcPr>
            <w:tcW w:w="1337" w:type="dxa"/>
            <w:shd w:val="clear" w:color="auto" w:fill="auto"/>
          </w:tcPr>
          <w:p w14:paraId="2839D1E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D36430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5B6B25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3CE4C06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1F14034C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ECC0B09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4D018B5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Cutan lupus erythematosus-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szerű reakciók, cutan lupus </w:t>
            </w:r>
            <w:r>
              <w:rPr>
                <w:snapToGrid/>
                <w:szCs w:val="22"/>
                <w:lang w:val="hu-HU" w:eastAsia="hu-HU"/>
              </w:rPr>
              <w:t>erythematosus reaktiválódása</w:t>
            </w:r>
          </w:p>
        </w:tc>
        <w:tc>
          <w:tcPr>
            <w:tcW w:w="1337" w:type="dxa"/>
            <w:shd w:val="clear" w:color="auto" w:fill="auto"/>
          </w:tcPr>
          <w:p w14:paraId="7E50B9A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9F057E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469E19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CFF094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30" w:right="-126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4FC36389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DCF42EA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346EF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Erythema multiforme</w:t>
            </w:r>
          </w:p>
        </w:tc>
        <w:tc>
          <w:tcPr>
            <w:tcW w:w="1337" w:type="dxa"/>
            <w:shd w:val="clear" w:color="auto" w:fill="auto"/>
          </w:tcPr>
          <w:p w14:paraId="0366F7C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03B6A7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2270891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248D94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1D295CF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5CE5F35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9271EF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Exanthema</w:t>
            </w:r>
          </w:p>
        </w:tc>
        <w:tc>
          <w:tcPr>
            <w:tcW w:w="1337" w:type="dxa"/>
            <w:shd w:val="clear" w:color="auto" w:fill="auto"/>
          </w:tcPr>
          <w:p w14:paraId="5CDBB1B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33E687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3C3B728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FA58D4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686C99BD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6DF7153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50B6CF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Hyperhidrosis</w:t>
            </w:r>
          </w:p>
        </w:tc>
        <w:tc>
          <w:tcPr>
            <w:tcW w:w="1337" w:type="dxa"/>
            <w:shd w:val="clear" w:color="auto" w:fill="auto"/>
          </w:tcPr>
          <w:p w14:paraId="325F5A0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0F0E924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3D0E29F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36D052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6F85484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952D44F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9A79C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highlight w:val="yellow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Fényérzékenységi reakció</w:t>
            </w:r>
            <w:r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1337" w:type="dxa"/>
            <w:shd w:val="clear" w:color="auto" w:fill="auto"/>
          </w:tcPr>
          <w:p w14:paraId="5E33CCE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449A60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1871F1D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656B20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5DF58DE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FCF189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6EFC52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Pruritus</w:t>
            </w:r>
          </w:p>
        </w:tc>
        <w:tc>
          <w:tcPr>
            <w:tcW w:w="1337" w:type="dxa"/>
            <w:shd w:val="clear" w:color="auto" w:fill="auto"/>
          </w:tcPr>
          <w:p w14:paraId="176C4B8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30996CE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08F2C57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648F066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E5E529A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0510998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FE9D4A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Purpura</w:t>
            </w:r>
          </w:p>
        </w:tc>
        <w:tc>
          <w:tcPr>
            <w:tcW w:w="1337" w:type="dxa"/>
            <w:shd w:val="clear" w:color="auto" w:fill="auto"/>
          </w:tcPr>
          <w:p w14:paraId="3890BD2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3B44B0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56AEC2D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975FC5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4480705D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3938BE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E69F77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Bőrkiütés</w:t>
            </w:r>
          </w:p>
        </w:tc>
        <w:tc>
          <w:tcPr>
            <w:tcW w:w="1337" w:type="dxa"/>
            <w:shd w:val="clear" w:color="auto" w:fill="auto"/>
          </w:tcPr>
          <w:p w14:paraId="2247DAC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9A043B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54523A9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719D8EE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475CBB2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E637309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840CC2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>A bőr elszíneződése</w:t>
            </w:r>
          </w:p>
        </w:tc>
        <w:tc>
          <w:tcPr>
            <w:tcW w:w="1337" w:type="dxa"/>
            <w:shd w:val="clear" w:color="auto" w:fill="auto"/>
          </w:tcPr>
          <w:p w14:paraId="08E5C52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1C809E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22FF1D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45E0E7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7219DC9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B84803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536940B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Urticaria és egyéb típusú kiütések</w:t>
            </w:r>
          </w:p>
        </w:tc>
        <w:tc>
          <w:tcPr>
            <w:tcW w:w="1337" w:type="dxa"/>
            <w:shd w:val="clear" w:color="auto" w:fill="auto"/>
          </w:tcPr>
          <w:p w14:paraId="09DA455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15A2B7D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1E7313B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FC802D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3BBA0370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FAF244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D0E8B62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Vasculitis necrotisans és toxicus epidermalis necrolysis</w:t>
            </w:r>
          </w:p>
        </w:tc>
        <w:tc>
          <w:tcPr>
            <w:tcW w:w="1337" w:type="dxa"/>
            <w:shd w:val="clear" w:color="auto" w:fill="auto"/>
          </w:tcPr>
          <w:p w14:paraId="12060A2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CC0C5C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5A6F1E1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3E1E27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30" w:right="-126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</w:tr>
      <w:tr w:rsidR="00B911F8" w14:paraId="5F16ED4A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A22C49D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2DDAE9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Exfoliatív dermatitis</w:t>
            </w:r>
          </w:p>
        </w:tc>
        <w:tc>
          <w:tcPr>
            <w:tcW w:w="1337" w:type="dxa"/>
            <w:shd w:val="clear" w:color="auto" w:fill="auto"/>
          </w:tcPr>
          <w:p w14:paraId="1D7F1AB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02FB13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30AF998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BA1892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D0B05E8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D9A071A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90F346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Stevens–Johnson-szindróma</w:t>
            </w:r>
          </w:p>
        </w:tc>
        <w:tc>
          <w:tcPr>
            <w:tcW w:w="1337" w:type="dxa"/>
            <w:shd w:val="clear" w:color="auto" w:fill="auto"/>
          </w:tcPr>
          <w:p w14:paraId="075A49F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DD3FD1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38A23BD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2DDAB8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16B8C6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AEE6C46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7BC8ED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Quincke oedema</w:t>
            </w:r>
          </w:p>
        </w:tc>
        <w:tc>
          <w:tcPr>
            <w:tcW w:w="1337" w:type="dxa"/>
            <w:shd w:val="clear" w:color="auto" w:fill="auto"/>
          </w:tcPr>
          <w:p w14:paraId="47C0F75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50DEB78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ritka</w:t>
            </w:r>
          </w:p>
        </w:tc>
        <w:tc>
          <w:tcPr>
            <w:tcW w:w="1338" w:type="dxa"/>
            <w:shd w:val="clear" w:color="auto" w:fill="auto"/>
          </w:tcPr>
          <w:p w14:paraId="0B3287F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C97AA4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7FCA3A1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25F630DF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08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 xml:space="preserve">A csont- és izomrendszer, valamint a 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kötőszövet </w:t>
            </w:r>
            <w:r>
              <w:rPr>
                <w:snapToGrid/>
                <w:szCs w:val="22"/>
                <w:lang w:val="hu-HU" w:eastAsia="hu-HU"/>
              </w:rPr>
              <w:t>betegségei és tünetei</w:t>
            </w:r>
          </w:p>
        </w:tc>
        <w:tc>
          <w:tcPr>
            <w:tcW w:w="2552" w:type="dxa"/>
            <w:shd w:val="clear" w:color="auto" w:fill="auto"/>
          </w:tcPr>
          <w:p w14:paraId="70BDB29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Arthralgia</w:t>
            </w:r>
          </w:p>
        </w:tc>
        <w:tc>
          <w:tcPr>
            <w:tcW w:w="1337" w:type="dxa"/>
            <w:shd w:val="clear" w:color="auto" w:fill="auto"/>
          </w:tcPr>
          <w:p w14:paraId="3879A4B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2DB2155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3E8ADC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05F6D9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7525249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21E4CE7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F79059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Hátfájás</w:t>
            </w:r>
          </w:p>
        </w:tc>
        <w:tc>
          <w:tcPr>
            <w:tcW w:w="1337" w:type="dxa"/>
            <w:shd w:val="clear" w:color="auto" w:fill="auto"/>
          </w:tcPr>
          <w:p w14:paraId="50D8839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1D3D1CD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4C88F81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DA17D5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630E50C2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C2BB90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464FFD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Ízületi duzzanat</w:t>
            </w:r>
          </w:p>
        </w:tc>
        <w:tc>
          <w:tcPr>
            <w:tcW w:w="1337" w:type="dxa"/>
            <w:shd w:val="clear" w:color="auto" w:fill="auto"/>
          </w:tcPr>
          <w:p w14:paraId="51B839A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388348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B54D53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085AB6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3371D3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73D0C5A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C0FA56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Izomgörcs</w:t>
            </w:r>
          </w:p>
        </w:tc>
        <w:tc>
          <w:tcPr>
            <w:tcW w:w="1337" w:type="dxa"/>
            <w:shd w:val="clear" w:color="auto" w:fill="auto"/>
          </w:tcPr>
          <w:p w14:paraId="3F49FA1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140B7C9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7B6ECC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FA6F5F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64969AFC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4686C99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51AE41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Izomgyengeség</w:t>
            </w:r>
          </w:p>
        </w:tc>
        <w:tc>
          <w:tcPr>
            <w:tcW w:w="1337" w:type="dxa"/>
            <w:shd w:val="clear" w:color="auto" w:fill="auto"/>
          </w:tcPr>
          <w:p w14:paraId="73AD8DF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42C125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9C9B80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AA5C58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BB61E0A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0C4AD7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43E46C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Myalgia</w:t>
            </w:r>
          </w:p>
        </w:tc>
        <w:tc>
          <w:tcPr>
            <w:tcW w:w="1337" w:type="dxa"/>
            <w:shd w:val="clear" w:color="auto" w:fill="auto"/>
          </w:tcPr>
          <w:p w14:paraId="342E16C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72C0D5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008CAA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0C52B35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4E0B7E6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74AB49E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6A3E64A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Végtagfájdalom</w:t>
            </w:r>
          </w:p>
        </w:tc>
        <w:tc>
          <w:tcPr>
            <w:tcW w:w="1337" w:type="dxa"/>
            <w:shd w:val="clear" w:color="auto" w:fill="auto"/>
          </w:tcPr>
          <w:p w14:paraId="76A836C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E496D0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1E829A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293383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563CF0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BFBE08C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8E24D9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Bokaduzzanat</w:t>
            </w:r>
          </w:p>
        </w:tc>
        <w:tc>
          <w:tcPr>
            <w:tcW w:w="1337" w:type="dxa"/>
            <w:shd w:val="clear" w:color="auto" w:fill="auto"/>
          </w:tcPr>
          <w:p w14:paraId="5CC6DDD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543947F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348B884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7F8F88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00F45EA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710A13E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Vese- és húgyúti betegségek és tünetek</w:t>
            </w:r>
          </w:p>
        </w:tc>
        <w:tc>
          <w:tcPr>
            <w:tcW w:w="2552" w:type="dxa"/>
            <w:shd w:val="clear" w:color="auto" w:fill="auto"/>
          </w:tcPr>
          <w:p w14:paraId="2AAABFB7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Emelkedett kreatininszint a vérben</w:t>
            </w:r>
          </w:p>
        </w:tc>
        <w:tc>
          <w:tcPr>
            <w:tcW w:w="1337" w:type="dxa"/>
            <w:shd w:val="clear" w:color="auto" w:fill="auto"/>
          </w:tcPr>
          <w:p w14:paraId="7389A2D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023A4B9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17275A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6F18A8C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62ECCBE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4F9EC44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2E9A06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Vizelési zavar</w:t>
            </w:r>
          </w:p>
        </w:tc>
        <w:tc>
          <w:tcPr>
            <w:tcW w:w="1337" w:type="dxa"/>
            <w:shd w:val="clear" w:color="auto" w:fill="auto"/>
          </w:tcPr>
          <w:p w14:paraId="57BB75F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DAA84A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1B0541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49794A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AB5D5FC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0C717B74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899D03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Nocturia</w:t>
            </w:r>
          </w:p>
        </w:tc>
        <w:tc>
          <w:tcPr>
            <w:tcW w:w="1337" w:type="dxa"/>
            <w:shd w:val="clear" w:color="auto" w:fill="auto"/>
          </w:tcPr>
          <w:p w14:paraId="3FD63F0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193CB00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483AF1F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86235C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82145D4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7CDECAF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A1E065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Pollakisuria</w:t>
            </w:r>
          </w:p>
        </w:tc>
        <w:tc>
          <w:tcPr>
            <w:tcW w:w="1337" w:type="dxa"/>
            <w:shd w:val="clear" w:color="auto" w:fill="auto"/>
          </w:tcPr>
          <w:p w14:paraId="3CE69E9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765FA06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4D9AB36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2E0E0E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132A065D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F80A12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44B3CF9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Renalis dysfunctio</w:t>
            </w:r>
          </w:p>
        </w:tc>
        <w:tc>
          <w:tcPr>
            <w:tcW w:w="1337" w:type="dxa"/>
            <w:shd w:val="clear" w:color="auto" w:fill="auto"/>
          </w:tcPr>
          <w:p w14:paraId="412F3C4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C275B2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CE0192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C325D1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7C67512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E42CA7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35D34C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Akut veseelégtelenség</w:t>
            </w:r>
          </w:p>
        </w:tc>
        <w:tc>
          <w:tcPr>
            <w:tcW w:w="1337" w:type="dxa"/>
            <w:shd w:val="clear" w:color="auto" w:fill="auto"/>
          </w:tcPr>
          <w:p w14:paraId="59BEAD6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0310279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DCC4C9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1A1EF5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30C29889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2A0B3F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A23BA5C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Veseelégtelenség és</w:t>
            </w: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 vesekárosodás</w:t>
            </w:r>
          </w:p>
        </w:tc>
        <w:tc>
          <w:tcPr>
            <w:tcW w:w="1337" w:type="dxa"/>
            <w:shd w:val="clear" w:color="auto" w:fill="auto"/>
          </w:tcPr>
          <w:p w14:paraId="17B1096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DC388A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15EDB7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3F15574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03FC3C70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346293C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8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 xml:space="preserve">A nemi szervekkel és </w:t>
            </w:r>
            <w:r>
              <w:rPr>
                <w:rFonts w:eastAsia="Times New Roman"/>
                <w:snapToGrid/>
                <w:szCs w:val="22"/>
                <w:lang w:val="hu-HU" w:eastAsia="en-US"/>
              </w:rPr>
              <w:lastRenderedPageBreak/>
              <w:t>az emlőkkel kapcsolatos betegségek és tünetek</w:t>
            </w:r>
          </w:p>
        </w:tc>
        <w:tc>
          <w:tcPr>
            <w:tcW w:w="2552" w:type="dxa"/>
            <w:shd w:val="clear" w:color="auto" w:fill="auto"/>
          </w:tcPr>
          <w:p w14:paraId="44CB916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lastRenderedPageBreak/>
              <w:t>Impotencia</w:t>
            </w:r>
          </w:p>
        </w:tc>
        <w:tc>
          <w:tcPr>
            <w:tcW w:w="1337" w:type="dxa"/>
            <w:shd w:val="clear" w:color="auto" w:fill="auto"/>
          </w:tcPr>
          <w:p w14:paraId="509710E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4E6FABD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D1FDC4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A5257B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</w:tr>
      <w:tr w:rsidR="00B911F8" w14:paraId="35CAEB1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7EA73B3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096FB4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Gynaecomastia</w:t>
            </w:r>
          </w:p>
        </w:tc>
        <w:tc>
          <w:tcPr>
            <w:tcW w:w="1337" w:type="dxa"/>
            <w:shd w:val="clear" w:color="auto" w:fill="auto"/>
          </w:tcPr>
          <w:p w14:paraId="6B33A8D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7E1214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52C6DDF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323EFF0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ECB843E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44A99DA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Általános tünetek, az alkalmazás helyén fellépő reakciók</w:t>
            </w:r>
          </w:p>
        </w:tc>
        <w:tc>
          <w:tcPr>
            <w:tcW w:w="2552" w:type="dxa"/>
            <w:shd w:val="clear" w:color="auto" w:fill="auto"/>
          </w:tcPr>
          <w:p w14:paraId="3A11263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 xml:space="preserve">Abasia, </w:t>
            </w:r>
            <w:r>
              <w:rPr>
                <w:snapToGrid/>
                <w:szCs w:val="22"/>
                <w:lang w:val="hu-HU" w:eastAsia="hu-HU"/>
              </w:rPr>
              <w:t>járászavar</w:t>
            </w:r>
          </w:p>
        </w:tc>
        <w:tc>
          <w:tcPr>
            <w:tcW w:w="1337" w:type="dxa"/>
            <w:shd w:val="clear" w:color="auto" w:fill="auto"/>
          </w:tcPr>
          <w:p w14:paraId="3EF502E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587DEEE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241EAB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5D6DC3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6EFF7BB8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09D434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C2B8F5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Gyengeség</w:t>
            </w:r>
          </w:p>
        </w:tc>
        <w:tc>
          <w:tcPr>
            <w:tcW w:w="1337" w:type="dxa"/>
            <w:shd w:val="clear" w:color="auto" w:fill="auto"/>
          </w:tcPr>
          <w:p w14:paraId="7E275A3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46BDE19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7D84AC2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5CC705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01F0F745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A3A3D2D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749C09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Diszkomfort, rossz közérzet</w:t>
            </w:r>
          </w:p>
        </w:tc>
        <w:tc>
          <w:tcPr>
            <w:tcW w:w="1337" w:type="dxa"/>
            <w:shd w:val="clear" w:color="auto" w:fill="auto"/>
          </w:tcPr>
          <w:p w14:paraId="336E212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22FA5C7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79B8FFE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93E9BE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C399AE0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44AC492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363D8D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Fáradtság</w:t>
            </w:r>
          </w:p>
        </w:tc>
        <w:tc>
          <w:tcPr>
            <w:tcW w:w="1337" w:type="dxa"/>
            <w:shd w:val="clear" w:color="auto" w:fill="auto"/>
          </w:tcPr>
          <w:p w14:paraId="7882FC6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541B14F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2E008EF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1" w:right="-4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667972E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5A6D9D7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8F75B7E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47DBBA1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ascii="TimesNewRomanPSMT" w:hAnsi="TimesNewRomanPSMT" w:cs="TimesNewRomanPSMT"/>
                <w:snapToGrid/>
                <w:szCs w:val="22"/>
                <w:lang w:val="hu-HU" w:eastAsia="hu-HU"/>
              </w:rPr>
              <w:t xml:space="preserve">Nem szív eredetű mellkasi </w:t>
            </w:r>
            <w:r>
              <w:rPr>
                <w:snapToGrid/>
                <w:szCs w:val="22"/>
                <w:lang w:val="hu-HU" w:eastAsia="hu-HU"/>
              </w:rPr>
              <w:t>fájdalom</w:t>
            </w:r>
          </w:p>
        </w:tc>
        <w:tc>
          <w:tcPr>
            <w:tcW w:w="1337" w:type="dxa"/>
            <w:shd w:val="clear" w:color="auto" w:fill="auto"/>
          </w:tcPr>
          <w:p w14:paraId="5693D49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004ED10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6AB5301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403A21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495B6F1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A3E29D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7DD891A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Oedema</w:t>
            </w:r>
          </w:p>
        </w:tc>
        <w:tc>
          <w:tcPr>
            <w:tcW w:w="1337" w:type="dxa"/>
            <w:shd w:val="clear" w:color="auto" w:fill="auto"/>
          </w:tcPr>
          <w:p w14:paraId="7859488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56" w:type="dxa"/>
            <w:shd w:val="clear" w:color="auto" w:fill="auto"/>
          </w:tcPr>
          <w:p w14:paraId="1440432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Gyakori</w:t>
            </w:r>
          </w:p>
        </w:tc>
        <w:tc>
          <w:tcPr>
            <w:tcW w:w="1338" w:type="dxa"/>
            <w:shd w:val="clear" w:color="auto" w:fill="auto"/>
          </w:tcPr>
          <w:p w14:paraId="005DF0F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EF2D30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0C699355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6E97FACA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77CFCE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Fájdalom</w:t>
            </w:r>
          </w:p>
        </w:tc>
        <w:tc>
          <w:tcPr>
            <w:tcW w:w="1337" w:type="dxa"/>
            <w:shd w:val="clear" w:color="auto" w:fill="auto"/>
          </w:tcPr>
          <w:p w14:paraId="70FF554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E776E7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16D4C36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B587ABD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2ABE76A1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945E24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9073CD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Láz</w:t>
            </w:r>
          </w:p>
        </w:tc>
        <w:tc>
          <w:tcPr>
            <w:tcW w:w="1337" w:type="dxa"/>
            <w:shd w:val="clear" w:color="auto" w:fill="auto"/>
          </w:tcPr>
          <w:p w14:paraId="45B6365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7A5045F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49990D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25750A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</w:tr>
      <w:tr w:rsidR="00B911F8" w14:paraId="519E8C51" w14:textId="77777777">
        <w:trPr>
          <w:gridAfter w:val="1"/>
          <w:wAfter w:w="15" w:type="dxa"/>
        </w:trPr>
        <w:tc>
          <w:tcPr>
            <w:tcW w:w="1384" w:type="dxa"/>
            <w:vMerge w:val="restart"/>
            <w:shd w:val="clear" w:color="auto" w:fill="auto"/>
          </w:tcPr>
          <w:p w14:paraId="67D9D567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Laboratóri-umi és egyéb vizsgálatok eredményei</w:t>
            </w:r>
          </w:p>
        </w:tc>
        <w:tc>
          <w:tcPr>
            <w:tcW w:w="2552" w:type="dxa"/>
            <w:shd w:val="clear" w:color="auto" w:fill="auto"/>
          </w:tcPr>
          <w:p w14:paraId="2ADCC53C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Lipidszintek emelkedése</w:t>
            </w:r>
          </w:p>
        </w:tc>
        <w:tc>
          <w:tcPr>
            <w:tcW w:w="1337" w:type="dxa"/>
            <w:shd w:val="clear" w:color="auto" w:fill="auto"/>
          </w:tcPr>
          <w:p w14:paraId="7287491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4B0BDD5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136E7F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26D994A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Nagyon gyakori</w:t>
            </w:r>
          </w:p>
        </w:tc>
      </w:tr>
      <w:tr w:rsidR="00B911F8" w14:paraId="4218ADD1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A79D07F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E408682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vér karbamid-nitrogénszintjének emelkedése</w:t>
            </w:r>
          </w:p>
        </w:tc>
        <w:tc>
          <w:tcPr>
            <w:tcW w:w="1337" w:type="dxa"/>
            <w:shd w:val="clear" w:color="auto" w:fill="auto"/>
          </w:tcPr>
          <w:p w14:paraId="4C74F20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3D76F23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17369D0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253374E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7AC79CC9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47D0F3FB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362CC1D8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vér húgysavszintjének emelkedése</w:t>
            </w:r>
          </w:p>
        </w:tc>
        <w:tc>
          <w:tcPr>
            <w:tcW w:w="1337" w:type="dxa"/>
            <w:shd w:val="clear" w:color="auto" w:fill="auto"/>
          </w:tcPr>
          <w:p w14:paraId="6E15574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43C14602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68A79C0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011AC36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6F8316AF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56D6BEB5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75F1C8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Glycosuria</w:t>
            </w:r>
          </w:p>
        </w:tc>
        <w:tc>
          <w:tcPr>
            <w:tcW w:w="1337" w:type="dxa"/>
            <w:shd w:val="clear" w:color="auto" w:fill="auto"/>
          </w:tcPr>
          <w:p w14:paraId="66D5C9F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32B21D0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60FE7D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B3DDE3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Ritka</w:t>
            </w:r>
          </w:p>
        </w:tc>
      </w:tr>
      <w:tr w:rsidR="00B911F8" w14:paraId="21DCAC6F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130A1995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05843316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vér káliumszintjének csökkenése</w:t>
            </w:r>
          </w:p>
        </w:tc>
        <w:tc>
          <w:tcPr>
            <w:tcW w:w="1337" w:type="dxa"/>
            <w:shd w:val="clear" w:color="auto" w:fill="auto"/>
          </w:tcPr>
          <w:p w14:paraId="3BA8912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4CD688C6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D49DF75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760E68F0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3DC75760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9CFF1DF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297EBFCB" w14:textId="77777777" w:rsidR="00B911F8" w:rsidRDefault="00B7743C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A vér káliumszintjének emelkedése</w:t>
            </w:r>
          </w:p>
        </w:tc>
        <w:tc>
          <w:tcPr>
            <w:tcW w:w="1337" w:type="dxa"/>
            <w:shd w:val="clear" w:color="auto" w:fill="auto"/>
          </w:tcPr>
          <w:p w14:paraId="7E90A90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0EB1936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4D7023F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ismert</w:t>
            </w:r>
          </w:p>
        </w:tc>
        <w:tc>
          <w:tcPr>
            <w:tcW w:w="1338" w:type="dxa"/>
            <w:shd w:val="clear" w:color="auto" w:fill="auto"/>
          </w:tcPr>
          <w:p w14:paraId="622197B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1423A4B3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236FC150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1157DFD3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Testtömeg-növekedés</w:t>
            </w:r>
          </w:p>
        </w:tc>
        <w:tc>
          <w:tcPr>
            <w:tcW w:w="1337" w:type="dxa"/>
            <w:shd w:val="clear" w:color="auto" w:fill="auto"/>
          </w:tcPr>
          <w:p w14:paraId="7332593F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47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56" w:type="dxa"/>
            <w:shd w:val="clear" w:color="auto" w:fill="auto"/>
          </w:tcPr>
          <w:p w14:paraId="6D96BD8B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4AF280D8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445C857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  <w:tr w:rsidR="00B911F8" w14:paraId="43884EB7" w14:textId="77777777">
        <w:trPr>
          <w:gridAfter w:val="1"/>
          <w:wAfter w:w="15" w:type="dxa"/>
        </w:trPr>
        <w:tc>
          <w:tcPr>
            <w:tcW w:w="1384" w:type="dxa"/>
            <w:vMerge/>
            <w:shd w:val="clear" w:color="auto" w:fill="auto"/>
          </w:tcPr>
          <w:p w14:paraId="36721A81" w14:textId="77777777" w:rsidR="00B911F8" w:rsidRDefault="00B911F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552" w:type="dxa"/>
            <w:shd w:val="clear" w:color="auto" w:fill="auto"/>
          </w:tcPr>
          <w:p w14:paraId="526F988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snapToGrid/>
                <w:szCs w:val="22"/>
                <w:lang w:val="hu-HU" w:eastAsia="hu-HU"/>
              </w:rPr>
              <w:t>Testtömegcsökkenés</w:t>
            </w:r>
          </w:p>
        </w:tc>
        <w:tc>
          <w:tcPr>
            <w:tcW w:w="1337" w:type="dxa"/>
            <w:shd w:val="clear" w:color="auto" w:fill="auto"/>
          </w:tcPr>
          <w:p w14:paraId="1E3B9929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56" w:type="dxa"/>
            <w:shd w:val="clear" w:color="auto" w:fill="auto"/>
          </w:tcPr>
          <w:p w14:paraId="6F6F881E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05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Nem gyakori</w:t>
            </w:r>
          </w:p>
        </w:tc>
        <w:tc>
          <w:tcPr>
            <w:tcW w:w="1338" w:type="dxa"/>
            <w:shd w:val="clear" w:color="auto" w:fill="auto"/>
          </w:tcPr>
          <w:p w14:paraId="24C5D904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  <w:tc>
          <w:tcPr>
            <w:tcW w:w="1338" w:type="dxa"/>
            <w:shd w:val="clear" w:color="auto" w:fill="auto"/>
          </w:tcPr>
          <w:p w14:paraId="55233A81" w14:textId="77777777" w:rsidR="00B911F8" w:rsidRDefault="00B7743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snapToGrid/>
                <w:szCs w:val="22"/>
                <w:lang w:val="hu-HU" w:eastAsia="en-US"/>
              </w:rPr>
              <w:t>–</w:t>
            </w:r>
          </w:p>
        </w:tc>
      </w:tr>
    </w:tbl>
    <w:p w14:paraId="5F4092E0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4B4F97C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* Lásd 4.4 pont, Fényérzékenység</w:t>
      </w:r>
    </w:p>
    <w:p w14:paraId="477DB508" w14:textId="77777777" w:rsidR="00B911F8" w:rsidRDefault="00B7743C">
      <w:pPr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** Az esetek többségében cholestasissal</w:t>
      </w:r>
    </w:p>
    <w:p w14:paraId="3C96DFA7" w14:textId="77777777" w:rsidR="00B911F8" w:rsidRDefault="00B911F8">
      <w:pPr>
        <w:spacing w:line="240" w:lineRule="auto"/>
        <w:rPr>
          <w:snapToGrid/>
          <w:szCs w:val="22"/>
          <w:lang w:val="hu-HU" w:eastAsia="hu-HU"/>
        </w:rPr>
      </w:pPr>
    </w:p>
    <w:p w14:paraId="030EEB2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Kiválasztott mellékhatások leírása</w:t>
      </w:r>
    </w:p>
    <w:p w14:paraId="6E5FF6B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Nem melanóma típusú bőrrák (NMSC): Epidemiológiai tanulmányokból származó, rendelkezésre álló </w:t>
      </w:r>
      <w:r>
        <w:rPr>
          <w:snapToGrid/>
          <w:szCs w:val="22"/>
          <w:lang w:val="hu-HU" w:eastAsia="hu-HU"/>
        </w:rPr>
        <w:t>adatok a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lapján kumulatív dózisfüggő kapcsolatot figyeltek meg a hidroklorotiazid és az NMSC között </w:t>
      </w:r>
      <w:r>
        <w:rPr>
          <w:snapToGrid/>
          <w:szCs w:val="22"/>
          <w:lang w:val="hu-HU" w:eastAsia="hu-HU"/>
        </w:rPr>
        <w:t>(lásd még 4.4 és 5.1 pont).</w:t>
      </w:r>
    </w:p>
    <w:p w14:paraId="728858CB" w14:textId="77777777" w:rsidR="00B911F8" w:rsidRDefault="00B911F8">
      <w:pPr>
        <w:spacing w:line="240" w:lineRule="auto"/>
        <w:rPr>
          <w:u w:val="single"/>
          <w:lang w:val="hu-HU"/>
        </w:rPr>
      </w:pPr>
    </w:p>
    <w:p w14:paraId="73C348D2" w14:textId="77777777" w:rsidR="00B911F8" w:rsidRDefault="00B7743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14:paraId="25CDA1D8" w14:textId="77777777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CC69131" w14:textId="3F0FD6DD" w:rsidR="00B911F8" w:rsidRDefault="00B7743C">
      <w:pPr>
        <w:spacing w:line="240" w:lineRule="auto"/>
        <w:rPr>
          <w:lang w:val="hu-HU"/>
        </w:rPr>
      </w:pPr>
      <w:r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  <w:lang w:val="hu-HU"/>
          </w:rPr>
          <w:t>V. függelékben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14:paraId="48BCE7B5" w14:textId="77777777" w:rsidR="00B911F8" w:rsidRDefault="00B911F8">
      <w:pPr>
        <w:spacing w:line="240" w:lineRule="auto"/>
        <w:rPr>
          <w:lang w:val="hu-HU"/>
        </w:rPr>
      </w:pPr>
    </w:p>
    <w:p w14:paraId="1211DB9B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2227C69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00B9D5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Tünetek</w:t>
      </w:r>
    </w:p>
    <w:p w14:paraId="289FDA3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784228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Nincsenek az amlodipin/valzartán/HCT túladagolására vonatkozó tapasztalatok. A valzartán túladagolása esetén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az elsődleges tünet a szédüléssel járó kifejezett h</w:t>
      </w:r>
      <w:r>
        <w:rPr>
          <w:snapToGrid/>
          <w:szCs w:val="22"/>
          <w:lang w:val="hu-HU" w:eastAsia="hu-HU"/>
        </w:rPr>
        <w:t xml:space="preserve">ypotonia lehet. Az amlodipin túladagolása túlzott perifériás értágulatot, és esetleg reflexes tachycardiát eredményezhet. Amlodipin túladagolása kapcsán beszámoltak kifejezett és potenciálisan elhúzódó szisztémás hypotoniáról,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előfordult </w:t>
      </w:r>
      <w:r>
        <w:rPr>
          <w:snapToGrid/>
          <w:szCs w:val="22"/>
          <w:lang w:val="hu-HU" w:eastAsia="hu-HU"/>
        </w:rPr>
        <w:t xml:space="preserve">halálos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kimenetelű sokk </w:t>
      </w:r>
      <w:r>
        <w:rPr>
          <w:snapToGrid/>
          <w:szCs w:val="22"/>
          <w:lang w:val="hu-HU" w:eastAsia="hu-HU"/>
        </w:rPr>
        <w:t>is.</w:t>
      </w:r>
    </w:p>
    <w:p w14:paraId="432CD8F3" w14:textId="77777777" w:rsidR="00B911F8" w:rsidRDefault="00B911F8">
      <w:pPr>
        <w:suppressAutoHyphens/>
        <w:rPr>
          <w:szCs w:val="22"/>
          <w:lang w:val="hu-HU"/>
        </w:rPr>
      </w:pPr>
    </w:p>
    <w:p w14:paraId="2A8BC88E" w14:textId="77777777" w:rsidR="00B911F8" w:rsidRDefault="00B7743C">
      <w:pPr>
        <w:suppressAutoHyphens/>
        <w:rPr>
          <w:szCs w:val="22"/>
          <w:lang w:val="hu-HU"/>
        </w:rPr>
      </w:pPr>
      <w:r>
        <w:rPr>
          <w:szCs w:val="22"/>
          <w:lang w:val="hu-HU"/>
        </w:rPr>
        <w:t xml:space="preserve">Ritka előfordulási gyakorisággal nem kardiogén eredetű tüdőödémát jelentettek az amlodipin-túladagolás következményeként, amely késői kezdettel (24-48 órával a bevétel után) jelentkezhet, és </w:t>
      </w:r>
      <w:r>
        <w:rPr>
          <w:szCs w:val="22"/>
          <w:lang w:val="hu-HU"/>
        </w:rPr>
        <w:lastRenderedPageBreak/>
        <w:t>légzéstámogatást tesz szükségessé. A perfúzió és a perctérfogat fenntartására irányuló korai újraélesztési intézkedések (beleértve a folyadéktúlterhelést) kiváltó tényezők lehetnek.</w:t>
      </w:r>
    </w:p>
    <w:p w14:paraId="4F99C71A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</w:p>
    <w:p w14:paraId="5978104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Kezelés</w:t>
      </w:r>
    </w:p>
    <w:p w14:paraId="6E1559D8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44249C7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Amlodipin/Valzartán/Hidroklorotiazid</w:t>
      </w:r>
    </w:p>
    <w:p w14:paraId="4B92875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Az </w:t>
      </w:r>
      <w:r>
        <w:rPr>
          <w:snapToGrid/>
          <w:szCs w:val="22"/>
          <w:lang w:val="hu-HU" w:eastAsia="hu-HU"/>
        </w:rPr>
        <w:t>amlodipin/valzartán/HCT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túladagolás következtében fellépő, klinikailag jelentős h</w:t>
      </w:r>
      <w:r>
        <w:rPr>
          <w:snapToGrid/>
          <w:szCs w:val="22"/>
          <w:lang w:val="hu-HU" w:eastAsia="hu-HU"/>
        </w:rPr>
        <w:t>ypotonia olyan kardiovaszkuláris rendszert támogató intézkedéseket igénye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l, mint pl. a szívműködés és légzés gyakori monitorozása, a végtagok megemelése, a keringő folyadéktérfogat és az ürített vizelet mennyiségének </w:t>
      </w:r>
      <w:r>
        <w:rPr>
          <w:snapToGrid/>
          <w:szCs w:val="22"/>
          <w:lang w:val="hu-HU" w:eastAsia="hu-HU"/>
        </w:rPr>
        <w:t xml:space="preserve">szoros megfigyelése. Vasoconstrictor hatású készítmény alkalmazása, amennyiben nem ellenjavallt, hasznos lehet az értónus és a vérnyomás helyreállítására. Intravénás kalcium-glükonát alkalmazása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előnyös lehet a kalciumcsatorna</w:t>
      </w:r>
      <w:r>
        <w:rPr>
          <w:snapToGrid/>
          <w:szCs w:val="22"/>
          <w:lang w:val="hu-HU" w:eastAsia="hu-HU"/>
        </w:rPr>
        <w:t>-blokkolók hatásának semlegesítésére.</w:t>
      </w:r>
    </w:p>
    <w:p w14:paraId="4F5E40A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6DE468F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Amlodipin</w:t>
      </w:r>
    </w:p>
    <w:p w14:paraId="6E9CB5E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Amennyiben a gyógyszer bevétele után kevés idő telt el, hánytatás vagy gyomormosás megfontolhat</w:t>
      </w:r>
      <w:r>
        <w:rPr>
          <w:snapToGrid/>
          <w:szCs w:val="22"/>
          <w:lang w:val="hu-HU" w:eastAsia="hu-HU"/>
        </w:rPr>
        <w:t xml:space="preserve">ó. Egészséges önkénteseknél az amlodipin bevitele után közvetlenül, vagy legfeljebb két órával adott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aktív szén jelentősen csökkentette az amlodipin felszívódását.</w:t>
      </w:r>
    </w:p>
    <w:p w14:paraId="0CFC6DC4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4B0BA6E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amlodipin haemodialysissel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valószínűleg nem </w:t>
      </w:r>
      <w:r>
        <w:rPr>
          <w:snapToGrid/>
          <w:szCs w:val="22"/>
          <w:lang w:val="hu-HU" w:eastAsia="hu-HU"/>
        </w:rPr>
        <w:t>távolítható el.</w:t>
      </w:r>
    </w:p>
    <w:p w14:paraId="190E0C2A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AF5557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Valzartán</w:t>
      </w:r>
    </w:p>
    <w:p w14:paraId="40DD790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valzartán haemodialysissel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valószínűleg nem </w:t>
      </w:r>
      <w:r>
        <w:rPr>
          <w:snapToGrid/>
          <w:szCs w:val="22"/>
          <w:lang w:val="hu-HU" w:eastAsia="hu-HU"/>
        </w:rPr>
        <w:t>távolítható el.</w:t>
      </w:r>
    </w:p>
    <w:p w14:paraId="0B78A224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DF0F31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Hidroklorotiazid</w:t>
      </w:r>
    </w:p>
    <w:p w14:paraId="0FAA225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hidroklorotiazid túladagolás a fokozott diurézisből eredő elektrolitvesztéssel (hypokalaemia, </w:t>
      </w:r>
      <w:r>
        <w:rPr>
          <w:snapToGrid/>
          <w:szCs w:val="22"/>
          <w:lang w:val="hu-HU" w:eastAsia="hu-HU"/>
        </w:rPr>
        <w:t>hypochloraemia) és hypovolaemiával jár. A túladagolás leggyakoribb tünetei a hányinger és az alusz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ékonyság. A hypokalaemia izomgörcsöket okozhat és/vagy felerősíthet a digitálisz glikozidok vagy egyes antiarritmiás gyógyszerek egyidejű alkalmazásával összefüggően jelentkező </w:t>
      </w:r>
      <w:r>
        <w:rPr>
          <w:snapToGrid/>
          <w:szCs w:val="22"/>
          <w:lang w:val="hu-HU" w:eastAsia="hu-HU"/>
        </w:rPr>
        <w:t>szívritmuszavarokat.</w:t>
      </w:r>
    </w:p>
    <w:p w14:paraId="0CF4B99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38119CC" w14:textId="77777777" w:rsidR="00B911F8" w:rsidRDefault="00B7743C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snapToGrid/>
          <w:szCs w:val="22"/>
          <w:lang w:val="hu-HU" w:eastAsia="hu-HU"/>
        </w:rPr>
        <w:t>Még nem állapították meg, hogy a haemodialysis milyen mértékben távolítja el a hidroklorotiazidot.</w:t>
      </w:r>
    </w:p>
    <w:p w14:paraId="2AC75A36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CDC9ED0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6C55931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0BFB9F85" w14:textId="77777777" w:rsidR="00B911F8" w:rsidRDefault="00B911F8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F236863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1C688B36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1B16A0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Farmakoterápiás csoport: a renin-angiotenzin rendszerre ható készítmények, angiotenzin II-antagonisták, egyéb kombinációk, ATC kód: C09DX01.</w:t>
      </w:r>
    </w:p>
    <w:p w14:paraId="3E3CD54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ECFA72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Hatásmechanizmus</w:t>
      </w:r>
    </w:p>
    <w:p w14:paraId="3F4BE473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D87D77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Valtricom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három, egymást kiegészítő hatásmechanizmusú vérnyomáscsökkentő vegyületet </w:t>
      </w:r>
      <w:r>
        <w:rPr>
          <w:snapToGrid/>
          <w:szCs w:val="22"/>
          <w:lang w:val="hu-HU" w:eastAsia="hu-HU"/>
        </w:rPr>
        <w:t xml:space="preserve">tartalmazó kombináció, esszenciális hypertoniás betegek vérnyomásának rendezésére: az amlodipin a kalciumantagonisták csoportjába, míg a valzartán az angiotenzin II-antagonisták csoportjába, a hidroklorotiazid pedig a tiazid diuretikumok gyógyszercsoportjába tartozik. Ezen vegyületek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kombinációja additív vérnyomáscsökkentő hatással rendelkezik.</w:t>
      </w:r>
    </w:p>
    <w:p w14:paraId="3F62835E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156866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Amlodipin/Valzartán/Hidroklorotiazid</w:t>
      </w:r>
    </w:p>
    <w:p w14:paraId="2F6E6A9E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39FD036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Klinikai hatásosság és biztonságosság</w:t>
      </w:r>
    </w:p>
    <w:p w14:paraId="3A7804E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amlodipin/valzartán/HCT-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 egy hypertoniás betegeken végzett kettős</w:t>
      </w:r>
      <w:r>
        <w:rPr>
          <w:snapToGrid/>
          <w:szCs w:val="22"/>
          <w:lang w:val="hu-HU" w:eastAsia="hu-HU"/>
        </w:rPr>
        <w:t xml:space="preserve"> vak, aktív kontrollos vizsgálatban értékelték. Összesen 2271, közepesen súlyos vagy súlyos hypertoniás (átlagos kiindulási systolés/diastolés vérnyomás 170/107 Hgmm volt) beteg kapott 10 mg/320 mg/25 mg amlodipin/valzartán/hidroklorotiazid-, 320 mg/25 mg valzartán/hidroklorotiazid-, 10 mg/320 mg amlodipin/valzartán- vagy 25 mg/10 mg hidroklorotiazid/amlodipin-kezelést. A vizsgálat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lastRenderedPageBreak/>
        <w:t xml:space="preserve">megkezdésekor a betegek a terápiás kombinációjukban lévőknél alacsonyabb dózisokat kaptak, </w:t>
      </w:r>
      <w:r>
        <w:rPr>
          <w:snapToGrid/>
          <w:szCs w:val="22"/>
          <w:lang w:val="hu-HU" w:eastAsia="hu-HU"/>
        </w:rPr>
        <w:t>és a 2. hétre emelték fel azt a teljes terápiás dózisra.</w:t>
      </w:r>
    </w:p>
    <w:p w14:paraId="2961934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F5CA1F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8. hétre a systolés/diastolés vérnyomás átlagos csökkenése 39,7/24,7 Hgmm volt az amlodipin/valzartán/HCT, 32,0/19,7 Hgmm volt a valzartán/hidroklorotiazid, 33,5/21,5 Hgmm volt az amlodipin/valzartán és 31,5/19,5 Hgmm volt az amlodipin/hidroklorotiazid esetén. A hármas kombinációs kezelés a diastolés és a systolés vérnyomás csökkentésében is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statisztikailag jobbnak bizonyult mindhárom kettős </w:t>
      </w:r>
      <w:r>
        <w:rPr>
          <w:snapToGrid/>
          <w:szCs w:val="22"/>
          <w:lang w:val="hu-HU" w:eastAsia="hu-HU"/>
        </w:rPr>
        <w:t xml:space="preserve">kombinációs kezelésnél. A systolés/diastolés vérnyomás csökkenése az amlodipin/valzartán/HCT mellett 7,6/5,0 Hgmm-rel nagyobb volt, mint a valzartán/hidroklorotiazid esetén, 6,2/3,3 Hgmm-rel nagyobb volt, mint az amlodipin/valzartán esetén, és 8,2/5,3 Hgmm-rel nagyobb volt, mint az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amlodipin/hidroklorotiazid esetén. A teljes vérnyomáscsökkentő hatás 2 </w:t>
      </w:r>
      <w:r>
        <w:rPr>
          <w:snapToGrid/>
          <w:szCs w:val="22"/>
          <w:lang w:val="hu-HU" w:eastAsia="hu-HU"/>
        </w:rPr>
        <w:t xml:space="preserve">héttel azután kialakult, hogy a beteg a maximális amlodipin/valzartán/HCT adagját megkapta. A betegek statisztikailag nagyobb arányánál sikerült elérni a kívánt vérnyomást (&lt;140/90 Hgmm) az amlodipin/valzartán/HCT-vel (71%), mint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három kettős kombinációs kezelés bármelyikével (45</w:t>
      </w:r>
      <w:r>
        <w:rPr>
          <w:snapToGrid/>
          <w:szCs w:val="22"/>
          <w:lang w:val="hu-HU" w:eastAsia="hu-HU"/>
        </w:rPr>
        <w:noBreakHyphen/>
        <w:t>54%) (</w:t>
      </w:r>
      <w:proofErr w:type="gramStart"/>
      <w:r>
        <w:rPr>
          <w:snapToGrid/>
          <w:szCs w:val="22"/>
          <w:lang w:val="hu-HU" w:eastAsia="hu-HU"/>
        </w:rPr>
        <w:t>p&lt;</w:t>
      </w:r>
      <w:proofErr w:type="gramEnd"/>
      <w:r>
        <w:rPr>
          <w:snapToGrid/>
          <w:szCs w:val="22"/>
          <w:lang w:val="hu-HU" w:eastAsia="hu-HU"/>
        </w:rPr>
        <w:t>0,0001).</w:t>
      </w:r>
    </w:p>
    <w:p w14:paraId="3FBEC5B8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4B3EBC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Egy 283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betegből álló alcsoportban, ahol az ambuláns vérnyomás monitorozás</w:t>
      </w:r>
      <w:r>
        <w:rPr>
          <w:snapToGrid/>
          <w:szCs w:val="22"/>
          <w:lang w:val="hu-HU" w:eastAsia="hu-HU"/>
        </w:rPr>
        <w:t xml:space="preserve">ára fókuszáltak,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hármas kombináció mellett klinikailag és statisztikailag is nagyobb mértékű csökkenést észlelt</w:t>
      </w:r>
      <w:r>
        <w:rPr>
          <w:snapToGrid/>
          <w:szCs w:val="22"/>
          <w:lang w:val="hu-HU" w:eastAsia="hu-HU"/>
        </w:rPr>
        <w:t>ek a 24 órás systolés és diastolés vérnyomás-értékekben, mint a valzartán/hidroklorotiazid, a valzartán/amlodipin és a hidroklorotiazid/amlodipin esetén.</w:t>
      </w:r>
    </w:p>
    <w:p w14:paraId="5568F327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645126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Amlodipin</w:t>
      </w:r>
    </w:p>
    <w:p w14:paraId="12E0078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378EC26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Hatásmechanizmus</w:t>
      </w:r>
    </w:p>
    <w:p w14:paraId="7AC3DD60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4710996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Az amlodipin/valzartán/HCT amlodipin összetevője gátolja a kalcium ionok membránon keresztül történő bejutását a szívizomsejtekbe és az erek simaizomsejtjeibe. Az amlodipin vérnyomáscsökkentő hatása </w:t>
      </w:r>
      <w:r>
        <w:rPr>
          <w:snapToGrid/>
          <w:szCs w:val="22"/>
          <w:lang w:val="hu-HU" w:eastAsia="hu-HU"/>
        </w:rPr>
        <w:t>az erek simaizomzatára gyakorolt közvetlen relaxáló hatás következménye, ami a perifériás vaszkuláris rezisztencia és a vérnyomás csökkenését eredményezi.</w:t>
      </w:r>
    </w:p>
    <w:p w14:paraId="62DA8D4A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i/>
          <w:lang w:val="hu-HU"/>
        </w:rPr>
      </w:pPr>
    </w:p>
    <w:p w14:paraId="756B2D8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Farmakodinámiás hatások</w:t>
      </w:r>
    </w:p>
    <w:p w14:paraId="2BBF0949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5AD3FCA0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Kísérleti adatok arra utalnak, hogy az amlodipin mind a dihidropiridin, mind a nem dihidropiridin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kötőhelyhez is kötődik. </w:t>
      </w:r>
      <w:r>
        <w:rPr>
          <w:snapToGrid/>
          <w:szCs w:val="22"/>
          <w:lang w:val="hu-HU" w:eastAsia="hu-HU"/>
        </w:rPr>
        <w:t xml:space="preserve">A szívizomsejtek és az erek simaizomsejtjeinek összehúzódása az extracelluláris kalciumionoknak a specifikus ioncsatornákon keresztül ezekbe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sejtekbe történő bejutásától </w:t>
      </w:r>
      <w:r>
        <w:rPr>
          <w:snapToGrid/>
          <w:szCs w:val="22"/>
          <w:lang w:val="hu-HU" w:eastAsia="hu-HU"/>
        </w:rPr>
        <w:t>függ.</w:t>
      </w:r>
    </w:p>
    <w:p w14:paraId="118F6E6E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68C1F7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Hypertoniás betegeknél terápiás adagok alkalmazása után az amlodipin vazodilatációt okoz, melynek eredményeként csökken a fekve és az állva mért vérnyomás. Tartós adagolás esetén a vérnyomás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csökkenését nem kíséri a szívfrekvencia vagy a plazma katekolaminszintek számottevő változása.</w:t>
      </w:r>
    </w:p>
    <w:p w14:paraId="089F15B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5A108A8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plazmakoncentráció és a gyógyszerhatás között m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ind fiatal, mind idős betegeknél korreláció </w:t>
      </w:r>
      <w:r>
        <w:rPr>
          <w:snapToGrid/>
          <w:szCs w:val="22"/>
          <w:lang w:val="hu-HU" w:eastAsia="hu-HU"/>
        </w:rPr>
        <w:t>mutatható ki.</w:t>
      </w:r>
    </w:p>
    <w:p w14:paraId="47A06691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F8BA19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Normál vesefunkciójú hypertoniás betegeknél az amlodipin terápiás adagjainak hatására csökken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renális vaszkuláris rezisztencia, és nő a glomeruláris filtrációs ráta, valamint az effektív renális </w:t>
      </w:r>
      <w:r>
        <w:rPr>
          <w:snapToGrid/>
          <w:szCs w:val="22"/>
          <w:lang w:val="hu-HU" w:eastAsia="hu-HU"/>
        </w:rPr>
        <w:t>plazma-átáramlás, anélkül, hogy változna a filtrációs frakció vagy a proteinuria.</w:t>
      </w:r>
    </w:p>
    <w:p w14:paraId="5AC3F52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AA1A3F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Más kalciumcsatorna-blokkolókhoz hasonlóan, amlodipinnel kezelt egészséges kamrafunkciójú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betegeknél a szívműködés hemodinamikai mérései nyugalomban és terhelésre (vagy pacem</w:t>
      </w:r>
      <w:r>
        <w:rPr>
          <w:snapToGrid/>
          <w:szCs w:val="22"/>
          <w:lang w:val="hu-HU" w:eastAsia="hu-HU"/>
        </w:rPr>
        <w:t>aker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ingerlésre) általában azt mutatták, hogy kismértékben nő a kardiális index, a dP/dt</w:t>
      </w:r>
      <w:r>
        <w:rPr>
          <w:snapToGrid/>
          <w:szCs w:val="22"/>
          <w:lang w:val="hu-HU" w:eastAsia="hu-HU"/>
        </w:rPr>
        <w:t xml:space="preserve">-re, a bal kamrai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végdiasztolés nyomásra vagy térfogatra gyakorolt jelentős hatás nélkül. Hemodinamikai </w:t>
      </w:r>
      <w:r>
        <w:rPr>
          <w:snapToGrid/>
          <w:szCs w:val="22"/>
          <w:lang w:val="hu-HU" w:eastAsia="hu-HU"/>
        </w:rPr>
        <w:t xml:space="preserve">vizsgálatokban az egészséges állatoknak, illetve embereknek terápiás adagban adott amlodipin alkalmazásához nem társult negatív inotrop hatás, még akkor sem, ha embereknél béta-blokkolókkal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egyidejűleg alkalmazták.</w:t>
      </w:r>
    </w:p>
    <w:p w14:paraId="161C857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5F39D3D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lastRenderedPageBreak/>
        <w:t xml:space="preserve">Egészséges állatoknál és embereknél az amlodipin nem befolyásolja a sinus csomó működését, </w:t>
      </w:r>
      <w:r>
        <w:rPr>
          <w:snapToGrid/>
          <w:szCs w:val="22"/>
          <w:lang w:val="hu-HU" w:eastAsia="hu-HU"/>
        </w:rPr>
        <w:t>illetve az at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rioventrikuláris átvezetést. Azon klinikai vizsgálatokban, amelyekben egyidejűleg </w:t>
      </w:r>
      <w:r>
        <w:rPr>
          <w:snapToGrid/>
          <w:szCs w:val="22"/>
          <w:lang w:val="hu-HU" w:eastAsia="hu-HU"/>
        </w:rPr>
        <w:t>alkalmaztak amlodipint és béta-blokkolókat hypertoniás vagy anginás betegeknél, nem észleltek az EKG (elektrokardiográfiás) paraméterekre gyakorolt nemkívánatos hatásokat.</w:t>
      </w:r>
    </w:p>
    <w:p w14:paraId="487FD6B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B5DD40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amlodipint vizsgálták krónikus stabil angina pectorisban, vasospastikus anginában és angiográfiával kimutatott koszorúér-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betegségben szenvedő betegeknél.</w:t>
      </w:r>
    </w:p>
    <w:p w14:paraId="099BA8F9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33AE145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Klinikai hatásosság és biztonságosság</w:t>
      </w:r>
    </w:p>
    <w:p w14:paraId="384E9303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396AB24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Alkalmazása hypertoniás betegeknél</w:t>
      </w:r>
    </w:p>
    <w:p w14:paraId="4D4645FA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BF76F2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 xml:space="preserve">Az Antihypertensive and Lipid-Lowering treatment to prevent Heart Attack Trial (ALLHAT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– </w:t>
      </w:r>
      <w:r>
        <w:rPr>
          <w:snapToGrid/>
          <w:szCs w:val="22"/>
          <w:lang w:val="hu-HU" w:eastAsia="hu-HU"/>
        </w:rPr>
        <w:t xml:space="preserve">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szívroham megelőzése érdekében végzett vérnyomás</w:t>
      </w:r>
      <w:r>
        <w:rPr>
          <w:snapToGrid/>
          <w:szCs w:val="22"/>
          <w:lang w:val="hu-HU" w:eastAsia="hu-HU"/>
        </w:rPr>
        <w:t>- és lipidszint-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csökkentő kezelés) elnevezésű, randomizált, kettős</w:t>
      </w:r>
      <w:r>
        <w:rPr>
          <w:snapToGrid/>
          <w:szCs w:val="22"/>
          <w:lang w:val="hu-HU" w:eastAsia="hu-HU"/>
        </w:rPr>
        <w:t xml:space="preserve"> vak, morbiditási-mortalitási vizsgálatot azért végezték, hogy összehasonlítsák az újabb kezeléseket enyhe vagy közepesen súlyos hypertoniában: a tiazid-diuretikum, napi 12,5-25 mg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klórtalidon mellett az elsővonalbeli kezelésként adott, napi 2,5</w:t>
      </w:r>
      <w:r>
        <w:rPr>
          <w:snapToGrid/>
          <w:szCs w:val="22"/>
          <w:lang w:val="hu-HU" w:eastAsia="hu-HU"/>
        </w:rPr>
        <w:t>-10 mg amlodipint (kalciumcsatorna-blokkoló) vagy a napi 10-40 mg lizinoprilt (ACE-gátló).</w:t>
      </w:r>
      <w:proofErr w:type="gramEnd"/>
    </w:p>
    <w:p w14:paraId="7E6FCAC9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1C373E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Összesen 33 357, 55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éves vagy idősebb hypertoniás beteget randomizáltak és követtek átlagosan </w:t>
      </w:r>
      <w:r>
        <w:rPr>
          <w:snapToGrid/>
          <w:szCs w:val="22"/>
          <w:lang w:val="hu-HU" w:eastAsia="hu-HU"/>
        </w:rPr>
        <w:t xml:space="preserve">4,9 évig. </w:t>
      </w:r>
      <w:proofErr w:type="gramStart"/>
      <w:r>
        <w:rPr>
          <w:snapToGrid/>
          <w:szCs w:val="22"/>
          <w:lang w:val="hu-HU" w:eastAsia="hu-HU"/>
        </w:rPr>
        <w:t>A betegeknek legalább még egy, koszorúér-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betegséghez vezető kockázati tényezőjük volt, </w:t>
      </w:r>
      <w:r>
        <w:rPr>
          <w:snapToGrid/>
          <w:szCs w:val="22"/>
          <w:lang w:val="hu-HU" w:eastAsia="hu-HU"/>
        </w:rPr>
        <w:t>köztük: korábbi myocardialis infarctus vagy stroke (&gt;6 hónappal a vizsgálatb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a történő bevonás előtt) vagy egyéb, igazolt atheroscleroticus eredetű kardiovaszkuláris betegség (összesen 51,5%), 2</w:t>
      </w:r>
      <w:r>
        <w:rPr>
          <w:snapToGrid/>
          <w:szCs w:val="22"/>
          <w:lang w:val="hu-HU" w:eastAsia="hu-HU"/>
        </w:rPr>
        <w:t xml:space="preserve">-es típusú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diabetes (36,1%), nagy sűrűségű lipoprotein</w:t>
      </w:r>
      <w:r>
        <w:rPr>
          <w:snapToGrid/>
          <w:szCs w:val="22"/>
          <w:lang w:val="hu-HU" w:eastAsia="hu-HU"/>
        </w:rPr>
        <w:t>-koleszterinszint &lt;35 mg/dl vagy &lt;0,906 mmol/l (11,6%), elektrokardiogrammal vagy echocardiographiával diagnosztizált balkamra hypertrophia (20,9%), aktuális dohányzás (21,9%).</w:t>
      </w:r>
      <w:proofErr w:type="gramEnd"/>
    </w:p>
    <w:p w14:paraId="62419079" w14:textId="77777777" w:rsidR="00B911F8" w:rsidRDefault="00B911F8">
      <w:pPr>
        <w:spacing w:line="240" w:lineRule="auto"/>
        <w:rPr>
          <w:snapToGrid/>
          <w:szCs w:val="22"/>
          <w:lang w:val="hu-HU" w:eastAsia="hu-HU"/>
        </w:rPr>
      </w:pPr>
    </w:p>
    <w:p w14:paraId="085056F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Az elsődleges kompozit végpontot a végzetes koszorúér</w:t>
      </w:r>
      <w:r>
        <w:rPr>
          <w:snapToGrid/>
          <w:szCs w:val="22"/>
          <w:lang w:val="hu-HU" w:eastAsia="hu-HU"/>
        </w:rPr>
        <w:t xml:space="preserve">-betegség vagy a nem végzetes myocardialis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infarctus alkotta. Az elsődleges végpontban nem mutatkozott lényege</w:t>
      </w:r>
      <w:r>
        <w:rPr>
          <w:snapToGrid/>
          <w:szCs w:val="22"/>
          <w:lang w:val="hu-HU" w:eastAsia="hu-HU"/>
        </w:rPr>
        <w:t xml:space="preserve">s különbség az amlodipin-alapú és a klórtalidon-alapú terápiák között: kockázati arány (RR): 0,98; 95%-os CI: (0,90-1,07); p = 0,65.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másodlagos végpontok között, a szívelégtelenség előfordulási gyakorisága (egy kompozit kombinált </w:t>
      </w:r>
      <w:r>
        <w:rPr>
          <w:snapToGrid/>
          <w:szCs w:val="22"/>
          <w:lang w:val="hu-HU" w:eastAsia="hu-HU"/>
        </w:rPr>
        <w:t>kardiovaszkuláris végpon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 összetevője) szignifikánsan magasabb volt az amlodipin</w:t>
      </w:r>
      <w:r>
        <w:rPr>
          <w:snapToGrid/>
          <w:szCs w:val="22"/>
          <w:lang w:val="hu-HU" w:eastAsia="hu-HU"/>
        </w:rPr>
        <w:t xml:space="preserve">-csoportban, mint a klórtalidon-csoportban (10,2%, vs 7,7%; RR: 1,38; 95%-os CI: [1,25-1,52]; </w:t>
      </w:r>
      <w:proofErr w:type="gramStart"/>
      <w:r>
        <w:rPr>
          <w:snapToGrid/>
          <w:szCs w:val="22"/>
          <w:lang w:val="hu-HU" w:eastAsia="hu-HU"/>
        </w:rPr>
        <w:t>p&lt;</w:t>
      </w:r>
      <w:proofErr w:type="gramEnd"/>
      <w:r>
        <w:rPr>
          <w:snapToGrid/>
          <w:szCs w:val="22"/>
          <w:lang w:val="hu-HU" w:eastAsia="hu-HU"/>
        </w:rPr>
        <w:t>0,001). Ugyanakkor az összmortalitásban nem volt szignifikáns különbség az amlodipin-alapú kezelés és a klórtalidon-alapú kezelés között: RR: 0,96; 95%-os CI: [0,89-1,02] p = 0,20.</w:t>
      </w:r>
    </w:p>
    <w:p w14:paraId="0D24EF84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D054DC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Valzartán</w:t>
      </w:r>
    </w:p>
    <w:p w14:paraId="2F84C4C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</w:p>
    <w:p w14:paraId="137E9E3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Hatásmechanizmus</w:t>
      </w:r>
    </w:p>
    <w:p w14:paraId="7B88E1E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lang w:val="hu-HU" w:eastAsia="hu-HU"/>
        </w:rPr>
      </w:pPr>
    </w:p>
    <w:p w14:paraId="4D50062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valzartán szájon át alkalmazva aktív, hatásos és specifikus angiotenzin II-receptor antagonista. Szelektíven hat az AT</w:t>
      </w:r>
      <w:r>
        <w:rPr>
          <w:snapToGrid/>
          <w:szCs w:val="22"/>
          <w:vertAlign w:val="subscript"/>
          <w:lang w:val="hu-HU" w:eastAsia="hu-HU"/>
        </w:rPr>
        <w:t>1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altípusú receptorra, amely f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elelős az angiotenzin </w:t>
      </w:r>
      <w:r>
        <w:rPr>
          <w:snapToGrid/>
          <w:szCs w:val="22"/>
          <w:lang w:val="hu-HU" w:eastAsia="hu-HU"/>
        </w:rPr>
        <w:t>II ismert hatásaiért.</w:t>
      </w:r>
    </w:p>
    <w:p w14:paraId="1209FED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4820F5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Klinikai hatásosság és biztonságosság</w:t>
      </w:r>
    </w:p>
    <w:p w14:paraId="2C934DE7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A2073D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hypertoniás betegeknek adott valzartán hatására a pulzusszám változása nélküli vérnyomáscsökkenés következik be.</w:t>
      </w:r>
    </w:p>
    <w:p w14:paraId="3A086ED9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09144B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legtöbb betegnél, egyetlen szájon át bevitt adag alkalma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zása után a vérnyomáscsökkentő hatás </w:t>
      </w:r>
      <w:r>
        <w:rPr>
          <w:snapToGrid/>
          <w:szCs w:val="22"/>
          <w:lang w:val="hu-HU" w:eastAsia="hu-HU"/>
        </w:rPr>
        <w:t>2 órán belül jelentkezik, és a vérnyomáscsökkenés 4</w:t>
      </w:r>
      <w:r>
        <w:rPr>
          <w:snapToGrid/>
          <w:szCs w:val="22"/>
          <w:lang w:val="hu-HU" w:eastAsia="hu-HU"/>
        </w:rPr>
        <w:noBreakHyphen/>
        <w:t>6 órán belül éri el maximumát. Az antihipertenzív hatás a bevétel után 24 órán keresztül fennmarad. Ismételt alkalmazás során, a maximális vérnyomáscsökkenés bármely adag esetén általában 2</w:t>
      </w:r>
      <w:r>
        <w:rPr>
          <w:snapToGrid/>
          <w:szCs w:val="22"/>
          <w:lang w:val="hu-HU" w:eastAsia="hu-HU"/>
        </w:rPr>
        <w:noBreakHyphen/>
        <w:t>4 héten belül jelentkezik.</w:t>
      </w:r>
    </w:p>
    <w:p w14:paraId="1005D7B5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B30E94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Hidroklorotiazid</w:t>
      </w:r>
    </w:p>
    <w:p w14:paraId="2E7267A4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75FEDB6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Hatásmechanizmus</w:t>
      </w:r>
    </w:p>
    <w:p w14:paraId="4D344D5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6A8903A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lastRenderedPageBreak/>
        <w:t xml:space="preserve">A tiazid diuretikumok elsősorban a vese distalis kanyarulatos csatornáiban hatnak. Kimutatták, hogy a </w:t>
      </w:r>
      <w:r>
        <w:rPr>
          <w:snapToGrid/>
          <w:szCs w:val="22"/>
          <w:lang w:val="hu-HU" w:eastAsia="hu-HU"/>
        </w:rPr>
        <w:t>vese cortexében van egy nagy affinitású receptor, és ez a tiazid diu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retikumok elsődleges kötődési </w:t>
      </w:r>
      <w:r>
        <w:rPr>
          <w:snapToGrid/>
          <w:szCs w:val="22"/>
          <w:lang w:val="hu-HU" w:eastAsia="hu-HU"/>
        </w:rPr>
        <w:t xml:space="preserve">helye, ezen keresztül hatva gátolják a NaCl transzportot a distalis kanyarulatos csatornákban.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tiazidok hatásmechanizmusa feltehetőleg a Cl</w:t>
      </w:r>
      <w:r>
        <w:rPr>
          <w:snapToGrid/>
          <w:szCs w:val="22"/>
          <w:vertAlign w:val="superscript"/>
          <w:lang w:val="hu-HU" w:eastAsia="hu-HU"/>
        </w:rPr>
        <w:t>-</w:t>
      </w:r>
      <w:r>
        <w:rPr>
          <w:snapToGrid/>
          <w:szCs w:val="22"/>
          <w:lang w:val="hu-HU" w:eastAsia="hu-HU"/>
        </w:rPr>
        <w:t>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helyért történő kompetíció útján, </w:t>
      </w:r>
      <w:proofErr w:type="gram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a</w:t>
      </w:r>
      <w:proofErr w:type="gram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Na</w:t>
      </w:r>
      <w:r>
        <w:rPr>
          <w:snapToGrid/>
          <w:szCs w:val="22"/>
          <w:vertAlign w:val="superscript"/>
          <w:lang w:val="hu-HU" w:eastAsia="hu-HU"/>
        </w:rPr>
        <w:t>+</w:t>
      </w:r>
      <w:r>
        <w:rPr>
          <w:snapToGrid/>
          <w:szCs w:val="22"/>
          <w:lang w:val="hu-HU" w:eastAsia="hu-HU"/>
        </w:rPr>
        <w:t>Cl</w:t>
      </w:r>
      <w:r>
        <w:rPr>
          <w:snapToGrid/>
          <w:szCs w:val="22"/>
          <w:vertAlign w:val="superscript"/>
          <w:lang w:val="hu-HU" w:eastAsia="hu-HU"/>
        </w:rPr>
        <w:t>-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 xml:space="preserve">symporter gátlásán keresztül érvényesül, ezáltal befolyásolva az elektrolit-reabszorpció mechanizmusát: direkt módon,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megközelítőleg azonos mértékben </w:t>
      </w:r>
      <w:r>
        <w:rPr>
          <w:snapToGrid/>
          <w:szCs w:val="22"/>
          <w:lang w:val="hu-HU" w:eastAsia="hu-HU"/>
        </w:rPr>
        <w:t>növelik a Na</w:t>
      </w:r>
      <w:r>
        <w:rPr>
          <w:snapToGrid/>
          <w:szCs w:val="22"/>
          <w:vertAlign w:val="superscript"/>
          <w:lang w:val="hu-HU" w:eastAsia="hu-HU"/>
        </w:rPr>
        <w:t>+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és Cl</w:t>
      </w:r>
      <w:r>
        <w:rPr>
          <w:snapToGrid/>
          <w:szCs w:val="22"/>
          <w:vertAlign w:val="superscript"/>
          <w:lang w:val="hu-HU" w:eastAsia="hu-HU"/>
        </w:rPr>
        <w:t>-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 xml:space="preserve">kiválasztást, és indirekt módon a diuretikus hatás révén csökkentik a plazmavolument, ennek következtében növelik a plazma renin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aktivitását, növelik az aldoszteron szekréciót, továbbá a vizelettel történő káliumvesztést, és </w:t>
      </w:r>
      <w:r>
        <w:rPr>
          <w:snapToGrid/>
          <w:szCs w:val="22"/>
          <w:lang w:val="hu-HU" w:eastAsia="hu-HU"/>
        </w:rPr>
        <w:t>csökkentik a szérum káliumszintet.</w:t>
      </w:r>
    </w:p>
    <w:p w14:paraId="255E558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F04859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 xml:space="preserve">Gyermekek </w:t>
      </w:r>
      <w:r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  <w:t>és serdülők</w:t>
      </w:r>
    </w:p>
    <w:p w14:paraId="5B85F8BA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DA3CF9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Európai Gyógyszerügynökség a gyermekek esetén minden korosztálynál eltekint az amlodipin/valzartán/hidroklorotiazid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vizsgálati eredményeinek benyújtási kötelezettségétől </w:t>
      </w:r>
      <w:r>
        <w:rPr>
          <w:snapToGrid/>
          <w:szCs w:val="22"/>
          <w:lang w:val="hu-HU" w:eastAsia="hu-HU"/>
        </w:rPr>
        <w:t>esszenciális hypertonia javallatban (lásd 4.2 pont, gyermekgyógyászati alkalmazásra vonatkozó információk).</w:t>
      </w:r>
    </w:p>
    <w:p w14:paraId="50607DE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0CB8FF1" w14:textId="77777777" w:rsidR="00B911F8" w:rsidRDefault="00B7743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Egyéb: a renin-angiotenzin-</w:t>
      </w:r>
      <w:r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  <w:t>aldoszteron rendszer (RAAS) kettős blokádja</w:t>
      </w:r>
    </w:p>
    <w:p w14:paraId="3C5DD5C9" w14:textId="77777777" w:rsidR="00B911F8" w:rsidRDefault="00B911F8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</w:pPr>
    </w:p>
    <w:p w14:paraId="76DF5390" w14:textId="77777777" w:rsidR="00B911F8" w:rsidRDefault="00B7743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Két nagy, randomizált, kontrollos vizsgálatban (ONTARGET </w:t>
      </w:r>
      <w:r>
        <w:rPr>
          <w:snapToGrid/>
          <w:sz w:val="20"/>
          <w:lang w:val="hu-HU" w:eastAsia="hu-HU"/>
        </w:rPr>
        <w:t>[</w:t>
      </w:r>
      <w:r>
        <w:rPr>
          <w:snapToGrid/>
          <w:szCs w:val="22"/>
          <w:lang w:val="hu-HU" w:eastAsia="hu-HU"/>
        </w:rPr>
        <w:t>ONgoing Telmisartan Alone and in combination with Ramipril Global Endpoint Trial] és VA NEPHRON-D [The Veterans Affairs Nephropathy in Diabetes]) vizsgálták az ACE-gátló és az ARB kombinált alkalmazását.</w:t>
      </w:r>
    </w:p>
    <w:p w14:paraId="7095A974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892C7F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ONTARGET vizsgálatot olyan betegeken végezték, akiknek a kórtörténetében kardiovaszkuláris vagy cerebrovaszkuláris betegség, vagy szervkárosodással járó II típusú diabetes mellitus szerepelt. A VA NEPHRON-D vizsgálatot II típusú diabetesben és diabeteses nephropathiában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szenvedő </w:t>
      </w:r>
      <w:r>
        <w:rPr>
          <w:snapToGrid/>
          <w:szCs w:val="22"/>
          <w:lang w:val="hu-HU" w:eastAsia="hu-HU"/>
        </w:rPr>
        <w:t>betegeken végezték.</w:t>
      </w:r>
    </w:p>
    <w:p w14:paraId="720D4BAE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31D37F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Ezek a vizsgálatok nem mutattak ki szignifikánsan előnyös hatásokat a renális és/vagy </w:t>
      </w:r>
      <w:r>
        <w:rPr>
          <w:snapToGrid/>
          <w:szCs w:val="22"/>
          <w:lang w:val="hu-HU" w:eastAsia="hu-HU"/>
        </w:rPr>
        <w:t xml:space="preserve">kardiovaszkuláris kimenetel és a mortalitás vonatkozásában, miközben a monoterápia esetén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megfigyelthez képest nőtt a h</w:t>
      </w:r>
      <w:r>
        <w:rPr>
          <w:snapToGrid/>
          <w:szCs w:val="22"/>
          <w:lang w:val="hu-HU" w:eastAsia="hu-HU"/>
        </w:rPr>
        <w:t>yperkalaemia, akut vesekárosodás és/vagy hypotonia kockázata. A hasonló farmakodinámiás tulajdonságok alapján ezek az eredmények más ACE-gátlók és ARB-k esetében is relevánsak.</w:t>
      </w:r>
    </w:p>
    <w:p w14:paraId="12F8CBF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DB64070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ACE-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gátlók és angiotenzin II receptor blokkolók egyidejű alkalmazása diabeteses nephropathiab</w:t>
      </w:r>
      <w:r>
        <w:rPr>
          <w:snapToGrid/>
          <w:szCs w:val="22"/>
          <w:lang w:val="hu-HU" w:eastAsia="hu-HU"/>
        </w:rPr>
        <w:t xml:space="preserve">an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szenvedő betegeknél így tehát nem alkalmazható </w:t>
      </w:r>
      <w:r>
        <w:rPr>
          <w:snapToGrid/>
          <w:szCs w:val="22"/>
          <w:lang w:val="hu-HU" w:eastAsia="hu-HU"/>
        </w:rPr>
        <w:t>(lásd 4.4 pont).</w:t>
      </w:r>
    </w:p>
    <w:p w14:paraId="03D2FAE2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FEF5CA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ALTITUDE (Aliskiren Trial in Type 2 Diabetes Using Cardiovascular and Renal Disease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Endpoints) vizsgálat célja az volt, hogy megállapítsák, előnyös</w:t>
      </w:r>
      <w:r>
        <w:rPr>
          <w:snapToGrid/>
          <w:szCs w:val="22"/>
          <w:lang w:val="hu-HU" w:eastAsia="hu-HU"/>
        </w:rPr>
        <w:t xml:space="preserve">-e a standard ACE-gátló- vagy ARB- kezelés kiegészítése aliszkirénnel II típusú diabetesben és krónikus vesebetegségben, illetve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kardiovaszkuláris betegségben vagy mindkettőben szenvedő betegeknél. A vizsgálatot idő előtt leállították, mert nőtt a mellékhatások kockázata. A kardiovaszkuláris eredetű </w:t>
      </w:r>
      <w:r>
        <w:rPr>
          <w:snapToGrid/>
          <w:szCs w:val="22"/>
          <w:lang w:val="hu-HU" w:eastAsia="hu-HU"/>
        </w:rPr>
        <w:t xml:space="preserve">halál és a stroke szám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szerint gyakoribb volt az aliszkirén csoportban, mint a placebocsoportban, és a jelentős </w:t>
      </w:r>
      <w:r>
        <w:rPr>
          <w:snapToGrid/>
          <w:szCs w:val="22"/>
          <w:lang w:val="hu-HU" w:eastAsia="hu-HU"/>
        </w:rPr>
        <w:t>mellékhatások illetve súlyos mellékhatások (hyperkalaemia, hypoto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nia és veseműködési zavar) is </w:t>
      </w:r>
      <w:r>
        <w:rPr>
          <w:snapToGrid/>
          <w:szCs w:val="22"/>
          <w:lang w:val="hu-HU" w:eastAsia="hu-HU"/>
        </w:rPr>
        <w:t>gyakoribbak voltak az aliszkirén csoportban, mint a placebocsoportban.</w:t>
      </w:r>
    </w:p>
    <w:p w14:paraId="2CC3825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lang w:val="hu-HU" w:eastAsia="hu-HU"/>
        </w:rPr>
      </w:pPr>
    </w:p>
    <w:p w14:paraId="636BF22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Nem melanóma típusú bőrrák</w:t>
      </w:r>
    </w:p>
    <w:p w14:paraId="3F34FAD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</w:p>
    <w:p w14:paraId="6E87C09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Epidemiológiai tanulmányokból származó, rendelkezésre álló adatok alapján kumulatív dózisfüggő </w:t>
      </w:r>
      <w:r>
        <w:rPr>
          <w:snapToGrid/>
          <w:szCs w:val="22"/>
          <w:lang w:val="hu-HU" w:eastAsia="hu-HU"/>
        </w:rPr>
        <w:t>kapcsolatot figyeltek meg a hidroklorotiazid és az NMSC között. Az egyik tanulmány 71 533 BCC-ben és 8 629 SCC-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ben szenvedő beteget vizsgált, a hozzájuk tartozó 1 </w:t>
      </w:r>
      <w:r>
        <w:rPr>
          <w:snapToGrid/>
          <w:szCs w:val="22"/>
          <w:lang w:val="hu-HU" w:eastAsia="hu-HU"/>
        </w:rPr>
        <w:t xml:space="preserve">430 833, illetve 172 462 létszámú kontrollcsoportokkal. A magas hidroklorotiazid használat (legalább 50 000 mg kumulatív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dózis) kapcsolatba hozható volt a következő korrigált esélyhányados (</w:t>
      </w:r>
      <w:r>
        <w:rPr>
          <w:snapToGrid/>
          <w:szCs w:val="22"/>
          <w:lang w:val="hu-HU" w:eastAsia="hu-HU"/>
        </w:rPr>
        <w:t>odds ratio, OR) értékekkel: 1,29 (95% CI: 1,23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–</w:t>
      </w:r>
      <w:r>
        <w:rPr>
          <w:snapToGrid/>
          <w:szCs w:val="22"/>
          <w:lang w:val="hu-HU" w:eastAsia="hu-HU"/>
        </w:rPr>
        <w:t>1,35) a BCC és 3,98 (95% CI: 3,68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–</w:t>
      </w:r>
      <w:r>
        <w:rPr>
          <w:snapToGrid/>
          <w:szCs w:val="22"/>
          <w:lang w:val="hu-HU" w:eastAsia="hu-HU"/>
        </w:rPr>
        <w:t xml:space="preserve">4,31) az SCC esetében. Mind a BCC, mind az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SCC esetében egyértelmű volt a kum</w:t>
      </w:r>
      <w:r>
        <w:rPr>
          <w:snapToGrid/>
          <w:szCs w:val="22"/>
          <w:lang w:val="hu-HU" w:eastAsia="hu-HU"/>
        </w:rPr>
        <w:t xml:space="preserve">ulatív dózis-hatás kapcsolat. Egy másik tanulmány az ajakrák (SCC) és a hidroklorotiazid közötti lehetséges összefüggést mutatta ki: 633 ajakrákkal kapcsolatos esetet hasonlítottak össze egy 63 067 létszámú kontrollcsoporttal, kockázatalapú mintavételi stratégia </w:t>
      </w:r>
      <w:r>
        <w:rPr>
          <w:snapToGrid/>
          <w:szCs w:val="22"/>
          <w:lang w:val="hu-HU" w:eastAsia="hu-HU"/>
        </w:rPr>
        <w:lastRenderedPageBreak/>
        <w:t xml:space="preserve">alkalmazásával. </w:t>
      </w:r>
      <w:proofErr w:type="gramStart"/>
      <w:r>
        <w:rPr>
          <w:snapToGrid/>
          <w:szCs w:val="22"/>
          <w:lang w:val="hu-HU" w:eastAsia="hu-HU"/>
        </w:rPr>
        <w:t>Kumulatív dózis-hatás kapcsolatot mutattak ki a következ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ő korrigált OR értékkel: 2,1 </w:t>
      </w:r>
      <w:r>
        <w:rPr>
          <w:snapToGrid/>
          <w:szCs w:val="22"/>
          <w:lang w:val="hu-HU" w:eastAsia="hu-HU"/>
        </w:rPr>
        <w:t>(95% CI: 1,7-2,6) megemelkedett 3,9-re (3,0-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4,9) magas szintű gyógyszerhasználat esetén (~25 </w:t>
      </w:r>
      <w:r>
        <w:rPr>
          <w:snapToGrid/>
          <w:szCs w:val="22"/>
          <w:lang w:val="hu-HU" w:eastAsia="hu-HU"/>
        </w:rPr>
        <w:t>000 mg) és az OR 7,7 (5,7-10,5) volt a legmagasabb kumulatív dózis esetén (~100 000 mg) (lásd még 4.4 pont).</w:t>
      </w:r>
      <w:proofErr w:type="gramEnd"/>
    </w:p>
    <w:p w14:paraId="68F3C9A0" w14:textId="77777777" w:rsidR="00B911F8" w:rsidRDefault="00B911F8">
      <w:pPr>
        <w:spacing w:line="240" w:lineRule="auto"/>
        <w:rPr>
          <w:snapToGrid/>
          <w:szCs w:val="22"/>
          <w:lang w:val="hu-HU" w:eastAsia="hu-HU"/>
        </w:rPr>
      </w:pPr>
    </w:p>
    <w:p w14:paraId="6B8AF3A3" w14:textId="77777777" w:rsidR="00B911F8" w:rsidRDefault="00B7743C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5.2</w:t>
      </w:r>
      <w:r>
        <w:rPr>
          <w:b/>
          <w:lang w:val="hu-HU"/>
        </w:rPr>
        <w:tab/>
        <w:t>Farmakokinetikai tulajdonságok</w:t>
      </w:r>
    </w:p>
    <w:p w14:paraId="4CB19F5D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53B830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Linearitás</w:t>
      </w:r>
    </w:p>
    <w:p w14:paraId="671EB859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2093247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Az amlodipin, a valzartán és a hidroklorotiazid farmakokinetikai jellemzői lineárisak.</w:t>
      </w:r>
    </w:p>
    <w:p w14:paraId="47EBE0C5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3F1ACE1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Amlodipin/valzartán/hidroklorotiazid</w:t>
      </w:r>
    </w:p>
    <w:p w14:paraId="0261311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napToGrid/>
          <w:szCs w:val="22"/>
          <w:u w:val="single"/>
          <w:lang w:val="hu-HU" w:eastAsia="hu-HU"/>
        </w:rPr>
      </w:pPr>
    </w:p>
    <w:p w14:paraId="65A5B01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Az amlodipin/valzartán/hidroklorotiazid átlagos egészséges felnőtteknek szájon át történő adását követően az amlodipin</w:t>
      </w:r>
      <w:r>
        <w:rPr>
          <w:snapToGrid/>
          <w:szCs w:val="22"/>
          <w:lang w:val="hu-HU" w:eastAsia="hu-HU"/>
        </w:rPr>
        <w:t xml:space="preserve"> plazma csúcskoncentrációja 6-8 órán belül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, a </w:t>
      </w:r>
      <w:r>
        <w:rPr>
          <w:snapToGrid/>
          <w:szCs w:val="22"/>
          <w:lang w:val="hu-HU" w:eastAsia="hu-HU"/>
        </w:rPr>
        <w:t xml:space="preserve">valzartáné 3 órán belül és a hidroklorotiazidé 2 órán belül alakult ki. Az amlodipin, valzartán és hidroklorotiazid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amlodipin/valzartán/hidroklorotiazid</w:t>
      </w:r>
      <w:r>
        <w:rPr>
          <w:snapToGrid/>
          <w:szCs w:val="22"/>
          <w:lang w:val="hu-HU" w:eastAsia="hu-HU"/>
        </w:rPr>
        <w:t>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ból történő </w:t>
      </w:r>
      <w:r>
        <w:rPr>
          <w:snapToGrid/>
          <w:szCs w:val="22"/>
          <w:lang w:val="hu-HU" w:eastAsia="hu-HU"/>
        </w:rPr>
        <w:t>felszívódásának a sebessége és a mértéke ugyanakkora, mint amikor különálló készítményekben adják.</w:t>
      </w:r>
    </w:p>
    <w:p w14:paraId="2061A061" w14:textId="77777777" w:rsidR="00B911F8" w:rsidRDefault="00B911F8">
      <w:pPr>
        <w:spacing w:line="240" w:lineRule="auto"/>
        <w:ind w:left="567" w:hanging="567"/>
        <w:outlineLvl w:val="0"/>
        <w:rPr>
          <w:snapToGrid/>
          <w:szCs w:val="22"/>
          <w:lang w:val="hu-HU" w:eastAsia="hu-HU"/>
        </w:rPr>
      </w:pPr>
    </w:p>
    <w:p w14:paraId="5C5265E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Amlodipin</w:t>
      </w:r>
    </w:p>
    <w:p w14:paraId="601D3A3E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5C50541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Felszívódás</w:t>
      </w:r>
    </w:p>
    <w:p w14:paraId="10B78C1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az amlodipint önmagában adjuk, akkor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terápiás adagjainak szájon át történő alkalmazása után az </w:t>
      </w:r>
      <w:r>
        <w:rPr>
          <w:snapToGrid/>
          <w:szCs w:val="22"/>
          <w:lang w:val="hu-HU" w:eastAsia="hu-HU"/>
        </w:rPr>
        <w:t>amlodipin csúcskoncentrációja a plazmában 6-12 órán belül alakul ki. Az abszolút biohasznosulás számított értéke 64</w:t>
      </w:r>
      <w:r>
        <w:rPr>
          <w:snapToGrid/>
          <w:szCs w:val="22"/>
          <w:lang w:val="hu-HU" w:eastAsia="hu-HU"/>
        </w:rPr>
        <w:noBreakHyphen/>
        <w:t>80% közé esik. Az amlodipin biohasznosulását nem befolyásolja az étkezés.</w:t>
      </w:r>
    </w:p>
    <w:p w14:paraId="6C871B7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63653E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Eloszlás</w:t>
      </w:r>
    </w:p>
    <w:p w14:paraId="3D3E193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amlodipin megoszlási térfogata körülbelül 21 l/kg. Az amlodipinnel végzett </w:t>
      </w:r>
      <w:r>
        <w:rPr>
          <w:i/>
          <w:snapToGrid/>
          <w:szCs w:val="22"/>
          <w:lang w:val="hu-HU" w:eastAsia="hu-HU"/>
        </w:rPr>
        <w:t>i</w:t>
      </w:r>
      <w:r>
        <w:rPr>
          <w:i/>
          <w:iCs/>
          <w:snapToGrid/>
          <w:szCs w:val="22"/>
          <w:lang w:val="hu-HU" w:eastAsia="hu-HU"/>
        </w:rPr>
        <w:t xml:space="preserve">n vitro </w:t>
      </w:r>
      <w:r>
        <w:rPr>
          <w:snapToGrid/>
          <w:szCs w:val="22"/>
          <w:lang w:val="hu-HU" w:eastAsia="hu-HU"/>
        </w:rPr>
        <w:t>vizsgálatok azt mutatt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ák, hogy a keringő gyógyszer</w:t>
      </w:r>
      <w:r>
        <w:rPr>
          <w:snapToGrid/>
          <w:szCs w:val="22"/>
          <w:lang w:val="hu-HU" w:eastAsia="hu-HU"/>
        </w:rPr>
        <w:t xml:space="preserve">nek körülbelül a 97,5%-a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kötődik plazmafehérjékhez</w:t>
      </w:r>
      <w:r>
        <w:rPr>
          <w:snapToGrid/>
          <w:szCs w:val="22"/>
          <w:lang w:val="hu-HU" w:eastAsia="hu-HU"/>
        </w:rPr>
        <w:t>.</w:t>
      </w:r>
    </w:p>
    <w:p w14:paraId="125936D5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3994E8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Biotranszformáció</w:t>
      </w:r>
    </w:p>
    <w:p w14:paraId="2B66D0B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amlodipin nagymértékben (körülbelül 90%-ban) inaktív metabolitokká metabolizálódik a májban.</w:t>
      </w:r>
    </w:p>
    <w:p w14:paraId="2261A20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169173B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Elimináció</w:t>
      </w:r>
    </w:p>
    <w:p w14:paraId="6511A59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amlodipin eliminációja a plazmából bifázisos, a terminális eliminációs felezési ideje körülbelül 30</w:t>
      </w:r>
      <w:r>
        <w:rPr>
          <w:snapToGrid/>
          <w:szCs w:val="22"/>
          <w:lang w:val="hu-HU" w:eastAsia="hu-HU"/>
        </w:rPr>
        <w:noBreakHyphen/>
        <w:t>50 óra. Az egyensúlyi plazmaszintek 7</w:t>
      </w:r>
      <w:r>
        <w:rPr>
          <w:snapToGrid/>
          <w:szCs w:val="22"/>
          <w:lang w:val="hu-HU" w:eastAsia="hu-HU"/>
        </w:rPr>
        <w:noBreakHyphen/>
        <w:t>8 napos folyamatos adagolás után alakulnak ki. Az eredetileg bevitt amlodipin 10%-</w:t>
      </w:r>
      <w:proofErr w:type="gramStart"/>
      <w:r>
        <w:rPr>
          <w:snapToGrid/>
          <w:szCs w:val="22"/>
          <w:lang w:val="hu-HU" w:eastAsia="hu-HU"/>
        </w:rPr>
        <w:t>a</w:t>
      </w:r>
      <w:proofErr w:type="gramEnd"/>
      <w:r>
        <w:rPr>
          <w:snapToGrid/>
          <w:szCs w:val="22"/>
          <w:lang w:val="hu-HU" w:eastAsia="hu-HU"/>
        </w:rPr>
        <w:t>, míg a metabolitok 60%-a ürül a vizelettel.</w:t>
      </w:r>
    </w:p>
    <w:p w14:paraId="7109CDA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0240E1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Valzartán</w:t>
      </w:r>
    </w:p>
    <w:p w14:paraId="223D2A4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</w:p>
    <w:p w14:paraId="1F8C8A5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Felszívódás</w:t>
      </w:r>
    </w:p>
    <w:p w14:paraId="6DA2FDB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a valzartánt önmagában adjuk, akkor terápiás adagjainak szájon át törté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nő alkalmazása után a </w:t>
      </w:r>
      <w:r>
        <w:rPr>
          <w:snapToGrid/>
          <w:szCs w:val="22"/>
          <w:lang w:val="hu-HU" w:eastAsia="hu-HU"/>
        </w:rPr>
        <w:t>plazmában a valzartán csúcskoncentrációja 2</w:t>
      </w:r>
      <w:r>
        <w:rPr>
          <w:snapToGrid/>
          <w:szCs w:val="22"/>
          <w:lang w:val="hu-HU" w:eastAsia="hu-HU"/>
        </w:rPr>
        <w:noBreakHyphen/>
        <w:t>4 órán belül alakul ki. Az átlagos abszolút biohasznosulás 23%. A táplálék körülbelül 40%-kal csökkenti a valzartán expozíciót (AUC-vel jellemzett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) </w:t>
      </w:r>
      <w:r>
        <w:rPr>
          <w:snapToGrid/>
          <w:szCs w:val="22"/>
          <w:lang w:val="hu-HU" w:eastAsia="hu-HU"/>
        </w:rPr>
        <w:t>és körülbelül 50%-kal a plazma csúcskoncentrációt (c</w:t>
      </w:r>
      <w:r>
        <w:rPr>
          <w:snapToGrid/>
          <w:szCs w:val="22"/>
          <w:vertAlign w:val="subscript"/>
          <w:lang w:val="hu-HU" w:eastAsia="hu-HU"/>
        </w:rPr>
        <w:t>max</w:t>
      </w:r>
      <w:r>
        <w:rPr>
          <w:snapToGrid/>
          <w:szCs w:val="22"/>
          <w:lang w:val="hu-HU" w:eastAsia="hu-HU"/>
        </w:rPr>
        <w:t xml:space="preserve">), azonban az adagolás után 8 órával a valzartán koncentrációja a plazmában azonos volt táplálékkal, illetve éhgyomorra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történő bevétel esetén. Az AUC</w:t>
      </w:r>
      <w:r>
        <w:rPr>
          <w:snapToGrid/>
          <w:szCs w:val="22"/>
          <w:lang w:val="hu-HU" w:eastAsia="hu-HU"/>
        </w:rPr>
        <w:t>-érték ezen csökkenését azonban nem kísérte a terápiás hatás szignifikáns csök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kenése, így a valzartán étkezés közben vagy étkezéstől függetlenül is bevehető.</w:t>
      </w:r>
    </w:p>
    <w:p w14:paraId="20EB7F51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057FFE6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Eloszlás</w:t>
      </w:r>
    </w:p>
    <w:p w14:paraId="1A4F5CD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Intravénás bevitelt követően a valzartán egyensúlyi megoszlási térfogata körülbelül 17 </w:t>
      </w:r>
      <w:r>
        <w:rPr>
          <w:snapToGrid/>
          <w:szCs w:val="22"/>
          <w:lang w:val="hu-HU" w:eastAsia="hu-HU"/>
        </w:rPr>
        <w:t>liter, ami arra utal, hogy a valzartán szöveti megoszlása nem nagymérték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ű</w:t>
      </w:r>
      <w:r>
        <w:rPr>
          <w:snapToGrid/>
          <w:szCs w:val="22"/>
          <w:lang w:val="hu-HU" w:eastAsia="hu-HU"/>
        </w:rPr>
        <w:t>. A valzartán nagymértékben (94-97%-ban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) kötődik a szérumfehérjékhez, elsősorban a szérumalbuminhoz.</w:t>
      </w:r>
    </w:p>
    <w:p w14:paraId="71A91FA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0031614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Biotranszformáció</w:t>
      </w:r>
    </w:p>
    <w:p w14:paraId="016DBF6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>A valzartán nem alakul át nagymértékben, mivel a bevitt adagnak csak körülbelül 20%-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nyerhető </w:t>
      </w:r>
      <w:r>
        <w:rPr>
          <w:snapToGrid/>
          <w:szCs w:val="22"/>
          <w:lang w:val="hu-HU" w:eastAsia="hu-HU"/>
        </w:rPr>
        <w:t>vissza metabolitok formájában. A hidroxi-metabolitot alacsony koncentrációban (a valzartán AUC kevesebb, mint 10%-a) kimutatták a plazmában. Ez a metabolit farmakológiailag inaktív.</w:t>
      </w:r>
    </w:p>
    <w:p w14:paraId="6A55A23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23E377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Elimináció</w:t>
      </w:r>
    </w:p>
    <w:p w14:paraId="57E1E66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valzartán multiexponenciális bomlási kinetikát mutat (t</w:t>
      </w:r>
      <w:r>
        <w:rPr>
          <w:rFonts w:ascii="TimesNewRomanPSMT" w:hAnsi="TimesNewRomanPSMT" w:cs="TimesNewRomanPSMT"/>
          <w:snapToGrid/>
          <w:szCs w:val="22"/>
          <w:vertAlign w:val="subscript"/>
          <w:lang w:val="hu-HU" w:eastAsia="hu-HU"/>
        </w:rPr>
        <w:t>½α</w:t>
      </w:r>
      <w:r>
        <w:rPr>
          <w:rFonts w:ascii="TimesNewRomanPSMT" w:hAnsi="TimesNewRomanPSMT" w:cs="TimesNewRomanPSMT"/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&lt;1 óra és t</w:t>
      </w:r>
      <w:r>
        <w:rPr>
          <w:snapToGrid/>
          <w:szCs w:val="22"/>
          <w:vertAlign w:val="subscript"/>
          <w:lang w:val="hu-HU" w:eastAsia="hu-HU"/>
        </w:rPr>
        <w:t>½ß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 xml:space="preserve">körülbelül 9 óra). A valzartán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első</w:t>
      </w:r>
      <w:r>
        <w:rPr>
          <w:snapToGrid/>
          <w:szCs w:val="22"/>
          <w:lang w:val="hu-HU" w:eastAsia="hu-HU"/>
        </w:rPr>
        <w:t xml:space="preserve">sorban a széklettel (a bevitt adag körülbelül 83%-a) és a vizelettel (a bevitt adag körülbelül 13%-a) ürül, nagyobb részben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változatlan formában. Intravénás bevitelt követően a valzartán plazma </w:t>
      </w:r>
      <w:r>
        <w:rPr>
          <w:snapToGrid/>
          <w:szCs w:val="22"/>
          <w:lang w:val="hu-HU" w:eastAsia="hu-HU"/>
        </w:rPr>
        <w:t>clearance körülbelül 2 l/óra, míg a renális clearance 0,62 l/óra (a teljes clearance körülbelül 30%-a). A valzartán felezési ideje 6 óra.</w:t>
      </w:r>
    </w:p>
    <w:p w14:paraId="1051F7E2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39F5E7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Hidroklorotiazid</w:t>
      </w:r>
    </w:p>
    <w:p w14:paraId="03F89C88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7399CCF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Felszívódás</w:t>
      </w:r>
    </w:p>
    <w:p w14:paraId="6E583AF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Egy </w:t>
      </w:r>
      <w:r>
        <w:rPr>
          <w:i/>
          <w:snapToGrid/>
          <w:szCs w:val="22"/>
          <w:lang w:val="hu-HU" w:eastAsia="hu-HU"/>
        </w:rPr>
        <w:t>per os</w:t>
      </w:r>
      <w:r>
        <w:rPr>
          <w:snapToGrid/>
          <w:szCs w:val="22"/>
          <w:lang w:val="hu-HU" w:eastAsia="hu-HU"/>
        </w:rPr>
        <w:t xml:space="preserve"> adag után a hidroklorotiazid felszívódása gyors (t</w:t>
      </w:r>
      <w:r>
        <w:rPr>
          <w:snapToGrid/>
          <w:szCs w:val="22"/>
          <w:vertAlign w:val="subscript"/>
          <w:lang w:val="hu-HU" w:eastAsia="hu-HU"/>
        </w:rPr>
        <w:t>max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kb. 2 óra). Az átlagos AUC emelkedése lineáris és a terápiás tartományban a dózissal arányos.</w:t>
      </w:r>
    </w:p>
    <w:p w14:paraId="49DA70CA" w14:textId="77777777" w:rsidR="00B911F8" w:rsidRDefault="00B911F8">
      <w:pPr>
        <w:spacing w:line="240" w:lineRule="auto"/>
        <w:ind w:left="567" w:hanging="567"/>
        <w:outlineLvl w:val="0"/>
        <w:rPr>
          <w:snapToGrid/>
          <w:szCs w:val="22"/>
          <w:lang w:val="hu-HU" w:eastAsia="hu-HU"/>
        </w:rPr>
      </w:pPr>
    </w:p>
    <w:p w14:paraId="5C25E09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táplálék hidroklorotiazid felszívódásra gyakorolt hatásának, ha van egyáltalán, kicsi a klinikai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jelentősége. </w:t>
      </w:r>
      <w:r>
        <w:rPr>
          <w:snapToGrid/>
          <w:szCs w:val="22"/>
          <w:lang w:val="hu-HU" w:eastAsia="hu-HU"/>
        </w:rPr>
        <w:t xml:space="preserve">A hidroklorotiazid abszolút biohasznosulása </w:t>
      </w:r>
      <w:r>
        <w:rPr>
          <w:i/>
          <w:snapToGrid/>
          <w:szCs w:val="22"/>
          <w:lang w:val="hu-HU" w:eastAsia="hu-HU"/>
        </w:rPr>
        <w:t>per os</w:t>
      </w:r>
      <w:r>
        <w:rPr>
          <w:snapToGrid/>
          <w:szCs w:val="22"/>
          <w:lang w:val="hu-HU" w:eastAsia="hu-HU"/>
        </w:rPr>
        <w:t xml:space="preserve"> alkalmazás esetén 70%.</w:t>
      </w:r>
    </w:p>
    <w:p w14:paraId="34267160" w14:textId="77777777" w:rsidR="00B911F8" w:rsidRDefault="00B911F8">
      <w:pPr>
        <w:spacing w:line="240" w:lineRule="auto"/>
        <w:ind w:left="567" w:hanging="567"/>
        <w:outlineLvl w:val="0"/>
        <w:rPr>
          <w:snapToGrid/>
          <w:szCs w:val="22"/>
          <w:lang w:val="hu-HU" w:eastAsia="hu-HU"/>
        </w:rPr>
      </w:pPr>
    </w:p>
    <w:p w14:paraId="41D84C4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Eloszlás</w:t>
      </w:r>
    </w:p>
    <w:p w14:paraId="21F27EC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látszólagos megoszlási térfogat 4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-</w:t>
      </w:r>
      <w:r>
        <w:rPr>
          <w:snapToGrid/>
          <w:szCs w:val="22"/>
          <w:lang w:val="hu-HU" w:eastAsia="hu-HU"/>
        </w:rPr>
        <w:t xml:space="preserve">8 l/kg.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keringő hidroklorotiazid </w:t>
      </w:r>
      <w:r>
        <w:rPr>
          <w:snapToGrid/>
          <w:szCs w:val="22"/>
          <w:lang w:val="hu-HU" w:eastAsia="hu-HU"/>
        </w:rPr>
        <w:t>40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-</w:t>
      </w:r>
      <w:r>
        <w:rPr>
          <w:snapToGrid/>
          <w:szCs w:val="22"/>
          <w:lang w:val="hu-HU" w:eastAsia="hu-HU"/>
        </w:rPr>
        <w:t>70%-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kötődik </w:t>
      </w:r>
      <w:r>
        <w:rPr>
          <w:snapToGrid/>
          <w:szCs w:val="22"/>
          <w:lang w:val="hu-HU" w:eastAsia="hu-HU"/>
        </w:rPr>
        <w:t xml:space="preserve">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szérumfehérjékhez, főként a szérumalbuminhoz. A hidrokloroti</w:t>
      </w:r>
      <w:r>
        <w:rPr>
          <w:snapToGrid/>
          <w:szCs w:val="22"/>
          <w:lang w:val="hu-HU" w:eastAsia="hu-HU"/>
        </w:rPr>
        <w:t>azid akkumulálódik az erythrocytákban, ahol a plazmaszintnek kb. 3-szorosát éri el.</w:t>
      </w:r>
    </w:p>
    <w:p w14:paraId="6EF598D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EF54B1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Biotranszformáció</w:t>
      </w:r>
    </w:p>
    <w:p w14:paraId="034DB8C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hidroklorotiazid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elsősorban </w:t>
      </w:r>
      <w:r>
        <w:rPr>
          <w:snapToGrid/>
          <w:szCs w:val="22"/>
          <w:lang w:val="hu-HU" w:eastAsia="hu-HU"/>
        </w:rPr>
        <w:t>változatlan vegyület formájában eliminálódik.</w:t>
      </w:r>
    </w:p>
    <w:p w14:paraId="57B739F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B38442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Elimináció</w:t>
      </w:r>
    </w:p>
    <w:p w14:paraId="289B613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hidroklorotiazid a plazmából a terminális eliminációs fázisban átlagosan 6-15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órás felezési idővel </w:t>
      </w:r>
      <w:r>
        <w:rPr>
          <w:snapToGrid/>
          <w:szCs w:val="22"/>
          <w:lang w:val="hu-HU" w:eastAsia="hu-HU"/>
        </w:rPr>
        <w:t xml:space="preserve">eliminálódik. Ismételt adagolás mellett a hidroklorotiazid kinetikája nem változik, és napi egyszeri adagolás mellett az akkumuláció minimális. A felszívódott adag több mint 95%-a változatlan vegyület formájában a vizeletben választódik ki. A renalis clearance passzív filtrációból és a renalis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tubulusokba történő aktív szekrécióból tevődik össze.</w:t>
      </w:r>
    </w:p>
    <w:p w14:paraId="6BED34A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060AA572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Különleges betegcsoportok</w:t>
      </w:r>
    </w:p>
    <w:p w14:paraId="6179BCB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164A6C9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Gyermek és serdülők (18 év alattiak)</w:t>
      </w:r>
    </w:p>
    <w:p w14:paraId="40348CB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Nem állnak </w:t>
      </w:r>
      <w:proofErr w:type="gramStart"/>
      <w:r>
        <w:rPr>
          <w:snapToGrid/>
          <w:szCs w:val="22"/>
          <w:lang w:val="hu-HU" w:eastAsia="hu-HU"/>
        </w:rPr>
        <w:t>rendelkezésre</w:t>
      </w:r>
      <w:proofErr w:type="gramEnd"/>
      <w:r>
        <w:rPr>
          <w:snapToGrid/>
          <w:szCs w:val="22"/>
          <w:lang w:val="hu-HU" w:eastAsia="hu-HU"/>
        </w:rPr>
        <w:t xml:space="preserve"> gyermekekre és serdülőkre vonatkozó farmakokinetikai adatok.</w:t>
      </w:r>
    </w:p>
    <w:p w14:paraId="3B07E4C2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38DFC5D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Idősek (65 éves vagy idősebb)</w:t>
      </w:r>
    </w:p>
    <w:p w14:paraId="7BB66B8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Az amlodipin plazma csúcskoncentráció kialakulásáig eltelt idő hasonló volt fiatal és idős betegeknél. Idős betegeknél az amlodipin clearance csökkenő tendenciát mutat, ami a plazmakoncentráció-idő görbe alatti terület (AUC) </w:t>
      </w:r>
      <w:r>
        <w:rPr>
          <w:snapToGrid/>
          <w:szCs w:val="22"/>
          <w:lang w:val="hu-HU" w:eastAsia="hu-HU"/>
        </w:rPr>
        <w:t>és az elimin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ációs felezési idő növekedését eredményezi. A valzartán átlagos szisztémás AUC</w:t>
      </w:r>
      <w:r>
        <w:rPr>
          <w:snapToGrid/>
          <w:szCs w:val="22"/>
          <w:lang w:val="hu-HU" w:eastAsia="hu-HU"/>
        </w:rPr>
        <w:t xml:space="preserve">-értéke 70%-kal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magasabb idős betegeknél, mint fiataloknál, ezért dózisemeléskor óvatosság szükséges.</w:t>
      </w:r>
    </w:p>
    <w:p w14:paraId="2047F562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039D744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valzartán szisztémás expozíciója időseknél kissé magasabb, mint a fiataloknál, de </w:t>
      </w:r>
      <w:r>
        <w:rPr>
          <w:snapToGrid/>
          <w:szCs w:val="22"/>
          <w:lang w:val="hu-HU" w:eastAsia="hu-HU"/>
        </w:rPr>
        <w:t xml:space="preserve">nem igazolták,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hogy ennek bármiféle klinikai jelentősége lenne.</w:t>
      </w:r>
    </w:p>
    <w:p w14:paraId="4A820901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79A03CF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Néhány adat arra utal, hogy a hidroklorotiazid szisztémás clearance-e mind az egészséges, mind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hypertoniás idősek esetén kisebb, mint az egészséges fiatal önkénteseknél.</w:t>
      </w:r>
    </w:p>
    <w:p w14:paraId="134F7BC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6B4CC6B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Mivel a fia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talabb és az idős betegek egyformán jól tolerálták mindhárom összetevőt, ezért a </w:t>
      </w:r>
      <w:r>
        <w:rPr>
          <w:snapToGrid/>
          <w:szCs w:val="22"/>
          <w:lang w:val="hu-HU" w:eastAsia="hu-HU"/>
        </w:rPr>
        <w:t>szokásos adagolási rend javasolt (lásd 4.2 pont).</w:t>
      </w:r>
    </w:p>
    <w:p w14:paraId="7B70BF4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</w:p>
    <w:p w14:paraId="2F682FB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Vesekárosodás</w:t>
      </w:r>
    </w:p>
    <w:p w14:paraId="4AFB364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lastRenderedPageBreak/>
        <w:t xml:space="preserve">Az amlodipin farmakokinetikáját nem befolyásolja számottevő mértékben a vesekárosodás. </w:t>
      </w:r>
      <w:r>
        <w:rPr>
          <w:snapToGrid/>
          <w:szCs w:val="22"/>
          <w:lang w:val="hu-HU" w:eastAsia="hu-HU"/>
        </w:rPr>
        <w:t>Amint az egy olyan vegyület esetében várható, amelynél a renális clearance a teljes plazma clearance-nek csak 30%-át teszi ki, nem találtak korrelációt a vesefunkció és a szisztémás valzartánexpozíció között.</w:t>
      </w:r>
    </w:p>
    <w:p w14:paraId="225D2CF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B93A36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z enyhe és közepesen súlyos vesekárosodásban szenvedő</w:t>
      </w:r>
      <w:r>
        <w:rPr>
          <w:snapToGrid/>
          <w:szCs w:val="22"/>
          <w:lang w:val="hu-HU" w:eastAsia="hu-HU"/>
        </w:rPr>
        <w:t xml:space="preserve"> betegek ezért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szokásos kezdő adagot </w:t>
      </w:r>
      <w:r>
        <w:rPr>
          <w:snapToGrid/>
          <w:szCs w:val="22"/>
          <w:lang w:val="hu-HU" w:eastAsia="hu-HU"/>
        </w:rPr>
        <w:t>kaphatják (lásd 4.2 és 4.4 pont).</w:t>
      </w:r>
    </w:p>
    <w:p w14:paraId="19F16B4F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5DAE7FF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Vesekárosodás esetén a hidroklorotiazid átlagos plazma csúcskoncentráció és </w:t>
      </w:r>
      <w:r>
        <w:rPr>
          <w:snapToGrid/>
          <w:szCs w:val="22"/>
          <w:lang w:val="hu-HU" w:eastAsia="hu-HU"/>
        </w:rPr>
        <w:t>AUC-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értéke emelkedett, és a vizelettel történő kiválasztás </w:t>
      </w:r>
      <w:r>
        <w:rPr>
          <w:snapToGrid/>
          <w:szCs w:val="22"/>
          <w:lang w:val="hu-HU" w:eastAsia="hu-HU"/>
        </w:rPr>
        <w:t xml:space="preserve">sebessége csökkent. Az enyhe vagy közepesen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súlyos vesekárosodásban szenvedő betegeknél </w:t>
      </w:r>
      <w:r>
        <w:rPr>
          <w:snapToGrid/>
          <w:szCs w:val="22"/>
          <w:lang w:val="hu-HU" w:eastAsia="hu-HU"/>
        </w:rPr>
        <w:t xml:space="preserve">a hidroklorotiazid AUC-értékének 3-szoros emelkedését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észlelték. A súlyos vesekárosodásban szenvedő betegeknél az AUC-érték 8</w:t>
      </w:r>
      <w:r>
        <w:rPr>
          <w:snapToGrid/>
          <w:szCs w:val="22"/>
          <w:lang w:val="hu-HU" w:eastAsia="hu-HU"/>
        </w:rPr>
        <w:t xml:space="preserve">-szoros emelkedését észlelték. Az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amlodipin/valzartán/hidroklorotiazid a súlyos vesekárosodásban szenvedő, az anuriás vagy a dializált betegeknél ellenjavallt </w:t>
      </w:r>
      <w:r>
        <w:rPr>
          <w:snapToGrid/>
          <w:szCs w:val="22"/>
          <w:lang w:val="hu-HU" w:eastAsia="hu-HU"/>
        </w:rPr>
        <w:t>(lásd 4.3 pont).</w:t>
      </w:r>
    </w:p>
    <w:p w14:paraId="0A6F8DB5" w14:textId="77777777" w:rsidR="00B911F8" w:rsidRDefault="00B911F8">
      <w:pPr>
        <w:spacing w:line="240" w:lineRule="auto"/>
        <w:ind w:left="567" w:hanging="567"/>
        <w:outlineLvl w:val="0"/>
        <w:rPr>
          <w:snapToGrid/>
          <w:szCs w:val="22"/>
          <w:lang w:val="hu-HU" w:eastAsia="hu-HU"/>
        </w:rPr>
      </w:pPr>
    </w:p>
    <w:p w14:paraId="749C18F7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Májkárosodás</w:t>
      </w:r>
    </w:p>
    <w:p w14:paraId="2376AF1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amlodipin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májkárosodásban szenvedő betegnél történő alkalmazásáról nagyon kevés klinikai adat áll </w:t>
      </w:r>
      <w:r>
        <w:rPr>
          <w:snapToGrid/>
          <w:szCs w:val="22"/>
          <w:lang w:val="hu-HU" w:eastAsia="hu-HU"/>
        </w:rPr>
        <w:t xml:space="preserve">rendelkezésre. 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májkárosodásban szenvedő </w:t>
      </w:r>
      <w:r>
        <w:rPr>
          <w:snapToGrid/>
          <w:szCs w:val="22"/>
          <w:lang w:val="hu-HU" w:eastAsia="hu-HU"/>
        </w:rPr>
        <w:t xml:space="preserve">betegeknél az amlodipin csökkent clearance-e az AUC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megközelítőleg 40</w:t>
      </w:r>
      <w:r>
        <w:rPr>
          <w:snapToGrid/>
          <w:szCs w:val="22"/>
          <w:lang w:val="hu-HU" w:eastAsia="hu-HU"/>
        </w:rPr>
        <w:t xml:space="preserve">-60%-os növekedését eredményezi. Enyhe-, közepesen súlyos krónikus májbetegségben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szenvedő betegeknél a valzartán expozíció (melyet az AUC</w:t>
      </w:r>
      <w:r>
        <w:rPr>
          <w:snapToGrid/>
          <w:szCs w:val="22"/>
          <w:lang w:val="hu-HU" w:eastAsia="hu-HU"/>
        </w:rPr>
        <w:t>-értéke mérnek) átlagosan kétszerese az életkorra, nemre és testsúlyra korrigált, egészséges kontrollcsoportban mértnek.</w:t>
      </w:r>
    </w:p>
    <w:p w14:paraId="1B29079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Valzartán összetevője miatt az amlodipin/valzartán/hidroklorotiazid a beszűkült májműködésű betegeknél ellenjavallt (lásd </w:t>
      </w:r>
      <w:r>
        <w:rPr>
          <w:snapToGrid/>
          <w:szCs w:val="22"/>
          <w:lang w:val="hu-HU" w:eastAsia="hu-HU"/>
        </w:rPr>
        <w:t>4.2 és 4.3 pont).</w:t>
      </w:r>
    </w:p>
    <w:p w14:paraId="1015D33A" w14:textId="77777777" w:rsidR="00B911F8" w:rsidRDefault="00B911F8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30550C99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49D109B8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36EC44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Amlodipin/valzartán/hidroklorotiazid</w:t>
      </w:r>
    </w:p>
    <w:p w14:paraId="7B6C382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01B3D751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különböző állatfajokon az amlodipinnel, a valzartánnal, a hidroklorotiaziddal, a </w:t>
      </w:r>
      <w:r>
        <w:rPr>
          <w:snapToGrid/>
          <w:szCs w:val="22"/>
          <w:lang w:val="hu-HU" w:eastAsia="hu-HU"/>
        </w:rPr>
        <w:t xml:space="preserve">valzartánnal/hidroklorotiaziddal, az amlodipinnel/valzartánnal és az amlodipinnel/valzartánnal/hidroklorotiaziddal végzett különféle preklinikai biztonságossági vizsgálatokban nem utalt semmi olyan szisztémás vagy célszerv toxicitásra, ami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kedvezőtlenül befolyásolná az amlodipin/valzartán/hidroklorotiazid alkalmazását a humán klinikai gyakorlatban.</w:t>
      </w:r>
    </w:p>
    <w:p w14:paraId="6B57DE1E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14:paraId="24F11EB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Patkányokon legfeljebb 13 hétig tartó preklinikai biztonságossági vizsgálatokat végeztek az amlodipinnel/valzartánnal/hidroklorotiaziddal. A kombináció patkányoknál a vörösvértest-tömeg (erythrocyták, haemoglobin, haematokrit és reticulocyták) várt csökkenését, a szérum karbamidszint emelkedését, a szérum kreatininszint emelkedését, a szérum káliumszint emelkedését, a vese juxtaglomeruláris (JG) apparátusának hyperplasiáját és a gyomor glandularis területeinek erosióit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eredményezte. Négy hétig tartó gyógyulási időszakot követően mindezek az elváltozások </w:t>
      </w:r>
      <w:r>
        <w:rPr>
          <w:snapToGrid/>
          <w:szCs w:val="22"/>
          <w:lang w:val="hu-HU" w:eastAsia="hu-HU"/>
        </w:rPr>
        <w:t>reverzíbilisek voltak, és a túlzott farmakológiai hatásoknak tulajdonították azokat.</w:t>
      </w:r>
    </w:p>
    <w:p w14:paraId="5134EA30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6090FB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Az amlodipin/valzartán/hidroklorotiazid kombináció genotoxicitását vagy karcinogenitását nem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vizsgálták, mivel nem volt semmilyen bizonyíték az ezek között a már hosszú ideje forgalomban lévő </w:t>
      </w:r>
      <w:r>
        <w:rPr>
          <w:snapToGrid/>
          <w:szCs w:val="22"/>
          <w:lang w:val="hu-HU" w:eastAsia="hu-HU"/>
        </w:rPr>
        <w:t>hatóanyagok között kialakuló kölcsönhatásra. Azonban az amlodipin és a valzartán genotoxicitását és karcinogenitását külön-külön vizsgálták, és negatív eredményt kaptak.</w:t>
      </w:r>
    </w:p>
    <w:p w14:paraId="54AE0A32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33CA0B1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Amlodipin</w:t>
      </w:r>
    </w:p>
    <w:p w14:paraId="69182C8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14:paraId="5F71E3B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Reprodukciós toxicitás</w:t>
      </w:r>
    </w:p>
    <w:p w14:paraId="2F3A53D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Patkányokkal és egerekkel végzett reprodukciós vizsgálatok az ellés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időpontjának későbbre tolódását, a vajúdás időtartamának megnyúlását és az utódok alacsonyabb túlélését mutattá</w:t>
      </w:r>
      <w:r>
        <w:rPr>
          <w:snapToGrid/>
          <w:szCs w:val="22"/>
          <w:lang w:val="hu-HU" w:eastAsia="hu-HU"/>
        </w:rPr>
        <w:t>k, az ember számára maximálisan javasolt dózis 50-szeresét alkalmazva mg/ttkg-ra vonatkoztatva.</w:t>
      </w:r>
    </w:p>
    <w:p w14:paraId="6BAFA0A5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BB2BA9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Fertilitás károsodása</w:t>
      </w:r>
    </w:p>
    <w:p w14:paraId="22AD65B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napToGrid/>
          <w:szCs w:val="22"/>
          <w:lang w:val="hu-HU" w:eastAsia="hu-HU"/>
        </w:rPr>
        <w:t>Legfeljebb 10 mg/ttkg/nap dózisú (ami a mg/m</w:t>
      </w:r>
      <w:r>
        <w:rPr>
          <w:snapToGrid/>
          <w:szCs w:val="22"/>
          <w:vertAlign w:val="superscript"/>
          <w:lang w:val="hu-HU" w:eastAsia="hu-HU"/>
        </w:rPr>
        <w:t>2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 xml:space="preserve">alapon számolt, maximálisan 10 mg javasolt humán dózis 8-szorosa*) amlodipinnel kezelt patkányoknál (hímek 64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napon át, nőstények 14 </w:t>
      </w:r>
      <w:r>
        <w:rPr>
          <w:snapToGrid/>
          <w:szCs w:val="22"/>
          <w:lang w:val="hu-HU" w:eastAsia="hu-HU"/>
        </w:rPr>
        <w:t xml:space="preserve">napon át párzás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előtt) </w:t>
      </w:r>
      <w:r>
        <w:rPr>
          <w:snapToGrid/>
          <w:szCs w:val="22"/>
          <w:lang w:val="hu-HU" w:eastAsia="hu-HU"/>
        </w:rPr>
        <w:t xml:space="preserve">nem volt termékenységre gyakorolt hatás. Egy másik, patkányokkal végzett vizsgálatban, </w:t>
      </w:r>
      <w:r>
        <w:rPr>
          <w:snapToGrid/>
          <w:szCs w:val="22"/>
          <w:lang w:val="hu-HU" w:eastAsia="hu-HU"/>
        </w:rPr>
        <w:lastRenderedPageBreak/>
        <w:t>amiben hím patkányokat kezeltek 30 napon keresztül, mg/kg-ra vonatkoztatva az embernél alkalmazott dózisokhoz hasonló amlodipin-bezilát adagokkal, csökkent a plazma folliculus stimuláló hormon- és tesztoszteronszintje, valamint a spermium denzitásának, az érett spermiumok számának és a Sertolli sejtek számának csökkenését tapasztalták.</w:t>
      </w:r>
    </w:p>
    <w:p w14:paraId="7123C0B2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A454B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hu-HU"/>
        </w:rPr>
      </w:pPr>
      <w:r>
        <w:rPr>
          <w:i/>
          <w:iCs/>
          <w:snapToGrid/>
          <w:szCs w:val="22"/>
          <w:u w:val="single"/>
          <w:lang w:val="hu-HU" w:eastAsia="hu-HU"/>
        </w:rPr>
        <w:t>Karcinogenitás, mutagenitás</w:t>
      </w:r>
    </w:p>
    <w:p w14:paraId="5253BC0A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Patkányok és egerek 2 éves, táplálékhoz adott amlodipin-kezelése 0,5, 1,25 és 2,5 mg/ttkg/nap dózisszintet biztosító számított koncentrációnál nem mutatott karcinogenitást. A legmagasabb adag (egereknél hasonló, patkányoknál a kétszerese* a mg/m</w:t>
      </w:r>
      <w:r>
        <w:rPr>
          <w:snapToGrid/>
          <w:szCs w:val="22"/>
          <w:vertAlign w:val="superscript"/>
          <w:lang w:val="hu-HU" w:eastAsia="hu-HU"/>
        </w:rPr>
        <w:t xml:space="preserve">2 </w:t>
      </w:r>
      <w:r>
        <w:rPr>
          <w:snapToGrid/>
          <w:szCs w:val="22"/>
          <w:lang w:val="hu-HU" w:eastAsia="hu-HU"/>
        </w:rPr>
        <w:t>alapon javasolt 10 mg-os maximális klinikai dózisnak) megközelítette az egereknél mért maximális tolerálható adagot, patkányoknál azonban nem.</w:t>
      </w:r>
    </w:p>
    <w:p w14:paraId="71619C41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8B4548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Mutagenitási vizsgálatok gyógyszerrel kapcsolatos hatást sem gén-, sem kromoszómaszinten nem mutattak.</w:t>
      </w:r>
    </w:p>
    <w:p w14:paraId="491BED67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4F6F55E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*50 kg-os testtömeget véve alapul.</w:t>
      </w:r>
    </w:p>
    <w:p w14:paraId="7D3F04FC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75AF2CBB" w14:textId="77777777" w:rsidR="00B911F8" w:rsidRDefault="00B7743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Valzartán</w:t>
      </w:r>
    </w:p>
    <w:p w14:paraId="5C54056E" w14:textId="77777777" w:rsidR="00B911F8" w:rsidRDefault="00B911F8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</w:p>
    <w:p w14:paraId="1E6144C6" w14:textId="77777777" w:rsidR="00B911F8" w:rsidRDefault="00B7743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hagyományos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– </w:t>
      </w:r>
      <w:r>
        <w:rPr>
          <w:snapToGrid/>
          <w:szCs w:val="22"/>
          <w:lang w:val="hu-HU" w:eastAsia="hu-HU"/>
        </w:rPr>
        <w:t xml:space="preserve">farmakológiai biztonságossági, ismételt adagolású dózistoxicitási, genotoxicitási, karcinogenitási, reprodukcióra-,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és fejlődés</w:t>
      </w:r>
      <w:r>
        <w:rPr>
          <w:snapToGrid/>
          <w:szCs w:val="22"/>
          <w:lang w:val="hu-HU" w:eastAsia="hu-HU"/>
        </w:rPr>
        <w:t xml:space="preserve">re kifejtett toxicitási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– </w:t>
      </w:r>
      <w:r>
        <w:rPr>
          <w:snapToGrid/>
          <w:szCs w:val="22"/>
          <w:lang w:val="hu-HU" w:eastAsia="hu-HU"/>
        </w:rPr>
        <w:t>vizsgálatokból származó nem-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klinikai jellegű adatok azt igazolták, hogy a készítmény </w:t>
      </w:r>
      <w:r>
        <w:rPr>
          <w:snapToGrid/>
          <w:szCs w:val="22"/>
          <w:lang w:val="hu-HU" w:eastAsia="hu-HU"/>
        </w:rPr>
        <w:t>alkalmazásakor humán vonatkozásban különleges kockázat nem várható.</w:t>
      </w:r>
    </w:p>
    <w:p w14:paraId="1498246B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2BB9D11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Patkánynál az anyai toxikus dózis (600 mg/ttkg/nap), a terhesség utolsó napjaiban és a szoptatás alatt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adva, csökkent túlélési arányt, kisebb testsúlygyarapodást és késleltetett fejlődést okozott az </w:t>
      </w:r>
      <w:r>
        <w:rPr>
          <w:snapToGrid/>
          <w:szCs w:val="22"/>
          <w:lang w:val="hu-HU" w:eastAsia="hu-HU"/>
        </w:rPr>
        <w:t xml:space="preserve">újszülötteknél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(fülkagyló és hallójárat fejlődési zavara) (lásd 4.6 </w:t>
      </w:r>
      <w:r>
        <w:rPr>
          <w:snapToGrid/>
          <w:szCs w:val="22"/>
          <w:lang w:val="hu-HU" w:eastAsia="hu-HU"/>
        </w:rPr>
        <w:t xml:space="preserve">pont). A patkánynál alkalmazott dózis (600 mg/ttkg/nap)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megközelítőleg 18</w:t>
      </w:r>
      <w:r>
        <w:rPr>
          <w:snapToGrid/>
          <w:szCs w:val="22"/>
          <w:lang w:val="hu-HU" w:eastAsia="hu-HU"/>
        </w:rPr>
        <w:t>-szorosa a mg/m</w:t>
      </w:r>
      <w:r>
        <w:rPr>
          <w:snapToGrid/>
          <w:szCs w:val="22"/>
          <w:vertAlign w:val="superscript"/>
          <w:lang w:val="hu-HU" w:eastAsia="hu-HU"/>
        </w:rPr>
        <w:t>2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alapon számított javasolt maximális humán dózisnak (a számításokat 320 mg/nap dózist és 60 kg-os beteget feltételezve végezték).</w:t>
      </w:r>
    </w:p>
    <w:p w14:paraId="129776B7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7B1FAA9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nem klinikai biztonságossági vizsgálatokban a nagy valzartán dózisok (200-600 mg/ttkg) patkányoknál a vörösvértest paraméterek (eritrociták, hemoglobin, hematokrit) csökkenését, illetve a vese hemodinamikájának (enyhén emelkedett karbamidnitrogénszint a vérben, illetve renalis tubularis hyperplasia és bazophilia a hímeknél) változását okozták. Ez, a patkánynál alkalmazott dózis (200-600 mg/ttkg/nap)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megközelítőleg 6</w:t>
      </w:r>
      <w:r>
        <w:rPr>
          <w:snapToGrid/>
          <w:szCs w:val="22"/>
          <w:lang w:val="hu-HU" w:eastAsia="hu-HU"/>
        </w:rPr>
        <w:t>- és 18-szorosa a mg/m</w:t>
      </w:r>
      <w:r>
        <w:rPr>
          <w:snapToGrid/>
          <w:szCs w:val="22"/>
          <w:vertAlign w:val="superscript"/>
          <w:lang w:val="hu-HU" w:eastAsia="hu-HU"/>
        </w:rPr>
        <w:t>2</w:t>
      </w:r>
      <w:r>
        <w:rPr>
          <w:snapToGrid/>
          <w:sz w:val="14"/>
          <w:szCs w:val="14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alapon számított javasolt maximális humán dózisnak (a számításokat 320 mg/nap dózist és 60 kg-os beteget feltételezve végezték).</w:t>
      </w:r>
    </w:p>
    <w:p w14:paraId="61E9F75D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7C3A00C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selyemmajmokban hasonló dózisoknál a változások hasonlóak, de súlyosabbak voltak, különösen a vese tekintetében, ahol a változások nephropathiához vezettek, beleértve az emelkedett karbamidnitrogén- és kreatininszintet a vérben.</w:t>
      </w:r>
    </w:p>
    <w:p w14:paraId="56DFD07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634D327B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napToGrid/>
          <w:szCs w:val="22"/>
          <w:lang w:val="hu-HU" w:eastAsia="hu-HU"/>
        </w:rPr>
        <w:t>A renalis juxtaglomerularis sejtek hypertrophiáját észlelték mindkét fajnál. Valamennyi változást a valzartán farmakológiai hatásának tulajdonítottak, amely hosszabb ideig tartó hypotoniához vezet, különösen a selyemmajmoknál. Embernél a valzartán terápiás dózisai esetében a renalis juxtaglomerularis sejtek hypertrophiájának nincs jelen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tősége.</w:t>
      </w:r>
    </w:p>
    <w:p w14:paraId="23967CF1" w14:textId="77777777" w:rsidR="00B911F8" w:rsidRDefault="00B911F8">
      <w:pPr>
        <w:spacing w:line="240" w:lineRule="auto"/>
        <w:rPr>
          <w:lang w:val="hu-HU"/>
        </w:rPr>
      </w:pPr>
    </w:p>
    <w:p w14:paraId="5F43DE60" w14:textId="77777777" w:rsidR="00B911F8" w:rsidRDefault="00B911F8">
      <w:pPr>
        <w:spacing w:line="240" w:lineRule="auto"/>
        <w:rPr>
          <w:lang w:val="hu-HU"/>
        </w:rPr>
      </w:pPr>
    </w:p>
    <w:p w14:paraId="49B6E4E3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877B468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350A862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858B70D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736CD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Tabletta mag</w:t>
      </w:r>
    </w:p>
    <w:p w14:paraId="2D24B0A8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mikrokristályos</w:t>
      </w:r>
      <w:proofErr w:type="gramEnd"/>
      <w:r>
        <w:rPr>
          <w:snapToGrid/>
          <w:szCs w:val="22"/>
          <w:lang w:val="hu-HU" w:eastAsia="hu-HU"/>
        </w:rPr>
        <w:t xml:space="preserve"> cellulóz</w:t>
      </w:r>
    </w:p>
    <w:p w14:paraId="7399EA6E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povidon K25</w:t>
      </w:r>
    </w:p>
    <w:p w14:paraId="72C3702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kroszkarmellóz-nátrium</w:t>
      </w:r>
    </w:p>
    <w:p w14:paraId="4EB25B1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nátrium-lauril-szulfát</w:t>
      </w:r>
    </w:p>
    <w:p w14:paraId="2B5E445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mannit</w:t>
      </w:r>
      <w:proofErr w:type="gramEnd"/>
    </w:p>
    <w:p w14:paraId="5A71CC5F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vízmentes</w:t>
      </w:r>
      <w:proofErr w:type="gramEnd"/>
      <w:r>
        <w:rPr>
          <w:snapToGrid/>
          <w:szCs w:val="22"/>
          <w:lang w:val="hu-HU" w:eastAsia="hu-HU"/>
        </w:rPr>
        <w:t xml:space="preserve"> kolloid szilícium-dioxid</w:t>
      </w:r>
    </w:p>
    <w:p w14:paraId="5ABA4CE0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>magnézium-sztearát (E470b)</w:t>
      </w:r>
    </w:p>
    <w:p w14:paraId="38240A96" w14:textId="77777777" w:rsidR="00B911F8" w:rsidRDefault="00B911F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14:paraId="59B6F4D5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napToGrid/>
          <w:szCs w:val="22"/>
          <w:u w:val="single"/>
          <w:lang w:val="hu-HU" w:eastAsia="hu-HU"/>
        </w:rPr>
      </w:pPr>
      <w:r>
        <w:rPr>
          <w:iCs/>
          <w:snapToGrid/>
          <w:szCs w:val="22"/>
          <w:u w:val="single"/>
          <w:lang w:val="hu-HU" w:eastAsia="hu-HU"/>
        </w:rPr>
        <w:t>Fimbevonat</w:t>
      </w:r>
    </w:p>
    <w:p w14:paraId="5ADB6F23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poli(</w:t>
      </w:r>
      <w:proofErr w:type="gramEnd"/>
      <w:r>
        <w:rPr>
          <w:snapToGrid/>
          <w:szCs w:val="22"/>
          <w:lang w:val="hu-HU" w:eastAsia="hu-HU"/>
        </w:rPr>
        <w:t>vinil-alkohol)</w:t>
      </w:r>
    </w:p>
    <w:p w14:paraId="2F4370CD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makrogol 3350</w:t>
      </w:r>
    </w:p>
    <w:p w14:paraId="494B2F34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titán-dioxid</w:t>
      </w:r>
      <w:proofErr w:type="gramEnd"/>
      <w:r>
        <w:rPr>
          <w:snapToGrid/>
          <w:szCs w:val="22"/>
          <w:lang w:val="hu-HU" w:eastAsia="hu-HU"/>
        </w:rPr>
        <w:t xml:space="preserve"> (E171)</w:t>
      </w:r>
    </w:p>
    <w:p w14:paraId="645EC9B6" w14:textId="77777777" w:rsidR="00B911F8" w:rsidRDefault="00B7743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talkum</w:t>
      </w:r>
      <w:proofErr w:type="gramEnd"/>
    </w:p>
    <w:p w14:paraId="236D3392" w14:textId="77777777" w:rsidR="00B911F8" w:rsidRDefault="00B7743C">
      <w:pPr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vörös</w:t>
      </w:r>
      <w:proofErr w:type="gramEnd"/>
      <w:r>
        <w:rPr>
          <w:snapToGrid/>
          <w:szCs w:val="22"/>
          <w:lang w:val="hu-HU" w:eastAsia="hu-HU"/>
        </w:rPr>
        <w:t xml:space="preserve"> vas-oxid (E172) – csak a 10 mg/160 mg/12,5 mg-os és a 10 mg/320 mg/25 mg-os hatáserősségben</w:t>
      </w:r>
    </w:p>
    <w:p w14:paraId="2F602375" w14:textId="77777777" w:rsidR="00B911F8" w:rsidRDefault="00B7743C">
      <w:pPr>
        <w:spacing w:line="240" w:lineRule="auto"/>
        <w:rPr>
          <w:snapToGrid/>
          <w:szCs w:val="22"/>
          <w:lang w:val="hu-HU" w:eastAsia="hu-HU"/>
        </w:rPr>
      </w:pPr>
      <w:proofErr w:type="gramStart"/>
      <w:r>
        <w:rPr>
          <w:snapToGrid/>
          <w:szCs w:val="22"/>
          <w:lang w:val="hu-HU" w:eastAsia="hu-HU"/>
        </w:rPr>
        <w:t>sárga</w:t>
      </w:r>
      <w:proofErr w:type="gramEnd"/>
      <w:r>
        <w:rPr>
          <w:snapToGrid/>
          <w:szCs w:val="22"/>
          <w:lang w:val="hu-HU" w:eastAsia="hu-HU"/>
        </w:rPr>
        <w:t xml:space="preserve"> vas-oxid (E172)</w:t>
      </w:r>
      <w:r>
        <w:rPr>
          <w:i/>
          <w:snapToGrid/>
          <w:szCs w:val="22"/>
          <w:lang w:val="hu-HU" w:eastAsia="hu-HU"/>
        </w:rPr>
        <w:t xml:space="preserve"> </w:t>
      </w:r>
      <w:r>
        <w:rPr>
          <w:snapToGrid/>
          <w:szCs w:val="22"/>
          <w:lang w:val="hu-HU" w:eastAsia="hu-HU"/>
        </w:rPr>
        <w:t>– csak az 5 mg/160 mg/25 mg-os és a 10 mg/160 mg/25 mg-os hatáserősségben</w:t>
      </w:r>
    </w:p>
    <w:p w14:paraId="163D1AEB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13E73ED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13F21AAD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F60E94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7F9A1249" w14:textId="77777777" w:rsidR="00B911F8" w:rsidRDefault="00B911F8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54BC8882" w14:textId="77777777" w:rsidR="00B911F8" w:rsidRDefault="00B7743C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5FCDC528" w14:textId="77777777" w:rsidR="00B911F8" w:rsidRDefault="00B911F8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1178E1" w14:textId="1F54F5AE" w:rsidR="00B911F8" w:rsidRDefault="00F926EA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5</w:t>
      </w:r>
      <w:r w:rsidR="00B7743C">
        <w:rPr>
          <w:rFonts w:eastAsia="Times New Roman"/>
          <w:noProof/>
          <w:snapToGrid/>
          <w:szCs w:val="22"/>
          <w:lang w:val="hu-HU" w:eastAsia="en-US"/>
        </w:rPr>
        <w:t xml:space="preserve"> év</w:t>
      </w:r>
    </w:p>
    <w:p w14:paraId="5D573869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1C0AE7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2CDB3C4D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1A51D87" w14:textId="77777777" w:rsidR="00B911F8" w:rsidRDefault="00B7743C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nem igényel különleges tárolást.</w:t>
      </w:r>
    </w:p>
    <w:p w14:paraId="666AAFCA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5E6BA04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Csomagolás típusa és kiszerelése</w:t>
      </w:r>
    </w:p>
    <w:p w14:paraId="1F7AF8EE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BAC9542" w14:textId="77777777" w:rsidR="00B911F8" w:rsidRDefault="00B7743C">
      <w:pPr>
        <w:rPr>
          <w:color w:val="000000"/>
          <w:szCs w:val="22"/>
          <w:lang w:val="hu-HU" w:eastAsia="en-US"/>
        </w:rPr>
      </w:pPr>
      <w:proofErr w:type="gramStart"/>
      <w:r>
        <w:rPr>
          <w:rFonts w:eastAsia="Times New Roman"/>
          <w:snapToGrid/>
          <w:szCs w:val="22"/>
          <w:lang w:val="hu-HU" w:eastAsia="en-US"/>
        </w:rPr>
        <w:t>7, 10, 14, 28, 30, 56, 60, 84, 90, 98, 100, 7 x 1, 10 x</w:t>
      </w:r>
      <w:r>
        <w:rPr>
          <w:rFonts w:eastAsia="Times New Roman"/>
          <w:snapToGrid/>
          <w:szCs w:val="22"/>
          <w:lang w:val="hu-HU" w:eastAsia="sl-SI"/>
        </w:rPr>
        <w:t xml:space="preserve"> 1, </w:t>
      </w:r>
      <w:r>
        <w:rPr>
          <w:rFonts w:eastAsia="Times New Roman"/>
          <w:snapToGrid/>
          <w:szCs w:val="22"/>
          <w:lang w:val="hu-HU" w:eastAsia="en-US"/>
        </w:rPr>
        <w:t>14 x 1, 28 x 1, 30</w:t>
      </w:r>
      <w:r>
        <w:rPr>
          <w:rFonts w:eastAsia="Times New Roman"/>
          <w:snapToGrid/>
          <w:szCs w:val="22"/>
          <w:lang w:val="hu-HU" w:eastAsia="sl-SI"/>
        </w:rPr>
        <w:t> x 1, 56 x 1, 60 x 1, 84 x 1, 90 x 1, 98 x 1</w:t>
      </w:r>
      <w:r>
        <w:rPr>
          <w:rFonts w:eastAsia="Times New Roman"/>
          <w:snapToGrid/>
          <w:szCs w:val="22"/>
          <w:lang w:val="hu-HU" w:eastAsia="en-US"/>
        </w:rPr>
        <w:t xml:space="preserve"> és 100 x 1</w:t>
      </w:r>
      <w:r>
        <w:rPr>
          <w:color w:val="000000"/>
          <w:spacing w:val="-4"/>
          <w:szCs w:val="22"/>
          <w:lang w:val="hu-HU"/>
        </w:rPr>
        <w:t xml:space="preserve"> </w:t>
      </w:r>
      <w:r>
        <w:rPr>
          <w:color w:val="000000"/>
          <w:spacing w:val="-4"/>
          <w:szCs w:val="22"/>
          <w:lang w:val="hu-HU" w:eastAsia="en-US"/>
        </w:rPr>
        <w:t>filmtabletta OPA/Al/PVC//Al buborékcsomagolásban,</w:t>
      </w:r>
      <w:r>
        <w:rPr>
          <w:color w:val="000000"/>
          <w:szCs w:val="22"/>
          <w:lang w:val="hu-HU" w:eastAsia="en-US"/>
        </w:rPr>
        <w:t xml:space="preserve"> dobozban.</w:t>
      </w:r>
      <w:proofErr w:type="gramEnd"/>
    </w:p>
    <w:p w14:paraId="36E6D3CD" w14:textId="77777777" w:rsidR="00B911F8" w:rsidRDefault="00B911F8">
      <w:pPr>
        <w:rPr>
          <w:color w:val="000000"/>
          <w:szCs w:val="22"/>
          <w:lang w:val="hu-HU" w:eastAsia="en-US"/>
        </w:rPr>
      </w:pPr>
    </w:p>
    <w:p w14:paraId="50583C9C" w14:textId="77777777" w:rsidR="00B911F8" w:rsidRDefault="00B7743C">
      <w:pPr>
        <w:rPr>
          <w:color w:val="000000"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7, 14, 28, 56, 84, 98, 7 x 1, 14 x 1, 28 x 1, 56 x 1, 84 x 1 és 98 x 1 filmtabletta naptári nappal jelölt </w:t>
      </w:r>
      <w:r>
        <w:rPr>
          <w:color w:val="000000"/>
          <w:spacing w:val="-4"/>
          <w:szCs w:val="22"/>
          <w:lang w:val="hu-HU" w:eastAsia="en-US"/>
        </w:rPr>
        <w:t xml:space="preserve">OPA/Al/PVC//Al </w:t>
      </w:r>
      <w:r>
        <w:rPr>
          <w:rFonts w:eastAsia="Times New Roman"/>
          <w:snapToGrid/>
          <w:szCs w:val="22"/>
          <w:lang w:val="hu-HU" w:eastAsia="en-US"/>
        </w:rPr>
        <w:t>buborékcsomagolásban, dobozban.</w:t>
      </w:r>
    </w:p>
    <w:p w14:paraId="6419FE0B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33CFE0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62BAA315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D0F4D3F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3F1343F3" w14:textId="77777777" w:rsidR="00B911F8" w:rsidRDefault="00B911F8">
      <w:pPr>
        <w:spacing w:line="240" w:lineRule="auto"/>
        <w:ind w:left="567" w:hanging="567"/>
        <w:outlineLvl w:val="0"/>
        <w:rPr>
          <w:rFonts w:eastAsia="Times New Roman"/>
          <w:i/>
          <w:noProof/>
          <w:snapToGrid/>
          <w:szCs w:val="22"/>
          <w:lang w:val="hu-HU" w:eastAsia="en-US"/>
        </w:rPr>
      </w:pPr>
    </w:p>
    <w:p w14:paraId="6122A7DA" w14:textId="77777777" w:rsidR="00B911F8" w:rsidRDefault="00B7743C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098E4997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2A9CED8" w14:textId="77777777" w:rsidR="00B911F8" w:rsidRDefault="00B7743C">
      <w:pPr>
        <w:rPr>
          <w:szCs w:val="22"/>
          <w:lang w:val="hu-HU"/>
        </w:rPr>
      </w:pPr>
      <w:r>
        <w:rPr>
          <w:b/>
          <w:lang w:val="hu-HU"/>
        </w:rPr>
        <w:t>Megjegyzés:</w:t>
      </w:r>
      <w:r>
        <w:rPr>
          <w:b/>
          <w:bCs/>
          <w:szCs w:val="22"/>
          <w:lang w:val="hu-HU"/>
        </w:rPr>
        <w:t xml:space="preserve"> </w:t>
      </w:r>
      <w:r>
        <w:rPr>
          <w:rFonts w:ascii="Wingdings" w:eastAsia="Wingdings" w:hAnsi="Wingdings"/>
          <w:b/>
          <w:szCs w:val="22"/>
          <w:lang w:val="hu-HU"/>
        </w:rPr>
        <w:t></w:t>
      </w:r>
      <w:r>
        <w:rPr>
          <w:szCs w:val="22"/>
          <w:lang w:val="hu-HU"/>
        </w:rPr>
        <w:t xml:space="preserve"> </w:t>
      </w:r>
      <w:r>
        <w:rPr>
          <w:b/>
          <w:szCs w:val="22"/>
          <w:lang w:val="hu-HU"/>
        </w:rPr>
        <w:t>(egy kereszt jelzés)</w:t>
      </w:r>
    </w:p>
    <w:p w14:paraId="3770F5A8" w14:textId="77777777" w:rsidR="00B911F8" w:rsidRDefault="00B7743C">
      <w:pPr>
        <w:rPr>
          <w:b/>
          <w:bCs/>
          <w:szCs w:val="22"/>
          <w:lang w:val="hu-HU"/>
        </w:rPr>
      </w:pPr>
      <w:r>
        <w:rPr>
          <w:b/>
          <w:szCs w:val="22"/>
          <w:lang w:val="hu-HU"/>
        </w:rPr>
        <w:t>Osztályozás</w:t>
      </w:r>
      <w:r>
        <w:rPr>
          <w:szCs w:val="22"/>
          <w:lang w:val="hu-HU"/>
        </w:rPr>
        <w:t xml:space="preserve">: </w:t>
      </w:r>
      <w:r>
        <w:rPr>
          <w:b/>
          <w:bCs/>
          <w:szCs w:val="22"/>
          <w:lang w:val="hu-HU"/>
        </w:rPr>
        <w:t>II. csoport</w:t>
      </w:r>
    </w:p>
    <w:p w14:paraId="038D08EC" w14:textId="77777777" w:rsidR="00B911F8" w:rsidRDefault="00B7743C">
      <w:pPr>
        <w:rPr>
          <w:szCs w:val="22"/>
          <w:lang w:val="hu-HU"/>
        </w:rPr>
      </w:pPr>
      <w:r>
        <w:rPr>
          <w:szCs w:val="22"/>
          <w:lang w:val="hu-HU"/>
        </w:rPr>
        <w:t>Kizárólag orvosi rendelvényhez kötött gyógyszer (V).</w:t>
      </w:r>
    </w:p>
    <w:p w14:paraId="549C05DF" w14:textId="77777777" w:rsidR="00B911F8" w:rsidRDefault="00B911F8">
      <w:pPr>
        <w:spacing w:line="240" w:lineRule="auto"/>
        <w:ind w:left="567" w:hanging="567"/>
        <w:outlineLvl w:val="0"/>
        <w:rPr>
          <w:lang w:val="hu-HU"/>
        </w:rPr>
      </w:pPr>
    </w:p>
    <w:p w14:paraId="009A2870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50DFDCC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74CE3BEC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DDB6A6" w14:textId="77777777" w:rsidR="00B911F8" w:rsidRDefault="00B7743C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  <w:r>
        <w:rPr>
          <w:color w:val="000000"/>
          <w:lang w:val="hu-HU"/>
        </w:rPr>
        <w:t>KRKA, d.d</w:t>
      </w:r>
      <w:proofErr w:type="gramStart"/>
      <w:r>
        <w:rPr>
          <w:color w:val="000000"/>
          <w:lang w:val="hu-HU"/>
        </w:rPr>
        <w:t>.,</w:t>
      </w:r>
      <w:proofErr w:type="gramEnd"/>
      <w:r>
        <w:rPr>
          <w:color w:val="000000"/>
          <w:lang w:val="hu-HU"/>
        </w:rPr>
        <w:t xml:space="preserve"> Novo mesto</w:t>
      </w:r>
    </w:p>
    <w:p w14:paraId="22B4BB60" w14:textId="77777777" w:rsidR="00B911F8" w:rsidRDefault="00B7743C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  <w:r>
        <w:rPr>
          <w:color w:val="000000"/>
          <w:lang w:val="hu-HU"/>
        </w:rPr>
        <w:t>Šmarješka cesta 6</w:t>
      </w:r>
    </w:p>
    <w:p w14:paraId="0A8506C7" w14:textId="77777777" w:rsidR="00B911F8" w:rsidRDefault="00B7743C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  <w:r>
        <w:rPr>
          <w:color w:val="000000"/>
          <w:lang w:val="hu-HU"/>
        </w:rPr>
        <w:t>8501 Novo mesto</w:t>
      </w:r>
    </w:p>
    <w:p w14:paraId="2C61BCE9" w14:textId="77777777" w:rsidR="00B911F8" w:rsidRDefault="00B7743C">
      <w:pPr>
        <w:widowControl w:val="0"/>
        <w:autoSpaceDE w:val="0"/>
        <w:autoSpaceDN w:val="0"/>
        <w:adjustRightInd w:val="0"/>
        <w:spacing w:line="240" w:lineRule="auto"/>
        <w:rPr>
          <w:color w:val="000000"/>
          <w:lang w:val="hu-HU"/>
        </w:rPr>
      </w:pPr>
      <w:r>
        <w:rPr>
          <w:color w:val="000000"/>
          <w:lang w:val="hu-HU"/>
        </w:rPr>
        <w:t>Szlovénia</w:t>
      </w:r>
    </w:p>
    <w:p w14:paraId="3C990E76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6CC9A36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244DF30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732F88D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975F0F8" w14:textId="77777777" w:rsidR="00B911F8" w:rsidRDefault="00B7743C">
      <w:pPr>
        <w:spacing w:line="240" w:lineRule="auto"/>
        <w:ind w:right="-2"/>
        <w:rPr>
          <w:snapToGrid/>
          <w:u w:val="single"/>
          <w:lang w:val="hu-HU"/>
        </w:rPr>
      </w:pPr>
      <w:r>
        <w:rPr>
          <w:u w:val="single"/>
          <w:lang w:val="hu-HU"/>
        </w:rPr>
        <w:t>Valtricom 5 mg/160 mg/12,5 mg filmtabletta</w:t>
      </w:r>
    </w:p>
    <w:p w14:paraId="6CAA5054" w14:textId="77777777" w:rsidR="00B911F8" w:rsidRDefault="00B7743C">
      <w:pPr>
        <w:rPr>
          <w:sz w:val="24"/>
          <w:lang w:val="hu-HU" w:eastAsia="en-US"/>
        </w:rPr>
      </w:pPr>
      <w:r>
        <w:rPr>
          <w:lang w:val="hu-HU"/>
        </w:rPr>
        <w:t>OGYI-T-23530/01     14×</w:t>
      </w:r>
    </w:p>
    <w:p w14:paraId="5CD8987B" w14:textId="77777777" w:rsidR="00B911F8" w:rsidRDefault="00B7743C">
      <w:pPr>
        <w:rPr>
          <w:lang w:val="hu-HU"/>
        </w:rPr>
      </w:pPr>
      <w:r>
        <w:rPr>
          <w:lang w:val="hu-HU"/>
        </w:rPr>
        <w:t>OGYI-T-23530/02     28×</w:t>
      </w:r>
    </w:p>
    <w:p w14:paraId="7C5E8B29" w14:textId="77777777" w:rsidR="00B911F8" w:rsidRDefault="00B7743C">
      <w:pPr>
        <w:rPr>
          <w:lang w:val="hu-HU"/>
        </w:rPr>
      </w:pPr>
      <w:r>
        <w:rPr>
          <w:lang w:val="hu-HU"/>
        </w:rPr>
        <w:lastRenderedPageBreak/>
        <w:t>OGYI-T-23530/03     30×</w:t>
      </w:r>
    </w:p>
    <w:p w14:paraId="520D93FD" w14:textId="77777777" w:rsidR="00B911F8" w:rsidRDefault="00B7743C">
      <w:pPr>
        <w:rPr>
          <w:lang w:val="hu-HU"/>
        </w:rPr>
      </w:pPr>
      <w:r>
        <w:rPr>
          <w:lang w:val="hu-HU"/>
        </w:rPr>
        <w:t>OGYI-T-23530/04     56×</w:t>
      </w:r>
    </w:p>
    <w:p w14:paraId="6DF3208E" w14:textId="77777777" w:rsidR="00B911F8" w:rsidRDefault="00B7743C">
      <w:pPr>
        <w:rPr>
          <w:lang w:val="hu-HU"/>
        </w:rPr>
      </w:pPr>
      <w:r>
        <w:rPr>
          <w:lang w:val="hu-HU"/>
        </w:rPr>
        <w:t>OGYI-T-23530/05     60×</w:t>
      </w:r>
    </w:p>
    <w:p w14:paraId="2334EB03" w14:textId="77777777" w:rsidR="00B911F8" w:rsidRDefault="00B7743C">
      <w:pPr>
        <w:rPr>
          <w:lang w:val="hu-HU"/>
        </w:rPr>
      </w:pPr>
      <w:r>
        <w:rPr>
          <w:lang w:val="hu-HU"/>
        </w:rPr>
        <w:t>OGYI-T-23530/06     84×</w:t>
      </w:r>
    </w:p>
    <w:p w14:paraId="40289CA5" w14:textId="77777777" w:rsidR="00B911F8" w:rsidRDefault="00B7743C">
      <w:pPr>
        <w:rPr>
          <w:lang w:val="hu-HU"/>
        </w:rPr>
      </w:pPr>
      <w:r>
        <w:rPr>
          <w:lang w:val="hu-HU"/>
        </w:rPr>
        <w:t>OGYI-T-23530/07     90×</w:t>
      </w:r>
    </w:p>
    <w:p w14:paraId="710E3583" w14:textId="77777777" w:rsidR="00B911F8" w:rsidRDefault="00B911F8">
      <w:pPr>
        <w:spacing w:line="240" w:lineRule="auto"/>
        <w:ind w:right="-2"/>
        <w:rPr>
          <w:b/>
          <w:lang w:val="hu-HU"/>
        </w:rPr>
      </w:pPr>
    </w:p>
    <w:p w14:paraId="4927DF0C" w14:textId="77777777" w:rsidR="00B911F8" w:rsidRDefault="00B7743C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Valtricom 10 mg/160 mg/12,5 mg filmtabletta</w:t>
      </w:r>
    </w:p>
    <w:p w14:paraId="19A49DF6" w14:textId="77777777" w:rsidR="00B911F8" w:rsidRDefault="00B7743C">
      <w:pPr>
        <w:rPr>
          <w:sz w:val="24"/>
          <w:lang w:val="hu-HU" w:eastAsia="en-US"/>
        </w:rPr>
      </w:pPr>
      <w:r>
        <w:rPr>
          <w:lang w:val="hu-HU"/>
        </w:rPr>
        <w:t>OGYI-T-23530/08     14×</w:t>
      </w:r>
    </w:p>
    <w:p w14:paraId="5B4CAE99" w14:textId="77777777" w:rsidR="00B911F8" w:rsidRDefault="00B7743C">
      <w:pPr>
        <w:rPr>
          <w:lang w:val="hu-HU"/>
        </w:rPr>
      </w:pPr>
      <w:r>
        <w:rPr>
          <w:lang w:val="hu-HU"/>
        </w:rPr>
        <w:t>OGYI-T-23530/09     28×</w:t>
      </w:r>
    </w:p>
    <w:p w14:paraId="27D30152" w14:textId="77777777" w:rsidR="00B911F8" w:rsidRDefault="00B7743C">
      <w:pPr>
        <w:rPr>
          <w:lang w:val="hu-HU"/>
        </w:rPr>
      </w:pPr>
      <w:r>
        <w:rPr>
          <w:lang w:val="hu-HU"/>
        </w:rPr>
        <w:t>OGYI-T-23530/10     30×</w:t>
      </w:r>
    </w:p>
    <w:p w14:paraId="64E6632E" w14:textId="77777777" w:rsidR="00B911F8" w:rsidRDefault="00B7743C">
      <w:pPr>
        <w:rPr>
          <w:lang w:val="hu-HU"/>
        </w:rPr>
      </w:pPr>
      <w:r>
        <w:rPr>
          <w:lang w:val="hu-HU"/>
        </w:rPr>
        <w:t>OGYI-T-23530/11     56×</w:t>
      </w:r>
    </w:p>
    <w:p w14:paraId="7577C4FB" w14:textId="77777777" w:rsidR="00B911F8" w:rsidRDefault="00B7743C">
      <w:pPr>
        <w:rPr>
          <w:lang w:val="hu-HU"/>
        </w:rPr>
      </w:pPr>
      <w:r>
        <w:rPr>
          <w:lang w:val="hu-HU"/>
        </w:rPr>
        <w:t>OGYI-T-23530/12     60×</w:t>
      </w:r>
    </w:p>
    <w:p w14:paraId="0ECCD942" w14:textId="77777777" w:rsidR="00B911F8" w:rsidRDefault="00B7743C">
      <w:pPr>
        <w:rPr>
          <w:lang w:val="hu-HU"/>
        </w:rPr>
      </w:pPr>
      <w:r>
        <w:rPr>
          <w:lang w:val="hu-HU"/>
        </w:rPr>
        <w:t>OGYI-T-23530/13     84×</w:t>
      </w:r>
    </w:p>
    <w:p w14:paraId="63B7670E" w14:textId="77777777" w:rsidR="00B911F8" w:rsidRDefault="00B7743C">
      <w:pPr>
        <w:rPr>
          <w:lang w:val="hu-HU"/>
        </w:rPr>
      </w:pPr>
      <w:r>
        <w:rPr>
          <w:lang w:val="hu-HU"/>
        </w:rPr>
        <w:t>OGYI-T-23530/14     90×</w:t>
      </w:r>
    </w:p>
    <w:p w14:paraId="0DF97921" w14:textId="77777777" w:rsidR="00B911F8" w:rsidRDefault="00B911F8">
      <w:pPr>
        <w:spacing w:line="240" w:lineRule="auto"/>
        <w:ind w:right="-2"/>
        <w:rPr>
          <w:b/>
          <w:lang w:val="hu-HU"/>
        </w:rPr>
      </w:pPr>
    </w:p>
    <w:p w14:paraId="36A88FD3" w14:textId="77777777" w:rsidR="00B911F8" w:rsidRDefault="00B7743C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Valtricom 5 mg/160 mg/25 mg filmtabletta</w:t>
      </w:r>
    </w:p>
    <w:p w14:paraId="7BA26B43" w14:textId="77777777" w:rsidR="00B911F8" w:rsidRDefault="00B7743C">
      <w:pPr>
        <w:rPr>
          <w:sz w:val="24"/>
          <w:lang w:val="hu-HU" w:eastAsia="en-US"/>
        </w:rPr>
      </w:pPr>
      <w:r>
        <w:rPr>
          <w:lang w:val="hu-HU"/>
        </w:rPr>
        <w:t>OGYI-T-23530/15     14×</w:t>
      </w:r>
    </w:p>
    <w:p w14:paraId="20F9F2D6" w14:textId="77777777" w:rsidR="00B911F8" w:rsidRDefault="00B7743C">
      <w:pPr>
        <w:rPr>
          <w:lang w:val="hu-HU"/>
        </w:rPr>
      </w:pPr>
      <w:r>
        <w:rPr>
          <w:lang w:val="hu-HU"/>
        </w:rPr>
        <w:t>OGYI-T-23530/16     28×</w:t>
      </w:r>
    </w:p>
    <w:p w14:paraId="2FE5BB35" w14:textId="77777777" w:rsidR="00B911F8" w:rsidRDefault="00B7743C">
      <w:pPr>
        <w:rPr>
          <w:lang w:val="hu-HU"/>
        </w:rPr>
      </w:pPr>
      <w:r>
        <w:rPr>
          <w:lang w:val="hu-HU"/>
        </w:rPr>
        <w:t>OGYI-T-23530/17     30×</w:t>
      </w:r>
    </w:p>
    <w:p w14:paraId="1B4BB453" w14:textId="77777777" w:rsidR="00B911F8" w:rsidRDefault="00B7743C">
      <w:pPr>
        <w:rPr>
          <w:lang w:val="hu-HU"/>
        </w:rPr>
      </w:pPr>
      <w:r>
        <w:rPr>
          <w:lang w:val="hu-HU"/>
        </w:rPr>
        <w:t>OGYI-T-23530/18     56×</w:t>
      </w:r>
    </w:p>
    <w:p w14:paraId="4251A659" w14:textId="77777777" w:rsidR="00B911F8" w:rsidRDefault="00B7743C">
      <w:pPr>
        <w:rPr>
          <w:lang w:val="hu-HU"/>
        </w:rPr>
      </w:pPr>
      <w:r>
        <w:rPr>
          <w:lang w:val="hu-HU"/>
        </w:rPr>
        <w:t>OGYI-T-23530/19     60×</w:t>
      </w:r>
    </w:p>
    <w:p w14:paraId="51678823" w14:textId="77777777" w:rsidR="00B911F8" w:rsidRDefault="00B7743C">
      <w:pPr>
        <w:rPr>
          <w:lang w:val="hu-HU"/>
        </w:rPr>
      </w:pPr>
      <w:r>
        <w:rPr>
          <w:lang w:val="hu-HU"/>
        </w:rPr>
        <w:t>OGYI-T-23530/20     84×</w:t>
      </w:r>
    </w:p>
    <w:p w14:paraId="0BDE7E76" w14:textId="77777777" w:rsidR="00B911F8" w:rsidRDefault="00B7743C">
      <w:pPr>
        <w:spacing w:line="240" w:lineRule="auto"/>
        <w:ind w:right="-2"/>
        <w:rPr>
          <w:lang w:val="hu-HU"/>
        </w:rPr>
      </w:pPr>
      <w:r>
        <w:rPr>
          <w:lang w:val="hu-HU"/>
        </w:rPr>
        <w:t>OGYI-T-23530/21     90×</w:t>
      </w:r>
    </w:p>
    <w:p w14:paraId="71A61CE0" w14:textId="77777777" w:rsidR="00B911F8" w:rsidRDefault="00B911F8">
      <w:pPr>
        <w:spacing w:line="240" w:lineRule="auto"/>
        <w:ind w:right="-2"/>
        <w:rPr>
          <w:lang w:val="hu-HU"/>
        </w:rPr>
      </w:pPr>
    </w:p>
    <w:p w14:paraId="0CAEBD6E" w14:textId="77777777" w:rsidR="00B911F8" w:rsidRDefault="00B7743C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Valtricom 10 mg/160 mg/25 mg filmtabletta</w:t>
      </w:r>
    </w:p>
    <w:p w14:paraId="26A5E8C6" w14:textId="77777777" w:rsidR="00B911F8" w:rsidRDefault="00B7743C">
      <w:pPr>
        <w:rPr>
          <w:sz w:val="24"/>
          <w:lang w:val="hu-HU" w:eastAsia="en-US"/>
        </w:rPr>
      </w:pPr>
      <w:r>
        <w:rPr>
          <w:lang w:val="hu-HU"/>
        </w:rPr>
        <w:t>OGYI-T-23530/22     14×</w:t>
      </w:r>
    </w:p>
    <w:p w14:paraId="45DFB62B" w14:textId="77777777" w:rsidR="00B911F8" w:rsidRDefault="00B7743C">
      <w:pPr>
        <w:rPr>
          <w:lang w:val="hu-HU"/>
        </w:rPr>
      </w:pPr>
      <w:r>
        <w:rPr>
          <w:lang w:val="hu-HU"/>
        </w:rPr>
        <w:t>OGYI-T-23530/23     28×</w:t>
      </w:r>
    </w:p>
    <w:p w14:paraId="325C58FA" w14:textId="77777777" w:rsidR="00B911F8" w:rsidRDefault="00B7743C">
      <w:pPr>
        <w:rPr>
          <w:lang w:val="hu-HU"/>
        </w:rPr>
      </w:pPr>
      <w:r>
        <w:rPr>
          <w:lang w:val="hu-HU"/>
        </w:rPr>
        <w:t>OGYI-T-23530/24     30×</w:t>
      </w:r>
    </w:p>
    <w:p w14:paraId="1BCE41FE" w14:textId="77777777" w:rsidR="00B911F8" w:rsidRDefault="00B7743C">
      <w:pPr>
        <w:rPr>
          <w:lang w:val="hu-HU"/>
        </w:rPr>
      </w:pPr>
      <w:r>
        <w:rPr>
          <w:lang w:val="hu-HU"/>
        </w:rPr>
        <w:t>OGYI-T-23530/25     56×</w:t>
      </w:r>
    </w:p>
    <w:p w14:paraId="52C67893" w14:textId="77777777" w:rsidR="00B911F8" w:rsidRDefault="00B7743C">
      <w:pPr>
        <w:rPr>
          <w:lang w:val="hu-HU"/>
        </w:rPr>
      </w:pPr>
      <w:r>
        <w:rPr>
          <w:lang w:val="hu-HU"/>
        </w:rPr>
        <w:t>OGYI-T-23530/26     60×</w:t>
      </w:r>
    </w:p>
    <w:p w14:paraId="230C8E4C" w14:textId="77777777" w:rsidR="00B911F8" w:rsidRDefault="00B7743C">
      <w:pPr>
        <w:rPr>
          <w:lang w:val="hu-HU"/>
        </w:rPr>
      </w:pPr>
      <w:r>
        <w:rPr>
          <w:lang w:val="hu-HU"/>
        </w:rPr>
        <w:t>OGYI-T-23530/27     84×</w:t>
      </w:r>
    </w:p>
    <w:p w14:paraId="33BBCCDB" w14:textId="77777777" w:rsidR="00B911F8" w:rsidRDefault="00B7743C">
      <w:pPr>
        <w:rPr>
          <w:lang w:val="hu-HU"/>
        </w:rPr>
      </w:pPr>
      <w:r>
        <w:rPr>
          <w:lang w:val="hu-HU"/>
        </w:rPr>
        <w:t>OGYI-T-23530/28     90×</w:t>
      </w:r>
    </w:p>
    <w:p w14:paraId="46AEBFD4" w14:textId="77777777" w:rsidR="00B911F8" w:rsidRDefault="00B911F8">
      <w:pPr>
        <w:spacing w:line="240" w:lineRule="auto"/>
        <w:ind w:right="-2"/>
        <w:rPr>
          <w:b/>
          <w:lang w:val="hu-HU"/>
        </w:rPr>
      </w:pPr>
    </w:p>
    <w:p w14:paraId="390212CA" w14:textId="77777777" w:rsidR="00B911F8" w:rsidRDefault="00B7743C">
      <w:p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Valtricom 10 mg/320 mg/25 mg filmtabletta</w:t>
      </w:r>
    </w:p>
    <w:p w14:paraId="1F97A301" w14:textId="77777777" w:rsidR="00B911F8" w:rsidRDefault="00B7743C">
      <w:pPr>
        <w:rPr>
          <w:sz w:val="24"/>
          <w:lang w:val="hu-HU" w:eastAsia="en-US"/>
        </w:rPr>
      </w:pPr>
      <w:r>
        <w:rPr>
          <w:lang w:val="hu-HU"/>
        </w:rPr>
        <w:t>OGYI-T-23530/29     14×</w:t>
      </w:r>
    </w:p>
    <w:p w14:paraId="17552C1E" w14:textId="77777777" w:rsidR="00B911F8" w:rsidRDefault="00B7743C">
      <w:pPr>
        <w:rPr>
          <w:lang w:val="hu-HU"/>
        </w:rPr>
      </w:pPr>
      <w:r>
        <w:rPr>
          <w:lang w:val="hu-HU"/>
        </w:rPr>
        <w:t>OGYI-T-23530/30     28×</w:t>
      </w:r>
    </w:p>
    <w:p w14:paraId="398A2AB4" w14:textId="77777777" w:rsidR="00B911F8" w:rsidRDefault="00B7743C">
      <w:pPr>
        <w:rPr>
          <w:lang w:val="hu-HU"/>
        </w:rPr>
      </w:pPr>
      <w:r>
        <w:rPr>
          <w:lang w:val="hu-HU"/>
        </w:rPr>
        <w:t>OGYI-T-23530/31     30×</w:t>
      </w:r>
    </w:p>
    <w:p w14:paraId="049510E3" w14:textId="77777777" w:rsidR="00B911F8" w:rsidRDefault="00B7743C">
      <w:pPr>
        <w:rPr>
          <w:lang w:val="hu-HU"/>
        </w:rPr>
      </w:pPr>
      <w:r>
        <w:rPr>
          <w:lang w:val="hu-HU"/>
        </w:rPr>
        <w:t>OGYI-T-23530/32     56×</w:t>
      </w:r>
    </w:p>
    <w:p w14:paraId="65B5919B" w14:textId="77777777" w:rsidR="00B911F8" w:rsidRDefault="00B7743C">
      <w:pPr>
        <w:rPr>
          <w:lang w:val="hu-HU"/>
        </w:rPr>
      </w:pPr>
      <w:r>
        <w:rPr>
          <w:lang w:val="hu-HU"/>
        </w:rPr>
        <w:t>OGYI-T-23530/33     60×</w:t>
      </w:r>
    </w:p>
    <w:p w14:paraId="019FC98B" w14:textId="77777777" w:rsidR="00B911F8" w:rsidRDefault="00B7743C">
      <w:pPr>
        <w:rPr>
          <w:lang w:val="hu-HU"/>
        </w:rPr>
      </w:pPr>
      <w:r>
        <w:rPr>
          <w:lang w:val="hu-HU"/>
        </w:rPr>
        <w:t>OGYI-T-23530/34     84×</w:t>
      </w:r>
    </w:p>
    <w:p w14:paraId="6A0391FD" w14:textId="77777777" w:rsidR="00B911F8" w:rsidRDefault="00B7743C">
      <w:pPr>
        <w:rPr>
          <w:lang w:val="hu-HU"/>
        </w:rPr>
      </w:pPr>
      <w:r>
        <w:rPr>
          <w:lang w:val="hu-HU"/>
        </w:rPr>
        <w:t>OGYI-T-23530/35     90×</w:t>
      </w:r>
    </w:p>
    <w:p w14:paraId="26049578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8E6D385" w14:textId="77777777" w:rsidR="00B911F8" w:rsidRDefault="00B911F8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A4D4E42" w14:textId="77777777" w:rsidR="00B911F8" w:rsidRDefault="00B7743C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lang w:val="hu-HU"/>
        </w:rPr>
        <w:t xml:space="preserve"> DÁTUMA</w:t>
      </w:r>
    </w:p>
    <w:p w14:paraId="32C03BFA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3C9C548" w14:textId="77777777" w:rsidR="00B911F8" w:rsidRDefault="00B7743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 2019. április 16.</w:t>
      </w:r>
    </w:p>
    <w:p w14:paraId="2B53445A" w14:textId="77777777" w:rsidR="00615F8A" w:rsidRDefault="00615F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EA21E5E" w14:textId="5C75356E" w:rsidR="00B911F8" w:rsidRDefault="00615F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legutóbbi megújításának dátuma: 2023. július 6.</w:t>
      </w:r>
    </w:p>
    <w:p w14:paraId="6C73D35D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36DE7A" w14:textId="77777777" w:rsidR="00615F8A" w:rsidRDefault="00615F8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80811C" w14:textId="77777777" w:rsidR="00B911F8" w:rsidRDefault="00B7743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06E5DF6D" w14:textId="77777777" w:rsidR="00B911F8" w:rsidRDefault="00B911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BB8FA51" w14:textId="10A70E36" w:rsidR="00B911F8" w:rsidRDefault="007F6BF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2026. február 15.</w:t>
      </w:r>
    </w:p>
    <w:sectPr w:rsidR="00B911F8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825C5" w14:textId="77777777" w:rsidR="00450AC2" w:rsidRDefault="00450AC2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71D4F130" w14:textId="77777777" w:rsidR="00450AC2" w:rsidRDefault="00450AC2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116B0" w14:textId="77777777" w:rsidR="00450AC2" w:rsidRDefault="00450AC2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0282A" w14:textId="73D8F5C5" w:rsidR="00450AC2" w:rsidRDefault="00450AC2" w:rsidP="00F926EA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NNGYK/ETGY/19739/2025</w:t>
    </w:r>
  </w:p>
  <w:p w14:paraId="0751A635" w14:textId="655983B2" w:rsidR="00450AC2" w:rsidRDefault="00450AC2" w:rsidP="00F926EA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NNGYK/ETGY/19740/2025</w:t>
    </w:r>
  </w:p>
  <w:p w14:paraId="6261F5A6" w14:textId="361E2AB1" w:rsidR="00450AC2" w:rsidRDefault="00450AC2" w:rsidP="00F926EA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NNGYK/ETGY/19741/2025</w:t>
    </w:r>
  </w:p>
  <w:p w14:paraId="6319DC8F" w14:textId="3E5898C6" w:rsidR="00450AC2" w:rsidRDefault="00450AC2" w:rsidP="00F926EA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NNGYK/ETGY/19744/2025</w:t>
    </w:r>
  </w:p>
  <w:p w14:paraId="56269A81" w14:textId="67E9C0EA" w:rsidR="00450AC2" w:rsidRDefault="00450AC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7C539" w14:textId="77777777" w:rsidR="00450AC2" w:rsidRDefault="00450AC2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5C3C0FEA" w14:textId="77777777" w:rsidR="00450AC2" w:rsidRDefault="00450AC2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9356E" w14:textId="6BBCE45A" w:rsidR="00450AC2" w:rsidRDefault="00450AC2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BE35AA" w:rsidRPr="00BE35AA">
      <w:rPr>
        <w:noProof/>
        <w:sz w:val="18"/>
        <w:szCs w:val="18"/>
        <w:lang w:val="hu-HU"/>
      </w:rPr>
      <w:t>27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217675"/>
    <w:multiLevelType w:val="hybridMultilevel"/>
    <w:tmpl w:val="5396FEC2"/>
    <w:lvl w:ilvl="0" w:tplc="67E2A54A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3B90A87"/>
    <w:multiLevelType w:val="hybridMultilevel"/>
    <w:tmpl w:val="BF0CD8C6"/>
    <w:lvl w:ilvl="0" w:tplc="368607C0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8"/>
  </w:num>
  <w:num w:numId="8">
    <w:abstractNumId w:val="21"/>
  </w:num>
  <w:num w:numId="9">
    <w:abstractNumId w:val="31"/>
  </w:num>
  <w:num w:numId="10">
    <w:abstractNumId w:val="11"/>
  </w:num>
  <w:num w:numId="11">
    <w:abstractNumId w:val="29"/>
  </w:num>
  <w:num w:numId="12">
    <w:abstractNumId w:val="20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2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B911F8"/>
    <w:rsid w:val="001A2D2E"/>
    <w:rsid w:val="001D5097"/>
    <w:rsid w:val="00421159"/>
    <w:rsid w:val="00450AC2"/>
    <w:rsid w:val="004A0B0C"/>
    <w:rsid w:val="00615F8A"/>
    <w:rsid w:val="00702BCD"/>
    <w:rsid w:val="007A2B67"/>
    <w:rsid w:val="007F6BFC"/>
    <w:rsid w:val="00867740"/>
    <w:rsid w:val="00B7743C"/>
    <w:rsid w:val="00B84A60"/>
    <w:rsid w:val="00B911F8"/>
    <w:rsid w:val="00BE35AA"/>
    <w:rsid w:val="00F926EA"/>
    <w:rsid w:val="00F9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ABE9295"/>
  <w15:chartTrackingRefBased/>
  <w15:docId w15:val="{4D184707-900A-460E-AE0F-BD52AFEC8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pPr>
      <w:ind w:left="708"/>
    </w:pPr>
  </w:style>
  <w:style w:type="character" w:customStyle="1" w:styleId="lfejChar">
    <w:name w:val="Élőfej Char"/>
    <w:link w:val="lfej"/>
    <w:uiPriority w:val="99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val="en-GB" w:eastAsia="zh-CN"/>
    </w:rPr>
  </w:style>
  <w:style w:type="paragraph" w:customStyle="1" w:styleId="BodyText1">
    <w:name w:val="Body Text1"/>
    <w:basedOn w:val="Norml"/>
    <w:pPr>
      <w:widowControl w:val="0"/>
      <w:tabs>
        <w:tab w:val="clear" w:pos="567"/>
      </w:tabs>
      <w:autoSpaceDE w:val="0"/>
      <w:spacing w:before="60" w:line="200" w:lineRule="atLeast"/>
      <w:jc w:val="both"/>
    </w:pPr>
    <w:rPr>
      <w:rFonts w:eastAsia="Times New Roman"/>
      <w:snapToGrid/>
      <w:kern w:val="1"/>
      <w:sz w:val="24"/>
      <w:szCs w:val="24"/>
      <w:lang w:eastAsia="hu-HU" w:bidi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hu-HU" w:eastAsia="en-US"/>
    </w:rPr>
  </w:style>
  <w:style w:type="paragraph" w:customStyle="1" w:styleId="NoSpacing1">
    <w:name w:val="No Spacing1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65998-7AD7-4F17-B008-9F0B46DC8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27</Pages>
  <Words>8743</Words>
  <Characters>67362</Characters>
  <Application>Microsoft Office Word</Application>
  <DocSecurity>0</DocSecurity>
  <Lines>561</Lines>
  <Paragraphs>151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75954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cp:lastModifiedBy>HU OGYI 49.1</cp:lastModifiedBy>
  <cp:revision>4</cp:revision>
  <dcterms:created xsi:type="dcterms:W3CDTF">2026-02-17T07:38:00Z</dcterms:created>
  <dcterms:modified xsi:type="dcterms:W3CDTF">2026-03-17T09:39:00Z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