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D9F4" w14:textId="77777777" w:rsidR="00390D2B" w:rsidRPr="00390D2B" w:rsidRDefault="00525AD5" w:rsidP="00390D2B">
      <w:pPr>
        <w:pStyle w:val="Nincstrkz"/>
        <w:numPr>
          <w:ilvl w:val="0"/>
          <w:numId w:val="1"/>
        </w:numPr>
        <w:ind w:left="567" w:hanging="567"/>
        <w:rPr>
          <w:rFonts w:cs="Times New Roman"/>
          <w:b/>
        </w:rPr>
      </w:pPr>
      <w:r w:rsidRPr="00390D2B">
        <w:rPr>
          <w:rFonts w:cs="Times New Roman"/>
          <w:b/>
        </w:rPr>
        <w:t xml:space="preserve">A GYÓGYSZER NEVE </w:t>
      </w:r>
    </w:p>
    <w:p w14:paraId="7B513BBB" w14:textId="77777777" w:rsidR="00390D2B" w:rsidRDefault="00390D2B" w:rsidP="00052BDB">
      <w:pPr>
        <w:pStyle w:val="Nincstrkz"/>
        <w:rPr>
          <w:rFonts w:cs="Times New Roman"/>
        </w:rPr>
      </w:pPr>
    </w:p>
    <w:p w14:paraId="766D69D2" w14:textId="77777777" w:rsidR="00052BDB" w:rsidRDefault="00525AD5" w:rsidP="00390D2B">
      <w:pPr>
        <w:pStyle w:val="Nincstrkz"/>
        <w:rPr>
          <w:rFonts w:cs="Times New Roman"/>
        </w:rPr>
      </w:pPr>
      <w:bookmarkStart w:id="0" w:name="_Hlk534700562"/>
      <w:r>
        <w:rPr>
          <w:rFonts w:cs="Times New Roman"/>
        </w:rPr>
        <w:t>Sorafenib Teva</w:t>
      </w:r>
      <w:r w:rsidRPr="00525AD5">
        <w:rPr>
          <w:rFonts w:cs="Times New Roman"/>
        </w:rPr>
        <w:t xml:space="preserve"> 200</w:t>
      </w:r>
      <w:r w:rsidR="00390D2B">
        <w:rPr>
          <w:rFonts w:cs="Times New Roman"/>
        </w:rPr>
        <w:t> mg</w:t>
      </w:r>
      <w:r w:rsidRPr="00525AD5">
        <w:rPr>
          <w:rFonts w:cs="Times New Roman"/>
        </w:rPr>
        <w:t xml:space="preserve"> filmtabletta </w:t>
      </w:r>
    </w:p>
    <w:bookmarkEnd w:id="0"/>
    <w:p w14:paraId="5E8184EA" w14:textId="77777777" w:rsidR="00052BDB" w:rsidRDefault="00052BDB" w:rsidP="00390D2B">
      <w:pPr>
        <w:pStyle w:val="Nincstrkz"/>
        <w:rPr>
          <w:rFonts w:cs="Times New Roman"/>
        </w:rPr>
      </w:pPr>
    </w:p>
    <w:p w14:paraId="29D4E6F1" w14:textId="77777777" w:rsidR="00052BDB" w:rsidRDefault="00052BDB" w:rsidP="00390D2B">
      <w:pPr>
        <w:pStyle w:val="Nincstrkz"/>
        <w:rPr>
          <w:rFonts w:cs="Times New Roman"/>
        </w:rPr>
      </w:pPr>
    </w:p>
    <w:p w14:paraId="67AC6E89" w14:textId="77777777" w:rsidR="00052BDB" w:rsidRPr="00052BDB" w:rsidRDefault="00525AD5" w:rsidP="00052BDB">
      <w:pPr>
        <w:pStyle w:val="Nincstrkz"/>
        <w:numPr>
          <w:ilvl w:val="0"/>
          <w:numId w:val="1"/>
        </w:numPr>
        <w:ind w:left="567" w:hanging="567"/>
        <w:rPr>
          <w:rFonts w:cs="Times New Roman"/>
          <w:b/>
        </w:rPr>
      </w:pPr>
      <w:r w:rsidRPr="00052BDB">
        <w:rPr>
          <w:rFonts w:cs="Times New Roman"/>
          <w:b/>
        </w:rPr>
        <w:t xml:space="preserve">MINŐSÉGI ÉS MENNYISÉGI ÖSSZETÉTEL </w:t>
      </w:r>
    </w:p>
    <w:p w14:paraId="5D196671" w14:textId="77777777" w:rsidR="00052BDB" w:rsidRDefault="00052BDB" w:rsidP="00052BDB">
      <w:pPr>
        <w:pStyle w:val="Nincstrkz"/>
        <w:rPr>
          <w:rFonts w:cs="Times New Roman"/>
        </w:rPr>
      </w:pPr>
    </w:p>
    <w:p w14:paraId="327BF3BD" w14:textId="4AFF7C20" w:rsidR="00052BDB" w:rsidRDefault="00525AD5" w:rsidP="00052BDB">
      <w:pPr>
        <w:pStyle w:val="Nincstrkz"/>
        <w:rPr>
          <w:rFonts w:cs="Times New Roman"/>
        </w:rPr>
      </w:pPr>
      <w:bookmarkStart w:id="1" w:name="_Hlk534700612"/>
      <w:r w:rsidRPr="00525AD5">
        <w:rPr>
          <w:rFonts w:cs="Times New Roman"/>
        </w:rPr>
        <w:t>200</w:t>
      </w:r>
      <w:r w:rsidR="00390D2B">
        <w:rPr>
          <w:rFonts w:cs="Times New Roman"/>
        </w:rPr>
        <w:t> mg</w:t>
      </w:r>
      <w:r w:rsidRPr="00525AD5">
        <w:rPr>
          <w:rFonts w:cs="Times New Roman"/>
        </w:rPr>
        <w:t xml:space="preserve"> szorafenib</w:t>
      </w:r>
      <w:r w:rsidR="00525372">
        <w:rPr>
          <w:rFonts w:cs="Times New Roman"/>
        </w:rPr>
        <w:t>et tartalmaz</w:t>
      </w:r>
      <w:r w:rsidRPr="00525AD5">
        <w:rPr>
          <w:rFonts w:cs="Times New Roman"/>
        </w:rPr>
        <w:t xml:space="preserve"> filmtablettánként (tozilát formájában). </w:t>
      </w:r>
    </w:p>
    <w:bookmarkEnd w:id="1"/>
    <w:p w14:paraId="584268B5" w14:textId="77777777" w:rsidR="00052BDB" w:rsidRDefault="00052BDB" w:rsidP="00052BDB">
      <w:pPr>
        <w:pStyle w:val="Nincstrkz"/>
        <w:rPr>
          <w:rFonts w:cs="Times New Roman"/>
        </w:rPr>
      </w:pPr>
    </w:p>
    <w:p w14:paraId="6093F510" w14:textId="77777777" w:rsidR="00052BDB" w:rsidRDefault="00525AD5" w:rsidP="00052BDB">
      <w:pPr>
        <w:pStyle w:val="Nincstrkz"/>
        <w:rPr>
          <w:rFonts w:cs="Times New Roman"/>
        </w:rPr>
      </w:pPr>
      <w:r w:rsidRPr="00525AD5">
        <w:rPr>
          <w:rFonts w:cs="Times New Roman"/>
        </w:rPr>
        <w:t>A segédanyagok teljes listáját lásd a 6.1</w:t>
      </w:r>
      <w:r w:rsidR="00741668">
        <w:rPr>
          <w:rFonts w:cs="Times New Roman"/>
        </w:rPr>
        <w:t> pont</w:t>
      </w:r>
      <w:r w:rsidRPr="00525AD5">
        <w:rPr>
          <w:rFonts w:cs="Times New Roman"/>
        </w:rPr>
        <w:t xml:space="preserve">ban. </w:t>
      </w:r>
    </w:p>
    <w:p w14:paraId="272D3FFB" w14:textId="77777777" w:rsidR="00052BDB" w:rsidRDefault="00052BDB" w:rsidP="00052BDB">
      <w:pPr>
        <w:pStyle w:val="Nincstrkz"/>
        <w:rPr>
          <w:rFonts w:cs="Times New Roman"/>
        </w:rPr>
      </w:pPr>
    </w:p>
    <w:p w14:paraId="0DFC3982" w14:textId="77777777" w:rsidR="00052BDB" w:rsidRDefault="00052BDB" w:rsidP="00052BDB">
      <w:pPr>
        <w:pStyle w:val="Nincstrkz"/>
        <w:rPr>
          <w:rFonts w:cs="Times New Roman"/>
        </w:rPr>
      </w:pPr>
    </w:p>
    <w:p w14:paraId="2036E1FB" w14:textId="77777777" w:rsidR="00052BDB" w:rsidRPr="00052BDB" w:rsidRDefault="00525AD5" w:rsidP="00052BDB">
      <w:pPr>
        <w:pStyle w:val="Nincstrkz"/>
        <w:numPr>
          <w:ilvl w:val="0"/>
          <w:numId w:val="1"/>
        </w:numPr>
        <w:ind w:left="567" w:hanging="567"/>
        <w:rPr>
          <w:rFonts w:cs="Times New Roman"/>
          <w:b/>
        </w:rPr>
      </w:pPr>
      <w:r w:rsidRPr="00052BDB">
        <w:rPr>
          <w:rFonts w:cs="Times New Roman"/>
          <w:b/>
        </w:rPr>
        <w:t xml:space="preserve">GYÓGYSZERFORMA </w:t>
      </w:r>
    </w:p>
    <w:p w14:paraId="74882509" w14:textId="77777777" w:rsidR="00052BDB" w:rsidRDefault="00052BDB" w:rsidP="00052BDB">
      <w:pPr>
        <w:pStyle w:val="Nincstrkz"/>
        <w:rPr>
          <w:rFonts w:cs="Times New Roman"/>
        </w:rPr>
      </w:pPr>
    </w:p>
    <w:p w14:paraId="2601B5B8" w14:textId="77777777" w:rsidR="00052BDB" w:rsidRPr="00052BDB" w:rsidRDefault="00052BDB" w:rsidP="00052BDB">
      <w:pPr>
        <w:pStyle w:val="Nincstrkz"/>
        <w:rPr>
          <w:rFonts w:cs="Times New Roman"/>
        </w:rPr>
      </w:pPr>
      <w:r w:rsidRPr="00052BDB">
        <w:rPr>
          <w:rFonts w:cs="Times New Roman"/>
        </w:rPr>
        <w:t xml:space="preserve">Filmtabletta (tabletta). </w:t>
      </w:r>
    </w:p>
    <w:p w14:paraId="2AA5199B" w14:textId="77777777" w:rsidR="00052BDB" w:rsidRPr="00052BDB" w:rsidRDefault="00052BDB" w:rsidP="00052BDB">
      <w:pPr>
        <w:pStyle w:val="Nincstrkz"/>
        <w:rPr>
          <w:rFonts w:cs="Times New Roman"/>
        </w:rPr>
      </w:pPr>
    </w:p>
    <w:p w14:paraId="1AD406E8" w14:textId="79E91F18" w:rsidR="00052BDB" w:rsidRPr="00052BDB" w:rsidRDefault="00052BDB" w:rsidP="00052BDB">
      <w:pPr>
        <w:pStyle w:val="Nincstrkz"/>
        <w:rPr>
          <w:rFonts w:cs="Times New Roman"/>
        </w:rPr>
      </w:pPr>
      <w:bookmarkStart w:id="2" w:name="_Hlk534698523"/>
      <w:r>
        <w:rPr>
          <w:rFonts w:cs="Times New Roman"/>
        </w:rPr>
        <w:t xml:space="preserve">Rózsaszínű, </w:t>
      </w:r>
      <w:r w:rsidRPr="00052BDB">
        <w:rPr>
          <w:rFonts w:cs="Times New Roman"/>
        </w:rPr>
        <w:t xml:space="preserve">kerek, </w:t>
      </w:r>
      <w:r w:rsidR="00663400">
        <w:rPr>
          <w:rFonts w:cs="Times New Roman"/>
        </w:rPr>
        <w:t>mindkét oldalán domború</w:t>
      </w:r>
      <w:r w:rsidRPr="00052BDB">
        <w:rPr>
          <w:rFonts w:cs="Times New Roman"/>
        </w:rPr>
        <w:t xml:space="preserve"> filmtabletta, az egyik oldalán </w:t>
      </w:r>
      <w:r>
        <w:rPr>
          <w:rFonts w:cs="Times New Roman"/>
        </w:rPr>
        <w:t>„TV”</w:t>
      </w:r>
      <w:r w:rsidR="00741668">
        <w:rPr>
          <w:rFonts w:cs="Times New Roman"/>
        </w:rPr>
        <w:t xml:space="preserve">, </w:t>
      </w:r>
      <w:r w:rsidRPr="00052BDB">
        <w:rPr>
          <w:rFonts w:cs="Times New Roman"/>
        </w:rPr>
        <w:t>a másikon „</w:t>
      </w:r>
      <w:r w:rsidR="00741668">
        <w:rPr>
          <w:rFonts w:cs="Times New Roman"/>
        </w:rPr>
        <w:t>S3</w:t>
      </w:r>
      <w:r w:rsidRPr="00052BDB">
        <w:rPr>
          <w:rFonts w:cs="Times New Roman"/>
        </w:rPr>
        <w:t xml:space="preserve">” </w:t>
      </w:r>
      <w:r w:rsidR="00741668">
        <w:rPr>
          <w:rFonts w:cs="Times New Roman"/>
        </w:rPr>
        <w:t>mélynyomású jel</w:t>
      </w:r>
      <w:r w:rsidR="00335F81">
        <w:rPr>
          <w:rFonts w:cs="Times New Roman"/>
        </w:rPr>
        <w:t>öléssel</w:t>
      </w:r>
      <w:r w:rsidRPr="00052BDB">
        <w:rPr>
          <w:rFonts w:cs="Times New Roman"/>
        </w:rPr>
        <w:t xml:space="preserve">. </w:t>
      </w:r>
    </w:p>
    <w:p w14:paraId="5319C394" w14:textId="77777777" w:rsidR="00052BDB" w:rsidRDefault="00741668" w:rsidP="00052BDB">
      <w:pPr>
        <w:pStyle w:val="Nincstrkz"/>
        <w:rPr>
          <w:rFonts w:cs="Times New Roman"/>
        </w:rPr>
      </w:pPr>
      <w:r>
        <w:rPr>
          <w:rFonts w:cs="Times New Roman"/>
        </w:rPr>
        <w:t>Mérete: Körülbelül 11 mm átmér</w:t>
      </w:r>
      <w:r w:rsidR="00335F81">
        <w:rPr>
          <w:rFonts w:cs="Times New Roman"/>
        </w:rPr>
        <w:t>ő</w:t>
      </w:r>
      <w:r>
        <w:rPr>
          <w:rFonts w:cs="Times New Roman"/>
        </w:rPr>
        <w:t>jű.</w:t>
      </w:r>
    </w:p>
    <w:bookmarkEnd w:id="2"/>
    <w:p w14:paraId="1E70E1AE" w14:textId="77777777" w:rsidR="00741668" w:rsidRPr="00052BDB" w:rsidRDefault="00741668" w:rsidP="00052BDB">
      <w:pPr>
        <w:pStyle w:val="Nincstrkz"/>
        <w:rPr>
          <w:rFonts w:cs="Times New Roman"/>
        </w:rPr>
      </w:pPr>
    </w:p>
    <w:p w14:paraId="6B8E8CAD" w14:textId="77777777" w:rsidR="00052BDB" w:rsidRPr="00052BDB" w:rsidRDefault="00052BDB" w:rsidP="00052BDB">
      <w:pPr>
        <w:pStyle w:val="Nincstrkz"/>
        <w:rPr>
          <w:rFonts w:cs="Times New Roman"/>
        </w:rPr>
      </w:pPr>
    </w:p>
    <w:p w14:paraId="56B7B917" w14:textId="68CD6C42" w:rsidR="00052BDB" w:rsidRPr="00052BDB" w:rsidRDefault="00052BDB" w:rsidP="00052BDB">
      <w:pPr>
        <w:pStyle w:val="Nincstrkz"/>
        <w:tabs>
          <w:tab w:val="left" w:pos="567"/>
        </w:tabs>
        <w:rPr>
          <w:rFonts w:cs="Times New Roman"/>
          <w:b/>
        </w:rPr>
      </w:pPr>
      <w:r w:rsidRPr="00052BDB">
        <w:rPr>
          <w:rFonts w:cs="Times New Roman"/>
          <w:b/>
        </w:rPr>
        <w:t>4.</w:t>
      </w:r>
      <w:r>
        <w:rPr>
          <w:rFonts w:cs="Times New Roman"/>
          <w:b/>
        </w:rPr>
        <w:tab/>
      </w:r>
      <w:r w:rsidR="005779BE">
        <w:rPr>
          <w:rFonts w:cs="Times New Roman"/>
          <w:b/>
        </w:rPr>
        <w:t>KLINIKAI JELLEMZŐK</w:t>
      </w:r>
    </w:p>
    <w:p w14:paraId="61448517" w14:textId="77777777" w:rsidR="00052BDB" w:rsidRPr="00052BDB" w:rsidRDefault="00052BDB" w:rsidP="00052BDB">
      <w:pPr>
        <w:pStyle w:val="Nincstrkz"/>
        <w:rPr>
          <w:rFonts w:cs="Times New Roman"/>
        </w:rPr>
      </w:pPr>
    </w:p>
    <w:p w14:paraId="1CB2A61D" w14:textId="2BBF080E" w:rsidR="00052BDB" w:rsidRPr="00052BDB" w:rsidRDefault="00052BDB" w:rsidP="00052BDB">
      <w:pPr>
        <w:pStyle w:val="Nincstrkz"/>
        <w:tabs>
          <w:tab w:val="left" w:pos="567"/>
        </w:tabs>
        <w:rPr>
          <w:rFonts w:cs="Times New Roman"/>
          <w:b/>
        </w:rPr>
      </w:pPr>
      <w:r w:rsidRPr="00052BDB">
        <w:rPr>
          <w:rFonts w:cs="Times New Roman"/>
          <w:b/>
        </w:rPr>
        <w:t>4.1</w:t>
      </w:r>
      <w:r>
        <w:rPr>
          <w:rFonts w:cs="Times New Roman"/>
          <w:b/>
        </w:rPr>
        <w:tab/>
      </w:r>
      <w:r w:rsidRPr="00052BDB">
        <w:rPr>
          <w:rFonts w:cs="Times New Roman"/>
          <w:b/>
        </w:rPr>
        <w:t xml:space="preserve">Terápiás javallatok </w:t>
      </w:r>
    </w:p>
    <w:p w14:paraId="0C9B6973" w14:textId="77777777" w:rsidR="00052BDB" w:rsidRPr="00052BDB" w:rsidRDefault="00052BDB" w:rsidP="00052BDB">
      <w:pPr>
        <w:pStyle w:val="Nincstrkz"/>
        <w:rPr>
          <w:rFonts w:cs="Times New Roman"/>
        </w:rPr>
      </w:pPr>
    </w:p>
    <w:p w14:paraId="41291C1F" w14:textId="77777777" w:rsidR="00052BDB" w:rsidRPr="00741668" w:rsidRDefault="00052BDB" w:rsidP="00052BDB">
      <w:pPr>
        <w:pStyle w:val="Nincstrkz"/>
        <w:rPr>
          <w:rFonts w:cs="Times New Roman"/>
          <w:u w:val="single"/>
        </w:rPr>
      </w:pPr>
      <w:r w:rsidRPr="00741668">
        <w:rPr>
          <w:rFonts w:cs="Times New Roman"/>
          <w:u w:val="single"/>
        </w:rPr>
        <w:t xml:space="preserve">Hepatocellularis carcinoma </w:t>
      </w:r>
    </w:p>
    <w:p w14:paraId="6128A5B4" w14:textId="77777777" w:rsidR="00052BDB" w:rsidRPr="00052BDB" w:rsidRDefault="00052BDB" w:rsidP="00052BDB">
      <w:pPr>
        <w:pStyle w:val="Nincstrkz"/>
        <w:rPr>
          <w:rFonts w:cs="Times New Roman"/>
        </w:rPr>
      </w:pPr>
    </w:p>
    <w:p w14:paraId="6F69DF6D" w14:textId="7F5AE7E8" w:rsidR="00052BDB" w:rsidRPr="00052BDB" w:rsidRDefault="00052BDB" w:rsidP="00052BDB">
      <w:pPr>
        <w:pStyle w:val="Nincstrkz"/>
        <w:rPr>
          <w:rFonts w:cs="Times New Roman"/>
        </w:rPr>
      </w:pPr>
      <w:r w:rsidRPr="00052BDB">
        <w:rPr>
          <w:rFonts w:cs="Times New Roman"/>
        </w:rPr>
        <w:t xml:space="preserve">A </w:t>
      </w:r>
      <w:r w:rsidR="00741668">
        <w:rPr>
          <w:rFonts w:cs="Times New Roman"/>
        </w:rPr>
        <w:t>Sorafenib Teva</w:t>
      </w:r>
      <w:r w:rsidR="00741668" w:rsidRPr="00525AD5">
        <w:rPr>
          <w:rFonts w:cs="Times New Roman"/>
        </w:rPr>
        <w:t xml:space="preserve"> </w:t>
      </w:r>
      <w:r w:rsidR="00663400">
        <w:rPr>
          <w:rFonts w:cs="Times New Roman"/>
        </w:rPr>
        <w:t>hepatocellularis</w:t>
      </w:r>
      <w:r w:rsidRPr="00052BDB">
        <w:rPr>
          <w:rFonts w:cs="Times New Roman"/>
        </w:rPr>
        <w:t xml:space="preserve"> </w:t>
      </w:r>
      <w:r w:rsidR="00741668">
        <w:rPr>
          <w:rFonts w:cs="Times New Roman"/>
        </w:rPr>
        <w:t>carcinoma</w:t>
      </w:r>
      <w:r w:rsidRPr="00052BDB">
        <w:rPr>
          <w:rFonts w:cs="Times New Roman"/>
        </w:rPr>
        <w:t xml:space="preserve"> kezelésére java</w:t>
      </w:r>
      <w:r w:rsidR="00741668">
        <w:rPr>
          <w:rFonts w:cs="Times New Roman"/>
        </w:rPr>
        <w:t>llott</w:t>
      </w:r>
      <w:r w:rsidRPr="00052BDB">
        <w:rPr>
          <w:rFonts w:cs="Times New Roman"/>
        </w:rPr>
        <w:t xml:space="preserve"> (lásd 5.1</w:t>
      </w:r>
      <w:r w:rsidR="00741668">
        <w:rPr>
          <w:rFonts w:cs="Times New Roman"/>
        </w:rPr>
        <w:t> pont</w:t>
      </w:r>
      <w:r w:rsidRPr="00052BDB">
        <w:rPr>
          <w:rFonts w:cs="Times New Roman"/>
        </w:rPr>
        <w:t xml:space="preserve">). </w:t>
      </w:r>
    </w:p>
    <w:p w14:paraId="4BAD4E29" w14:textId="77777777" w:rsidR="00052BDB" w:rsidRPr="00052BDB" w:rsidRDefault="00052BDB" w:rsidP="00052BDB">
      <w:pPr>
        <w:pStyle w:val="Nincstrkz"/>
        <w:rPr>
          <w:rFonts w:cs="Times New Roman"/>
        </w:rPr>
      </w:pPr>
    </w:p>
    <w:p w14:paraId="529C5495" w14:textId="77777777" w:rsidR="00052BDB" w:rsidRPr="00741668" w:rsidRDefault="00052BDB" w:rsidP="00052BDB">
      <w:pPr>
        <w:pStyle w:val="Nincstrkz"/>
        <w:rPr>
          <w:rFonts w:cs="Times New Roman"/>
          <w:u w:val="single"/>
        </w:rPr>
      </w:pPr>
      <w:r w:rsidRPr="00741668">
        <w:rPr>
          <w:rFonts w:cs="Times New Roman"/>
          <w:u w:val="single"/>
        </w:rPr>
        <w:t xml:space="preserve">Vesesejtes carcinoma </w:t>
      </w:r>
    </w:p>
    <w:p w14:paraId="5265C23A" w14:textId="77777777" w:rsidR="00052BDB" w:rsidRPr="00052BDB" w:rsidRDefault="00052BDB" w:rsidP="00052BDB">
      <w:pPr>
        <w:pStyle w:val="Nincstrkz"/>
        <w:rPr>
          <w:rFonts w:cs="Times New Roman"/>
        </w:rPr>
      </w:pPr>
    </w:p>
    <w:p w14:paraId="24D90CB4" w14:textId="77777777" w:rsidR="00052BDB" w:rsidRPr="00052BDB" w:rsidRDefault="00052BDB" w:rsidP="00052BDB">
      <w:pPr>
        <w:pStyle w:val="Nincstrkz"/>
        <w:rPr>
          <w:rFonts w:cs="Times New Roman"/>
        </w:rPr>
      </w:pPr>
      <w:r w:rsidRPr="00052BDB">
        <w:rPr>
          <w:rFonts w:cs="Times New Roman"/>
        </w:rPr>
        <w:t xml:space="preserve">A </w:t>
      </w:r>
      <w:r w:rsidR="00741668">
        <w:rPr>
          <w:rFonts w:cs="Times New Roman"/>
        </w:rPr>
        <w:t>Sorafenib Teva</w:t>
      </w:r>
      <w:r w:rsidR="00741668" w:rsidRPr="00525AD5">
        <w:rPr>
          <w:rFonts w:cs="Times New Roman"/>
        </w:rPr>
        <w:t xml:space="preserve"> </w:t>
      </w:r>
      <w:r w:rsidRPr="00052BDB">
        <w:rPr>
          <w:rFonts w:cs="Times New Roman"/>
        </w:rPr>
        <w:t>olyan, előrehaladott stádiumban lévő vesesejtes carcinomában szenvedő betegek kezelésére java</w:t>
      </w:r>
      <w:r w:rsidR="00741668">
        <w:rPr>
          <w:rFonts w:cs="Times New Roman"/>
        </w:rPr>
        <w:t>llott</w:t>
      </w:r>
      <w:r w:rsidRPr="00052BDB">
        <w:rPr>
          <w:rFonts w:cs="Times New Roman"/>
        </w:rPr>
        <w:t xml:space="preserve">, akiknél a korábbi interferon-alfa, illetve interleukin-2 alapú terápia hatástalan volt, </w:t>
      </w:r>
      <w:r w:rsidR="00335F81">
        <w:rPr>
          <w:rFonts w:cs="Times New Roman"/>
        </w:rPr>
        <w:t>vagy</w:t>
      </w:r>
      <w:r w:rsidRPr="00052BDB">
        <w:rPr>
          <w:rFonts w:cs="Times New Roman"/>
        </w:rPr>
        <w:t xml:space="preserve"> akik ilyen kezelésre alkalmatlannak tekinthetők. </w:t>
      </w:r>
    </w:p>
    <w:p w14:paraId="35C922DE" w14:textId="77777777" w:rsidR="00052BDB" w:rsidRDefault="00052BDB" w:rsidP="00052BDB">
      <w:pPr>
        <w:pStyle w:val="Nincstrkz"/>
        <w:rPr>
          <w:rFonts w:cs="Times New Roman"/>
        </w:rPr>
      </w:pPr>
    </w:p>
    <w:p w14:paraId="73E95E72" w14:textId="77777777" w:rsidR="00104C1A" w:rsidRPr="00104C1A" w:rsidRDefault="00104C1A" w:rsidP="00104C1A">
      <w:pPr>
        <w:pStyle w:val="Nincstrkz"/>
        <w:rPr>
          <w:rFonts w:cs="Times New Roman"/>
        </w:rPr>
      </w:pPr>
      <w:r w:rsidRPr="00104C1A">
        <w:rPr>
          <w:rFonts w:cs="Times New Roman"/>
        </w:rPr>
        <w:t>Differenciált pajzsmirigy carcinoma</w:t>
      </w:r>
    </w:p>
    <w:p w14:paraId="7F39F728" w14:textId="758B075E" w:rsidR="00104C1A" w:rsidRDefault="00104C1A" w:rsidP="00104C1A">
      <w:pPr>
        <w:pStyle w:val="Nincstrkz"/>
        <w:rPr>
          <w:rFonts w:cs="Times New Roman"/>
        </w:rPr>
      </w:pPr>
      <w:r w:rsidRPr="00104C1A">
        <w:rPr>
          <w:rFonts w:cs="Times New Roman"/>
        </w:rPr>
        <w:t xml:space="preserve">A </w:t>
      </w:r>
      <w:r>
        <w:rPr>
          <w:rFonts w:cs="Times New Roman"/>
        </w:rPr>
        <w:t>Sorafenib Teva</w:t>
      </w:r>
      <w:r w:rsidRPr="00104C1A">
        <w:rPr>
          <w:rFonts w:cs="Times New Roman"/>
        </w:rPr>
        <w:t xml:space="preserve"> progresszív, lokálisan előrehaladott vagy áttétes, differenciált (papillaris/follicularis/Hürthle-sejtes) pajzsmirigy carcinomában szenvedő betegek kezelésére javasolt, akik refrakterek a radioaktív jódkezelésre.</w:t>
      </w:r>
    </w:p>
    <w:p w14:paraId="3F4B683B" w14:textId="77777777" w:rsidR="00104C1A" w:rsidRPr="00052BDB" w:rsidRDefault="00104C1A" w:rsidP="00104C1A">
      <w:pPr>
        <w:pStyle w:val="Nincstrkz"/>
        <w:rPr>
          <w:rFonts w:cs="Times New Roman"/>
        </w:rPr>
      </w:pPr>
    </w:p>
    <w:p w14:paraId="004B7173" w14:textId="5AA4C006" w:rsidR="00052BDB" w:rsidRPr="00B97DE9" w:rsidRDefault="00052BDB" w:rsidP="00B97DE9">
      <w:pPr>
        <w:pStyle w:val="Nincstrkz"/>
        <w:tabs>
          <w:tab w:val="left" w:pos="567"/>
        </w:tabs>
        <w:rPr>
          <w:rFonts w:cs="Times New Roman"/>
          <w:b/>
        </w:rPr>
      </w:pPr>
      <w:r w:rsidRPr="00B97DE9">
        <w:rPr>
          <w:rFonts w:cs="Times New Roman"/>
          <w:b/>
        </w:rPr>
        <w:t>4.2</w:t>
      </w:r>
      <w:r w:rsidR="00B97DE9">
        <w:rPr>
          <w:rFonts w:cs="Times New Roman"/>
          <w:b/>
        </w:rPr>
        <w:tab/>
      </w:r>
      <w:r w:rsidRPr="00B97DE9">
        <w:rPr>
          <w:rFonts w:cs="Times New Roman"/>
          <w:b/>
        </w:rPr>
        <w:t>Adagolás és alkalmazás</w:t>
      </w:r>
    </w:p>
    <w:p w14:paraId="694BF13D" w14:textId="77777777" w:rsidR="00B97DE9" w:rsidRDefault="00B97DE9" w:rsidP="00052BDB">
      <w:pPr>
        <w:pStyle w:val="Nincstrkz"/>
        <w:rPr>
          <w:rFonts w:cs="Times New Roman"/>
        </w:rPr>
      </w:pPr>
    </w:p>
    <w:p w14:paraId="21728E4D" w14:textId="77777777" w:rsidR="00B97DE9" w:rsidRPr="00B97DE9" w:rsidRDefault="00B97DE9" w:rsidP="00B97DE9">
      <w:pPr>
        <w:pStyle w:val="Nincstrkz"/>
        <w:rPr>
          <w:rFonts w:cs="Times New Roman"/>
        </w:rPr>
      </w:pPr>
      <w:r w:rsidRPr="00B97DE9">
        <w:rPr>
          <w:rFonts w:cs="Times New Roman"/>
        </w:rPr>
        <w:t xml:space="preserve">A </w:t>
      </w:r>
      <w:r>
        <w:rPr>
          <w:rFonts w:cs="Times New Roman"/>
        </w:rPr>
        <w:t>Sorafenib Teva</w:t>
      </w:r>
      <w:r w:rsidRPr="00B97DE9">
        <w:rPr>
          <w:rFonts w:cs="Times New Roman"/>
        </w:rPr>
        <w:t>-kezelés</w:t>
      </w:r>
      <w:r>
        <w:rPr>
          <w:rFonts w:cs="Times New Roman"/>
        </w:rPr>
        <w:t>t</w:t>
      </w:r>
      <w:r w:rsidRPr="00B97DE9">
        <w:rPr>
          <w:rFonts w:cs="Times New Roman"/>
        </w:rPr>
        <w:t xml:space="preserve"> a daganatellenes terápiák alkalmazásában jártas orvos</w:t>
      </w:r>
      <w:r>
        <w:rPr>
          <w:rFonts w:cs="Times New Roman"/>
        </w:rPr>
        <w:t>nak kell</w:t>
      </w:r>
      <w:r w:rsidRPr="00B97DE9">
        <w:rPr>
          <w:rFonts w:cs="Times New Roman"/>
        </w:rPr>
        <w:t xml:space="preserve"> felügyel</w:t>
      </w:r>
      <w:r>
        <w:rPr>
          <w:rFonts w:cs="Times New Roman"/>
        </w:rPr>
        <w:t>nie</w:t>
      </w:r>
      <w:r w:rsidRPr="00B97DE9">
        <w:rPr>
          <w:rFonts w:cs="Times New Roman"/>
        </w:rPr>
        <w:t xml:space="preserve">. </w:t>
      </w:r>
    </w:p>
    <w:p w14:paraId="42C9D95E" w14:textId="77777777" w:rsidR="00B97DE9" w:rsidRPr="00B97DE9" w:rsidRDefault="00B97DE9" w:rsidP="00B97DE9">
      <w:pPr>
        <w:pStyle w:val="Nincstrkz"/>
        <w:rPr>
          <w:rFonts w:cs="Times New Roman"/>
        </w:rPr>
      </w:pPr>
    </w:p>
    <w:p w14:paraId="54A4CA3B" w14:textId="77777777" w:rsidR="00B97DE9" w:rsidRPr="00B97DE9" w:rsidRDefault="00B97DE9" w:rsidP="00B97DE9">
      <w:pPr>
        <w:pStyle w:val="Nincstrkz"/>
        <w:rPr>
          <w:rFonts w:cs="Times New Roman"/>
          <w:u w:val="single"/>
        </w:rPr>
      </w:pPr>
      <w:r w:rsidRPr="00B97DE9">
        <w:rPr>
          <w:rFonts w:cs="Times New Roman"/>
          <w:u w:val="single"/>
        </w:rPr>
        <w:t xml:space="preserve">Adagolás </w:t>
      </w:r>
    </w:p>
    <w:p w14:paraId="50EF2687" w14:textId="77777777" w:rsidR="00B97DE9" w:rsidRPr="00B97DE9" w:rsidRDefault="00B97DE9" w:rsidP="00B97DE9">
      <w:pPr>
        <w:pStyle w:val="Nincstrkz"/>
        <w:rPr>
          <w:rFonts w:cs="Times New Roman"/>
        </w:rPr>
      </w:pPr>
    </w:p>
    <w:p w14:paraId="01A5F4DE" w14:textId="1CBD9C41" w:rsidR="00B97DE9" w:rsidRPr="00B97DE9" w:rsidRDefault="00B97DE9" w:rsidP="00B97DE9">
      <w:pPr>
        <w:pStyle w:val="Nincstrkz"/>
        <w:rPr>
          <w:rFonts w:cs="Times New Roman"/>
        </w:rPr>
      </w:pPr>
      <w:r w:rsidRPr="00B97DE9">
        <w:rPr>
          <w:rFonts w:cs="Times New Roman"/>
        </w:rPr>
        <w:t xml:space="preserve">A </w:t>
      </w:r>
      <w:r>
        <w:rPr>
          <w:rFonts w:cs="Times New Roman"/>
        </w:rPr>
        <w:t>Sorafenib Teva</w:t>
      </w:r>
      <w:r w:rsidRPr="00525AD5">
        <w:rPr>
          <w:rFonts w:cs="Times New Roman"/>
        </w:rPr>
        <w:t xml:space="preserve"> </w:t>
      </w:r>
      <w:r w:rsidRPr="00B97DE9">
        <w:rPr>
          <w:rFonts w:cs="Times New Roman"/>
        </w:rPr>
        <w:t xml:space="preserve">javasolt </w:t>
      </w:r>
      <w:r w:rsidR="004F469E">
        <w:rPr>
          <w:rFonts w:cs="Times New Roman"/>
        </w:rPr>
        <w:t>dózis</w:t>
      </w:r>
      <w:r w:rsidRPr="00B97DE9">
        <w:rPr>
          <w:rFonts w:cs="Times New Roman"/>
        </w:rPr>
        <w:t>a felnőtteknek 400</w:t>
      </w:r>
      <w:r>
        <w:rPr>
          <w:rFonts w:cs="Times New Roman"/>
        </w:rPr>
        <w:t> </w:t>
      </w:r>
      <w:r w:rsidRPr="00B97DE9">
        <w:rPr>
          <w:rFonts w:cs="Times New Roman"/>
        </w:rPr>
        <w:t>mg szorafenib (két darab 200</w:t>
      </w:r>
      <w:r>
        <w:rPr>
          <w:rFonts w:cs="Times New Roman"/>
        </w:rPr>
        <w:t> </w:t>
      </w:r>
      <w:r w:rsidRPr="00B97DE9">
        <w:rPr>
          <w:rFonts w:cs="Times New Roman"/>
        </w:rPr>
        <w:t>mg-os tabletta) naponta kétszer (amely összesen napi 800</w:t>
      </w:r>
      <w:r>
        <w:rPr>
          <w:rFonts w:cs="Times New Roman"/>
        </w:rPr>
        <w:t> </w:t>
      </w:r>
      <w:r w:rsidRPr="00B97DE9">
        <w:rPr>
          <w:rFonts w:cs="Times New Roman"/>
        </w:rPr>
        <w:t xml:space="preserve">mg </w:t>
      </w:r>
      <w:r w:rsidR="004F469E">
        <w:rPr>
          <w:rFonts w:cs="Times New Roman"/>
        </w:rPr>
        <w:t>dózis</w:t>
      </w:r>
      <w:r w:rsidRPr="00B97DE9">
        <w:rPr>
          <w:rFonts w:cs="Times New Roman"/>
        </w:rPr>
        <w:t xml:space="preserve">nak felel meg). </w:t>
      </w:r>
    </w:p>
    <w:p w14:paraId="56AFAABC" w14:textId="77777777" w:rsidR="00B97DE9" w:rsidRPr="00B97DE9" w:rsidRDefault="00B97DE9" w:rsidP="00B97DE9">
      <w:pPr>
        <w:pStyle w:val="Nincstrkz"/>
        <w:rPr>
          <w:rFonts w:cs="Times New Roman"/>
        </w:rPr>
      </w:pPr>
    </w:p>
    <w:p w14:paraId="2C35D015" w14:textId="77777777" w:rsidR="00B97DE9" w:rsidRDefault="00B97DE9" w:rsidP="00B97DE9">
      <w:pPr>
        <w:pStyle w:val="Nincstrkz"/>
        <w:rPr>
          <w:rFonts w:cs="Times New Roman"/>
        </w:rPr>
      </w:pPr>
      <w:r w:rsidRPr="00B97DE9">
        <w:rPr>
          <w:rFonts w:cs="Times New Roman"/>
        </w:rPr>
        <w:t xml:space="preserve">A kezelést addig kell folytatni, amíg klinikailag kedvező hatású, illetve amíg </w:t>
      </w:r>
      <w:r>
        <w:rPr>
          <w:rFonts w:cs="Times New Roman"/>
        </w:rPr>
        <w:t>el</w:t>
      </w:r>
      <w:r w:rsidR="00642A8B">
        <w:rPr>
          <w:rFonts w:cs="Times New Roman"/>
        </w:rPr>
        <w:t xml:space="preserve">fogadhatatlan </w:t>
      </w:r>
      <w:r w:rsidRPr="00B97DE9">
        <w:rPr>
          <w:rFonts w:cs="Times New Roman"/>
        </w:rPr>
        <w:t xml:space="preserve">toxicitás </w:t>
      </w:r>
      <w:r w:rsidR="00642A8B">
        <w:rPr>
          <w:rFonts w:cs="Times New Roman"/>
        </w:rPr>
        <w:t xml:space="preserve">nem </w:t>
      </w:r>
      <w:r w:rsidRPr="00B97DE9">
        <w:rPr>
          <w:rFonts w:cs="Times New Roman"/>
        </w:rPr>
        <w:t>lép fel.</w:t>
      </w:r>
    </w:p>
    <w:p w14:paraId="277C7625" w14:textId="77777777" w:rsidR="001E0A51" w:rsidRDefault="001E0A51" w:rsidP="00B97DE9">
      <w:pPr>
        <w:pStyle w:val="Nincstrkz"/>
        <w:rPr>
          <w:rFonts w:cs="Times New Roman"/>
        </w:rPr>
      </w:pPr>
    </w:p>
    <w:p w14:paraId="6CCD2BFA" w14:textId="77777777" w:rsidR="00642A8B" w:rsidRPr="00642A8B" w:rsidRDefault="00525AD5" w:rsidP="00052BDB">
      <w:pPr>
        <w:pStyle w:val="Nincstrkz"/>
        <w:rPr>
          <w:rFonts w:cs="Times New Roman"/>
          <w:u w:val="single"/>
        </w:rPr>
      </w:pPr>
      <w:r w:rsidRPr="00642A8B">
        <w:rPr>
          <w:rFonts w:cs="Times New Roman"/>
          <w:u w:val="single"/>
        </w:rPr>
        <w:t xml:space="preserve">Az adagolás módosítása </w:t>
      </w:r>
    </w:p>
    <w:p w14:paraId="161CFB0D" w14:textId="77777777" w:rsidR="00642A8B" w:rsidRDefault="00642A8B" w:rsidP="00052BDB">
      <w:pPr>
        <w:pStyle w:val="Nincstrkz"/>
        <w:rPr>
          <w:rFonts w:cs="Times New Roman"/>
        </w:rPr>
      </w:pPr>
    </w:p>
    <w:p w14:paraId="70D7E47B" w14:textId="3BF9BFA2" w:rsidR="00642A8B" w:rsidRDefault="00525AD5" w:rsidP="00052BDB">
      <w:pPr>
        <w:pStyle w:val="Nincstrkz"/>
        <w:rPr>
          <w:rFonts w:cs="Times New Roman"/>
        </w:rPr>
      </w:pPr>
      <w:r w:rsidRPr="00525AD5">
        <w:rPr>
          <w:rFonts w:cs="Times New Roman"/>
        </w:rPr>
        <w:t xml:space="preserve">A feltételezett </w:t>
      </w:r>
      <w:r w:rsidR="00642A8B">
        <w:rPr>
          <w:rFonts w:cs="Times New Roman"/>
        </w:rPr>
        <w:t>gyógyszer-</w:t>
      </w:r>
      <w:r w:rsidRPr="00525AD5">
        <w:rPr>
          <w:rFonts w:cs="Times New Roman"/>
        </w:rPr>
        <w:t xml:space="preserve">mellékhatások </w:t>
      </w:r>
      <w:r w:rsidR="00642A8B">
        <w:rPr>
          <w:rFonts w:cs="Times New Roman"/>
        </w:rPr>
        <w:t>kezelése érdekében</w:t>
      </w:r>
      <w:r w:rsidRPr="00525AD5">
        <w:rPr>
          <w:rFonts w:cs="Times New Roman"/>
        </w:rPr>
        <w:t xml:space="preserve"> szükségessé válhat a szorafenib-</w:t>
      </w:r>
      <w:r w:rsidR="00642A8B">
        <w:rPr>
          <w:rFonts w:cs="Times New Roman"/>
        </w:rPr>
        <w:t>terápia</w:t>
      </w:r>
      <w:r w:rsidRPr="00525AD5">
        <w:rPr>
          <w:rFonts w:cs="Times New Roman"/>
        </w:rPr>
        <w:t xml:space="preserve"> átmeneti felfüggesztése vagy a </w:t>
      </w:r>
      <w:r w:rsidR="004F469E">
        <w:rPr>
          <w:rFonts w:cs="Times New Roman"/>
        </w:rPr>
        <w:t>dózis</w:t>
      </w:r>
      <w:r w:rsidRPr="00525AD5">
        <w:rPr>
          <w:rFonts w:cs="Times New Roman"/>
        </w:rPr>
        <w:t xml:space="preserve"> csökkentése. </w:t>
      </w:r>
    </w:p>
    <w:p w14:paraId="25653CD2" w14:textId="77777777" w:rsidR="00642A8B" w:rsidRDefault="00642A8B" w:rsidP="00052BDB">
      <w:pPr>
        <w:pStyle w:val="Nincstrkz"/>
        <w:rPr>
          <w:rFonts w:cs="Times New Roman"/>
        </w:rPr>
      </w:pPr>
    </w:p>
    <w:p w14:paraId="37DAFAC3" w14:textId="77777777" w:rsidR="00642A8B" w:rsidRDefault="00525AD5" w:rsidP="00052BDB">
      <w:pPr>
        <w:pStyle w:val="Nincstrkz"/>
        <w:rPr>
          <w:rFonts w:cs="Times New Roman"/>
        </w:rPr>
      </w:pPr>
      <w:r w:rsidRPr="00525AD5">
        <w:rPr>
          <w:rFonts w:cs="Times New Roman"/>
        </w:rPr>
        <w:lastRenderedPageBreak/>
        <w:t xml:space="preserve">Amennyiben a hepatocellularis carcinoma (HCC) és előrehaladott vesesejtes carcinoma (RCC) kezelése során </w:t>
      </w:r>
      <w:r w:rsidR="00642A8B" w:rsidRPr="00525AD5">
        <w:rPr>
          <w:rFonts w:cs="Times New Roman"/>
        </w:rPr>
        <w:t xml:space="preserve">szükséges </w:t>
      </w:r>
      <w:r w:rsidR="00642A8B">
        <w:rPr>
          <w:rFonts w:cs="Times New Roman"/>
        </w:rPr>
        <w:t xml:space="preserve">a </w:t>
      </w:r>
      <w:r w:rsidRPr="00525AD5">
        <w:rPr>
          <w:rFonts w:cs="Times New Roman"/>
        </w:rPr>
        <w:t xml:space="preserve">dóziscsökkentés, a </w:t>
      </w:r>
      <w:r>
        <w:rPr>
          <w:rFonts w:cs="Times New Roman"/>
        </w:rPr>
        <w:t>Sorafenib Teva</w:t>
      </w:r>
      <w:r w:rsidRPr="00525AD5">
        <w:rPr>
          <w:rFonts w:cs="Times New Roman"/>
        </w:rPr>
        <w:t xml:space="preserve"> adagját naponta egyszer adott két darab 200</w:t>
      </w:r>
      <w:r w:rsidR="00390D2B">
        <w:rPr>
          <w:rFonts w:cs="Times New Roman"/>
        </w:rPr>
        <w:t> mg</w:t>
      </w:r>
      <w:r w:rsidRPr="00525AD5">
        <w:rPr>
          <w:rFonts w:cs="Times New Roman"/>
        </w:rPr>
        <w:t>-os szorafenib tablettára kell csökkenteni (lásd 4.4</w:t>
      </w:r>
      <w:r w:rsidR="00741668">
        <w:rPr>
          <w:rFonts w:cs="Times New Roman"/>
        </w:rPr>
        <w:t> pont</w:t>
      </w:r>
      <w:r w:rsidRPr="00525AD5">
        <w:rPr>
          <w:rFonts w:cs="Times New Roman"/>
        </w:rPr>
        <w:t xml:space="preserve">). </w:t>
      </w:r>
    </w:p>
    <w:p w14:paraId="66D2E6B3" w14:textId="77777777" w:rsidR="00642A8B" w:rsidRDefault="00642A8B" w:rsidP="00052BDB">
      <w:pPr>
        <w:pStyle w:val="Nincstrkz"/>
        <w:rPr>
          <w:rFonts w:cs="Times New Roman"/>
        </w:rPr>
      </w:pPr>
    </w:p>
    <w:p w14:paraId="2D5474E8" w14:textId="10787AFD" w:rsidR="00104C1A" w:rsidRDefault="00104C1A" w:rsidP="00052BDB">
      <w:pPr>
        <w:pStyle w:val="Nincstrkz"/>
        <w:rPr>
          <w:rFonts w:cs="Times New Roman"/>
        </w:rPr>
      </w:pPr>
      <w:r w:rsidRPr="00104C1A">
        <w:rPr>
          <w:rFonts w:cs="Times New Roman"/>
        </w:rPr>
        <w:t xml:space="preserve">Ha a differenciált pajzsmirigy carcinoma (DTC) kezelése során dóziscsökkentés szükséges, akkor a </w:t>
      </w:r>
      <w:r>
        <w:rPr>
          <w:rFonts w:cs="Times New Roman"/>
        </w:rPr>
        <w:t>Sorafenib Teva</w:t>
      </w:r>
      <w:r w:rsidRPr="00104C1A">
        <w:rPr>
          <w:rFonts w:cs="Times New Roman"/>
        </w:rPr>
        <w:t xml:space="preserve"> dózisát napi 600</w:t>
      </w:r>
      <w:r w:rsidR="00692469">
        <w:rPr>
          <w:rFonts w:cs="Times New Roman"/>
        </w:rPr>
        <w:t> </w:t>
      </w:r>
      <w:r w:rsidRPr="00104C1A">
        <w:rPr>
          <w:rFonts w:cs="Times New Roman"/>
        </w:rPr>
        <w:t>mg szorafenibre kell csökkenteni, amit két részre kell osztani (két 200</w:t>
      </w:r>
      <w:r w:rsidR="00692469">
        <w:rPr>
          <w:rFonts w:cs="Times New Roman"/>
        </w:rPr>
        <w:t> </w:t>
      </w:r>
      <w:r w:rsidRPr="00104C1A">
        <w:rPr>
          <w:rFonts w:cs="Times New Roman"/>
        </w:rPr>
        <w:t>mg-os és egy 200</w:t>
      </w:r>
      <w:r w:rsidR="00692469">
        <w:rPr>
          <w:rFonts w:cs="Times New Roman"/>
        </w:rPr>
        <w:t> </w:t>
      </w:r>
      <w:r w:rsidRPr="00104C1A">
        <w:rPr>
          <w:rFonts w:cs="Times New Roman"/>
        </w:rPr>
        <w:t>mg-os tabletta, 12 óra különbséggel bevéve).</w:t>
      </w:r>
    </w:p>
    <w:p w14:paraId="1CF28EB9" w14:textId="77777777" w:rsidR="00104C1A" w:rsidRDefault="00104C1A" w:rsidP="00052BDB">
      <w:pPr>
        <w:pStyle w:val="Nincstrkz"/>
        <w:rPr>
          <w:rFonts w:cs="Times New Roman"/>
        </w:rPr>
      </w:pPr>
    </w:p>
    <w:p w14:paraId="43E95564" w14:textId="77777777" w:rsidR="001D2B88" w:rsidRDefault="00525AD5" w:rsidP="00052BDB">
      <w:pPr>
        <w:pStyle w:val="Nincstrkz"/>
        <w:rPr>
          <w:rFonts w:cs="Times New Roman"/>
        </w:rPr>
      </w:pPr>
      <w:r w:rsidRPr="00525AD5">
        <w:rPr>
          <w:rFonts w:cs="Times New Roman"/>
        </w:rPr>
        <w:t xml:space="preserve">Ha további dóziscsökkentés szükséges, akkor a </w:t>
      </w:r>
      <w:r>
        <w:rPr>
          <w:rFonts w:cs="Times New Roman"/>
        </w:rPr>
        <w:t>Sorafenib Teva</w:t>
      </w:r>
      <w:r w:rsidRPr="00525AD5">
        <w:rPr>
          <w:rFonts w:cs="Times New Roman"/>
        </w:rPr>
        <w:t xml:space="preserve"> napi 400</w:t>
      </w:r>
      <w:r w:rsidR="00390D2B">
        <w:rPr>
          <w:rFonts w:cs="Times New Roman"/>
        </w:rPr>
        <w:t> mg</w:t>
      </w:r>
      <w:r w:rsidRPr="00525AD5">
        <w:rPr>
          <w:rFonts w:cs="Times New Roman"/>
        </w:rPr>
        <w:t xml:space="preserve"> szorafenibre csökkenthető, két részre oszt</w:t>
      </w:r>
      <w:r w:rsidR="00642A8B">
        <w:rPr>
          <w:rFonts w:cs="Times New Roman"/>
        </w:rPr>
        <w:t>va</w:t>
      </w:r>
      <w:r w:rsidRPr="00525AD5">
        <w:rPr>
          <w:rFonts w:cs="Times New Roman"/>
        </w:rPr>
        <w:t xml:space="preserve"> (két 200</w:t>
      </w:r>
      <w:r w:rsidR="00390D2B">
        <w:rPr>
          <w:rFonts w:cs="Times New Roman"/>
        </w:rPr>
        <w:t> mg</w:t>
      </w:r>
      <w:r w:rsidRPr="00525AD5">
        <w:rPr>
          <w:rFonts w:cs="Times New Roman"/>
        </w:rPr>
        <w:t xml:space="preserve">-os tabletta, </w:t>
      </w:r>
      <w:r w:rsidR="00642A8B">
        <w:rPr>
          <w:rFonts w:cs="Times New Roman"/>
        </w:rPr>
        <w:t xml:space="preserve">tizenkét </w:t>
      </w:r>
      <w:r w:rsidRPr="00525AD5">
        <w:rPr>
          <w:rFonts w:cs="Times New Roman"/>
        </w:rPr>
        <w:t xml:space="preserve">óra különbséggel bevéve), </w:t>
      </w:r>
      <w:r w:rsidR="001D2B88">
        <w:rPr>
          <w:rFonts w:cs="Times New Roman"/>
        </w:rPr>
        <w:t>ami</w:t>
      </w:r>
      <w:r w:rsidRPr="00525AD5">
        <w:rPr>
          <w:rFonts w:cs="Times New Roman"/>
        </w:rPr>
        <w:t xml:space="preserve"> szükség esetén </w:t>
      </w:r>
      <w:r w:rsidR="00532422">
        <w:rPr>
          <w:rFonts w:cs="Times New Roman"/>
        </w:rPr>
        <w:t>még</w:t>
      </w:r>
      <w:r w:rsidRPr="00525AD5">
        <w:rPr>
          <w:rFonts w:cs="Times New Roman"/>
        </w:rPr>
        <w:t xml:space="preserve"> csökkenthető napi egyszer egy darab 200</w:t>
      </w:r>
      <w:r w:rsidR="00390D2B">
        <w:rPr>
          <w:rFonts w:cs="Times New Roman"/>
        </w:rPr>
        <w:t> mg</w:t>
      </w:r>
      <w:r w:rsidRPr="00525AD5">
        <w:rPr>
          <w:rFonts w:cs="Times New Roman"/>
        </w:rPr>
        <w:t xml:space="preserve">-os tablettára. A nem hematológiai jellegű mellékhatások enyhülését követően, a </w:t>
      </w:r>
      <w:r>
        <w:rPr>
          <w:rFonts w:cs="Times New Roman"/>
        </w:rPr>
        <w:t>Sorafenib Teva</w:t>
      </w:r>
      <w:r w:rsidRPr="00525AD5">
        <w:rPr>
          <w:rFonts w:cs="Times New Roman"/>
        </w:rPr>
        <w:t xml:space="preserve"> dózisa </w:t>
      </w:r>
      <w:r w:rsidR="001D2B88">
        <w:rPr>
          <w:rFonts w:cs="Times New Roman"/>
        </w:rPr>
        <w:t>n</w:t>
      </w:r>
      <w:r w:rsidR="00532422">
        <w:rPr>
          <w:rFonts w:cs="Times New Roman"/>
        </w:rPr>
        <w:t>ö</w:t>
      </w:r>
      <w:r w:rsidR="001D2B88">
        <w:rPr>
          <w:rFonts w:cs="Times New Roman"/>
        </w:rPr>
        <w:t>velhető</w:t>
      </w:r>
      <w:r w:rsidRPr="00525AD5">
        <w:rPr>
          <w:rFonts w:cs="Times New Roman"/>
        </w:rPr>
        <w:t xml:space="preserve">. </w:t>
      </w:r>
    </w:p>
    <w:p w14:paraId="697DBA89" w14:textId="77777777" w:rsidR="001D2B88" w:rsidRDefault="001D2B88" w:rsidP="00052BDB">
      <w:pPr>
        <w:pStyle w:val="Nincstrkz"/>
        <w:rPr>
          <w:rFonts w:cs="Times New Roman"/>
        </w:rPr>
      </w:pPr>
    </w:p>
    <w:p w14:paraId="176A187A" w14:textId="77777777" w:rsidR="001D2B88" w:rsidRPr="001D2B88" w:rsidRDefault="00525AD5" w:rsidP="00052BDB">
      <w:pPr>
        <w:pStyle w:val="Nincstrkz"/>
        <w:rPr>
          <w:rFonts w:cs="Times New Roman"/>
          <w:i/>
        </w:rPr>
      </w:pPr>
      <w:r w:rsidRPr="001D2B88">
        <w:rPr>
          <w:rFonts w:cs="Times New Roman"/>
          <w:i/>
        </w:rPr>
        <w:t xml:space="preserve">Gyermekek </w:t>
      </w:r>
      <w:r w:rsidR="001D2B88" w:rsidRPr="001D2B88">
        <w:rPr>
          <w:rFonts w:cs="Times New Roman"/>
          <w:i/>
        </w:rPr>
        <w:t>és serdülők</w:t>
      </w:r>
    </w:p>
    <w:p w14:paraId="5C39B9B7" w14:textId="5759148F" w:rsidR="001D2B88" w:rsidRDefault="00525AD5" w:rsidP="00052BDB">
      <w:pPr>
        <w:pStyle w:val="Nincstrkz"/>
        <w:rPr>
          <w:rFonts w:cs="Times New Roman"/>
        </w:rPr>
      </w:pPr>
      <w:r w:rsidRPr="00525AD5">
        <w:rPr>
          <w:rFonts w:cs="Times New Roman"/>
        </w:rPr>
        <w:t xml:space="preserve">A </w:t>
      </w:r>
      <w:r w:rsidR="001D2B88">
        <w:rPr>
          <w:rFonts w:cs="Times New Roman"/>
        </w:rPr>
        <w:t>sz</w:t>
      </w:r>
      <w:r>
        <w:rPr>
          <w:rFonts w:cs="Times New Roman"/>
        </w:rPr>
        <w:t xml:space="preserve">orafenib </w:t>
      </w:r>
      <w:r w:rsidRPr="00525AD5">
        <w:rPr>
          <w:rFonts w:cs="Times New Roman"/>
        </w:rPr>
        <w:t>biztonságosságát és hatásosságát gyermekek</w:t>
      </w:r>
      <w:r w:rsidR="001D2B88">
        <w:rPr>
          <w:rFonts w:cs="Times New Roman"/>
        </w:rPr>
        <w:t>nél</w:t>
      </w:r>
      <w:r w:rsidRPr="00525AD5">
        <w:rPr>
          <w:rFonts w:cs="Times New Roman"/>
        </w:rPr>
        <w:t xml:space="preserve"> és </w:t>
      </w:r>
      <w:r w:rsidR="004F469E">
        <w:rPr>
          <w:rFonts w:cs="Times New Roman"/>
        </w:rPr>
        <w:t xml:space="preserve">betöltött </w:t>
      </w:r>
      <w:r w:rsidR="001D2B88" w:rsidRPr="00525AD5">
        <w:rPr>
          <w:rFonts w:cs="Times New Roman"/>
        </w:rPr>
        <w:t>18</w:t>
      </w:r>
      <w:r w:rsidR="001D2B88">
        <w:rPr>
          <w:rFonts w:cs="Times New Roman"/>
        </w:rPr>
        <w:t> </w:t>
      </w:r>
      <w:r w:rsidR="001D2B88" w:rsidRPr="00525AD5">
        <w:rPr>
          <w:rFonts w:cs="Times New Roman"/>
        </w:rPr>
        <w:t xml:space="preserve">év alatti </w:t>
      </w:r>
      <w:r w:rsidRPr="00525AD5">
        <w:rPr>
          <w:rFonts w:cs="Times New Roman"/>
        </w:rPr>
        <w:t>serdülők</w:t>
      </w:r>
      <w:r w:rsidR="001D2B88">
        <w:rPr>
          <w:rFonts w:cs="Times New Roman"/>
        </w:rPr>
        <w:t>nél</w:t>
      </w:r>
      <w:r w:rsidRPr="00525AD5">
        <w:rPr>
          <w:rFonts w:cs="Times New Roman"/>
        </w:rPr>
        <w:t xml:space="preserve"> nem igazolták. Nincsenek rendelkezésre álló adatok. </w:t>
      </w:r>
    </w:p>
    <w:p w14:paraId="2D968091" w14:textId="77777777" w:rsidR="001D2B88" w:rsidRDefault="001D2B88" w:rsidP="00052BDB">
      <w:pPr>
        <w:pStyle w:val="Nincstrkz"/>
        <w:rPr>
          <w:rFonts w:cs="Times New Roman"/>
        </w:rPr>
      </w:pPr>
    </w:p>
    <w:p w14:paraId="01CF016A" w14:textId="77777777" w:rsidR="001D2B88" w:rsidRPr="001D2B88" w:rsidRDefault="00525AD5" w:rsidP="00052BDB">
      <w:pPr>
        <w:pStyle w:val="Nincstrkz"/>
        <w:rPr>
          <w:rFonts w:cs="Times New Roman"/>
          <w:i/>
        </w:rPr>
      </w:pPr>
      <w:r w:rsidRPr="001D2B88">
        <w:rPr>
          <w:rFonts w:cs="Times New Roman"/>
          <w:i/>
        </w:rPr>
        <w:t>Idős</w:t>
      </w:r>
      <w:r w:rsidR="001D2B88" w:rsidRPr="001D2B88">
        <w:rPr>
          <w:rFonts w:cs="Times New Roman"/>
          <w:i/>
        </w:rPr>
        <w:t>ek</w:t>
      </w:r>
    </w:p>
    <w:p w14:paraId="7D75DE9A" w14:textId="761EBC38" w:rsidR="001D2B88" w:rsidRDefault="00525AD5" w:rsidP="00052BDB">
      <w:pPr>
        <w:pStyle w:val="Nincstrkz"/>
        <w:rPr>
          <w:rFonts w:cs="Times New Roman"/>
        </w:rPr>
      </w:pPr>
      <w:r w:rsidRPr="00525AD5">
        <w:rPr>
          <w:rFonts w:cs="Times New Roman"/>
        </w:rPr>
        <w:t>Idős</w:t>
      </w:r>
      <w:r w:rsidR="001D2B88">
        <w:rPr>
          <w:rFonts w:cs="Times New Roman"/>
        </w:rPr>
        <w:t>eknél</w:t>
      </w:r>
      <w:r w:rsidRPr="00525AD5">
        <w:rPr>
          <w:rFonts w:cs="Times New Roman"/>
        </w:rPr>
        <w:t xml:space="preserve"> (65</w:t>
      </w:r>
      <w:r w:rsidR="001D2B88">
        <w:rPr>
          <w:rFonts w:cs="Times New Roman"/>
        </w:rPr>
        <w:t> </w:t>
      </w:r>
      <w:r w:rsidRPr="00525AD5">
        <w:rPr>
          <w:rFonts w:cs="Times New Roman"/>
        </w:rPr>
        <w:t xml:space="preserve">év feletti betegek) nincs szükség a </w:t>
      </w:r>
      <w:r w:rsidR="004F469E">
        <w:rPr>
          <w:rFonts w:cs="Times New Roman"/>
        </w:rPr>
        <w:t>dózis</w:t>
      </w:r>
      <w:r w:rsidRPr="00525AD5">
        <w:rPr>
          <w:rFonts w:cs="Times New Roman"/>
        </w:rPr>
        <w:t xml:space="preserve"> módosítására. </w:t>
      </w:r>
    </w:p>
    <w:p w14:paraId="2DE9A266" w14:textId="77777777" w:rsidR="001D2B88" w:rsidRDefault="001D2B88" w:rsidP="00052BDB">
      <w:pPr>
        <w:pStyle w:val="Nincstrkz"/>
        <w:rPr>
          <w:rFonts w:cs="Times New Roman"/>
        </w:rPr>
      </w:pPr>
    </w:p>
    <w:p w14:paraId="7707F58C" w14:textId="77777777" w:rsidR="001D2B88" w:rsidRPr="001D2B88" w:rsidRDefault="00525AD5" w:rsidP="00052BDB">
      <w:pPr>
        <w:pStyle w:val="Nincstrkz"/>
        <w:rPr>
          <w:rFonts w:cs="Times New Roman"/>
          <w:i/>
        </w:rPr>
      </w:pPr>
      <w:r w:rsidRPr="001D2B88">
        <w:rPr>
          <w:rFonts w:cs="Times New Roman"/>
          <w:i/>
        </w:rPr>
        <w:t xml:space="preserve">Vesekárosodás </w:t>
      </w:r>
    </w:p>
    <w:p w14:paraId="0763FB8A" w14:textId="4E4E6367" w:rsidR="001D2B88" w:rsidRDefault="00525AD5" w:rsidP="00052BDB">
      <w:pPr>
        <w:pStyle w:val="Nincstrkz"/>
        <w:rPr>
          <w:rFonts w:cs="Times New Roman"/>
        </w:rPr>
      </w:pPr>
      <w:r w:rsidRPr="00525AD5">
        <w:rPr>
          <w:rFonts w:cs="Times New Roman"/>
        </w:rPr>
        <w:t>Enyhe, közepes</w:t>
      </w:r>
      <w:r w:rsidR="001D2B88">
        <w:rPr>
          <w:rFonts w:cs="Times New Roman"/>
        </w:rPr>
        <w:t>en súlyos</w:t>
      </w:r>
      <w:r w:rsidRPr="00525AD5">
        <w:rPr>
          <w:rFonts w:cs="Times New Roman"/>
        </w:rPr>
        <w:t xml:space="preserve"> és súlyos vesekárosodás esetén nincs szükség a </w:t>
      </w:r>
      <w:r w:rsidR="004F469E">
        <w:rPr>
          <w:rFonts w:cs="Times New Roman"/>
        </w:rPr>
        <w:t>dózis</w:t>
      </w:r>
      <w:r w:rsidRPr="00525AD5">
        <w:rPr>
          <w:rFonts w:cs="Times New Roman"/>
        </w:rPr>
        <w:t xml:space="preserve"> módosítására. Dialízist igénylő betegek</w:t>
      </w:r>
      <w:r w:rsidR="001D2B88">
        <w:rPr>
          <w:rFonts w:cs="Times New Roman"/>
        </w:rPr>
        <w:t xml:space="preserve">re vonatkozóan </w:t>
      </w:r>
      <w:r w:rsidRPr="00525AD5">
        <w:rPr>
          <w:rFonts w:cs="Times New Roman"/>
        </w:rPr>
        <w:t>nem állnak rendelkezésre adatok (lásd 5.2</w:t>
      </w:r>
      <w:r w:rsidR="00741668">
        <w:rPr>
          <w:rFonts w:cs="Times New Roman"/>
        </w:rPr>
        <w:t> pont</w:t>
      </w:r>
      <w:r w:rsidRPr="00525AD5">
        <w:rPr>
          <w:rFonts w:cs="Times New Roman"/>
        </w:rPr>
        <w:t xml:space="preserve">). </w:t>
      </w:r>
    </w:p>
    <w:p w14:paraId="21B5A464" w14:textId="77777777" w:rsidR="001D2B88" w:rsidRDefault="001D2B88" w:rsidP="00052BDB">
      <w:pPr>
        <w:pStyle w:val="Nincstrkz"/>
        <w:rPr>
          <w:rFonts w:cs="Times New Roman"/>
        </w:rPr>
      </w:pPr>
    </w:p>
    <w:p w14:paraId="50706033" w14:textId="5D7FA9CA" w:rsidR="001D2B88" w:rsidRDefault="00525AD5" w:rsidP="00052BDB">
      <w:pPr>
        <w:pStyle w:val="Nincstrkz"/>
        <w:rPr>
          <w:rFonts w:cs="Times New Roman"/>
        </w:rPr>
      </w:pPr>
      <w:r w:rsidRPr="00525AD5">
        <w:rPr>
          <w:rFonts w:cs="Times New Roman"/>
        </w:rPr>
        <w:t xml:space="preserve">A </w:t>
      </w:r>
      <w:r w:rsidR="001D2B88">
        <w:rPr>
          <w:rFonts w:cs="Times New Roman"/>
        </w:rPr>
        <w:t>vese-</w:t>
      </w:r>
      <w:r w:rsidRPr="00525AD5">
        <w:rPr>
          <w:rFonts w:cs="Times New Roman"/>
        </w:rPr>
        <w:t>diszfunkció által veszélyeztetett betegek</w:t>
      </w:r>
      <w:r w:rsidR="001D2B88">
        <w:rPr>
          <w:rFonts w:cs="Times New Roman"/>
        </w:rPr>
        <w:t>nél</w:t>
      </w:r>
      <w:r w:rsidRPr="00525AD5">
        <w:rPr>
          <w:rFonts w:cs="Times New Roman"/>
        </w:rPr>
        <w:t xml:space="preserve"> a folyadék- és elektrolit egyensúly </w:t>
      </w:r>
      <w:r w:rsidR="003A3070">
        <w:rPr>
          <w:rFonts w:cs="Times New Roman"/>
        </w:rPr>
        <w:t>monitorozása</w:t>
      </w:r>
      <w:r w:rsidRPr="00525AD5">
        <w:rPr>
          <w:rFonts w:cs="Times New Roman"/>
        </w:rPr>
        <w:t xml:space="preserve"> javasolt. </w:t>
      </w:r>
    </w:p>
    <w:p w14:paraId="0227767F" w14:textId="77777777" w:rsidR="001D2B88" w:rsidRDefault="001D2B88" w:rsidP="00052BDB">
      <w:pPr>
        <w:pStyle w:val="Nincstrkz"/>
        <w:rPr>
          <w:rFonts w:cs="Times New Roman"/>
        </w:rPr>
      </w:pPr>
    </w:p>
    <w:p w14:paraId="3EF9A42E" w14:textId="77777777" w:rsidR="001D2B88" w:rsidRPr="001D2B88" w:rsidRDefault="00525AD5" w:rsidP="00052BDB">
      <w:pPr>
        <w:pStyle w:val="Nincstrkz"/>
        <w:rPr>
          <w:rFonts w:cs="Times New Roman"/>
          <w:i/>
        </w:rPr>
      </w:pPr>
      <w:r w:rsidRPr="001D2B88">
        <w:rPr>
          <w:rFonts w:cs="Times New Roman"/>
          <w:i/>
        </w:rPr>
        <w:t xml:space="preserve">Májkárosodás </w:t>
      </w:r>
    </w:p>
    <w:p w14:paraId="0A1C3B7A" w14:textId="611D7B65" w:rsidR="000123EE" w:rsidRDefault="00525AD5" w:rsidP="00052BDB">
      <w:pPr>
        <w:pStyle w:val="Nincstrkz"/>
        <w:rPr>
          <w:rFonts w:cs="Times New Roman"/>
        </w:rPr>
      </w:pPr>
      <w:r w:rsidRPr="00525AD5">
        <w:rPr>
          <w:rFonts w:cs="Times New Roman"/>
        </w:rPr>
        <w:t>Child-Pugh A vagy B stádiumú (enyhe és közepes</w:t>
      </w:r>
      <w:r w:rsidR="001D2B88">
        <w:rPr>
          <w:rFonts w:cs="Times New Roman"/>
        </w:rPr>
        <w:t>en súlyos</w:t>
      </w:r>
      <w:r w:rsidRPr="00525AD5">
        <w:rPr>
          <w:rFonts w:cs="Times New Roman"/>
        </w:rPr>
        <w:t xml:space="preserve">) májkárosodásban szenvedő betegeknél nem szükséges a </w:t>
      </w:r>
      <w:r w:rsidR="004F469E">
        <w:rPr>
          <w:rFonts w:cs="Times New Roman"/>
        </w:rPr>
        <w:t>dózis</w:t>
      </w:r>
      <w:r w:rsidRPr="00525AD5">
        <w:rPr>
          <w:rFonts w:cs="Times New Roman"/>
        </w:rPr>
        <w:t xml:space="preserve"> módosítása. Child-Pugh C stádiumú (súlyos) májkárosodásban szenvedő betegekkel kapcsolat</w:t>
      </w:r>
      <w:r w:rsidR="000123EE">
        <w:rPr>
          <w:rFonts w:cs="Times New Roman"/>
        </w:rPr>
        <w:t xml:space="preserve">osan </w:t>
      </w:r>
      <w:r w:rsidRPr="00525AD5">
        <w:rPr>
          <w:rFonts w:cs="Times New Roman"/>
        </w:rPr>
        <w:t>nincs</w:t>
      </w:r>
      <w:r w:rsidR="000123EE">
        <w:rPr>
          <w:rFonts w:cs="Times New Roman"/>
        </w:rPr>
        <w:t xml:space="preserve">enek </w:t>
      </w:r>
      <w:r w:rsidR="003E7A3D">
        <w:rPr>
          <w:rFonts w:cs="Times New Roman"/>
        </w:rPr>
        <w:t xml:space="preserve">elérhető </w:t>
      </w:r>
      <w:r w:rsidRPr="00525AD5">
        <w:rPr>
          <w:rFonts w:cs="Times New Roman"/>
        </w:rPr>
        <w:t>adat</w:t>
      </w:r>
      <w:r w:rsidR="000123EE">
        <w:rPr>
          <w:rFonts w:cs="Times New Roman"/>
        </w:rPr>
        <w:t>ok</w:t>
      </w:r>
      <w:r w:rsidRPr="00525AD5">
        <w:rPr>
          <w:rFonts w:cs="Times New Roman"/>
        </w:rPr>
        <w:t xml:space="preserve"> (lásd 4.4 és 5.2</w:t>
      </w:r>
      <w:r w:rsidR="00741668">
        <w:rPr>
          <w:rFonts w:cs="Times New Roman"/>
        </w:rPr>
        <w:t> pont</w:t>
      </w:r>
      <w:r w:rsidRPr="00525AD5">
        <w:rPr>
          <w:rFonts w:cs="Times New Roman"/>
        </w:rPr>
        <w:t xml:space="preserve">). </w:t>
      </w:r>
    </w:p>
    <w:p w14:paraId="78227BBA" w14:textId="77777777" w:rsidR="000123EE" w:rsidRDefault="000123EE" w:rsidP="00052BDB">
      <w:pPr>
        <w:pStyle w:val="Nincstrkz"/>
        <w:rPr>
          <w:rFonts w:cs="Times New Roman"/>
        </w:rPr>
      </w:pPr>
    </w:p>
    <w:p w14:paraId="5DF1888D" w14:textId="77777777" w:rsidR="000123EE" w:rsidRPr="000123EE" w:rsidRDefault="00525AD5" w:rsidP="00052BDB">
      <w:pPr>
        <w:pStyle w:val="Nincstrkz"/>
        <w:rPr>
          <w:rFonts w:cs="Times New Roman"/>
          <w:u w:val="single"/>
        </w:rPr>
      </w:pPr>
      <w:r w:rsidRPr="000123EE">
        <w:rPr>
          <w:rFonts w:cs="Times New Roman"/>
          <w:u w:val="single"/>
        </w:rPr>
        <w:t xml:space="preserve">Az alkalmazás módja </w:t>
      </w:r>
    </w:p>
    <w:p w14:paraId="16107E57" w14:textId="77777777" w:rsidR="000123EE" w:rsidRDefault="000123EE" w:rsidP="00052BDB">
      <w:pPr>
        <w:pStyle w:val="Nincstrkz"/>
        <w:rPr>
          <w:rFonts w:cs="Times New Roman"/>
        </w:rPr>
      </w:pPr>
    </w:p>
    <w:p w14:paraId="11CB7F6A" w14:textId="77777777" w:rsidR="000123EE" w:rsidRDefault="00525AD5" w:rsidP="00052BDB">
      <w:pPr>
        <w:pStyle w:val="Nincstrkz"/>
        <w:rPr>
          <w:rFonts w:cs="Times New Roman"/>
        </w:rPr>
      </w:pPr>
      <w:r w:rsidRPr="00525AD5">
        <w:rPr>
          <w:rFonts w:cs="Times New Roman"/>
        </w:rPr>
        <w:t xml:space="preserve">Szájon át történő alkalmazásra. </w:t>
      </w:r>
    </w:p>
    <w:p w14:paraId="46E3B4A3" w14:textId="7D679632" w:rsidR="000123EE" w:rsidRDefault="00525AD5" w:rsidP="00052BDB">
      <w:pPr>
        <w:pStyle w:val="Nincstrkz"/>
        <w:rPr>
          <w:rFonts w:cs="Times New Roman"/>
        </w:rPr>
      </w:pPr>
      <w:r w:rsidRPr="00525AD5">
        <w:rPr>
          <w:rFonts w:cs="Times New Roman"/>
        </w:rPr>
        <w:t>A szorafenibet étkezés nélkül, vagy alacsony vagy közepes zsírtartalmú étkezés</w:t>
      </w:r>
      <w:r w:rsidR="00B422E3">
        <w:rPr>
          <w:rFonts w:cs="Times New Roman"/>
        </w:rPr>
        <w:t xml:space="preserve"> közben</w:t>
      </w:r>
      <w:r w:rsidRPr="00525AD5">
        <w:rPr>
          <w:rFonts w:cs="Times New Roman"/>
        </w:rPr>
        <w:t xml:space="preserve"> ajánlott bevenni. Amennyiben a beteg magas zsírtartalmú ételt kíván fogyasztani, a szorafenib tablettákat az étkezés előtt legalább 1</w:t>
      </w:r>
      <w:r w:rsidR="000123EE">
        <w:rPr>
          <w:rFonts w:cs="Times New Roman"/>
        </w:rPr>
        <w:t> </w:t>
      </w:r>
      <w:r w:rsidRPr="00525AD5">
        <w:rPr>
          <w:rFonts w:cs="Times New Roman"/>
        </w:rPr>
        <w:t>órával vagy az étkezés után 2</w:t>
      </w:r>
      <w:r w:rsidR="000123EE">
        <w:rPr>
          <w:rFonts w:cs="Times New Roman"/>
        </w:rPr>
        <w:t> </w:t>
      </w:r>
      <w:r w:rsidRPr="00525AD5">
        <w:rPr>
          <w:rFonts w:cs="Times New Roman"/>
        </w:rPr>
        <w:t>órával kell bevenni</w:t>
      </w:r>
      <w:r w:rsidR="00532422">
        <w:rPr>
          <w:rFonts w:cs="Times New Roman"/>
        </w:rPr>
        <w:t>e</w:t>
      </w:r>
      <w:r w:rsidRPr="00525AD5">
        <w:rPr>
          <w:rFonts w:cs="Times New Roman"/>
        </w:rPr>
        <w:t>. A tablettákat egy pohár vízzel kell lenyelni.</w:t>
      </w:r>
    </w:p>
    <w:p w14:paraId="2895B4B9" w14:textId="77777777" w:rsidR="000123EE" w:rsidRDefault="000123EE" w:rsidP="00052BDB">
      <w:pPr>
        <w:pStyle w:val="Nincstrkz"/>
        <w:rPr>
          <w:rFonts w:cs="Times New Roman"/>
        </w:rPr>
      </w:pPr>
    </w:p>
    <w:p w14:paraId="1242D914" w14:textId="09F9EB36" w:rsidR="000123EE" w:rsidRPr="000123EE" w:rsidRDefault="00525AD5" w:rsidP="000123EE">
      <w:pPr>
        <w:pStyle w:val="Nincstrkz"/>
        <w:tabs>
          <w:tab w:val="left" w:pos="567"/>
        </w:tabs>
        <w:rPr>
          <w:rFonts w:cs="Times New Roman"/>
          <w:b/>
        </w:rPr>
      </w:pPr>
      <w:r w:rsidRPr="000123EE">
        <w:rPr>
          <w:rFonts w:cs="Times New Roman"/>
          <w:b/>
        </w:rPr>
        <w:t>4.3</w:t>
      </w:r>
      <w:r w:rsidR="000123EE">
        <w:rPr>
          <w:rFonts w:cs="Times New Roman"/>
          <w:b/>
        </w:rPr>
        <w:tab/>
      </w:r>
      <w:r w:rsidRPr="000123EE">
        <w:rPr>
          <w:rFonts w:cs="Times New Roman"/>
          <w:b/>
        </w:rPr>
        <w:t xml:space="preserve">Ellenjavallatok </w:t>
      </w:r>
    </w:p>
    <w:p w14:paraId="298E8CC3" w14:textId="77777777" w:rsidR="000123EE" w:rsidRDefault="000123EE" w:rsidP="00052BDB">
      <w:pPr>
        <w:pStyle w:val="Nincstrkz"/>
        <w:rPr>
          <w:rFonts w:cs="Times New Roman"/>
        </w:rPr>
      </w:pPr>
    </w:p>
    <w:p w14:paraId="5CBAED07" w14:textId="77777777" w:rsidR="00327A71" w:rsidRDefault="00525AD5" w:rsidP="00052BDB">
      <w:pPr>
        <w:pStyle w:val="Nincstrkz"/>
        <w:rPr>
          <w:rFonts w:cs="Times New Roman"/>
        </w:rPr>
      </w:pPr>
      <w:r w:rsidRPr="00525AD5">
        <w:rPr>
          <w:rFonts w:cs="Times New Roman"/>
        </w:rPr>
        <w:t>A készítmény hatóanyagával vagy a 6.1</w:t>
      </w:r>
      <w:r w:rsidR="00741668">
        <w:rPr>
          <w:rFonts w:cs="Times New Roman"/>
        </w:rPr>
        <w:t> pont</w:t>
      </w:r>
      <w:r w:rsidRPr="00525AD5">
        <w:rPr>
          <w:rFonts w:cs="Times New Roman"/>
        </w:rPr>
        <w:t xml:space="preserve">ban felsorolt bármely segédanyagával szembeni túlérzékenység. </w:t>
      </w:r>
    </w:p>
    <w:p w14:paraId="0A241DBB" w14:textId="77777777" w:rsidR="00327A71" w:rsidRDefault="00327A71" w:rsidP="00052BDB">
      <w:pPr>
        <w:pStyle w:val="Nincstrkz"/>
        <w:rPr>
          <w:rFonts w:cs="Times New Roman"/>
        </w:rPr>
      </w:pPr>
    </w:p>
    <w:p w14:paraId="26954FE6" w14:textId="53C13196" w:rsidR="00327A71" w:rsidRPr="00327A71" w:rsidRDefault="00525AD5" w:rsidP="00327A71">
      <w:pPr>
        <w:pStyle w:val="Nincstrkz"/>
        <w:tabs>
          <w:tab w:val="left" w:pos="567"/>
        </w:tabs>
        <w:rPr>
          <w:rFonts w:cs="Times New Roman"/>
          <w:b/>
        </w:rPr>
      </w:pPr>
      <w:r w:rsidRPr="00327A71">
        <w:rPr>
          <w:rFonts w:cs="Times New Roman"/>
          <w:b/>
        </w:rPr>
        <w:t>4.4</w:t>
      </w:r>
      <w:r w:rsidR="00327A71">
        <w:rPr>
          <w:rFonts w:cs="Times New Roman"/>
          <w:b/>
        </w:rPr>
        <w:tab/>
      </w:r>
      <w:r w:rsidRPr="00327A71">
        <w:rPr>
          <w:rFonts w:cs="Times New Roman"/>
          <w:b/>
        </w:rPr>
        <w:t xml:space="preserve">Különleges figyelmeztetések és az alkalmazással kapcsolatos óvintézkedések </w:t>
      </w:r>
    </w:p>
    <w:p w14:paraId="4926F08A" w14:textId="77777777" w:rsidR="00327A71" w:rsidRDefault="00327A71" w:rsidP="00052BDB">
      <w:pPr>
        <w:pStyle w:val="Nincstrkz"/>
        <w:rPr>
          <w:rFonts w:cs="Times New Roman"/>
        </w:rPr>
      </w:pPr>
    </w:p>
    <w:p w14:paraId="75E6AAA2" w14:textId="77777777" w:rsidR="00327A71" w:rsidRPr="00327A71" w:rsidRDefault="00525AD5" w:rsidP="00052BDB">
      <w:pPr>
        <w:pStyle w:val="Nincstrkz"/>
        <w:rPr>
          <w:rFonts w:cs="Times New Roman"/>
          <w:u w:val="single"/>
        </w:rPr>
      </w:pPr>
      <w:r w:rsidRPr="00327A71">
        <w:rPr>
          <w:rFonts w:cs="Times New Roman"/>
          <w:u w:val="single"/>
        </w:rPr>
        <w:t xml:space="preserve">Dermatológiai toxicitás </w:t>
      </w:r>
    </w:p>
    <w:p w14:paraId="2D2CF426" w14:textId="77777777" w:rsidR="00327A71" w:rsidRDefault="00327A71" w:rsidP="00052BDB">
      <w:pPr>
        <w:pStyle w:val="Nincstrkz"/>
        <w:rPr>
          <w:rFonts w:cs="Times New Roman"/>
        </w:rPr>
      </w:pPr>
    </w:p>
    <w:p w14:paraId="309F33D7" w14:textId="65B3A60C" w:rsidR="005F44AB" w:rsidRDefault="00525AD5" w:rsidP="00052BDB">
      <w:pPr>
        <w:pStyle w:val="Nincstrkz"/>
        <w:rPr>
          <w:rFonts w:cs="Times New Roman"/>
        </w:rPr>
      </w:pPr>
      <w:r w:rsidRPr="00525AD5">
        <w:rPr>
          <w:rFonts w:cs="Times New Roman"/>
        </w:rPr>
        <w:t xml:space="preserve">A szorafenib leggyakoribb mellékhatása a kéz-láb </w:t>
      </w:r>
      <w:r w:rsidR="00433CF3">
        <w:rPr>
          <w:rFonts w:cs="Times New Roman"/>
        </w:rPr>
        <w:t xml:space="preserve">szindróma, </w:t>
      </w:r>
      <w:r w:rsidRPr="00525AD5">
        <w:rPr>
          <w:rFonts w:cs="Times New Roman"/>
        </w:rPr>
        <w:t>(palm</w:t>
      </w:r>
      <w:r w:rsidR="00A34F60">
        <w:rPr>
          <w:rFonts w:cs="Times New Roman"/>
        </w:rPr>
        <w:t>o</w:t>
      </w:r>
      <w:r w:rsidRPr="00525AD5">
        <w:rPr>
          <w:rFonts w:cs="Times New Roman"/>
        </w:rPr>
        <w:t xml:space="preserve">plantaris erythrodysaesthesia) és a bőrkiütés. A kéz-láb </w:t>
      </w:r>
      <w:r w:rsidR="00A34F60">
        <w:rPr>
          <w:rFonts w:cs="Times New Roman"/>
        </w:rPr>
        <w:t>szindróma</w:t>
      </w:r>
      <w:r w:rsidRPr="00525AD5">
        <w:rPr>
          <w:rFonts w:cs="Times New Roman"/>
        </w:rPr>
        <w:t xml:space="preserve"> általában CTC-szerinti (Common Toxicity Criteria – általános toxicitási kritériumok) 1. és 2. fokú túlérzékenységi reakció, amely rendszerint a szorafenib</w:t>
      </w:r>
      <w:r w:rsidR="00327A71">
        <w:rPr>
          <w:rFonts w:cs="Times New Roman"/>
        </w:rPr>
        <w:t>-</w:t>
      </w:r>
      <w:r w:rsidRPr="00525AD5">
        <w:rPr>
          <w:rFonts w:cs="Times New Roman"/>
        </w:rPr>
        <w:t xml:space="preserve">kezelés első hat hetében jelentkezik. A dermatológiai toxicitás </w:t>
      </w:r>
      <w:r w:rsidR="00327A71">
        <w:rPr>
          <w:rFonts w:cs="Times New Roman"/>
        </w:rPr>
        <w:t xml:space="preserve">a </w:t>
      </w:r>
      <w:r w:rsidR="00327A71" w:rsidRPr="00525AD5">
        <w:rPr>
          <w:rFonts w:cs="Times New Roman"/>
        </w:rPr>
        <w:t>tünet</w:t>
      </w:r>
      <w:r w:rsidR="00327A71">
        <w:rPr>
          <w:rFonts w:cs="Times New Roman"/>
        </w:rPr>
        <w:t>ek enyhít</w:t>
      </w:r>
      <w:r w:rsidR="005F44AB">
        <w:rPr>
          <w:rFonts w:cs="Times New Roman"/>
        </w:rPr>
        <w:t>é</w:t>
      </w:r>
      <w:r w:rsidR="00327A71">
        <w:rPr>
          <w:rFonts w:cs="Times New Roman"/>
        </w:rPr>
        <w:t>s</w:t>
      </w:r>
      <w:r w:rsidR="005F44AB">
        <w:rPr>
          <w:rFonts w:cs="Times New Roman"/>
        </w:rPr>
        <w:t>é</w:t>
      </w:r>
      <w:r w:rsidR="00327A71">
        <w:rPr>
          <w:rFonts w:cs="Times New Roman"/>
        </w:rPr>
        <w:t>t célzó</w:t>
      </w:r>
      <w:r w:rsidR="00327A71" w:rsidRPr="00525AD5">
        <w:rPr>
          <w:rFonts w:cs="Times New Roman"/>
        </w:rPr>
        <w:t xml:space="preserve"> </w:t>
      </w:r>
      <w:r w:rsidRPr="00525AD5">
        <w:rPr>
          <w:rFonts w:cs="Times New Roman"/>
        </w:rPr>
        <w:t xml:space="preserve">helyi kezelésekkel, a szorafenib-terápia átmeneti felfüggesztésével és/vagy a </w:t>
      </w:r>
      <w:r w:rsidR="009A0985">
        <w:rPr>
          <w:rFonts w:cs="Times New Roman"/>
        </w:rPr>
        <w:t>dózis</w:t>
      </w:r>
      <w:r w:rsidRPr="00525AD5">
        <w:rPr>
          <w:rFonts w:cs="Times New Roman"/>
        </w:rPr>
        <w:t xml:space="preserve"> módosításával, vagy súlyos, illetve makacs esetekben a szorafenib </w:t>
      </w:r>
      <w:r w:rsidR="00532422">
        <w:rPr>
          <w:rFonts w:cs="Times New Roman"/>
        </w:rPr>
        <w:t>végleges</w:t>
      </w:r>
      <w:r w:rsidRPr="00525AD5">
        <w:rPr>
          <w:rFonts w:cs="Times New Roman"/>
        </w:rPr>
        <w:t xml:space="preserve"> </w:t>
      </w:r>
      <w:r w:rsidR="005F44AB">
        <w:rPr>
          <w:rFonts w:cs="Times New Roman"/>
        </w:rPr>
        <w:t xml:space="preserve">leállításával </w:t>
      </w:r>
      <w:r w:rsidR="00D27305">
        <w:rPr>
          <w:rFonts w:cs="Times New Roman"/>
        </w:rPr>
        <w:t>kezelhető</w:t>
      </w:r>
      <w:r w:rsidR="005F44AB">
        <w:rPr>
          <w:rFonts w:cs="Times New Roman"/>
        </w:rPr>
        <w:t xml:space="preserve"> </w:t>
      </w:r>
      <w:r w:rsidRPr="00525AD5">
        <w:rPr>
          <w:rFonts w:cs="Times New Roman"/>
        </w:rPr>
        <w:t>(lásd 4.8</w:t>
      </w:r>
      <w:r w:rsidR="00741668">
        <w:rPr>
          <w:rFonts w:cs="Times New Roman"/>
        </w:rPr>
        <w:t> pont</w:t>
      </w:r>
      <w:r w:rsidRPr="00525AD5">
        <w:rPr>
          <w:rFonts w:cs="Times New Roman"/>
        </w:rPr>
        <w:t xml:space="preserve">). </w:t>
      </w:r>
    </w:p>
    <w:p w14:paraId="6694975E" w14:textId="77777777" w:rsidR="005F44AB" w:rsidRDefault="005F44AB" w:rsidP="00F270EB">
      <w:pPr>
        <w:pStyle w:val="Nincstrkz"/>
      </w:pPr>
    </w:p>
    <w:p w14:paraId="6B57C802" w14:textId="77777777" w:rsidR="005F44AB" w:rsidRPr="00CD0D5D" w:rsidRDefault="00525AD5" w:rsidP="00DC0223">
      <w:pPr>
        <w:pStyle w:val="Nincstrkz"/>
        <w:keepNext/>
        <w:rPr>
          <w:rFonts w:cs="Times New Roman"/>
          <w:u w:val="single"/>
        </w:rPr>
      </w:pPr>
      <w:r w:rsidRPr="00CD0D5D">
        <w:rPr>
          <w:rFonts w:cs="Times New Roman"/>
          <w:u w:val="single"/>
        </w:rPr>
        <w:lastRenderedPageBreak/>
        <w:t xml:space="preserve">Hypertonia </w:t>
      </w:r>
    </w:p>
    <w:p w14:paraId="21A0D4A3" w14:textId="77777777" w:rsidR="005F44AB" w:rsidRDefault="005F44AB" w:rsidP="00DC0223">
      <w:pPr>
        <w:pStyle w:val="Nincstrkz"/>
        <w:keepNext/>
        <w:rPr>
          <w:rFonts w:cs="Times New Roman"/>
        </w:rPr>
      </w:pPr>
    </w:p>
    <w:p w14:paraId="320A37E0" w14:textId="77777777" w:rsidR="005F44AB" w:rsidRDefault="00525AD5" w:rsidP="00DC0223">
      <w:pPr>
        <w:pStyle w:val="Nincstrkz"/>
        <w:keepNext/>
        <w:rPr>
          <w:rFonts w:cs="Times New Roman"/>
        </w:rPr>
      </w:pPr>
      <w:r w:rsidRPr="00525AD5">
        <w:rPr>
          <w:rFonts w:cs="Times New Roman"/>
        </w:rPr>
        <w:t xml:space="preserve">A szorafenibbel kezelt betegeknél az artériás hypertonia gyakoribb előfordulását figyelték meg. A </w:t>
      </w:r>
      <w:r w:rsidR="00CD0D5D">
        <w:rPr>
          <w:rFonts w:cs="Times New Roman"/>
        </w:rPr>
        <w:t>hypertonia</w:t>
      </w:r>
      <w:r w:rsidRPr="00525AD5">
        <w:rPr>
          <w:rFonts w:cs="Times New Roman"/>
        </w:rPr>
        <w:t xml:space="preserve"> általában enyhe vagy közepes</w:t>
      </w:r>
      <w:r w:rsidR="00CD0D5D">
        <w:rPr>
          <w:rFonts w:cs="Times New Roman"/>
        </w:rPr>
        <w:t>en súlyos</w:t>
      </w:r>
      <w:r w:rsidRPr="00525AD5">
        <w:rPr>
          <w:rFonts w:cs="Times New Roman"/>
        </w:rPr>
        <w:t xml:space="preserve"> mértékű volt, a kezelés korai szakaszában alakult ki, és hagyományos </w:t>
      </w:r>
      <w:r w:rsidR="00CD0D5D">
        <w:rPr>
          <w:rFonts w:cs="Times New Roman"/>
        </w:rPr>
        <w:t>vérnyomáscsökkentő</w:t>
      </w:r>
      <w:r w:rsidRPr="00525AD5">
        <w:rPr>
          <w:rFonts w:cs="Times New Roman"/>
        </w:rPr>
        <w:t xml:space="preserve"> terápiával kézben tartható</w:t>
      </w:r>
      <w:r w:rsidR="00532422">
        <w:rPr>
          <w:rFonts w:cs="Times New Roman"/>
        </w:rPr>
        <w:t>nak bizonyult</w:t>
      </w:r>
      <w:r w:rsidRPr="00525AD5">
        <w:rPr>
          <w:rFonts w:cs="Times New Roman"/>
        </w:rPr>
        <w:t xml:space="preserve">. A vérnyomást rendszeresen monitorozni kell, illetve szükség esetén az elfogadott protokoll alapján megfelelő kezelést kell biztosítani. Súlyos vagy </w:t>
      </w:r>
      <w:r w:rsidR="00CD0D5D">
        <w:rPr>
          <w:rFonts w:cs="Times New Roman"/>
        </w:rPr>
        <w:t>perzisztens</w:t>
      </w:r>
      <w:r w:rsidRPr="00525AD5">
        <w:rPr>
          <w:rFonts w:cs="Times New Roman"/>
        </w:rPr>
        <w:t xml:space="preserve"> hypertonia esetén, vagy az antih</w:t>
      </w:r>
      <w:r w:rsidR="00CD0D5D">
        <w:rPr>
          <w:rFonts w:cs="Times New Roman"/>
        </w:rPr>
        <w:t>ipertenzív</w:t>
      </w:r>
      <w:r w:rsidRPr="00525AD5">
        <w:rPr>
          <w:rFonts w:cs="Times New Roman"/>
        </w:rPr>
        <w:t xml:space="preserve"> terápia ellenére kialakult hypertoniás </w:t>
      </w:r>
      <w:r w:rsidR="00CD0D5D">
        <w:rPr>
          <w:rFonts w:cs="Times New Roman"/>
        </w:rPr>
        <w:t>krízisben</w:t>
      </w:r>
      <w:r w:rsidRPr="00525AD5">
        <w:rPr>
          <w:rFonts w:cs="Times New Roman"/>
        </w:rPr>
        <w:t xml:space="preserve"> mérlegelni kell a szorafenib-kezelés </w:t>
      </w:r>
      <w:r w:rsidR="00CD0D5D">
        <w:rPr>
          <w:rFonts w:cs="Times New Roman"/>
        </w:rPr>
        <w:t>végleges leállítását</w:t>
      </w:r>
      <w:r w:rsidRPr="00525AD5">
        <w:rPr>
          <w:rFonts w:cs="Times New Roman"/>
        </w:rPr>
        <w:t xml:space="preserve"> (lásd 4.8</w:t>
      </w:r>
      <w:r w:rsidR="00741668">
        <w:rPr>
          <w:rFonts w:cs="Times New Roman"/>
        </w:rPr>
        <w:t> pont</w:t>
      </w:r>
      <w:r w:rsidRPr="00525AD5">
        <w:rPr>
          <w:rFonts w:cs="Times New Roman"/>
        </w:rPr>
        <w:t xml:space="preserve">). </w:t>
      </w:r>
    </w:p>
    <w:p w14:paraId="4D0E4ADD" w14:textId="77777777" w:rsidR="005F44AB" w:rsidRDefault="005F44AB" w:rsidP="00052BDB">
      <w:pPr>
        <w:pStyle w:val="Nincstrkz"/>
        <w:rPr>
          <w:rFonts w:cs="Times New Roman"/>
        </w:rPr>
      </w:pPr>
    </w:p>
    <w:p w14:paraId="2A137628" w14:textId="77777777" w:rsidR="001E1423" w:rsidRDefault="001E1423" w:rsidP="001E1423">
      <w:pPr>
        <w:pStyle w:val="Nincstrkz"/>
        <w:rPr>
          <w:rFonts w:cs="Times New Roman"/>
          <w:u w:val="single"/>
        </w:rPr>
      </w:pPr>
      <w:r w:rsidRPr="00A770A5">
        <w:rPr>
          <w:rFonts w:cs="Times New Roman"/>
          <w:u w:val="single"/>
        </w:rPr>
        <w:t>Aneurysma és arteria-dissectio</w:t>
      </w:r>
    </w:p>
    <w:p w14:paraId="47A8AAD5" w14:textId="77777777" w:rsidR="001E1423" w:rsidRDefault="001E1423" w:rsidP="001E1423">
      <w:pPr>
        <w:pStyle w:val="Nincstrkz"/>
        <w:rPr>
          <w:rFonts w:cs="Times New Roman"/>
          <w:u w:val="single"/>
        </w:rPr>
      </w:pPr>
    </w:p>
    <w:p w14:paraId="2CAE801A" w14:textId="47CEC087" w:rsidR="001E1423" w:rsidRPr="00C76072" w:rsidRDefault="001E1423" w:rsidP="001E1423">
      <w:pPr>
        <w:pStyle w:val="Nincstrkz"/>
        <w:rPr>
          <w:rFonts w:cs="Times New Roman"/>
        </w:rPr>
      </w:pPr>
      <w:r w:rsidRPr="00C76072">
        <w:rPr>
          <w:rFonts w:cs="Times New Roman"/>
        </w:rPr>
        <w:t>A VEGF-jelútgátlók alkalmazása a hypertoniás és a nem magas vérnyomású betegeknél egyaránt a</w:t>
      </w:r>
      <w:r w:rsidR="00692469">
        <w:rPr>
          <w:rFonts w:cs="Times New Roman"/>
        </w:rPr>
        <w:t>n</w:t>
      </w:r>
      <w:r w:rsidRPr="00C76072">
        <w:rPr>
          <w:rFonts w:cs="Times New Roman"/>
        </w:rPr>
        <w:t>eurysmák és/vagy arteria dissectiók kialakulását s</w:t>
      </w:r>
      <w:r w:rsidRPr="00A770A5">
        <w:rPr>
          <w:rFonts w:cs="Times New Roman"/>
        </w:rPr>
        <w:t xml:space="preserve">egítheti elő. A </w:t>
      </w:r>
      <w:r>
        <w:rPr>
          <w:rFonts w:cs="Times New Roman"/>
        </w:rPr>
        <w:t>sz</w:t>
      </w:r>
      <w:r w:rsidRPr="00A770A5">
        <w:rPr>
          <w:rFonts w:cs="Times New Roman"/>
        </w:rPr>
        <w:t>orafenib</w:t>
      </w:r>
      <w:r w:rsidRPr="00C76072">
        <w:rPr>
          <w:rFonts w:cs="Times New Roman"/>
        </w:rPr>
        <w:t>-kezelés megkezdése előtt ezt a kockázatot gondosan mérlegelni kell az olyan rizikófaktorokkal rendelkező betegeknél, mint hypertonia vagy a kórtörténetben előforduló aneurysma.</w:t>
      </w:r>
    </w:p>
    <w:p w14:paraId="274CFFA1" w14:textId="77777777" w:rsidR="001E1423" w:rsidRDefault="001E1423" w:rsidP="00052BDB">
      <w:pPr>
        <w:pStyle w:val="Nincstrkz"/>
        <w:rPr>
          <w:rFonts w:cs="Times New Roman"/>
        </w:rPr>
      </w:pPr>
    </w:p>
    <w:p w14:paraId="14773686" w14:textId="77777777" w:rsidR="001E1423" w:rsidRPr="00FF4421" w:rsidRDefault="001E1423" w:rsidP="001E1423">
      <w:pPr>
        <w:pStyle w:val="Nincstrkz"/>
        <w:keepNext/>
        <w:rPr>
          <w:u w:val="single"/>
          <w:lang w:eastAsia="en-GB"/>
        </w:rPr>
      </w:pPr>
      <w:r w:rsidRPr="00FF4421">
        <w:rPr>
          <w:u w:val="single"/>
          <w:lang w:eastAsia="en-GB"/>
        </w:rPr>
        <w:t>Hypogly</w:t>
      </w:r>
      <w:r>
        <w:rPr>
          <w:u w:val="single"/>
          <w:lang w:eastAsia="en-GB"/>
        </w:rPr>
        <w:t>k</w:t>
      </w:r>
      <w:r w:rsidRPr="00FF4421">
        <w:rPr>
          <w:u w:val="single"/>
          <w:lang w:eastAsia="en-GB"/>
        </w:rPr>
        <w:t>aemia</w:t>
      </w:r>
    </w:p>
    <w:p w14:paraId="3C736B2D" w14:textId="77777777" w:rsidR="001E1423" w:rsidRPr="00FF4421" w:rsidRDefault="001E1423" w:rsidP="001E1423">
      <w:pPr>
        <w:pStyle w:val="Nincstrkz"/>
        <w:keepNext/>
        <w:rPr>
          <w:lang w:eastAsia="en-GB"/>
        </w:rPr>
      </w:pPr>
    </w:p>
    <w:p w14:paraId="32E3758A" w14:textId="77777777" w:rsidR="001E1423" w:rsidRPr="005912F8" w:rsidRDefault="001E1423" w:rsidP="001E1423">
      <w:pPr>
        <w:pStyle w:val="Nincstrkz"/>
        <w:keepNext/>
        <w:rPr>
          <w:lang w:eastAsia="en-GB"/>
        </w:rPr>
      </w:pPr>
      <w:r>
        <w:rPr>
          <w:lang w:eastAsia="en-GB"/>
        </w:rPr>
        <w:t xml:space="preserve">A </w:t>
      </w:r>
      <w:r w:rsidRPr="00FF4421">
        <w:rPr>
          <w:lang w:eastAsia="en-GB"/>
        </w:rPr>
        <w:t>s</w:t>
      </w:r>
      <w:r>
        <w:rPr>
          <w:lang w:eastAsia="en-GB"/>
        </w:rPr>
        <w:t>z</w:t>
      </w:r>
      <w:r w:rsidRPr="00FF4421">
        <w:rPr>
          <w:lang w:eastAsia="en-GB"/>
        </w:rPr>
        <w:t>orafenib</w:t>
      </w:r>
      <w:r>
        <w:rPr>
          <w:lang w:eastAsia="en-GB"/>
        </w:rPr>
        <w:t>-kezelés alatt beszámoltak a vércukorszint – egyes esetekben klinikai tünetekkel járó, és eszméletvesztés miatt hospitalizációt igénylő –</w:t>
      </w:r>
      <w:r w:rsidRPr="00FF4421">
        <w:rPr>
          <w:lang w:eastAsia="en-GB"/>
        </w:rPr>
        <w:t xml:space="preserve"> </w:t>
      </w:r>
      <w:r>
        <w:rPr>
          <w:lang w:eastAsia="en-GB"/>
        </w:rPr>
        <w:t xml:space="preserve">csökkenéséról. Tünetekkel járó </w:t>
      </w:r>
      <w:r w:rsidRPr="00FF4421">
        <w:rPr>
          <w:lang w:eastAsia="en-GB"/>
        </w:rPr>
        <w:t>hypogly</w:t>
      </w:r>
      <w:r>
        <w:rPr>
          <w:lang w:eastAsia="en-GB"/>
        </w:rPr>
        <w:t>k</w:t>
      </w:r>
      <w:r w:rsidRPr="00FF4421">
        <w:rPr>
          <w:lang w:eastAsia="en-GB"/>
        </w:rPr>
        <w:t>aemia</w:t>
      </w:r>
      <w:r>
        <w:rPr>
          <w:lang w:eastAsia="en-GB"/>
        </w:rPr>
        <w:t xml:space="preserve"> esetén a sz</w:t>
      </w:r>
      <w:r w:rsidRPr="00FF4421">
        <w:rPr>
          <w:lang w:eastAsia="en-GB"/>
        </w:rPr>
        <w:t>orafenib</w:t>
      </w:r>
      <w:r>
        <w:rPr>
          <w:lang w:eastAsia="en-GB"/>
        </w:rPr>
        <w:t xml:space="preserve">et átmenetileg fel kell függeszteni. Cukorbetegeknél rendszeresen ellenőrizni kell a vércukorszintet annak érdekében, hogy fel lehessen mérni, szükséges-e az </w:t>
      </w:r>
      <w:r w:rsidRPr="00FF4421">
        <w:rPr>
          <w:lang w:eastAsia="en-GB"/>
        </w:rPr>
        <w:t>antidiabeti</w:t>
      </w:r>
      <w:r>
        <w:rPr>
          <w:lang w:eastAsia="en-GB"/>
        </w:rPr>
        <w:t xml:space="preserve">kus gyógyszer adagolásának módosítása. </w:t>
      </w:r>
    </w:p>
    <w:p w14:paraId="6103621B" w14:textId="77777777" w:rsidR="001E1423" w:rsidRDefault="001E1423" w:rsidP="00052BDB">
      <w:pPr>
        <w:pStyle w:val="Nincstrkz"/>
        <w:rPr>
          <w:rFonts w:cs="Times New Roman"/>
        </w:rPr>
      </w:pPr>
    </w:p>
    <w:p w14:paraId="385AECDB" w14:textId="77777777" w:rsidR="005F44AB" w:rsidRPr="00CD0D5D" w:rsidRDefault="00525AD5" w:rsidP="00052BDB">
      <w:pPr>
        <w:pStyle w:val="Nincstrkz"/>
        <w:rPr>
          <w:rFonts w:cs="Times New Roman"/>
          <w:u w:val="single"/>
        </w:rPr>
      </w:pPr>
      <w:r w:rsidRPr="00CD0D5D">
        <w:rPr>
          <w:rFonts w:cs="Times New Roman"/>
          <w:u w:val="single"/>
        </w:rPr>
        <w:t xml:space="preserve">Haemorrhagia </w:t>
      </w:r>
    </w:p>
    <w:p w14:paraId="133D6EF8" w14:textId="77777777" w:rsidR="005F44AB" w:rsidRDefault="005F44AB" w:rsidP="00052BDB">
      <w:pPr>
        <w:pStyle w:val="Nincstrkz"/>
        <w:rPr>
          <w:rFonts w:cs="Times New Roman"/>
        </w:rPr>
      </w:pPr>
    </w:p>
    <w:p w14:paraId="36D6D8AA" w14:textId="77777777" w:rsidR="005F44AB" w:rsidRDefault="00525AD5" w:rsidP="00052BDB">
      <w:pPr>
        <w:pStyle w:val="Nincstrkz"/>
        <w:rPr>
          <w:rFonts w:cs="Times New Roman"/>
        </w:rPr>
      </w:pPr>
      <w:r w:rsidRPr="00525AD5">
        <w:rPr>
          <w:rFonts w:cs="Times New Roman"/>
        </w:rPr>
        <w:t>A szorafenib beadása után fokozódhat a vérzé</w:t>
      </w:r>
      <w:r w:rsidR="00CD0D5D">
        <w:rPr>
          <w:rFonts w:cs="Times New Roman"/>
        </w:rPr>
        <w:t>s</w:t>
      </w:r>
      <w:r w:rsidRPr="00525AD5">
        <w:rPr>
          <w:rFonts w:cs="Times New Roman"/>
        </w:rPr>
        <w:t xml:space="preserve"> kockázata. Ha </w:t>
      </w:r>
      <w:r w:rsidR="00CD0D5D">
        <w:rPr>
          <w:rFonts w:cs="Times New Roman"/>
        </w:rPr>
        <w:t xml:space="preserve">a </w:t>
      </w:r>
      <w:r w:rsidR="00CD0D5D" w:rsidRPr="00525AD5">
        <w:rPr>
          <w:rFonts w:cs="Times New Roman"/>
        </w:rPr>
        <w:t xml:space="preserve">vérzés </w:t>
      </w:r>
      <w:r w:rsidRPr="00525AD5">
        <w:rPr>
          <w:rFonts w:cs="Times New Roman"/>
        </w:rPr>
        <w:t>orvosi beavatkozást igény</w:t>
      </w:r>
      <w:r w:rsidR="00997959">
        <w:rPr>
          <w:rFonts w:cs="Times New Roman"/>
        </w:rPr>
        <w:t>el,</w:t>
      </w:r>
      <w:r w:rsidRPr="00525AD5">
        <w:rPr>
          <w:rFonts w:cs="Times New Roman"/>
        </w:rPr>
        <w:t xml:space="preserve"> akkor mérlegelni kell a szorafenib-kezelés </w:t>
      </w:r>
      <w:r w:rsidR="00997959">
        <w:rPr>
          <w:rFonts w:cs="Times New Roman"/>
        </w:rPr>
        <w:t>végleges leállítását</w:t>
      </w:r>
      <w:r w:rsidR="00997959" w:rsidRPr="00525AD5">
        <w:rPr>
          <w:rFonts w:cs="Times New Roman"/>
        </w:rPr>
        <w:t xml:space="preserve"> </w:t>
      </w:r>
      <w:r w:rsidRPr="00525AD5">
        <w:rPr>
          <w:rFonts w:cs="Times New Roman"/>
        </w:rPr>
        <w:t>(lásd 4.8</w:t>
      </w:r>
      <w:r w:rsidR="00741668">
        <w:rPr>
          <w:rFonts w:cs="Times New Roman"/>
        </w:rPr>
        <w:t> pont</w:t>
      </w:r>
      <w:r w:rsidRPr="00525AD5">
        <w:rPr>
          <w:rFonts w:cs="Times New Roman"/>
        </w:rPr>
        <w:t xml:space="preserve">). </w:t>
      </w:r>
    </w:p>
    <w:p w14:paraId="6B42D0EA" w14:textId="77777777" w:rsidR="005F44AB" w:rsidRDefault="005F44AB" w:rsidP="00052BDB">
      <w:pPr>
        <w:pStyle w:val="Nincstrkz"/>
        <w:rPr>
          <w:rFonts w:cs="Times New Roman"/>
        </w:rPr>
      </w:pPr>
    </w:p>
    <w:p w14:paraId="7D559511" w14:textId="77777777" w:rsidR="005F44AB" w:rsidRPr="00997959" w:rsidRDefault="00525AD5" w:rsidP="00052BDB">
      <w:pPr>
        <w:pStyle w:val="Nincstrkz"/>
        <w:rPr>
          <w:rFonts w:cs="Times New Roman"/>
          <w:u w:val="single"/>
        </w:rPr>
      </w:pPr>
      <w:r w:rsidRPr="00997959">
        <w:rPr>
          <w:rFonts w:cs="Times New Roman"/>
          <w:u w:val="single"/>
        </w:rPr>
        <w:t xml:space="preserve">Cardialis ischaemia és/vagy infarctus </w:t>
      </w:r>
    </w:p>
    <w:p w14:paraId="5744BB50" w14:textId="77777777" w:rsidR="005F44AB" w:rsidRDefault="005F44AB" w:rsidP="00052BDB">
      <w:pPr>
        <w:pStyle w:val="Nincstrkz"/>
        <w:rPr>
          <w:rFonts w:cs="Times New Roman"/>
        </w:rPr>
      </w:pPr>
    </w:p>
    <w:p w14:paraId="02D2DBEF" w14:textId="5ECB7531" w:rsidR="005F44AB" w:rsidRDefault="00525AD5" w:rsidP="00052BDB">
      <w:pPr>
        <w:pStyle w:val="Nincstrkz"/>
        <w:rPr>
          <w:rFonts w:cs="Times New Roman"/>
        </w:rPr>
      </w:pPr>
      <w:r w:rsidRPr="00525AD5">
        <w:rPr>
          <w:rFonts w:cs="Times New Roman"/>
        </w:rPr>
        <w:t>Egy randomizált, placebokontrollos, kettős</w:t>
      </w:r>
      <w:r w:rsidR="0037337B">
        <w:rPr>
          <w:rFonts w:cs="Times New Roman"/>
        </w:rPr>
        <w:t xml:space="preserve"> </w:t>
      </w:r>
      <w:r w:rsidRPr="00525AD5">
        <w:rPr>
          <w:rFonts w:cs="Times New Roman"/>
        </w:rPr>
        <w:t>vak vizsgálatban (1. vizsgálat, lásd 5.1</w:t>
      </w:r>
      <w:r w:rsidR="00741668">
        <w:rPr>
          <w:rFonts w:cs="Times New Roman"/>
        </w:rPr>
        <w:t> pont</w:t>
      </w:r>
      <w:r w:rsidRPr="00525AD5">
        <w:rPr>
          <w:rFonts w:cs="Times New Roman"/>
        </w:rPr>
        <w:t xml:space="preserve">) a kezeléssel összefüggésben fellépő cardialis ischaemiás/infarctusos </w:t>
      </w:r>
      <w:r w:rsidR="00997959">
        <w:rPr>
          <w:rFonts w:cs="Times New Roman"/>
        </w:rPr>
        <w:t>események</w:t>
      </w:r>
      <w:r w:rsidRPr="00525AD5">
        <w:rPr>
          <w:rFonts w:cs="Times New Roman"/>
        </w:rPr>
        <w:t xml:space="preserve"> száma magasabb volt a szorafenib</w:t>
      </w:r>
      <w:r w:rsidR="00997959">
        <w:rPr>
          <w:rFonts w:cs="Times New Roman"/>
        </w:rPr>
        <w:t>-</w:t>
      </w:r>
      <w:r w:rsidRPr="00525AD5">
        <w:rPr>
          <w:rFonts w:cs="Times New Roman"/>
        </w:rPr>
        <w:t>csoportban (4,9%), mint a placebocsoport</w:t>
      </w:r>
      <w:r w:rsidR="00997959">
        <w:rPr>
          <w:rFonts w:cs="Times New Roman"/>
        </w:rPr>
        <w:t xml:space="preserve"> esetében</w:t>
      </w:r>
      <w:r w:rsidRPr="00525AD5">
        <w:rPr>
          <w:rFonts w:cs="Times New Roman"/>
        </w:rPr>
        <w:t xml:space="preserve"> (0,4%). A 3. vizsgálatban (lásd 5.1</w:t>
      </w:r>
      <w:r w:rsidR="00741668">
        <w:rPr>
          <w:rFonts w:cs="Times New Roman"/>
        </w:rPr>
        <w:t> pont</w:t>
      </w:r>
      <w:r w:rsidRPr="00525AD5">
        <w:rPr>
          <w:rFonts w:cs="Times New Roman"/>
        </w:rPr>
        <w:t xml:space="preserve">) a kezeléssel összefüggésben fellépő cardialis ischaemiás/infarctusos </w:t>
      </w:r>
      <w:r w:rsidR="00997959">
        <w:rPr>
          <w:rFonts w:cs="Times New Roman"/>
        </w:rPr>
        <w:t>események</w:t>
      </w:r>
      <w:r w:rsidRPr="00525AD5">
        <w:rPr>
          <w:rFonts w:cs="Times New Roman"/>
        </w:rPr>
        <w:t xml:space="preserve"> száma 2,7% volt a szorafenib-csoportban, míg </w:t>
      </w:r>
      <w:r w:rsidR="00997959" w:rsidRPr="00525AD5">
        <w:rPr>
          <w:rFonts w:cs="Times New Roman"/>
        </w:rPr>
        <w:t>1,3%</w:t>
      </w:r>
      <w:r w:rsidR="00997959">
        <w:rPr>
          <w:rFonts w:cs="Times New Roman"/>
        </w:rPr>
        <w:t xml:space="preserve">-nak bizonyult </w:t>
      </w:r>
      <w:r w:rsidRPr="00525AD5">
        <w:rPr>
          <w:rFonts w:cs="Times New Roman"/>
        </w:rPr>
        <w:t xml:space="preserve">a placebocsoportban. </w:t>
      </w:r>
      <w:r w:rsidR="00084008">
        <w:rPr>
          <w:rFonts w:cs="Times New Roman"/>
        </w:rPr>
        <w:t>K</w:t>
      </w:r>
      <w:r w:rsidR="00084008" w:rsidRPr="00525AD5">
        <w:rPr>
          <w:rFonts w:cs="Times New Roman"/>
        </w:rPr>
        <w:t xml:space="preserve">izárták ezekből a vizsgálatokból </w:t>
      </w:r>
      <w:r w:rsidR="00084008">
        <w:rPr>
          <w:rFonts w:cs="Times New Roman"/>
        </w:rPr>
        <w:t>a</w:t>
      </w:r>
      <w:r w:rsidRPr="00525AD5">
        <w:rPr>
          <w:rFonts w:cs="Times New Roman"/>
        </w:rPr>
        <w:t>zokat a betegeket, akik instabil coronaria-betegségben szenvedtek, illetve nemrégiben myocardialis infarctuson estek át. Azo</w:t>
      </w:r>
      <w:r w:rsidR="00532422">
        <w:rPr>
          <w:rFonts w:cs="Times New Roman"/>
        </w:rPr>
        <w:t>knál. akiknél</w:t>
      </w:r>
      <w:r w:rsidRPr="00525AD5">
        <w:rPr>
          <w:rFonts w:cs="Times New Roman"/>
        </w:rPr>
        <w:t xml:space="preserve"> cardialis ischaemia/infarctus lép fel</w:t>
      </w:r>
      <w:r w:rsidR="00084008">
        <w:rPr>
          <w:rFonts w:cs="Times New Roman"/>
        </w:rPr>
        <w:t>,</w:t>
      </w:r>
      <w:r w:rsidRPr="00525AD5">
        <w:rPr>
          <w:rFonts w:cs="Times New Roman"/>
        </w:rPr>
        <w:t xml:space="preserve"> </w:t>
      </w:r>
      <w:r w:rsidR="00084008" w:rsidRPr="00525AD5">
        <w:rPr>
          <w:rFonts w:cs="Times New Roman"/>
        </w:rPr>
        <w:t xml:space="preserve">mérlegelni </w:t>
      </w:r>
      <w:r w:rsidR="00084008">
        <w:rPr>
          <w:rFonts w:cs="Times New Roman"/>
        </w:rPr>
        <w:t xml:space="preserve">kell </w:t>
      </w:r>
      <w:r w:rsidRPr="00525AD5">
        <w:rPr>
          <w:rFonts w:cs="Times New Roman"/>
        </w:rPr>
        <w:t>a szorafenib-kezelés átmeneti vagy végleges felfüggesztését (lásd 4.8</w:t>
      </w:r>
      <w:r w:rsidR="00741668">
        <w:rPr>
          <w:rFonts w:cs="Times New Roman"/>
        </w:rPr>
        <w:t> pont</w:t>
      </w:r>
      <w:r w:rsidRPr="00525AD5">
        <w:rPr>
          <w:rFonts w:cs="Times New Roman"/>
        </w:rPr>
        <w:t xml:space="preserve">). </w:t>
      </w:r>
    </w:p>
    <w:p w14:paraId="6E4C1A91" w14:textId="011294CC" w:rsidR="005F44AB" w:rsidRDefault="005F44AB" w:rsidP="00052BDB">
      <w:pPr>
        <w:pStyle w:val="Nincstrkz"/>
        <w:rPr>
          <w:rFonts w:cs="Times New Roman"/>
        </w:rPr>
      </w:pPr>
    </w:p>
    <w:p w14:paraId="78A41619" w14:textId="77777777" w:rsidR="005F44AB" w:rsidRPr="00D36F56" w:rsidRDefault="00525AD5" w:rsidP="00052BDB">
      <w:pPr>
        <w:pStyle w:val="Nincstrkz"/>
        <w:rPr>
          <w:rFonts w:cs="Times New Roman"/>
          <w:u w:val="single"/>
        </w:rPr>
      </w:pPr>
      <w:r w:rsidRPr="00D36F56">
        <w:rPr>
          <w:rFonts w:cs="Times New Roman"/>
          <w:u w:val="single"/>
        </w:rPr>
        <w:t xml:space="preserve">QT-intervallum megnyúlás </w:t>
      </w:r>
    </w:p>
    <w:p w14:paraId="49F0C3BA" w14:textId="77777777" w:rsidR="005F44AB" w:rsidRDefault="005F44AB" w:rsidP="00052BDB">
      <w:pPr>
        <w:pStyle w:val="Nincstrkz"/>
        <w:rPr>
          <w:rFonts w:cs="Times New Roman"/>
        </w:rPr>
      </w:pPr>
    </w:p>
    <w:p w14:paraId="3491A025" w14:textId="4FDE990B" w:rsidR="005F44AB" w:rsidRDefault="000456B1" w:rsidP="00052BDB">
      <w:pPr>
        <w:pStyle w:val="Nincstrkz"/>
        <w:rPr>
          <w:rFonts w:cs="Times New Roman"/>
        </w:rPr>
      </w:pPr>
      <w:r>
        <w:rPr>
          <w:rFonts w:cs="Times New Roman"/>
        </w:rPr>
        <w:t>A</w:t>
      </w:r>
      <w:r w:rsidR="00525AD5" w:rsidRPr="00525AD5">
        <w:rPr>
          <w:rFonts w:cs="Times New Roman"/>
        </w:rPr>
        <w:t xml:space="preserve"> szorafenib </w:t>
      </w:r>
      <w:r>
        <w:rPr>
          <w:rFonts w:cs="Times New Roman"/>
        </w:rPr>
        <w:t xml:space="preserve">igazoltan </w:t>
      </w:r>
      <w:r w:rsidR="00525AD5" w:rsidRPr="00525AD5">
        <w:rPr>
          <w:rFonts w:cs="Times New Roman"/>
        </w:rPr>
        <w:t>megnyújtja a QT/QTc-intervallumot (lásd 5.1</w:t>
      </w:r>
      <w:r w:rsidR="00741668">
        <w:rPr>
          <w:rFonts w:cs="Times New Roman"/>
        </w:rPr>
        <w:t> pont</w:t>
      </w:r>
      <w:r w:rsidR="00525AD5" w:rsidRPr="00525AD5">
        <w:rPr>
          <w:rFonts w:cs="Times New Roman"/>
        </w:rPr>
        <w:t>), ami a kamrai arrhythmia megnövekedett kockázatához vezethet. A szorafenib óvatosan alkalmaz</w:t>
      </w:r>
      <w:r>
        <w:rPr>
          <w:rFonts w:cs="Times New Roman"/>
        </w:rPr>
        <w:t>andó</w:t>
      </w:r>
      <w:r w:rsidR="00525AD5" w:rsidRPr="00525AD5">
        <w:rPr>
          <w:rFonts w:cs="Times New Roman"/>
        </w:rPr>
        <w:t xml:space="preserve"> </w:t>
      </w:r>
      <w:r w:rsidR="00C77152">
        <w:rPr>
          <w:rFonts w:cs="Times New Roman"/>
        </w:rPr>
        <w:t>azoknál a</w:t>
      </w:r>
      <w:r w:rsidR="00525AD5" w:rsidRPr="00525AD5">
        <w:rPr>
          <w:rFonts w:cs="Times New Roman"/>
        </w:rPr>
        <w:t xml:space="preserve"> betegeknél, akikn</w:t>
      </w:r>
      <w:r w:rsidR="00C77152">
        <w:rPr>
          <w:rFonts w:cs="Times New Roman"/>
        </w:rPr>
        <w:t>él</w:t>
      </w:r>
      <w:r w:rsidR="00525AD5" w:rsidRPr="00525AD5">
        <w:rPr>
          <w:rFonts w:cs="Times New Roman"/>
        </w:rPr>
        <w:t xml:space="preserve"> megnyúlt a QTc-távolság, vagy </w:t>
      </w:r>
      <w:r w:rsidR="00C77152">
        <w:rPr>
          <w:rFonts w:cs="Times New Roman"/>
        </w:rPr>
        <w:t>ez kialakulhat</w:t>
      </w:r>
      <w:r w:rsidR="00D0061C">
        <w:rPr>
          <w:rFonts w:cs="Times New Roman"/>
        </w:rPr>
        <w:t xml:space="preserve"> náluk</w:t>
      </w:r>
      <w:r w:rsidR="00525AD5" w:rsidRPr="00525AD5">
        <w:rPr>
          <w:rFonts w:cs="Times New Roman"/>
        </w:rPr>
        <w:t>, mint például a veleszületett hosszú QT-szindrómában szenvedő</w:t>
      </w:r>
      <w:r w:rsidR="00C77152">
        <w:rPr>
          <w:rFonts w:cs="Times New Roman"/>
        </w:rPr>
        <w:t>k</w:t>
      </w:r>
      <w:r w:rsidR="00525AD5" w:rsidRPr="00525AD5">
        <w:rPr>
          <w:rFonts w:cs="Times New Roman"/>
        </w:rPr>
        <w:t>, olyan betegek, akik nagy kumulatív dózisú antraciklin-kezelésben részesülnek, bizonyos antiar</w:t>
      </w:r>
      <w:r w:rsidR="00C77152">
        <w:rPr>
          <w:rFonts w:cs="Times New Roman"/>
        </w:rPr>
        <w:t>itmiás</w:t>
      </w:r>
      <w:r w:rsidR="00525AD5" w:rsidRPr="00525AD5">
        <w:rPr>
          <w:rFonts w:cs="Times New Roman"/>
        </w:rPr>
        <w:t xml:space="preserve"> gyógyszereket vagy egyéb</w:t>
      </w:r>
      <w:r w:rsidR="00C77152">
        <w:rPr>
          <w:rFonts w:cs="Times New Roman"/>
        </w:rPr>
        <w:t xml:space="preserve"> </w:t>
      </w:r>
      <w:r w:rsidR="00525AD5" w:rsidRPr="00525AD5">
        <w:rPr>
          <w:rFonts w:cs="Times New Roman"/>
        </w:rPr>
        <w:t>QT-megnyúlás</w:t>
      </w:r>
      <w:r w:rsidR="00C77152">
        <w:rPr>
          <w:rFonts w:cs="Times New Roman"/>
        </w:rPr>
        <w:t xml:space="preserve">t előidéző </w:t>
      </w:r>
      <w:r w:rsidR="00C77152" w:rsidRPr="00525AD5">
        <w:rPr>
          <w:rFonts w:cs="Times New Roman"/>
        </w:rPr>
        <w:t xml:space="preserve">gyógyszereket </w:t>
      </w:r>
      <w:r w:rsidR="00C77152">
        <w:rPr>
          <w:rFonts w:cs="Times New Roman"/>
        </w:rPr>
        <w:t>szed</w:t>
      </w:r>
      <w:r w:rsidR="00D0061C">
        <w:rPr>
          <w:rFonts w:cs="Times New Roman"/>
        </w:rPr>
        <w:t>ő betegek</w:t>
      </w:r>
      <w:r w:rsidR="00525AD5" w:rsidRPr="00525AD5">
        <w:rPr>
          <w:rFonts w:cs="Times New Roman"/>
        </w:rPr>
        <w:t>, és azok, akiknek elektrolit-zavaraik vannak, pl. hypokalaemia, hypocalcaemia vagy hypomagnesaemia. Ezeknél a betegeknél a szorafenib alkalmazásakor mérlegelni kell a kezelés alatti</w:t>
      </w:r>
      <w:r w:rsidR="00D0061C">
        <w:rPr>
          <w:rFonts w:cs="Times New Roman"/>
        </w:rPr>
        <w:t>,</w:t>
      </w:r>
      <w:r w:rsidR="00525AD5" w:rsidRPr="00525AD5">
        <w:rPr>
          <w:rFonts w:cs="Times New Roman"/>
        </w:rPr>
        <w:t xml:space="preserve"> elektrokardiogramm</w:t>
      </w:r>
      <w:r w:rsidR="00D0061C">
        <w:rPr>
          <w:rFonts w:cs="Times New Roman"/>
        </w:rPr>
        <w:t xml:space="preserve">al végzett monitorozást </w:t>
      </w:r>
      <w:r w:rsidR="00525AD5" w:rsidRPr="00525AD5">
        <w:rPr>
          <w:rFonts w:cs="Times New Roman"/>
        </w:rPr>
        <w:t xml:space="preserve">és az elektrolitok (magnézium, kálium, kalcium) időszakos </w:t>
      </w:r>
      <w:r w:rsidR="00D0061C">
        <w:rPr>
          <w:rFonts w:cs="Times New Roman"/>
        </w:rPr>
        <w:t>el</w:t>
      </w:r>
      <w:r w:rsidR="00CD20BA">
        <w:rPr>
          <w:rFonts w:cs="Times New Roman"/>
        </w:rPr>
        <w:t>l</w:t>
      </w:r>
      <w:r w:rsidR="00D0061C">
        <w:rPr>
          <w:rFonts w:cs="Times New Roman"/>
        </w:rPr>
        <w:t>enőrzését</w:t>
      </w:r>
      <w:r w:rsidR="00525AD5" w:rsidRPr="00525AD5">
        <w:rPr>
          <w:rFonts w:cs="Times New Roman"/>
        </w:rPr>
        <w:t xml:space="preserve">. </w:t>
      </w:r>
    </w:p>
    <w:p w14:paraId="51B982A8" w14:textId="77777777" w:rsidR="005F44AB" w:rsidRDefault="005F44AB" w:rsidP="00052BDB">
      <w:pPr>
        <w:pStyle w:val="Nincstrkz"/>
        <w:rPr>
          <w:rFonts w:cs="Times New Roman"/>
        </w:rPr>
      </w:pPr>
    </w:p>
    <w:p w14:paraId="54D6515B" w14:textId="77777777" w:rsidR="005F44AB" w:rsidRPr="00D0061C" w:rsidRDefault="00525AD5" w:rsidP="00DC0223">
      <w:pPr>
        <w:pStyle w:val="Nincstrkz"/>
        <w:keepNext/>
        <w:rPr>
          <w:rFonts w:cs="Times New Roman"/>
          <w:u w:val="single"/>
        </w:rPr>
      </w:pPr>
      <w:r w:rsidRPr="00D0061C">
        <w:rPr>
          <w:rFonts w:cs="Times New Roman"/>
          <w:u w:val="single"/>
        </w:rPr>
        <w:lastRenderedPageBreak/>
        <w:t xml:space="preserve">Gastrointestinalis perforáció </w:t>
      </w:r>
    </w:p>
    <w:p w14:paraId="3CFBE03B" w14:textId="77777777" w:rsidR="005F44AB" w:rsidRDefault="005F44AB" w:rsidP="00DC0223">
      <w:pPr>
        <w:pStyle w:val="Nincstrkz"/>
        <w:keepNext/>
        <w:rPr>
          <w:rFonts w:cs="Times New Roman"/>
        </w:rPr>
      </w:pPr>
    </w:p>
    <w:p w14:paraId="25D61EE9" w14:textId="466AF91C" w:rsidR="005F44AB" w:rsidRDefault="00525AD5" w:rsidP="00DC0223">
      <w:pPr>
        <w:pStyle w:val="Nincstrkz"/>
        <w:keepNext/>
        <w:rPr>
          <w:rFonts w:cs="Times New Roman"/>
        </w:rPr>
      </w:pPr>
      <w:r w:rsidRPr="00525AD5">
        <w:rPr>
          <w:rFonts w:cs="Times New Roman"/>
        </w:rPr>
        <w:t xml:space="preserve">A gastrointestinalis perforáció egy nem gyakori mellékhatás, amiről a szorafenibet szedő betegek kevesebb mint 1%-ánál számoltak be. Néhány esetben ez nem volt összefüggésbe hozható a nyilvánvaló intraabdominalis tumorral. A szorafenib-kezelést </w:t>
      </w:r>
      <w:r w:rsidR="00D0061C">
        <w:rPr>
          <w:rFonts w:cs="Times New Roman"/>
        </w:rPr>
        <w:t>le kell állítani</w:t>
      </w:r>
      <w:r w:rsidRPr="00525AD5">
        <w:rPr>
          <w:rFonts w:cs="Times New Roman"/>
        </w:rPr>
        <w:t xml:space="preserve"> (lásd 4.8</w:t>
      </w:r>
      <w:r w:rsidR="00741668">
        <w:rPr>
          <w:rFonts w:cs="Times New Roman"/>
        </w:rPr>
        <w:t> pont</w:t>
      </w:r>
      <w:r w:rsidRPr="00525AD5">
        <w:rPr>
          <w:rFonts w:cs="Times New Roman"/>
        </w:rPr>
        <w:t xml:space="preserve">). </w:t>
      </w:r>
    </w:p>
    <w:p w14:paraId="226CA491" w14:textId="77777777" w:rsidR="005F44AB" w:rsidRDefault="005F44AB" w:rsidP="00052BDB">
      <w:pPr>
        <w:pStyle w:val="Nincstrkz"/>
        <w:rPr>
          <w:rFonts w:cs="Times New Roman"/>
        </w:rPr>
      </w:pPr>
    </w:p>
    <w:p w14:paraId="3148A167" w14:textId="75B7443B" w:rsidR="000628BF" w:rsidRDefault="000628BF" w:rsidP="000628BF">
      <w:pPr>
        <w:pStyle w:val="Nincstrkz"/>
        <w:rPr>
          <w:rFonts w:cs="Times New Roman"/>
          <w:u w:val="single"/>
        </w:rPr>
      </w:pPr>
      <w:r w:rsidRPr="00C37316">
        <w:rPr>
          <w:rFonts w:cs="Times New Roman"/>
          <w:u w:val="single"/>
        </w:rPr>
        <w:t xml:space="preserve">Tumorlízis-szindróma (TLS) </w:t>
      </w:r>
    </w:p>
    <w:p w14:paraId="12C17815" w14:textId="77777777" w:rsidR="000628BF" w:rsidRPr="00C37316" w:rsidRDefault="000628BF" w:rsidP="000628BF">
      <w:pPr>
        <w:pStyle w:val="Nincstrkz"/>
        <w:rPr>
          <w:rFonts w:cs="Times New Roman"/>
          <w:u w:val="single"/>
        </w:rPr>
      </w:pPr>
    </w:p>
    <w:p w14:paraId="7ACFCDCF" w14:textId="2983B124" w:rsidR="000628BF" w:rsidRDefault="000628BF" w:rsidP="000628BF">
      <w:pPr>
        <w:pStyle w:val="Nincstrkz"/>
        <w:rPr>
          <w:rFonts w:cs="Times New Roman"/>
        </w:rPr>
      </w:pPr>
      <w:r w:rsidRPr="000628BF">
        <w:rPr>
          <w:rFonts w:cs="Times New Roman"/>
        </w:rPr>
        <w:t xml:space="preserve">A szorafenibbel kezelt betegeknél a forgalomba hozatalt követően TLS eseteiről számoltak be, néhány esetben halálos kimenetellel. A TLS kockázati tényezői közé tartozik a nagy tumorterhelés, a már meglévő krónikus vesekárosodás, az oliguria, a dehidráció, a hypotonia </w:t>
      </w:r>
      <w:r>
        <w:rPr>
          <w:rFonts w:cs="Times New Roman"/>
        </w:rPr>
        <w:t xml:space="preserve">és a savas vizelet. Ezeket a </w:t>
      </w:r>
      <w:r w:rsidRPr="000628BF">
        <w:rPr>
          <w:rFonts w:cs="Times New Roman"/>
        </w:rPr>
        <w:t>betegeket szorosan monitorozni kell, és amennyiben klinikailag indokolt, a kezelést azonnal meg kell kezdeni, valamint fontolóra kell venni a profilaktikus folyadékpótlást.</w:t>
      </w:r>
    </w:p>
    <w:p w14:paraId="3C2F7D88" w14:textId="77777777" w:rsidR="000628BF" w:rsidRDefault="000628BF" w:rsidP="000628BF">
      <w:pPr>
        <w:pStyle w:val="Nincstrkz"/>
        <w:rPr>
          <w:rFonts w:cs="Times New Roman"/>
        </w:rPr>
      </w:pPr>
    </w:p>
    <w:p w14:paraId="7F5DDDC0" w14:textId="77777777" w:rsidR="006E4B03" w:rsidRPr="00365801" w:rsidRDefault="006E4B03" w:rsidP="006E4B03">
      <w:pPr>
        <w:pStyle w:val="Nincstrkz"/>
        <w:rPr>
          <w:rFonts w:cs="Times New Roman"/>
          <w:u w:val="single"/>
        </w:rPr>
      </w:pPr>
      <w:r w:rsidRPr="00365801">
        <w:rPr>
          <w:rFonts w:cs="Times New Roman"/>
          <w:u w:val="single"/>
        </w:rPr>
        <w:t xml:space="preserve">Májkárosodás </w:t>
      </w:r>
    </w:p>
    <w:p w14:paraId="4F1111A6" w14:textId="77777777" w:rsidR="006E4B03" w:rsidRDefault="006E4B03" w:rsidP="006E4B03">
      <w:pPr>
        <w:pStyle w:val="Nincstrkz"/>
        <w:rPr>
          <w:rFonts w:cs="Times New Roman"/>
        </w:rPr>
      </w:pPr>
    </w:p>
    <w:p w14:paraId="5CDEF3BB" w14:textId="77777777" w:rsidR="006E4B03" w:rsidRDefault="006E4B03" w:rsidP="006E4B03">
      <w:pPr>
        <w:pStyle w:val="Nincstrkz"/>
        <w:rPr>
          <w:rFonts w:cs="Times New Roman"/>
        </w:rPr>
      </w:pPr>
      <w:r w:rsidRPr="00525AD5">
        <w:rPr>
          <w:rFonts w:cs="Times New Roman"/>
        </w:rPr>
        <w:t>A Child-Pugh C stádiumú (súlyos) májkárosodásban szenvedő betegekkel kapcsolatban nem állnak rendelkezésre adatok. Mivel a szorafenib főként a májon keresztül ürül ki a szervezetből, a súlyos májelégtelenségben szenvedő betegeknél fokozott gyógyszer-expozíció lehetséges (lásd 4.2 és 5.2</w:t>
      </w:r>
      <w:r>
        <w:rPr>
          <w:rFonts w:cs="Times New Roman"/>
        </w:rPr>
        <w:t> pont</w:t>
      </w:r>
      <w:r w:rsidRPr="00525AD5">
        <w:rPr>
          <w:rFonts w:cs="Times New Roman"/>
        </w:rPr>
        <w:t xml:space="preserve">). </w:t>
      </w:r>
    </w:p>
    <w:p w14:paraId="05764B75" w14:textId="77777777" w:rsidR="006E4B03" w:rsidRDefault="006E4B03" w:rsidP="000628BF">
      <w:pPr>
        <w:pStyle w:val="Nincstrkz"/>
        <w:rPr>
          <w:rFonts w:cs="Times New Roman"/>
        </w:rPr>
      </w:pPr>
    </w:p>
    <w:p w14:paraId="0DE23432" w14:textId="77777777" w:rsidR="005F44AB" w:rsidRPr="008353FA" w:rsidRDefault="008353FA" w:rsidP="007249F6">
      <w:pPr>
        <w:pStyle w:val="Nincstrkz"/>
        <w:keepNext/>
        <w:rPr>
          <w:rFonts w:cs="Times New Roman"/>
          <w:u w:val="single"/>
        </w:rPr>
      </w:pPr>
      <w:r w:rsidRPr="008353FA">
        <w:rPr>
          <w:rFonts w:cs="Times New Roman"/>
          <w:u w:val="single"/>
        </w:rPr>
        <w:t>Warfarin e</w:t>
      </w:r>
      <w:r w:rsidR="00525AD5" w:rsidRPr="008353FA">
        <w:rPr>
          <w:rFonts w:cs="Times New Roman"/>
          <w:u w:val="single"/>
        </w:rPr>
        <w:t>gyidejű</w:t>
      </w:r>
      <w:r w:rsidRPr="008353FA">
        <w:rPr>
          <w:rFonts w:cs="Times New Roman"/>
          <w:u w:val="single"/>
        </w:rPr>
        <w:t xml:space="preserve"> alkalmazása</w:t>
      </w:r>
      <w:r w:rsidR="00525AD5" w:rsidRPr="008353FA">
        <w:rPr>
          <w:rFonts w:cs="Times New Roman"/>
          <w:u w:val="single"/>
        </w:rPr>
        <w:t xml:space="preserve"> </w:t>
      </w:r>
    </w:p>
    <w:p w14:paraId="39F92227" w14:textId="77777777" w:rsidR="005F44AB" w:rsidRDefault="005F44AB" w:rsidP="007249F6">
      <w:pPr>
        <w:pStyle w:val="Nincstrkz"/>
        <w:keepNext/>
        <w:rPr>
          <w:rFonts w:cs="Times New Roman"/>
        </w:rPr>
      </w:pPr>
    </w:p>
    <w:p w14:paraId="25A010A8" w14:textId="77777777" w:rsidR="005F44AB" w:rsidRDefault="008353FA" w:rsidP="007249F6">
      <w:pPr>
        <w:pStyle w:val="Nincstrkz"/>
        <w:keepNext/>
        <w:rPr>
          <w:rFonts w:cs="Times New Roman"/>
        </w:rPr>
      </w:pPr>
      <w:r>
        <w:rPr>
          <w:rFonts w:cs="Times New Roman"/>
        </w:rPr>
        <w:t>Nem gyakran</w:t>
      </w:r>
      <w:r w:rsidR="00525AD5" w:rsidRPr="00525AD5">
        <w:rPr>
          <w:rFonts w:cs="Times New Roman"/>
        </w:rPr>
        <w:t xml:space="preserve"> vérzéses epizódokról, illetve a nemzetközi normalizált arány (International Normalised Ratio – INR) emelkedéséről számoltak be olyan betegeknél, akik a szorafenib terápia idején egyidejűleg warfarint </w:t>
      </w:r>
      <w:r>
        <w:rPr>
          <w:rFonts w:cs="Times New Roman"/>
        </w:rPr>
        <w:t xml:space="preserve">is </w:t>
      </w:r>
      <w:r w:rsidR="00525AD5" w:rsidRPr="00525AD5">
        <w:rPr>
          <w:rFonts w:cs="Times New Roman"/>
        </w:rPr>
        <w:t>szedtek. Az egyidejű warfarin- vagy fenprokumon-kezelésben részesülő betegeknél rendszeresen ellenőrizni kell a protrombin</w:t>
      </w:r>
      <w:r>
        <w:rPr>
          <w:rFonts w:cs="Times New Roman"/>
        </w:rPr>
        <w:t>-</w:t>
      </w:r>
      <w:r w:rsidR="00525AD5" w:rsidRPr="00525AD5">
        <w:rPr>
          <w:rFonts w:cs="Times New Roman"/>
        </w:rPr>
        <w:t xml:space="preserve">idő, illetve az INR változásait, </w:t>
      </w:r>
      <w:r>
        <w:rPr>
          <w:rFonts w:cs="Times New Roman"/>
        </w:rPr>
        <w:t>valamint</w:t>
      </w:r>
      <w:r w:rsidR="00525AD5" w:rsidRPr="00525AD5">
        <w:rPr>
          <w:rFonts w:cs="Times New Roman"/>
        </w:rPr>
        <w:t xml:space="preserve"> figyelni kell a klinikai vérzéses epizódokat (lásd 4.5. és 4.8</w:t>
      </w:r>
      <w:r w:rsidR="00741668">
        <w:rPr>
          <w:rFonts w:cs="Times New Roman"/>
        </w:rPr>
        <w:t> pont</w:t>
      </w:r>
      <w:r w:rsidR="00525AD5" w:rsidRPr="00525AD5">
        <w:rPr>
          <w:rFonts w:cs="Times New Roman"/>
        </w:rPr>
        <w:t xml:space="preserve">). </w:t>
      </w:r>
    </w:p>
    <w:p w14:paraId="08ABB262" w14:textId="77777777" w:rsidR="005F44AB" w:rsidRDefault="005F44AB" w:rsidP="00052BDB">
      <w:pPr>
        <w:pStyle w:val="Nincstrkz"/>
        <w:rPr>
          <w:rFonts w:cs="Times New Roman"/>
        </w:rPr>
      </w:pPr>
    </w:p>
    <w:p w14:paraId="3DE719AA" w14:textId="77777777" w:rsidR="005F44AB" w:rsidRPr="008353FA" w:rsidRDefault="00525AD5" w:rsidP="00052BDB">
      <w:pPr>
        <w:pStyle w:val="Nincstrkz"/>
        <w:rPr>
          <w:rFonts w:cs="Times New Roman"/>
          <w:u w:val="single"/>
        </w:rPr>
      </w:pPr>
      <w:r w:rsidRPr="008353FA">
        <w:rPr>
          <w:rFonts w:cs="Times New Roman"/>
          <w:u w:val="single"/>
        </w:rPr>
        <w:t xml:space="preserve">Sebgyógyulási szövődmények </w:t>
      </w:r>
    </w:p>
    <w:p w14:paraId="65D07435" w14:textId="77777777" w:rsidR="005F44AB" w:rsidRDefault="005F44AB" w:rsidP="00052BDB">
      <w:pPr>
        <w:pStyle w:val="Nincstrkz"/>
        <w:rPr>
          <w:rFonts w:cs="Times New Roman"/>
        </w:rPr>
      </w:pPr>
    </w:p>
    <w:p w14:paraId="09071336" w14:textId="77777777" w:rsidR="005F44AB" w:rsidRDefault="00525AD5" w:rsidP="00052BDB">
      <w:pPr>
        <w:pStyle w:val="Nincstrkz"/>
        <w:rPr>
          <w:rFonts w:cs="Times New Roman"/>
        </w:rPr>
      </w:pPr>
      <w:r w:rsidRPr="00525AD5">
        <w:rPr>
          <w:rFonts w:cs="Times New Roman"/>
        </w:rPr>
        <w:t xml:space="preserve">Nem végeztek hivatalos vizsgálatokat a szorafenib sebgyógyulásra kifejtett hatásával kapcsolatban. Nagyobb sebészeti beavatkozások előtt, elővigyázatossági intézkedésként </w:t>
      </w:r>
      <w:r w:rsidR="008353FA" w:rsidRPr="00525AD5">
        <w:rPr>
          <w:rFonts w:cs="Times New Roman"/>
        </w:rPr>
        <w:t>javasolt a szorafenib-</w:t>
      </w:r>
      <w:r w:rsidR="008353FA">
        <w:rPr>
          <w:rFonts w:cs="Times New Roman"/>
        </w:rPr>
        <w:t>terápia átmeneti</w:t>
      </w:r>
      <w:r w:rsidR="008353FA" w:rsidRPr="00525AD5">
        <w:rPr>
          <w:rFonts w:cs="Times New Roman"/>
        </w:rPr>
        <w:t xml:space="preserve"> felfüggeszt</w:t>
      </w:r>
      <w:r w:rsidR="008353FA">
        <w:rPr>
          <w:rFonts w:cs="Times New Roman"/>
        </w:rPr>
        <w:t>ése</w:t>
      </w:r>
      <w:r w:rsidRPr="00525AD5">
        <w:rPr>
          <w:rFonts w:cs="Times New Roman"/>
        </w:rPr>
        <w:t>. Korlátozottak a klinikai tapasztalatok a</w:t>
      </w:r>
      <w:r w:rsidR="00C91253">
        <w:rPr>
          <w:rFonts w:cs="Times New Roman"/>
        </w:rPr>
        <w:t>r</w:t>
      </w:r>
      <w:r w:rsidR="003751AF">
        <w:rPr>
          <w:rFonts w:cs="Times New Roman"/>
        </w:rPr>
        <w:t>r</w:t>
      </w:r>
      <w:r w:rsidR="00C91253">
        <w:rPr>
          <w:rFonts w:cs="Times New Roman"/>
        </w:rPr>
        <w:t>a vonatkozóan</w:t>
      </w:r>
      <w:r w:rsidRPr="00525AD5">
        <w:rPr>
          <w:rFonts w:cs="Times New Roman"/>
        </w:rPr>
        <w:t xml:space="preserve">, hogy a sebészeti beavatkozás után mennyi idő múlva célszerű a kezelést folytatni. Ezért nagyobb műtétet követően a megfelelő sebgyógyulás függvényében, klinikai mérlegelés alapján kell dönteni a szorafenib-kezelés folytatásáról. </w:t>
      </w:r>
    </w:p>
    <w:p w14:paraId="6F78BF0E" w14:textId="77777777" w:rsidR="005F44AB" w:rsidRDefault="005F44AB" w:rsidP="00052BDB">
      <w:pPr>
        <w:pStyle w:val="Nincstrkz"/>
        <w:rPr>
          <w:rFonts w:cs="Times New Roman"/>
        </w:rPr>
      </w:pPr>
    </w:p>
    <w:p w14:paraId="06465E05" w14:textId="77777777" w:rsidR="005F44AB" w:rsidRPr="00D36F56" w:rsidRDefault="00525AD5" w:rsidP="00052BDB">
      <w:pPr>
        <w:pStyle w:val="Nincstrkz"/>
        <w:rPr>
          <w:rFonts w:cs="Times New Roman"/>
          <w:u w:val="single"/>
        </w:rPr>
      </w:pPr>
      <w:r w:rsidRPr="00D36F56">
        <w:rPr>
          <w:rFonts w:cs="Times New Roman"/>
          <w:u w:val="single"/>
        </w:rPr>
        <w:t>Idős</w:t>
      </w:r>
      <w:r w:rsidR="005F44AB" w:rsidRPr="00D36F56">
        <w:rPr>
          <w:rFonts w:cs="Times New Roman"/>
          <w:u w:val="single"/>
        </w:rPr>
        <w:t>ek</w:t>
      </w:r>
      <w:r w:rsidRPr="00D36F56">
        <w:rPr>
          <w:rFonts w:cs="Times New Roman"/>
          <w:u w:val="single"/>
        </w:rPr>
        <w:t xml:space="preserve"> </w:t>
      </w:r>
    </w:p>
    <w:p w14:paraId="5491A8E0" w14:textId="77777777" w:rsidR="005F44AB" w:rsidRDefault="005F44AB" w:rsidP="00052BDB">
      <w:pPr>
        <w:pStyle w:val="Nincstrkz"/>
        <w:rPr>
          <w:rFonts w:cs="Times New Roman"/>
        </w:rPr>
      </w:pPr>
    </w:p>
    <w:p w14:paraId="73088904" w14:textId="03E195DE" w:rsidR="005F44AB" w:rsidRDefault="00525AD5" w:rsidP="00052BDB">
      <w:pPr>
        <w:pStyle w:val="Nincstrkz"/>
        <w:rPr>
          <w:rFonts w:cs="Times New Roman"/>
        </w:rPr>
      </w:pPr>
      <w:r w:rsidRPr="00525AD5">
        <w:rPr>
          <w:rFonts w:cs="Times New Roman"/>
        </w:rPr>
        <w:t>Veseelégtelenség előfordulásáról számoltak be. M</w:t>
      </w:r>
      <w:r w:rsidR="006A37E5">
        <w:rPr>
          <w:rFonts w:cs="Times New Roman"/>
        </w:rPr>
        <w:t>egfontolandó</w:t>
      </w:r>
      <w:r w:rsidRPr="00525AD5">
        <w:rPr>
          <w:rFonts w:cs="Times New Roman"/>
        </w:rPr>
        <w:t xml:space="preserve"> a vesefunkció monitorozás</w:t>
      </w:r>
      <w:r w:rsidR="006A37E5">
        <w:rPr>
          <w:rFonts w:cs="Times New Roman"/>
        </w:rPr>
        <w:t>a</w:t>
      </w:r>
      <w:r w:rsidRPr="00525AD5">
        <w:rPr>
          <w:rFonts w:cs="Times New Roman"/>
        </w:rPr>
        <w:t xml:space="preserve">. </w:t>
      </w:r>
    </w:p>
    <w:p w14:paraId="297D5105" w14:textId="77777777" w:rsidR="005F44AB" w:rsidRDefault="005F44AB" w:rsidP="00052BDB">
      <w:pPr>
        <w:pStyle w:val="Nincstrkz"/>
        <w:rPr>
          <w:rFonts w:cs="Times New Roman"/>
        </w:rPr>
      </w:pPr>
    </w:p>
    <w:p w14:paraId="4799FC51" w14:textId="77777777" w:rsidR="005F44AB" w:rsidRPr="00DF3662" w:rsidRDefault="00525AD5" w:rsidP="00052BDB">
      <w:pPr>
        <w:pStyle w:val="Nincstrkz"/>
        <w:rPr>
          <w:rFonts w:cs="Times New Roman"/>
          <w:u w:val="single"/>
        </w:rPr>
      </w:pPr>
      <w:r w:rsidRPr="00DF3662">
        <w:rPr>
          <w:rFonts w:cs="Times New Roman"/>
          <w:u w:val="single"/>
        </w:rPr>
        <w:t xml:space="preserve">Gyógyszerkölcsönhatás </w:t>
      </w:r>
    </w:p>
    <w:p w14:paraId="79717E8C" w14:textId="77777777" w:rsidR="005F44AB" w:rsidRDefault="005F44AB" w:rsidP="00052BDB">
      <w:pPr>
        <w:pStyle w:val="Nincstrkz"/>
        <w:rPr>
          <w:rFonts w:cs="Times New Roman"/>
        </w:rPr>
      </w:pPr>
    </w:p>
    <w:p w14:paraId="1210B9DF" w14:textId="77777777" w:rsidR="005F44AB" w:rsidRDefault="00525AD5" w:rsidP="00052BDB">
      <w:pPr>
        <w:pStyle w:val="Nincstrkz"/>
        <w:rPr>
          <w:rFonts w:cs="Times New Roman"/>
        </w:rPr>
      </w:pPr>
      <w:r w:rsidRPr="00525AD5">
        <w:rPr>
          <w:rFonts w:cs="Times New Roman"/>
        </w:rPr>
        <w:t>A szorafenib óvatosan adható együtt olyan készítményekkel, amelyek fő lebomlási/kiürülési útja az UGT1A1 (pl. irinotekán) vagy az UGT1A9 útvonal (lásd 4.5</w:t>
      </w:r>
      <w:r w:rsidR="00741668">
        <w:rPr>
          <w:rFonts w:cs="Times New Roman"/>
        </w:rPr>
        <w:t> pont</w:t>
      </w:r>
      <w:r w:rsidRPr="00525AD5">
        <w:rPr>
          <w:rFonts w:cs="Times New Roman"/>
        </w:rPr>
        <w:t xml:space="preserve">). </w:t>
      </w:r>
    </w:p>
    <w:p w14:paraId="26B760FA" w14:textId="77777777" w:rsidR="005F44AB" w:rsidRDefault="005F44AB" w:rsidP="00052BDB">
      <w:pPr>
        <w:pStyle w:val="Nincstrkz"/>
        <w:rPr>
          <w:rFonts w:cs="Times New Roman"/>
        </w:rPr>
      </w:pPr>
    </w:p>
    <w:p w14:paraId="64101CCD" w14:textId="77777777" w:rsidR="005F44AB" w:rsidRDefault="00525AD5" w:rsidP="00052BDB">
      <w:pPr>
        <w:pStyle w:val="Nincstrkz"/>
        <w:rPr>
          <w:rFonts w:cs="Times New Roman"/>
        </w:rPr>
      </w:pPr>
      <w:r w:rsidRPr="00525AD5">
        <w:rPr>
          <w:rFonts w:cs="Times New Roman"/>
        </w:rPr>
        <w:t>Óvatosság ajánlott, amikor a szorafenibet docetaxellel adják együtt (lásd 4.5</w:t>
      </w:r>
      <w:r w:rsidR="00741668">
        <w:rPr>
          <w:rFonts w:cs="Times New Roman"/>
        </w:rPr>
        <w:t> pont</w:t>
      </w:r>
      <w:r w:rsidRPr="00525AD5">
        <w:rPr>
          <w:rFonts w:cs="Times New Roman"/>
        </w:rPr>
        <w:t xml:space="preserve">). </w:t>
      </w:r>
    </w:p>
    <w:p w14:paraId="592DD756" w14:textId="77777777" w:rsidR="005F44AB" w:rsidRDefault="005F44AB" w:rsidP="00052BDB">
      <w:pPr>
        <w:pStyle w:val="Nincstrkz"/>
        <w:rPr>
          <w:rFonts w:cs="Times New Roman"/>
        </w:rPr>
      </w:pPr>
    </w:p>
    <w:p w14:paraId="4EAAE98A" w14:textId="77777777" w:rsidR="005F44AB" w:rsidRDefault="00525AD5" w:rsidP="00052BDB">
      <w:pPr>
        <w:pStyle w:val="Nincstrkz"/>
        <w:rPr>
          <w:rFonts w:cs="Times New Roman"/>
        </w:rPr>
      </w:pPr>
      <w:r w:rsidRPr="00525AD5">
        <w:rPr>
          <w:rFonts w:cs="Times New Roman"/>
        </w:rPr>
        <w:t>A neomicin vagy más</w:t>
      </w:r>
      <w:r w:rsidR="00D36F56">
        <w:rPr>
          <w:rFonts w:cs="Times New Roman"/>
        </w:rPr>
        <w:t xml:space="preserve">, </w:t>
      </w:r>
      <w:r w:rsidRPr="00525AD5">
        <w:rPr>
          <w:rFonts w:cs="Times New Roman"/>
        </w:rPr>
        <w:t>a gastrointestinális mikroflóra jelentős ökológiai zavarát előidéző antibiotikumok egyidejű alkalmazása a szorafenib csökkent biohasznosulásához vezethet (lásd 4.5</w:t>
      </w:r>
      <w:r w:rsidR="00741668">
        <w:rPr>
          <w:rFonts w:cs="Times New Roman"/>
        </w:rPr>
        <w:t> pont</w:t>
      </w:r>
      <w:r w:rsidRPr="00525AD5">
        <w:rPr>
          <w:rFonts w:cs="Times New Roman"/>
        </w:rPr>
        <w:t>). A szorafenib csökkent plazmakoncentrációja által okozott kockázatot figyelembe kell venni az antibiotikum</w:t>
      </w:r>
      <w:r w:rsidR="00DF3662">
        <w:rPr>
          <w:rFonts w:cs="Times New Roman"/>
        </w:rPr>
        <w:t>-</w:t>
      </w:r>
      <w:r w:rsidRPr="00525AD5">
        <w:rPr>
          <w:rFonts w:cs="Times New Roman"/>
        </w:rPr>
        <w:t xml:space="preserve">kezelés megkezdése előtt. </w:t>
      </w:r>
    </w:p>
    <w:p w14:paraId="0DCE312C" w14:textId="77777777" w:rsidR="005F44AB" w:rsidRDefault="005F44AB" w:rsidP="00052BDB">
      <w:pPr>
        <w:pStyle w:val="Nincstrkz"/>
        <w:rPr>
          <w:rFonts w:cs="Times New Roman"/>
        </w:rPr>
      </w:pPr>
    </w:p>
    <w:p w14:paraId="3A4116E3" w14:textId="77777777" w:rsidR="00F270EB" w:rsidRDefault="00525AD5" w:rsidP="00052BDB">
      <w:pPr>
        <w:pStyle w:val="Nincstrkz"/>
        <w:rPr>
          <w:rFonts w:cs="Times New Roman"/>
        </w:rPr>
      </w:pPr>
      <w:r w:rsidRPr="00525AD5">
        <w:rPr>
          <w:rFonts w:cs="Times New Roman"/>
        </w:rPr>
        <w:t>A laphámsejtes tüdőrákban szenvedő betegek</w:t>
      </w:r>
      <w:r w:rsidR="00DF3662">
        <w:rPr>
          <w:rFonts w:cs="Times New Roman"/>
        </w:rPr>
        <w:t>nél</w:t>
      </w:r>
      <w:r w:rsidRPr="00525AD5">
        <w:rPr>
          <w:rFonts w:cs="Times New Roman"/>
        </w:rPr>
        <w:t xml:space="preserve"> magasabb halálozást jelentettek a szorafenib és platina</w:t>
      </w:r>
      <w:r w:rsidR="005F44AB">
        <w:rPr>
          <w:rFonts w:cs="Times New Roman"/>
        </w:rPr>
        <w:t>-</w:t>
      </w:r>
      <w:r w:rsidRPr="00525AD5">
        <w:rPr>
          <w:rFonts w:cs="Times New Roman"/>
        </w:rPr>
        <w:t xml:space="preserve">alapú kemoterápia kombináció alkalmazásakor. Két randomizált, nem-kissejtes tüdőrákban szenvedő, laphámsejtes karcinomás betegek alcsoportját értékelő klinikai vizsgálat alapján azt </w:t>
      </w:r>
      <w:r w:rsidR="00DF3662">
        <w:rPr>
          <w:rFonts w:cs="Times New Roman"/>
        </w:rPr>
        <w:t>állapították meg</w:t>
      </w:r>
      <w:r w:rsidRPr="00525AD5">
        <w:rPr>
          <w:rFonts w:cs="Times New Roman"/>
        </w:rPr>
        <w:t>, hogy a karboplatin/paklitaxel-kezelésben részesülő, hozzáadott terápiaként szorafenibbel kezelt betegek esetén a</w:t>
      </w:r>
      <w:r w:rsidR="00DF3662">
        <w:rPr>
          <w:rFonts w:cs="Times New Roman"/>
        </w:rPr>
        <w:t>z össz-</w:t>
      </w:r>
      <w:r w:rsidRPr="00525AD5">
        <w:rPr>
          <w:rFonts w:cs="Times New Roman"/>
        </w:rPr>
        <w:t>túlélés relatív hazárdja 1,81 (95%-os CI 1,19-2,74), míg a gemcitabin/ciszplatin</w:t>
      </w:r>
      <w:r w:rsidR="00F270EB">
        <w:rPr>
          <w:rFonts w:cs="Times New Roman"/>
        </w:rPr>
        <w:t>-</w:t>
      </w:r>
      <w:r w:rsidRPr="00525AD5">
        <w:rPr>
          <w:rFonts w:cs="Times New Roman"/>
        </w:rPr>
        <w:t>kezelésben részesülő, hozzáadott terápiaként szorafenibbel kezelt betegek esetén a</w:t>
      </w:r>
      <w:r w:rsidR="00DF3662">
        <w:rPr>
          <w:rFonts w:cs="Times New Roman"/>
        </w:rPr>
        <w:t>z össz-</w:t>
      </w:r>
      <w:r w:rsidRPr="00525AD5">
        <w:rPr>
          <w:rFonts w:cs="Times New Roman"/>
        </w:rPr>
        <w:t>túlélés relatív hazárdja 1,22 (95%-os CI 0,82; 1,80) volt. Egyetlen halálok sem dominált, de nagyobb gyakorisággal jelentkezett légzési elégtelenség, vérzés és fertőzésekkel kapcsolatos nemkívánatos esemény</w:t>
      </w:r>
      <w:r w:rsidR="00DF3662">
        <w:rPr>
          <w:rFonts w:cs="Times New Roman"/>
        </w:rPr>
        <w:t>, amikor</w:t>
      </w:r>
      <w:r w:rsidRPr="00525AD5">
        <w:rPr>
          <w:rFonts w:cs="Times New Roman"/>
        </w:rPr>
        <w:t xml:space="preserve"> a szorafenib</w:t>
      </w:r>
      <w:r w:rsidR="00DF3662">
        <w:rPr>
          <w:rFonts w:cs="Times New Roman"/>
        </w:rPr>
        <w:t>et</w:t>
      </w:r>
      <w:r w:rsidRPr="00525AD5">
        <w:rPr>
          <w:rFonts w:cs="Times New Roman"/>
        </w:rPr>
        <w:t xml:space="preserve"> platina-alapú kemoterápiához </w:t>
      </w:r>
      <w:r w:rsidR="00DF3662">
        <w:rPr>
          <w:rFonts w:cs="Times New Roman"/>
        </w:rPr>
        <w:t>adták hozzá</w:t>
      </w:r>
      <w:r w:rsidRPr="00525AD5">
        <w:rPr>
          <w:rFonts w:cs="Times New Roman"/>
        </w:rPr>
        <w:t xml:space="preserve">. </w:t>
      </w:r>
    </w:p>
    <w:p w14:paraId="6E17DB41" w14:textId="77777777" w:rsidR="00F270EB" w:rsidRDefault="00F270EB" w:rsidP="00052BDB">
      <w:pPr>
        <w:pStyle w:val="Nincstrkz"/>
        <w:rPr>
          <w:rFonts w:cs="Times New Roman"/>
        </w:rPr>
      </w:pPr>
    </w:p>
    <w:p w14:paraId="24432FD2" w14:textId="77777777" w:rsidR="00F270EB" w:rsidRPr="00DF3662" w:rsidRDefault="00525AD5" w:rsidP="00052BDB">
      <w:pPr>
        <w:pStyle w:val="Nincstrkz"/>
        <w:rPr>
          <w:rFonts w:cs="Times New Roman"/>
          <w:u w:val="single"/>
        </w:rPr>
      </w:pPr>
      <w:r w:rsidRPr="00DF3662">
        <w:rPr>
          <w:rFonts w:cs="Times New Roman"/>
          <w:u w:val="single"/>
        </w:rPr>
        <w:t xml:space="preserve">Betegségspecifikus figyelmeztetések </w:t>
      </w:r>
    </w:p>
    <w:p w14:paraId="408E51A6" w14:textId="77777777" w:rsidR="00F270EB" w:rsidRDefault="00F270EB" w:rsidP="00052BDB">
      <w:pPr>
        <w:pStyle w:val="Nincstrkz"/>
        <w:rPr>
          <w:rFonts w:cs="Times New Roman"/>
        </w:rPr>
      </w:pPr>
    </w:p>
    <w:p w14:paraId="0494DC02" w14:textId="77777777" w:rsidR="00690726" w:rsidRPr="00226383" w:rsidRDefault="00690726" w:rsidP="00690726">
      <w:pPr>
        <w:pStyle w:val="Nincstrkz"/>
        <w:rPr>
          <w:rFonts w:cs="Times New Roman"/>
          <w:i/>
          <w:iCs/>
          <w:u w:val="single"/>
        </w:rPr>
      </w:pPr>
      <w:r w:rsidRPr="00226383">
        <w:rPr>
          <w:rFonts w:cs="Times New Roman"/>
          <w:i/>
          <w:iCs/>
          <w:u w:val="single"/>
        </w:rPr>
        <w:t>Differenciált pajzsmirigy carcinoma (DTC)</w:t>
      </w:r>
    </w:p>
    <w:p w14:paraId="7ACF6586" w14:textId="77777777" w:rsidR="00690726" w:rsidRDefault="00690726" w:rsidP="00690726">
      <w:pPr>
        <w:pStyle w:val="Nincstrkz"/>
        <w:rPr>
          <w:rFonts w:cs="Times New Roman"/>
        </w:rPr>
      </w:pPr>
    </w:p>
    <w:p w14:paraId="5DC8E05D" w14:textId="1AA9AFF1" w:rsidR="00690726" w:rsidRPr="00690726" w:rsidRDefault="00690726" w:rsidP="00690726">
      <w:pPr>
        <w:pStyle w:val="Nincstrkz"/>
        <w:rPr>
          <w:rFonts w:cs="Times New Roman"/>
        </w:rPr>
      </w:pPr>
      <w:r w:rsidRPr="00690726">
        <w:rPr>
          <w:rFonts w:cs="Times New Roman"/>
        </w:rPr>
        <w:t>A kezelés megkezdése előtt javasolt, hogy a kezelőorvos gondosan értékelje az adott beteg prognózisát, figyelembe véve a lézió maximális méretet (lásd 5.1 pont), a betegséggel összefüggő tüneteket (lásd 5.1 pont), valamint a progresszió ütemét.</w:t>
      </w:r>
    </w:p>
    <w:p w14:paraId="18AC7B81" w14:textId="77777777" w:rsidR="00690726" w:rsidRDefault="00690726" w:rsidP="00690726">
      <w:pPr>
        <w:pStyle w:val="Nincstrkz"/>
        <w:rPr>
          <w:rFonts w:cs="Times New Roman"/>
        </w:rPr>
      </w:pPr>
    </w:p>
    <w:p w14:paraId="7E542CFE" w14:textId="31E77CD3" w:rsidR="00690726" w:rsidRPr="00690726" w:rsidRDefault="00690726" w:rsidP="00690726">
      <w:pPr>
        <w:pStyle w:val="Nincstrkz"/>
        <w:rPr>
          <w:rFonts w:cs="Times New Roman"/>
        </w:rPr>
      </w:pPr>
      <w:r w:rsidRPr="00690726">
        <w:rPr>
          <w:rFonts w:cs="Times New Roman"/>
        </w:rPr>
        <w:t>A feltételezett mellékhatások kezelése a szorafenib-terápia átmeneti megszakítását vagy a dózis csökkentését teheti szükségessé. Az 5. vizsgálatban (lásd 5.1 pont) a vizsgálati alanyok 37%-ánál szakították meg a gyógyszer adagolását és 35%-uknál történt dóziscsökkentés már a szorafenib-kezelés 1. ciklusa során.</w:t>
      </w:r>
    </w:p>
    <w:p w14:paraId="2CEF19AD" w14:textId="77777777" w:rsidR="00690726" w:rsidRDefault="00690726" w:rsidP="00690726">
      <w:pPr>
        <w:pStyle w:val="Nincstrkz"/>
        <w:rPr>
          <w:rFonts w:cs="Times New Roman"/>
        </w:rPr>
      </w:pPr>
    </w:p>
    <w:p w14:paraId="7E4F0AF9" w14:textId="051FB854" w:rsidR="00690726" w:rsidRPr="00690726" w:rsidRDefault="00690726" w:rsidP="00690726">
      <w:pPr>
        <w:pStyle w:val="Nincstrkz"/>
        <w:rPr>
          <w:rFonts w:cs="Times New Roman"/>
        </w:rPr>
      </w:pPr>
      <w:r w:rsidRPr="00690726">
        <w:rPr>
          <w:rFonts w:cs="Times New Roman"/>
        </w:rPr>
        <w:t>A dóziscsökkentések csak részben voltak sikeresek a mellékhatások enyhítése tekintetében. Ezért az előny és kockázat ismételt értékelése ajánlott, amelynek során figyelembe veszik a daganatellenes hatást és a tolerálhatóságot.</w:t>
      </w:r>
    </w:p>
    <w:p w14:paraId="12CAB919" w14:textId="77777777" w:rsidR="00690726" w:rsidRDefault="00690726" w:rsidP="00690726">
      <w:pPr>
        <w:pStyle w:val="Nincstrkz"/>
        <w:rPr>
          <w:rFonts w:cs="Times New Roman"/>
        </w:rPr>
      </w:pPr>
    </w:p>
    <w:p w14:paraId="3964F8A8" w14:textId="4C09107F" w:rsidR="00690726" w:rsidRPr="00226383" w:rsidRDefault="00690726" w:rsidP="00690726">
      <w:pPr>
        <w:pStyle w:val="Nincstrkz"/>
        <w:rPr>
          <w:rFonts w:cs="Times New Roman"/>
          <w:i/>
          <w:iCs/>
          <w:u w:val="single"/>
        </w:rPr>
      </w:pPr>
      <w:r w:rsidRPr="00226383">
        <w:rPr>
          <w:rFonts w:cs="Times New Roman"/>
          <w:i/>
          <w:iCs/>
          <w:u w:val="single"/>
        </w:rPr>
        <w:t>Haemorrhagia DTC esetén</w:t>
      </w:r>
    </w:p>
    <w:p w14:paraId="71A404CB" w14:textId="0FB3A208" w:rsidR="00690726" w:rsidRPr="00690726" w:rsidRDefault="00690726" w:rsidP="00690726">
      <w:pPr>
        <w:pStyle w:val="Nincstrkz"/>
        <w:rPr>
          <w:rFonts w:cs="Times New Roman"/>
        </w:rPr>
      </w:pPr>
      <w:r w:rsidRPr="00690726">
        <w:rPr>
          <w:rFonts w:cs="Times New Roman"/>
        </w:rPr>
        <w:t>A vérzés potenciális kockázata miatt a DTC-ben szenvedő betegeknél a trachealis, bronchialis és oesophagealis beszűrődést helyileg kell kezelni a szorafenib alkalmazását megelőzően.</w:t>
      </w:r>
    </w:p>
    <w:p w14:paraId="6263D9AE" w14:textId="77777777" w:rsidR="00690726" w:rsidRDefault="00690726" w:rsidP="00690726">
      <w:pPr>
        <w:pStyle w:val="Nincstrkz"/>
        <w:rPr>
          <w:rFonts w:cs="Times New Roman"/>
        </w:rPr>
      </w:pPr>
    </w:p>
    <w:p w14:paraId="3C58CFB1" w14:textId="518B26FF" w:rsidR="00690726" w:rsidRPr="00226383" w:rsidRDefault="00690726" w:rsidP="00690726">
      <w:pPr>
        <w:pStyle w:val="Nincstrkz"/>
        <w:rPr>
          <w:rFonts w:cs="Times New Roman"/>
          <w:i/>
          <w:iCs/>
          <w:u w:val="single"/>
        </w:rPr>
      </w:pPr>
      <w:r w:rsidRPr="00226383">
        <w:rPr>
          <w:rFonts w:cs="Times New Roman"/>
          <w:i/>
          <w:iCs/>
          <w:u w:val="single"/>
        </w:rPr>
        <w:t>Hypocalcaemia DTC esetén</w:t>
      </w:r>
    </w:p>
    <w:p w14:paraId="36247B2A" w14:textId="09B58989" w:rsidR="00690726" w:rsidRPr="00690726" w:rsidRDefault="00690726" w:rsidP="00690726">
      <w:pPr>
        <w:pStyle w:val="Nincstrkz"/>
        <w:rPr>
          <w:rFonts w:cs="Times New Roman"/>
        </w:rPr>
      </w:pPr>
      <w:r w:rsidRPr="00690726">
        <w:rPr>
          <w:rFonts w:cs="Times New Roman"/>
        </w:rPr>
        <w:t>DTC-ben szenvedő betegeknél a szorafenib alkalmazása esetén a vér kalciumszintjének szoros monitorozása ajánlott. Klinikai vizsgálatok során a hypocalcaemia gyakoribb és súlyosabb volt a DTC-ben szenvedő betegeknél, különösen, ha a kórtörténetben hypoparathyreosis szerepelt, összehasonlítva a vesesejtes vagy hepatocellularis carcinomában szenvedő betegekkel. 3. és 4. fokú hypocalcaemia a DTC-ben szenvedő, szorafenibbel kezelt betegek 6,8</w:t>
      </w:r>
      <w:r w:rsidR="001D7E28">
        <w:rPr>
          <w:rFonts w:cs="Times New Roman"/>
        </w:rPr>
        <w:t xml:space="preserve"> %-ában</w:t>
      </w:r>
      <w:r w:rsidRPr="00690726">
        <w:rPr>
          <w:rFonts w:cs="Times New Roman"/>
        </w:rPr>
        <w:t xml:space="preserve">, illetve 3,4%-ában fordult elő (lásd 4.8 pont). A súlyos hypocalcaemiát a szövődmények, úgymint a QT-intervallum megnyúlása vagy </w:t>
      </w:r>
      <w:r w:rsidRPr="00DC0223">
        <w:rPr>
          <w:rFonts w:cs="Times New Roman"/>
          <w:i/>
          <w:iCs/>
        </w:rPr>
        <w:t>torsade de pointes</w:t>
      </w:r>
      <w:r w:rsidRPr="00690726">
        <w:rPr>
          <w:rFonts w:cs="Times New Roman"/>
        </w:rPr>
        <w:t xml:space="preserve"> (lásd a QT-intervallum megnyúlás című pontot) megelőzése végett korrigálni kell.</w:t>
      </w:r>
    </w:p>
    <w:p w14:paraId="27576F75" w14:textId="77777777" w:rsidR="00690726" w:rsidRDefault="00690726" w:rsidP="00690726">
      <w:pPr>
        <w:pStyle w:val="Nincstrkz"/>
        <w:rPr>
          <w:rFonts w:cs="Times New Roman"/>
        </w:rPr>
      </w:pPr>
    </w:p>
    <w:p w14:paraId="3095C723" w14:textId="0DCA5CD1" w:rsidR="00690726" w:rsidRPr="00226383" w:rsidRDefault="00690726" w:rsidP="00690726">
      <w:pPr>
        <w:pStyle w:val="Nincstrkz"/>
        <w:rPr>
          <w:rFonts w:cs="Times New Roman"/>
          <w:i/>
          <w:iCs/>
          <w:u w:val="single"/>
        </w:rPr>
      </w:pPr>
      <w:r w:rsidRPr="00226383">
        <w:rPr>
          <w:rFonts w:cs="Times New Roman"/>
          <w:i/>
          <w:iCs/>
          <w:u w:val="single"/>
        </w:rPr>
        <w:t>TSH szuppresszió DTC esetén</w:t>
      </w:r>
    </w:p>
    <w:p w14:paraId="5E00E245" w14:textId="79130137" w:rsidR="00690726" w:rsidRDefault="00690726" w:rsidP="00690726">
      <w:pPr>
        <w:pStyle w:val="Nincstrkz"/>
        <w:rPr>
          <w:rFonts w:cs="Times New Roman"/>
        </w:rPr>
      </w:pPr>
      <w:r w:rsidRPr="00690726">
        <w:rPr>
          <w:rFonts w:cs="Times New Roman"/>
        </w:rPr>
        <w:t xml:space="preserve">Az 5. vizsgálatban (lásd 5.1 pont), a TSH-szint 0,5 mU/l </w:t>
      </w:r>
      <w:r w:rsidR="001D7E28">
        <w:rPr>
          <w:rFonts w:cs="Times New Roman"/>
        </w:rPr>
        <w:t xml:space="preserve">érték </w:t>
      </w:r>
      <w:r w:rsidRPr="00690726">
        <w:rPr>
          <w:rFonts w:cs="Times New Roman"/>
        </w:rPr>
        <w:t>f</w:t>
      </w:r>
      <w:r w:rsidR="001D7E28">
        <w:rPr>
          <w:rFonts w:cs="Times New Roman"/>
        </w:rPr>
        <w:t>ö</w:t>
      </w:r>
      <w:r w:rsidRPr="00690726">
        <w:rPr>
          <w:rFonts w:cs="Times New Roman"/>
        </w:rPr>
        <w:t>lé történő emelkedését észlelték a szorafenibbel kezelt betegeknél. Amennyiben DTC-ben szenvedő betegeknél alkalmazzák a szorafenibet, akkor a TSH-szint szoros monitorozása ajánlott.</w:t>
      </w:r>
    </w:p>
    <w:p w14:paraId="717146B5" w14:textId="77777777" w:rsidR="00690726" w:rsidRDefault="00690726" w:rsidP="00690726">
      <w:pPr>
        <w:pStyle w:val="Nincstrkz"/>
        <w:rPr>
          <w:rFonts w:cs="Times New Roman"/>
        </w:rPr>
      </w:pPr>
    </w:p>
    <w:p w14:paraId="2EDF1649" w14:textId="77777777" w:rsidR="00F270EB" w:rsidRPr="00551CA7" w:rsidRDefault="00525AD5" w:rsidP="00052BDB">
      <w:pPr>
        <w:pStyle w:val="Nincstrkz"/>
        <w:rPr>
          <w:rFonts w:cs="Times New Roman"/>
          <w:i/>
          <w:u w:val="single"/>
        </w:rPr>
      </w:pPr>
      <w:r w:rsidRPr="00551CA7">
        <w:rPr>
          <w:rFonts w:cs="Times New Roman"/>
          <w:i/>
          <w:u w:val="single"/>
        </w:rPr>
        <w:t xml:space="preserve">Vesesejtes carcinoma </w:t>
      </w:r>
    </w:p>
    <w:p w14:paraId="3F66C536" w14:textId="77777777" w:rsidR="00F270EB" w:rsidRDefault="00F270EB" w:rsidP="00052BDB">
      <w:pPr>
        <w:pStyle w:val="Nincstrkz"/>
        <w:rPr>
          <w:rFonts w:cs="Times New Roman"/>
        </w:rPr>
      </w:pPr>
    </w:p>
    <w:p w14:paraId="64A88886" w14:textId="3E5BAFF1" w:rsidR="00F270EB" w:rsidRDefault="00525AD5" w:rsidP="00052BDB">
      <w:pPr>
        <w:pStyle w:val="Nincstrkz"/>
        <w:rPr>
          <w:rFonts w:cs="Times New Roman"/>
        </w:rPr>
      </w:pPr>
      <w:r w:rsidRPr="00525AD5">
        <w:rPr>
          <w:rFonts w:cs="Times New Roman"/>
        </w:rPr>
        <w:t xml:space="preserve">Az MSKCC (Memorial Sloan Kettering Cancer Center) prognosztikai csoport szerinti magas kockázatú betegeket nem vonták be a vesesejtes carcinoma </w:t>
      </w:r>
      <w:r w:rsidR="0037337B">
        <w:rPr>
          <w:rFonts w:cs="Times New Roman"/>
        </w:rPr>
        <w:t xml:space="preserve">III. </w:t>
      </w:r>
      <w:r w:rsidRPr="00525AD5">
        <w:rPr>
          <w:rFonts w:cs="Times New Roman"/>
        </w:rPr>
        <w:t>fázis</w:t>
      </w:r>
      <w:r w:rsidR="0037337B">
        <w:rPr>
          <w:rFonts w:cs="Times New Roman"/>
        </w:rPr>
        <w:t>ú</w:t>
      </w:r>
      <w:r w:rsidRPr="00525AD5">
        <w:rPr>
          <w:rFonts w:cs="Times New Roman"/>
        </w:rPr>
        <w:t xml:space="preserve"> klinikai vizsgálatába (lásd az 1. vizsgálatot az 5.1</w:t>
      </w:r>
      <w:r w:rsidR="00741668">
        <w:rPr>
          <w:rFonts w:cs="Times New Roman"/>
        </w:rPr>
        <w:t> pont</w:t>
      </w:r>
      <w:r w:rsidRPr="00525AD5">
        <w:rPr>
          <w:rFonts w:cs="Times New Roman"/>
        </w:rPr>
        <w:t xml:space="preserve">ban), így ezen betegek előny-kockázat profilját nem értékelték. </w:t>
      </w:r>
    </w:p>
    <w:p w14:paraId="308A69B4" w14:textId="77777777" w:rsidR="00F270EB" w:rsidRDefault="00F270EB" w:rsidP="00052BDB">
      <w:pPr>
        <w:pStyle w:val="Nincstrkz"/>
        <w:rPr>
          <w:rFonts w:cs="Times New Roman"/>
        </w:rPr>
      </w:pPr>
    </w:p>
    <w:p w14:paraId="4905DCE1" w14:textId="77777777" w:rsidR="00F270EB" w:rsidRPr="00D36F56" w:rsidRDefault="007249F6" w:rsidP="00052BDB">
      <w:pPr>
        <w:pStyle w:val="Nincstrkz"/>
        <w:rPr>
          <w:rFonts w:cs="Times New Roman"/>
          <w:u w:val="single"/>
        </w:rPr>
      </w:pPr>
      <w:r w:rsidRPr="00D36F56">
        <w:rPr>
          <w:rFonts w:cs="Times New Roman"/>
          <w:u w:val="single"/>
        </w:rPr>
        <w:t>Információk a segédanyagokról</w:t>
      </w:r>
    </w:p>
    <w:p w14:paraId="00F79050" w14:textId="77777777" w:rsidR="007249F6" w:rsidRDefault="007249F6" w:rsidP="00052BDB">
      <w:pPr>
        <w:pStyle w:val="Nincstrkz"/>
        <w:rPr>
          <w:rFonts w:cs="Times New Roman"/>
        </w:rPr>
      </w:pPr>
    </w:p>
    <w:p w14:paraId="3468081B" w14:textId="792BFF93" w:rsidR="007249F6" w:rsidRDefault="007249F6" w:rsidP="00052BDB">
      <w:pPr>
        <w:pStyle w:val="Nincstrkz"/>
        <w:rPr>
          <w:rFonts w:cs="Times New Roman"/>
        </w:rPr>
      </w:pPr>
      <w:r>
        <w:rPr>
          <w:rFonts w:cs="Times New Roman"/>
        </w:rPr>
        <w:t xml:space="preserve">Ez a gyógyszer kevesebb mint 1 mmol (23 mg) nátriumot tartalmaz tablettánként, </w:t>
      </w:r>
      <w:r w:rsidR="006A3480">
        <w:rPr>
          <w:rFonts w:cs="Times New Roman"/>
        </w:rPr>
        <w:t>azaz</w:t>
      </w:r>
      <w:r>
        <w:rPr>
          <w:rFonts w:cs="Times New Roman"/>
        </w:rPr>
        <w:t xml:space="preserve"> gyakorlatilag „nátriummentes”.</w:t>
      </w:r>
    </w:p>
    <w:p w14:paraId="160BD2BF" w14:textId="77777777" w:rsidR="007249F6" w:rsidRDefault="007249F6" w:rsidP="00052BDB">
      <w:pPr>
        <w:pStyle w:val="Nincstrkz"/>
        <w:rPr>
          <w:rFonts w:cs="Times New Roman"/>
        </w:rPr>
      </w:pPr>
    </w:p>
    <w:p w14:paraId="5EA0ADAF" w14:textId="27F89181" w:rsidR="00F270EB" w:rsidRPr="00F270EB" w:rsidRDefault="00525AD5" w:rsidP="007249F6">
      <w:pPr>
        <w:pStyle w:val="Nincstrkz"/>
        <w:keepNext/>
        <w:tabs>
          <w:tab w:val="left" w:pos="567"/>
        </w:tabs>
        <w:rPr>
          <w:rFonts w:cs="Times New Roman"/>
          <w:b/>
        </w:rPr>
      </w:pPr>
      <w:r w:rsidRPr="00F270EB">
        <w:rPr>
          <w:rFonts w:cs="Times New Roman"/>
          <w:b/>
        </w:rPr>
        <w:t>4.5</w:t>
      </w:r>
      <w:r w:rsidR="00F270EB">
        <w:rPr>
          <w:rFonts w:cs="Times New Roman"/>
          <w:b/>
        </w:rPr>
        <w:tab/>
      </w:r>
      <w:r w:rsidRPr="00F270EB">
        <w:rPr>
          <w:rFonts w:cs="Times New Roman"/>
          <w:b/>
        </w:rPr>
        <w:t xml:space="preserve">Gyógyszerkölcsönhatások és egyéb interakciók </w:t>
      </w:r>
    </w:p>
    <w:p w14:paraId="5533EEEC" w14:textId="77777777" w:rsidR="00F270EB" w:rsidRDefault="00F270EB" w:rsidP="007249F6">
      <w:pPr>
        <w:pStyle w:val="Nincstrkz"/>
        <w:keepNext/>
        <w:rPr>
          <w:rFonts w:cs="Times New Roman"/>
        </w:rPr>
      </w:pPr>
    </w:p>
    <w:p w14:paraId="4461BBE2" w14:textId="77777777" w:rsidR="007249F6" w:rsidRPr="007249F6" w:rsidRDefault="007249F6" w:rsidP="007249F6">
      <w:pPr>
        <w:pStyle w:val="Nincstrkz"/>
        <w:keepNext/>
        <w:rPr>
          <w:rFonts w:cs="Times New Roman"/>
          <w:u w:val="single"/>
        </w:rPr>
      </w:pPr>
      <w:r>
        <w:rPr>
          <w:rFonts w:cs="Times New Roman"/>
          <w:u w:val="single"/>
        </w:rPr>
        <w:t>Metabolikus e</w:t>
      </w:r>
      <w:r w:rsidR="00525AD5" w:rsidRPr="007249F6">
        <w:rPr>
          <w:rFonts w:cs="Times New Roman"/>
          <w:u w:val="single"/>
        </w:rPr>
        <w:t>nzim</w:t>
      </w:r>
      <w:r>
        <w:rPr>
          <w:rFonts w:cs="Times New Roman"/>
          <w:u w:val="single"/>
        </w:rPr>
        <w:t>ek</w:t>
      </w:r>
      <w:r w:rsidR="00525AD5" w:rsidRPr="007249F6">
        <w:rPr>
          <w:rFonts w:cs="Times New Roman"/>
          <w:u w:val="single"/>
        </w:rPr>
        <w:t xml:space="preserve"> induktor</w:t>
      </w:r>
      <w:r>
        <w:rPr>
          <w:rFonts w:cs="Times New Roman"/>
          <w:u w:val="single"/>
        </w:rPr>
        <w:t>ai</w:t>
      </w:r>
      <w:r w:rsidR="00525AD5" w:rsidRPr="007249F6">
        <w:rPr>
          <w:rFonts w:cs="Times New Roman"/>
          <w:u w:val="single"/>
        </w:rPr>
        <w:t xml:space="preserve"> </w:t>
      </w:r>
    </w:p>
    <w:p w14:paraId="7471B95F" w14:textId="77777777" w:rsidR="007249F6" w:rsidRDefault="007249F6" w:rsidP="007249F6">
      <w:pPr>
        <w:pStyle w:val="Nincstrkz"/>
        <w:keepNext/>
        <w:rPr>
          <w:rFonts w:cs="Times New Roman"/>
        </w:rPr>
      </w:pPr>
    </w:p>
    <w:p w14:paraId="49E15D68" w14:textId="77777777" w:rsidR="00055E89" w:rsidRDefault="00055E89" w:rsidP="007249F6">
      <w:pPr>
        <w:pStyle w:val="Nincstrkz"/>
        <w:keepNext/>
        <w:rPr>
          <w:rFonts w:cs="Times New Roman"/>
        </w:rPr>
      </w:pPr>
      <w:r>
        <w:rPr>
          <w:rFonts w:cs="Times New Roman"/>
        </w:rPr>
        <w:t>Az e</w:t>
      </w:r>
      <w:r w:rsidR="00525AD5" w:rsidRPr="00525AD5">
        <w:rPr>
          <w:rFonts w:cs="Times New Roman"/>
        </w:rPr>
        <w:t xml:space="preserve">gyszeri szorafenib adag beadását megelőző 5 napban </w:t>
      </w:r>
      <w:r w:rsidRPr="00525AD5">
        <w:rPr>
          <w:rFonts w:cs="Times New Roman"/>
        </w:rPr>
        <w:t>alkalmaz</w:t>
      </w:r>
      <w:r>
        <w:rPr>
          <w:rFonts w:cs="Times New Roman"/>
        </w:rPr>
        <w:t>ott</w:t>
      </w:r>
      <w:r w:rsidRPr="00525AD5">
        <w:rPr>
          <w:rFonts w:cs="Times New Roman"/>
        </w:rPr>
        <w:t xml:space="preserve"> </w:t>
      </w:r>
      <w:r w:rsidR="00525AD5" w:rsidRPr="00525AD5">
        <w:rPr>
          <w:rFonts w:cs="Times New Roman"/>
        </w:rPr>
        <w:t>rifampicin átlagosan 37%-kal csökkentette a szorafenib AUC-értékét. Egyéb, a CYP3A4 izoenzim aktivitását és/vagy a gl</w:t>
      </w:r>
      <w:r>
        <w:rPr>
          <w:rFonts w:cs="Times New Roman"/>
        </w:rPr>
        <w:t>ü</w:t>
      </w:r>
      <w:r w:rsidR="00525AD5" w:rsidRPr="00525AD5">
        <w:rPr>
          <w:rFonts w:cs="Times New Roman"/>
        </w:rPr>
        <w:t xml:space="preserve">kuronidációt serkentő induktorok (pl. </w:t>
      </w:r>
      <w:r w:rsidR="00525AD5" w:rsidRPr="00055E89">
        <w:rPr>
          <w:rFonts w:cs="Times New Roman"/>
          <w:i/>
        </w:rPr>
        <w:t>Hypericum perforatum</w:t>
      </w:r>
      <w:r w:rsidR="00525AD5" w:rsidRPr="00525AD5">
        <w:rPr>
          <w:rFonts w:cs="Times New Roman"/>
        </w:rPr>
        <w:t xml:space="preserve"> azaz közönséges orbáncfű, fenitoin, karbamazepin, fenobarbitál, dexametazon) ugyancsak fokozhatják a szorafenib lebomlását, ezzel csökkentve a szorafenib koncentrációt. </w:t>
      </w:r>
    </w:p>
    <w:p w14:paraId="65C94E33" w14:textId="77777777" w:rsidR="00055E89" w:rsidRDefault="00055E89" w:rsidP="00055E89">
      <w:pPr>
        <w:pStyle w:val="Nincstrkz"/>
        <w:widowControl w:val="0"/>
        <w:rPr>
          <w:rFonts w:cs="Times New Roman"/>
        </w:rPr>
      </w:pPr>
    </w:p>
    <w:p w14:paraId="76C9D82F" w14:textId="77777777" w:rsidR="00055E89" w:rsidRPr="00055E89" w:rsidRDefault="00525AD5" w:rsidP="00055E89">
      <w:pPr>
        <w:pStyle w:val="Nincstrkz"/>
        <w:widowControl w:val="0"/>
        <w:rPr>
          <w:rFonts w:cs="Times New Roman"/>
          <w:u w:val="single"/>
        </w:rPr>
      </w:pPr>
      <w:r w:rsidRPr="00055E89">
        <w:rPr>
          <w:rFonts w:cs="Times New Roman"/>
          <w:u w:val="single"/>
        </w:rPr>
        <w:t xml:space="preserve">CYP3A4 inhibitorok </w:t>
      </w:r>
    </w:p>
    <w:p w14:paraId="3877853A" w14:textId="77777777" w:rsidR="00055E89" w:rsidRDefault="00055E89" w:rsidP="00055E89">
      <w:pPr>
        <w:pStyle w:val="Nincstrkz"/>
        <w:widowControl w:val="0"/>
        <w:rPr>
          <w:rFonts w:cs="Times New Roman"/>
        </w:rPr>
      </w:pPr>
    </w:p>
    <w:p w14:paraId="5C3EC92D" w14:textId="77777777" w:rsidR="00ED1E46" w:rsidRDefault="00055E89" w:rsidP="00055E89">
      <w:pPr>
        <w:pStyle w:val="Nincstrkz"/>
        <w:widowControl w:val="0"/>
        <w:rPr>
          <w:rFonts w:cs="Times New Roman"/>
        </w:rPr>
      </w:pPr>
      <w:r>
        <w:rPr>
          <w:rFonts w:cs="Times New Roman"/>
        </w:rPr>
        <w:t>A hét</w:t>
      </w:r>
      <w:r w:rsidR="00525AD5" w:rsidRPr="00525AD5">
        <w:rPr>
          <w:rFonts w:cs="Times New Roman"/>
        </w:rPr>
        <w:t xml:space="preserve"> napon át, napi egyszer adott ketokonazol</w:t>
      </w:r>
      <w:r w:rsidR="00ED1E46">
        <w:rPr>
          <w:rFonts w:cs="Times New Roman"/>
        </w:rPr>
        <w:t>, a</w:t>
      </w:r>
      <w:r w:rsidR="00525AD5" w:rsidRPr="00525AD5">
        <w:rPr>
          <w:rFonts w:cs="Times New Roman"/>
        </w:rPr>
        <w:t xml:space="preserve"> CYP3A4 hatékony inhibitora</w:t>
      </w:r>
      <w:r w:rsidR="00ED1E46">
        <w:rPr>
          <w:rFonts w:cs="Times New Roman"/>
        </w:rPr>
        <w:t xml:space="preserve">, </w:t>
      </w:r>
      <w:r w:rsidR="00525AD5" w:rsidRPr="00525AD5">
        <w:rPr>
          <w:rFonts w:cs="Times New Roman"/>
        </w:rPr>
        <w:t>egészséges férfi önkéntesek</w:t>
      </w:r>
      <w:r>
        <w:rPr>
          <w:rFonts w:cs="Times New Roman"/>
        </w:rPr>
        <w:t>nél</w:t>
      </w:r>
      <w:r w:rsidR="00525AD5" w:rsidRPr="00525AD5">
        <w:rPr>
          <w:rFonts w:cs="Times New Roman"/>
        </w:rPr>
        <w:t xml:space="preserve"> nem változ</w:t>
      </w:r>
      <w:r w:rsidR="00ED1E46">
        <w:rPr>
          <w:rFonts w:cs="Times New Roman"/>
        </w:rPr>
        <w:t>tat</w:t>
      </w:r>
      <w:r w:rsidR="0007713F">
        <w:rPr>
          <w:rFonts w:cs="Times New Roman"/>
        </w:rPr>
        <w:t>t</w:t>
      </w:r>
      <w:r w:rsidR="00ED1E46">
        <w:rPr>
          <w:rFonts w:cs="Times New Roman"/>
        </w:rPr>
        <w:t>a meg</w:t>
      </w:r>
      <w:r w:rsidR="00525AD5" w:rsidRPr="00525AD5">
        <w:rPr>
          <w:rFonts w:cs="Times New Roman"/>
        </w:rPr>
        <w:t xml:space="preserve"> az egyszeri 50</w:t>
      </w:r>
      <w:r w:rsidR="00390D2B">
        <w:rPr>
          <w:rFonts w:cs="Times New Roman"/>
        </w:rPr>
        <w:t> mg</w:t>
      </w:r>
      <w:r w:rsidR="00525AD5" w:rsidRPr="00525AD5">
        <w:rPr>
          <w:rFonts w:cs="Times New Roman"/>
        </w:rPr>
        <w:t xml:space="preserve"> szorafenib átlagos AUC</w:t>
      </w:r>
      <w:r w:rsidR="00ED1E46">
        <w:rPr>
          <w:rFonts w:cs="Times New Roman"/>
        </w:rPr>
        <w:t xml:space="preserve"> értékét</w:t>
      </w:r>
      <w:r w:rsidR="00525AD5" w:rsidRPr="00525AD5">
        <w:rPr>
          <w:rFonts w:cs="Times New Roman"/>
        </w:rPr>
        <w:t>. Eze</w:t>
      </w:r>
      <w:r w:rsidR="00ED1E46">
        <w:rPr>
          <w:rFonts w:cs="Times New Roman"/>
        </w:rPr>
        <w:t>k az</w:t>
      </w:r>
      <w:r w:rsidR="00525AD5" w:rsidRPr="00525AD5">
        <w:rPr>
          <w:rFonts w:cs="Times New Roman"/>
        </w:rPr>
        <w:t xml:space="preserve"> adatok </w:t>
      </w:r>
      <w:r w:rsidR="00ED1E46">
        <w:rPr>
          <w:rFonts w:cs="Times New Roman"/>
        </w:rPr>
        <w:t>arra utalnak</w:t>
      </w:r>
      <w:r w:rsidR="00525AD5" w:rsidRPr="00525AD5">
        <w:rPr>
          <w:rFonts w:cs="Times New Roman"/>
        </w:rPr>
        <w:t xml:space="preserve">, hogy a szorafenib és a CYP3A4 inhibitorok között </w:t>
      </w:r>
      <w:r w:rsidR="00ED1E46">
        <w:rPr>
          <w:rFonts w:cs="Times New Roman"/>
        </w:rPr>
        <w:t xml:space="preserve">valószínűleg </w:t>
      </w:r>
      <w:r w:rsidR="00525AD5" w:rsidRPr="00525AD5">
        <w:rPr>
          <w:rFonts w:cs="Times New Roman"/>
        </w:rPr>
        <w:t xml:space="preserve">nem alakul ki farmakokinetikai kölcsönhatás. </w:t>
      </w:r>
    </w:p>
    <w:p w14:paraId="6FB8ABA5" w14:textId="77777777" w:rsidR="00ED1E46" w:rsidRDefault="00ED1E46" w:rsidP="00055E89">
      <w:pPr>
        <w:pStyle w:val="Nincstrkz"/>
        <w:widowControl w:val="0"/>
        <w:rPr>
          <w:rFonts w:cs="Times New Roman"/>
        </w:rPr>
      </w:pPr>
    </w:p>
    <w:p w14:paraId="1A9DD327" w14:textId="77777777" w:rsidR="00ED1E46" w:rsidRPr="00ED1E46" w:rsidRDefault="00525AD5" w:rsidP="00055E89">
      <w:pPr>
        <w:pStyle w:val="Nincstrkz"/>
        <w:widowControl w:val="0"/>
        <w:rPr>
          <w:rFonts w:cs="Times New Roman"/>
          <w:u w:val="single"/>
        </w:rPr>
      </w:pPr>
      <w:r w:rsidRPr="00ED1E46">
        <w:rPr>
          <w:rFonts w:cs="Times New Roman"/>
          <w:u w:val="single"/>
        </w:rPr>
        <w:t xml:space="preserve">CYP2B6, CYP2C8 és CYP2C9 szubsztrátok </w:t>
      </w:r>
    </w:p>
    <w:p w14:paraId="33BA3C89" w14:textId="77777777" w:rsidR="00ED1E46" w:rsidRDefault="00ED1E46" w:rsidP="00055E89">
      <w:pPr>
        <w:pStyle w:val="Nincstrkz"/>
        <w:widowControl w:val="0"/>
        <w:rPr>
          <w:rFonts w:cs="Times New Roman"/>
        </w:rPr>
      </w:pPr>
    </w:p>
    <w:p w14:paraId="0AB1248C" w14:textId="77777777" w:rsidR="00ED1E46" w:rsidRDefault="00525AD5" w:rsidP="00055E89">
      <w:pPr>
        <w:pStyle w:val="Nincstrkz"/>
        <w:widowControl w:val="0"/>
        <w:rPr>
          <w:rFonts w:cs="Times New Roman"/>
        </w:rPr>
      </w:pPr>
      <w:r w:rsidRPr="00525AD5">
        <w:rPr>
          <w:rFonts w:cs="Times New Roman"/>
        </w:rPr>
        <w:t xml:space="preserve">A szorafenib </w:t>
      </w:r>
      <w:r w:rsidRPr="00ED1E46">
        <w:rPr>
          <w:rFonts w:cs="Times New Roman"/>
          <w:i/>
        </w:rPr>
        <w:t>in vitro</w:t>
      </w:r>
      <w:r w:rsidRPr="00525AD5">
        <w:rPr>
          <w:rFonts w:cs="Times New Roman"/>
        </w:rPr>
        <w:t xml:space="preserve"> hasonló potenciállal gátolta a CYP2B6, CYP2C8 és CYP2C9 izoenzimeket. Mindemellett klinikai farmakokinetikai vizsgálatokban </w:t>
      </w:r>
      <w:r w:rsidR="00ED1E46">
        <w:rPr>
          <w:rFonts w:cs="Times New Roman"/>
        </w:rPr>
        <w:t xml:space="preserve">a </w:t>
      </w:r>
      <w:r w:rsidRPr="00525AD5">
        <w:rPr>
          <w:rFonts w:cs="Times New Roman"/>
        </w:rPr>
        <w:t>napi kétszer</w:t>
      </w:r>
      <w:r w:rsidR="00ED1E46">
        <w:rPr>
          <w:rFonts w:cs="Times New Roman"/>
        </w:rPr>
        <w:t xml:space="preserve"> adott</w:t>
      </w:r>
      <w:r w:rsidRPr="00525AD5">
        <w:rPr>
          <w:rFonts w:cs="Times New Roman"/>
        </w:rPr>
        <w:t xml:space="preserve"> 400</w:t>
      </w:r>
      <w:r w:rsidR="00390D2B">
        <w:rPr>
          <w:rFonts w:cs="Times New Roman"/>
        </w:rPr>
        <w:t> mg</w:t>
      </w:r>
      <w:r w:rsidRPr="00525AD5">
        <w:rPr>
          <w:rFonts w:cs="Times New Roman"/>
        </w:rPr>
        <w:t xml:space="preserve"> szorafenib és ciklofoszfamid (CYP2B6 szubsztrát) vagy paklitaxel (CYP2C8 szubsztrát) egyidejű alkalmazása nem eredményezett klinikailag jelentős gátlást. Ezek az adatok arra engednek következtetni, hogy a napi kétszer 400</w:t>
      </w:r>
      <w:r w:rsidR="00390D2B">
        <w:rPr>
          <w:rFonts w:cs="Times New Roman"/>
        </w:rPr>
        <w:t> mg</w:t>
      </w:r>
      <w:r w:rsidRPr="00525AD5">
        <w:rPr>
          <w:rFonts w:cs="Times New Roman"/>
        </w:rPr>
        <w:t xml:space="preserve"> javasolt dózisban adott szorafenib </w:t>
      </w:r>
      <w:r w:rsidRPr="00ED1E46">
        <w:rPr>
          <w:rFonts w:cs="Times New Roman"/>
          <w:i/>
        </w:rPr>
        <w:t>in vivo</w:t>
      </w:r>
      <w:r w:rsidRPr="00525AD5">
        <w:rPr>
          <w:rFonts w:cs="Times New Roman"/>
        </w:rPr>
        <w:t xml:space="preserve"> valószínűleg nem inhibitora a CYP2B6 vagy CYP2C8 izoenzimeknek. </w:t>
      </w:r>
    </w:p>
    <w:p w14:paraId="48D3BAFE" w14:textId="77777777" w:rsidR="007E294F" w:rsidRDefault="00525AD5" w:rsidP="00055E89">
      <w:pPr>
        <w:pStyle w:val="Nincstrkz"/>
        <w:widowControl w:val="0"/>
        <w:rPr>
          <w:rFonts w:cs="Times New Roman"/>
        </w:rPr>
      </w:pPr>
      <w:r w:rsidRPr="00525AD5">
        <w:rPr>
          <w:rFonts w:cs="Times New Roman"/>
        </w:rPr>
        <w:t xml:space="preserve">Továbbá a szorafenibbel és warfarinnal (CYP2C9 szubsztrát) egyidejű kezelés a placebóhoz viszonyítva nem eredményezett változásokat az átlagos PT-INR-ben. Így a szorafenib klinikailag releváns </w:t>
      </w:r>
      <w:r w:rsidRPr="007E294F">
        <w:rPr>
          <w:rFonts w:cs="Times New Roman"/>
          <w:i/>
        </w:rPr>
        <w:t>in vivo</w:t>
      </w:r>
      <w:r w:rsidRPr="00525AD5">
        <w:rPr>
          <w:rFonts w:cs="Times New Roman"/>
        </w:rPr>
        <w:t xml:space="preserve"> CYP2C9-gátlásának kockázata is várhatóan alacsony. </w:t>
      </w:r>
      <w:r w:rsidR="007E294F">
        <w:rPr>
          <w:rFonts w:cs="Times New Roman"/>
        </w:rPr>
        <w:t>Mi</w:t>
      </w:r>
      <w:r w:rsidR="003F578A">
        <w:rPr>
          <w:rFonts w:cs="Times New Roman"/>
        </w:rPr>
        <w:t>n</w:t>
      </w:r>
      <w:r w:rsidR="007E294F">
        <w:rPr>
          <w:rFonts w:cs="Times New Roman"/>
        </w:rPr>
        <w:t>damellett</w:t>
      </w:r>
      <w:r w:rsidRPr="00525AD5">
        <w:rPr>
          <w:rFonts w:cs="Times New Roman"/>
        </w:rPr>
        <w:t>, a warfarinnal vagy fenprokumonnal kezelt betegek INR-értékét rendszeresen ellenőrizni kell (lásd 4.4</w:t>
      </w:r>
      <w:r w:rsidR="00741668">
        <w:rPr>
          <w:rFonts w:cs="Times New Roman"/>
        </w:rPr>
        <w:t> pont</w:t>
      </w:r>
      <w:r w:rsidRPr="00525AD5">
        <w:rPr>
          <w:rFonts w:cs="Times New Roman"/>
        </w:rPr>
        <w:t xml:space="preserve">). </w:t>
      </w:r>
    </w:p>
    <w:p w14:paraId="7DB97B96" w14:textId="77777777" w:rsidR="007E294F" w:rsidRDefault="007E294F" w:rsidP="00055E89">
      <w:pPr>
        <w:pStyle w:val="Nincstrkz"/>
        <w:widowControl w:val="0"/>
        <w:rPr>
          <w:rFonts w:cs="Times New Roman"/>
        </w:rPr>
      </w:pPr>
    </w:p>
    <w:p w14:paraId="4FC7171D" w14:textId="77777777" w:rsidR="007E294F" w:rsidRPr="007E294F" w:rsidRDefault="00525AD5" w:rsidP="00055E89">
      <w:pPr>
        <w:pStyle w:val="Nincstrkz"/>
        <w:widowControl w:val="0"/>
        <w:rPr>
          <w:rFonts w:cs="Times New Roman"/>
          <w:u w:val="single"/>
        </w:rPr>
      </w:pPr>
      <w:r w:rsidRPr="007E294F">
        <w:rPr>
          <w:rFonts w:cs="Times New Roman"/>
          <w:u w:val="single"/>
        </w:rPr>
        <w:t xml:space="preserve">CYP3A4, CYP2D6 és CYP2C19 szubsztrátok </w:t>
      </w:r>
    </w:p>
    <w:p w14:paraId="23CE837C" w14:textId="77777777" w:rsidR="007E294F" w:rsidRDefault="007E294F" w:rsidP="00055E89">
      <w:pPr>
        <w:pStyle w:val="Nincstrkz"/>
        <w:widowControl w:val="0"/>
        <w:rPr>
          <w:rFonts w:cs="Times New Roman"/>
        </w:rPr>
      </w:pPr>
    </w:p>
    <w:p w14:paraId="4496FE9E" w14:textId="77777777" w:rsidR="007E294F" w:rsidRDefault="00525AD5" w:rsidP="00055E89">
      <w:pPr>
        <w:pStyle w:val="Nincstrkz"/>
        <w:widowControl w:val="0"/>
        <w:rPr>
          <w:rFonts w:cs="Times New Roman"/>
        </w:rPr>
      </w:pPr>
      <w:r w:rsidRPr="00525AD5">
        <w:rPr>
          <w:rFonts w:cs="Times New Roman"/>
        </w:rPr>
        <w:t xml:space="preserve">A szorafenib és midazolám (citokróm CYP3A4 szubsztrát), dextrometorfán (citokróm CYP2D6 szubsztrát) vagy omeprazol (citokróm CYP2C19 szubsztrát) együttes alkalmazása nem módosította ezen hatóanyagok koncentrációját. Ez azt jelzi, hogy a szorafenib nem inhibitora és nem induktora ezeknek a citokróm P450 izoenzimeknek. Ezért nem várható klinikai farmakokinetikai interakció a szorafenib és ezen enzimek szubsztrátjai között. </w:t>
      </w:r>
    </w:p>
    <w:p w14:paraId="6FB2D3AE" w14:textId="77777777" w:rsidR="007E294F" w:rsidRDefault="007E294F" w:rsidP="00055E89">
      <w:pPr>
        <w:pStyle w:val="Nincstrkz"/>
        <w:widowControl w:val="0"/>
        <w:rPr>
          <w:rFonts w:cs="Times New Roman"/>
        </w:rPr>
      </w:pPr>
    </w:p>
    <w:p w14:paraId="3A6FA3B6" w14:textId="77777777" w:rsidR="007E294F" w:rsidRPr="007E294F" w:rsidRDefault="00525AD5" w:rsidP="00055E89">
      <w:pPr>
        <w:pStyle w:val="Nincstrkz"/>
        <w:widowControl w:val="0"/>
        <w:rPr>
          <w:rFonts w:cs="Times New Roman"/>
          <w:u w:val="single"/>
        </w:rPr>
      </w:pPr>
      <w:r w:rsidRPr="007E294F">
        <w:rPr>
          <w:rFonts w:cs="Times New Roman"/>
          <w:u w:val="single"/>
        </w:rPr>
        <w:t xml:space="preserve">UGT1A1 és UGT1A9 szubsztrátok </w:t>
      </w:r>
    </w:p>
    <w:p w14:paraId="67E84D5D" w14:textId="77777777" w:rsidR="007E294F" w:rsidRDefault="007E294F" w:rsidP="00055E89">
      <w:pPr>
        <w:pStyle w:val="Nincstrkz"/>
        <w:widowControl w:val="0"/>
        <w:rPr>
          <w:rFonts w:cs="Times New Roman"/>
        </w:rPr>
      </w:pPr>
    </w:p>
    <w:p w14:paraId="55ECD73A" w14:textId="77777777" w:rsidR="00C47C88" w:rsidRDefault="00525AD5" w:rsidP="00055E89">
      <w:pPr>
        <w:pStyle w:val="Nincstrkz"/>
        <w:widowControl w:val="0"/>
        <w:rPr>
          <w:rFonts w:cs="Times New Roman"/>
        </w:rPr>
      </w:pPr>
      <w:r w:rsidRPr="007E294F">
        <w:rPr>
          <w:rFonts w:cs="Times New Roman"/>
          <w:i/>
        </w:rPr>
        <w:t>In vitro</w:t>
      </w:r>
      <w:r w:rsidRPr="00525AD5">
        <w:rPr>
          <w:rFonts w:cs="Times New Roman"/>
        </w:rPr>
        <w:t>, a szorafenib az UGT1A1-en és az UGT1A9-en keresztül gátolta a glükuronidációt. Ennek az eredménynek a klinikai jelentősége nem ismert (lásd alább és 4.4</w:t>
      </w:r>
      <w:r w:rsidR="00741668">
        <w:rPr>
          <w:rFonts w:cs="Times New Roman"/>
        </w:rPr>
        <w:t> pont</w:t>
      </w:r>
      <w:r w:rsidRPr="00525AD5">
        <w:rPr>
          <w:rFonts w:cs="Times New Roman"/>
        </w:rPr>
        <w:t xml:space="preserve">). </w:t>
      </w:r>
    </w:p>
    <w:p w14:paraId="7A09C23B" w14:textId="77777777" w:rsidR="00C47C88" w:rsidRDefault="00C47C88" w:rsidP="00055E89">
      <w:pPr>
        <w:pStyle w:val="Nincstrkz"/>
        <w:widowControl w:val="0"/>
        <w:rPr>
          <w:rFonts w:cs="Times New Roman"/>
          <w:i/>
        </w:rPr>
      </w:pPr>
    </w:p>
    <w:p w14:paraId="636D3C6E" w14:textId="77777777" w:rsidR="00C47C88" w:rsidRPr="00551CA7" w:rsidRDefault="00525AD5" w:rsidP="00055E89">
      <w:pPr>
        <w:pStyle w:val="Nincstrkz"/>
        <w:widowControl w:val="0"/>
        <w:rPr>
          <w:rFonts w:cs="Times New Roman"/>
          <w:u w:val="single"/>
        </w:rPr>
      </w:pPr>
      <w:r w:rsidRPr="00551CA7">
        <w:rPr>
          <w:rFonts w:cs="Times New Roman"/>
          <w:i/>
          <w:u w:val="single"/>
        </w:rPr>
        <w:t>In vitro</w:t>
      </w:r>
      <w:r w:rsidRPr="00551CA7">
        <w:rPr>
          <w:rFonts w:cs="Times New Roman"/>
          <w:u w:val="single"/>
        </w:rPr>
        <w:t xml:space="preserve"> CYP enzim indukciós vizsgálatok</w:t>
      </w:r>
    </w:p>
    <w:p w14:paraId="70B4307C" w14:textId="77777777" w:rsidR="00C47C88" w:rsidRDefault="00C47C88" w:rsidP="00055E89">
      <w:pPr>
        <w:pStyle w:val="Nincstrkz"/>
        <w:widowControl w:val="0"/>
        <w:rPr>
          <w:rFonts w:cs="Times New Roman"/>
        </w:rPr>
      </w:pPr>
    </w:p>
    <w:p w14:paraId="4BB4EDCC" w14:textId="77777777" w:rsidR="00C47C88" w:rsidRDefault="00C47C88" w:rsidP="00055E89">
      <w:pPr>
        <w:pStyle w:val="Nincstrkz"/>
        <w:widowControl w:val="0"/>
        <w:rPr>
          <w:rFonts w:cs="Times New Roman"/>
        </w:rPr>
      </w:pPr>
      <w:r>
        <w:rPr>
          <w:rFonts w:cs="Times New Roman"/>
        </w:rPr>
        <w:t>A</w:t>
      </w:r>
      <w:r w:rsidR="00525AD5" w:rsidRPr="00525AD5">
        <w:rPr>
          <w:rFonts w:cs="Times New Roman"/>
        </w:rPr>
        <w:t xml:space="preserve"> CYP1A2 és a CYP3A4 aktivitása nem változott, amikor emberi hepatoc</w:t>
      </w:r>
      <w:r w:rsidR="0007713F">
        <w:rPr>
          <w:rFonts w:cs="Times New Roman"/>
        </w:rPr>
        <w:t>i</w:t>
      </w:r>
      <w:r w:rsidR="00525AD5" w:rsidRPr="00525AD5">
        <w:rPr>
          <w:rFonts w:cs="Times New Roman"/>
        </w:rPr>
        <w:t>tákat szorafenibbel kezeltek, am</w:t>
      </w:r>
      <w:r>
        <w:rPr>
          <w:rFonts w:cs="Times New Roman"/>
        </w:rPr>
        <w:t>i</w:t>
      </w:r>
      <w:r w:rsidR="00525AD5" w:rsidRPr="00525AD5">
        <w:rPr>
          <w:rFonts w:cs="Times New Roman"/>
        </w:rPr>
        <w:t xml:space="preserve"> azt jelzi, hogy a szorafenib feltehetőleg nem induktora a CYP1A2 és a CYP3A4 izoenzimeknek. </w:t>
      </w:r>
    </w:p>
    <w:p w14:paraId="7713828C" w14:textId="77777777" w:rsidR="00C47C88" w:rsidRDefault="00C47C88" w:rsidP="00055E89">
      <w:pPr>
        <w:pStyle w:val="Nincstrkz"/>
        <w:widowControl w:val="0"/>
        <w:rPr>
          <w:rFonts w:cs="Times New Roman"/>
        </w:rPr>
      </w:pPr>
    </w:p>
    <w:p w14:paraId="42843416" w14:textId="77777777" w:rsidR="00C47C88" w:rsidRPr="00C47C88" w:rsidRDefault="00525AD5" w:rsidP="00055E89">
      <w:pPr>
        <w:pStyle w:val="Nincstrkz"/>
        <w:widowControl w:val="0"/>
        <w:rPr>
          <w:rFonts w:cs="Times New Roman"/>
          <w:u w:val="single"/>
        </w:rPr>
      </w:pPr>
      <w:r w:rsidRPr="00C47C88">
        <w:rPr>
          <w:rFonts w:cs="Times New Roman"/>
          <w:u w:val="single"/>
        </w:rPr>
        <w:t xml:space="preserve">P-gp-szubsztrátok </w:t>
      </w:r>
    </w:p>
    <w:p w14:paraId="64CF1A50" w14:textId="77777777" w:rsidR="00C47C88" w:rsidRDefault="00C47C88" w:rsidP="00055E89">
      <w:pPr>
        <w:pStyle w:val="Nincstrkz"/>
        <w:widowControl w:val="0"/>
        <w:rPr>
          <w:rFonts w:cs="Times New Roman"/>
        </w:rPr>
      </w:pPr>
    </w:p>
    <w:p w14:paraId="78316599" w14:textId="77777777" w:rsidR="00C47C88" w:rsidRDefault="00525AD5" w:rsidP="00055E89">
      <w:pPr>
        <w:pStyle w:val="Nincstrkz"/>
        <w:widowControl w:val="0"/>
        <w:rPr>
          <w:rFonts w:cs="Times New Roman"/>
        </w:rPr>
      </w:pPr>
      <w:r w:rsidRPr="00525AD5">
        <w:rPr>
          <w:rFonts w:cs="Times New Roman"/>
        </w:rPr>
        <w:t xml:space="preserve">A szorafenib </w:t>
      </w:r>
      <w:r w:rsidRPr="00C47C88">
        <w:rPr>
          <w:rFonts w:cs="Times New Roman"/>
          <w:i/>
        </w:rPr>
        <w:t>in vitro</w:t>
      </w:r>
      <w:r w:rsidRPr="00525AD5">
        <w:rPr>
          <w:rFonts w:cs="Times New Roman"/>
        </w:rPr>
        <w:t xml:space="preserve"> gátló hatást mutatott a p-glikoprotein (P-gp) transzportfehérjére. Nem zárható ki, hogy a P-gp szubsztrátjainak, például a digoxinnak a plazmakoncentrációja emelkedni fog, </w:t>
      </w:r>
      <w:r w:rsidR="00C47C88">
        <w:rPr>
          <w:rFonts w:cs="Times New Roman"/>
        </w:rPr>
        <w:t>a</w:t>
      </w:r>
      <w:r w:rsidRPr="00525AD5">
        <w:rPr>
          <w:rFonts w:cs="Times New Roman"/>
        </w:rPr>
        <w:t xml:space="preserve"> szorafenibbel egyidejű</w:t>
      </w:r>
      <w:r w:rsidR="00C47C88">
        <w:rPr>
          <w:rFonts w:cs="Times New Roman"/>
        </w:rPr>
        <w:t xml:space="preserve"> kezelés során</w:t>
      </w:r>
      <w:r w:rsidRPr="00525AD5">
        <w:rPr>
          <w:rFonts w:cs="Times New Roman"/>
        </w:rPr>
        <w:t xml:space="preserve">. </w:t>
      </w:r>
    </w:p>
    <w:p w14:paraId="1A138610" w14:textId="77777777" w:rsidR="00C47C88" w:rsidRDefault="00C47C88" w:rsidP="00055E89">
      <w:pPr>
        <w:pStyle w:val="Nincstrkz"/>
        <w:widowControl w:val="0"/>
        <w:rPr>
          <w:rFonts w:cs="Times New Roman"/>
        </w:rPr>
      </w:pPr>
    </w:p>
    <w:p w14:paraId="7A0AC171" w14:textId="77777777" w:rsidR="00C47C88" w:rsidRPr="00C47C88" w:rsidRDefault="00525AD5" w:rsidP="0007713F">
      <w:pPr>
        <w:pStyle w:val="Nincstrkz"/>
        <w:keepNext/>
        <w:rPr>
          <w:rFonts w:cs="Times New Roman"/>
          <w:u w:val="single"/>
        </w:rPr>
      </w:pPr>
      <w:r w:rsidRPr="00C47C88">
        <w:rPr>
          <w:rFonts w:cs="Times New Roman"/>
          <w:u w:val="single"/>
        </w:rPr>
        <w:t>Egyéb daganat</w:t>
      </w:r>
      <w:r w:rsidR="00551CA7">
        <w:rPr>
          <w:rFonts w:cs="Times New Roman"/>
          <w:u w:val="single"/>
        </w:rPr>
        <w:t>-</w:t>
      </w:r>
      <w:r w:rsidRPr="00C47C88">
        <w:rPr>
          <w:rFonts w:cs="Times New Roman"/>
          <w:u w:val="single"/>
        </w:rPr>
        <w:t>ellen</w:t>
      </w:r>
      <w:r w:rsidR="00551CA7">
        <w:rPr>
          <w:rFonts w:cs="Times New Roman"/>
          <w:u w:val="single"/>
        </w:rPr>
        <w:t>i</w:t>
      </w:r>
      <w:r w:rsidRPr="00C47C88">
        <w:rPr>
          <w:rFonts w:cs="Times New Roman"/>
          <w:u w:val="single"/>
        </w:rPr>
        <w:t xml:space="preserve"> készítménnyel való együttes alkalmazás </w:t>
      </w:r>
    </w:p>
    <w:p w14:paraId="09ABFDA5" w14:textId="77777777" w:rsidR="00C47C88" w:rsidRDefault="00C47C88" w:rsidP="0007713F">
      <w:pPr>
        <w:pStyle w:val="Nincstrkz"/>
        <w:keepNext/>
        <w:rPr>
          <w:rFonts w:cs="Times New Roman"/>
        </w:rPr>
      </w:pPr>
    </w:p>
    <w:p w14:paraId="262E6481" w14:textId="77777777" w:rsidR="008B32A8" w:rsidRDefault="00525AD5" w:rsidP="0007713F">
      <w:pPr>
        <w:pStyle w:val="Nincstrkz"/>
        <w:keepNext/>
        <w:rPr>
          <w:rFonts w:cs="Times New Roman"/>
        </w:rPr>
      </w:pPr>
      <w:r w:rsidRPr="00525AD5">
        <w:rPr>
          <w:rFonts w:cs="Times New Roman"/>
        </w:rPr>
        <w:t>A klinikai vizsgálatok során a szorafenibet többféle</w:t>
      </w:r>
      <w:r w:rsidR="008B32A8">
        <w:rPr>
          <w:rFonts w:cs="Times New Roman"/>
        </w:rPr>
        <w:t>, szokásos adagolásban alkalmazott</w:t>
      </w:r>
      <w:r w:rsidRPr="00525AD5">
        <w:rPr>
          <w:rFonts w:cs="Times New Roman"/>
        </w:rPr>
        <w:t xml:space="preserve"> daganatellenes készítménnyel </w:t>
      </w:r>
      <w:r w:rsidR="00C47C88">
        <w:rPr>
          <w:rFonts w:cs="Times New Roman"/>
        </w:rPr>
        <w:t xml:space="preserve">adták </w:t>
      </w:r>
      <w:r w:rsidRPr="00525AD5">
        <w:rPr>
          <w:rFonts w:cs="Times New Roman"/>
        </w:rPr>
        <w:t xml:space="preserve">együtt, </w:t>
      </w:r>
      <w:r w:rsidR="008B32A8">
        <w:rPr>
          <w:rFonts w:cs="Times New Roman"/>
        </w:rPr>
        <w:t xml:space="preserve">a gyakran használt adagolási rezsimek közé tartozik </w:t>
      </w:r>
      <w:r w:rsidRPr="00525AD5">
        <w:rPr>
          <w:rFonts w:cs="Times New Roman"/>
        </w:rPr>
        <w:t xml:space="preserve">pl. </w:t>
      </w:r>
      <w:r w:rsidR="008B32A8">
        <w:rPr>
          <w:rFonts w:cs="Times New Roman"/>
        </w:rPr>
        <w:t xml:space="preserve">a </w:t>
      </w:r>
      <w:r w:rsidRPr="00525AD5">
        <w:rPr>
          <w:rFonts w:cs="Times New Roman"/>
        </w:rPr>
        <w:t>gemcitabinnal, ciszplatinnal, oxaliplatinnal, paklitaxellel, karboplatinnal, kapecitabinnal, doxorubicinnal, irinotekánnal és docetaxellel</w:t>
      </w:r>
      <w:r w:rsidR="008B32A8">
        <w:rPr>
          <w:rFonts w:cs="Times New Roman"/>
        </w:rPr>
        <w:t>, valamint</w:t>
      </w:r>
      <w:r w:rsidRPr="00525AD5">
        <w:rPr>
          <w:rFonts w:cs="Times New Roman"/>
        </w:rPr>
        <w:t xml:space="preserve"> ciklofoszfamiddal</w:t>
      </w:r>
      <w:r w:rsidR="008B32A8">
        <w:rPr>
          <w:rFonts w:cs="Times New Roman"/>
        </w:rPr>
        <w:t xml:space="preserve"> egyidejű alkalmazás. </w:t>
      </w:r>
      <w:r w:rsidRPr="00525AD5">
        <w:rPr>
          <w:rFonts w:cs="Times New Roman"/>
        </w:rPr>
        <w:t xml:space="preserve">A szorafenibnek nem volt klinikailag releváns hatása a gemcitabin, a ciszplatin, a karboplatin, az oxaliplatin </w:t>
      </w:r>
      <w:r w:rsidR="008B32A8">
        <w:rPr>
          <w:rFonts w:cs="Times New Roman"/>
        </w:rPr>
        <w:t>vagy</w:t>
      </w:r>
      <w:r w:rsidRPr="00525AD5">
        <w:rPr>
          <w:rFonts w:cs="Times New Roman"/>
        </w:rPr>
        <w:t xml:space="preserve"> a ciklofoszfamid farmakokinetikájára. </w:t>
      </w:r>
    </w:p>
    <w:p w14:paraId="5CD2803A" w14:textId="77777777" w:rsidR="008B32A8" w:rsidRDefault="008B32A8" w:rsidP="00055E89">
      <w:pPr>
        <w:pStyle w:val="Nincstrkz"/>
        <w:widowControl w:val="0"/>
        <w:rPr>
          <w:rFonts w:cs="Times New Roman"/>
        </w:rPr>
      </w:pPr>
    </w:p>
    <w:p w14:paraId="128E2955" w14:textId="77777777" w:rsidR="008B32A8" w:rsidRPr="008B32A8" w:rsidRDefault="00525AD5" w:rsidP="00055E89">
      <w:pPr>
        <w:pStyle w:val="Nincstrkz"/>
        <w:widowControl w:val="0"/>
        <w:rPr>
          <w:rFonts w:cs="Times New Roman"/>
          <w:u w:val="single"/>
        </w:rPr>
      </w:pPr>
      <w:r w:rsidRPr="008B32A8">
        <w:rPr>
          <w:rFonts w:cs="Times New Roman"/>
          <w:u w:val="single"/>
        </w:rPr>
        <w:t xml:space="preserve">Paklitaxel/karboplatin </w:t>
      </w:r>
    </w:p>
    <w:p w14:paraId="72D469CF" w14:textId="77777777" w:rsidR="008B32A8" w:rsidRDefault="008B32A8" w:rsidP="00055E89">
      <w:pPr>
        <w:pStyle w:val="Nincstrkz"/>
        <w:widowControl w:val="0"/>
        <w:rPr>
          <w:rFonts w:cs="Times New Roman"/>
        </w:rPr>
      </w:pPr>
    </w:p>
    <w:p w14:paraId="59EC126C" w14:textId="77777777" w:rsidR="0011152B" w:rsidRDefault="00525AD5" w:rsidP="0011152B">
      <w:pPr>
        <w:pStyle w:val="Nincstrkz"/>
        <w:widowControl w:val="0"/>
        <w:numPr>
          <w:ilvl w:val="0"/>
          <w:numId w:val="2"/>
        </w:numPr>
        <w:tabs>
          <w:tab w:val="left" w:pos="567"/>
        </w:tabs>
        <w:ind w:left="567" w:hanging="567"/>
        <w:rPr>
          <w:rFonts w:cs="Times New Roman"/>
        </w:rPr>
      </w:pPr>
      <w:r w:rsidRPr="00525AD5">
        <w:rPr>
          <w:rFonts w:cs="Times New Roman"/>
        </w:rPr>
        <w:t>Paklitaxel (225</w:t>
      </w:r>
      <w:r w:rsidR="00390D2B">
        <w:rPr>
          <w:rFonts w:cs="Times New Roman"/>
        </w:rPr>
        <w:t> mg</w:t>
      </w:r>
      <w:r w:rsidRPr="00525AD5">
        <w:rPr>
          <w:rFonts w:cs="Times New Roman"/>
        </w:rPr>
        <w:t>/m</w:t>
      </w:r>
      <w:r w:rsidRPr="008B32A8">
        <w:rPr>
          <w:rFonts w:cs="Times New Roman"/>
          <w:vertAlign w:val="superscript"/>
        </w:rPr>
        <w:t>2</w:t>
      </w:r>
      <w:r w:rsidRPr="00525AD5">
        <w:rPr>
          <w:rFonts w:cs="Times New Roman"/>
        </w:rPr>
        <w:t>) és karboplatin (AUC = 6) szorafenibbel (naponta kétszer 400</w:t>
      </w:r>
      <w:r w:rsidR="00390D2B">
        <w:rPr>
          <w:rFonts w:cs="Times New Roman"/>
        </w:rPr>
        <w:t> mg</w:t>
      </w:r>
      <w:r w:rsidRPr="00525AD5">
        <w:rPr>
          <w:rFonts w:cs="Times New Roman"/>
        </w:rPr>
        <w:t xml:space="preserve">) együttes </w:t>
      </w:r>
      <w:r w:rsidR="00E211B4">
        <w:rPr>
          <w:rFonts w:cs="Times New Roman"/>
        </w:rPr>
        <w:t>alkalmazása</w:t>
      </w:r>
      <w:r w:rsidRPr="00525AD5">
        <w:rPr>
          <w:rFonts w:cs="Times New Roman"/>
        </w:rPr>
        <w:t>, a szorafenib adagolásában tartott 3-napos szünettel adva (a paklitaxel és a karboplatin adása napján</w:t>
      </w:r>
      <w:r w:rsidR="00E211B4">
        <w:rPr>
          <w:rFonts w:cs="Times New Roman"/>
        </w:rPr>
        <w:t>, illetve</w:t>
      </w:r>
      <w:r w:rsidRPr="00525AD5">
        <w:rPr>
          <w:rFonts w:cs="Times New Roman"/>
        </w:rPr>
        <w:t xml:space="preserve"> az azt megelőző két napon), nem gyakorolt jelentős hatást a paklitaxel farmakokinetikájára. </w:t>
      </w:r>
    </w:p>
    <w:p w14:paraId="508BAC8C" w14:textId="77777777" w:rsidR="0011152B" w:rsidRDefault="00525AD5" w:rsidP="0011152B">
      <w:pPr>
        <w:pStyle w:val="Nincstrkz"/>
        <w:widowControl w:val="0"/>
        <w:numPr>
          <w:ilvl w:val="0"/>
          <w:numId w:val="2"/>
        </w:numPr>
        <w:tabs>
          <w:tab w:val="left" w:pos="567"/>
        </w:tabs>
        <w:ind w:left="567" w:hanging="567"/>
        <w:rPr>
          <w:rFonts w:cs="Times New Roman"/>
        </w:rPr>
      </w:pPr>
      <w:r w:rsidRPr="00525AD5">
        <w:rPr>
          <w:rFonts w:cs="Times New Roman"/>
        </w:rPr>
        <w:t>A paklitaxel (225</w:t>
      </w:r>
      <w:r w:rsidR="00390D2B">
        <w:rPr>
          <w:rFonts w:cs="Times New Roman"/>
        </w:rPr>
        <w:t> mg</w:t>
      </w:r>
      <w:r w:rsidRPr="00525AD5">
        <w:rPr>
          <w:rFonts w:cs="Times New Roman"/>
        </w:rPr>
        <w:t>/m</w:t>
      </w:r>
      <w:r w:rsidRPr="00E211B4">
        <w:rPr>
          <w:rFonts w:cs="Times New Roman"/>
          <w:vertAlign w:val="superscript"/>
        </w:rPr>
        <w:t>2</w:t>
      </w:r>
      <w:r w:rsidRPr="00525AD5">
        <w:rPr>
          <w:rFonts w:cs="Times New Roman"/>
        </w:rPr>
        <w:t>, 3-hetente egyszer) és a karboplatin (AUC = 6) szorafenibbel (naponta kétszer 400</w:t>
      </w:r>
      <w:r w:rsidR="00390D2B">
        <w:rPr>
          <w:rFonts w:cs="Times New Roman"/>
        </w:rPr>
        <w:t> mg</w:t>
      </w:r>
      <w:r w:rsidRPr="00525AD5">
        <w:rPr>
          <w:rFonts w:cs="Times New Roman"/>
        </w:rPr>
        <w:t xml:space="preserve">, a szorafenib adagolásában tartott szünet nélkül) együttes adása a szorafenib-expozíció 47%-os emelkedését, a paklitaxel-expozíció 29%-os emelkedését és a 6-OH paklitaxel-expozíció 50%-os emelkedését eredményezte. A karboplatin farmakokinetikája változatlan maradt. </w:t>
      </w:r>
    </w:p>
    <w:p w14:paraId="1967659B" w14:textId="77777777" w:rsidR="0011152B" w:rsidRDefault="0011152B" w:rsidP="0011152B">
      <w:pPr>
        <w:pStyle w:val="Nincstrkz"/>
        <w:widowControl w:val="0"/>
        <w:tabs>
          <w:tab w:val="left" w:pos="567"/>
        </w:tabs>
        <w:rPr>
          <w:rFonts w:cs="Times New Roman"/>
        </w:rPr>
      </w:pPr>
    </w:p>
    <w:p w14:paraId="2EB1B09E" w14:textId="77777777" w:rsidR="00E211B4" w:rsidRDefault="00525AD5" w:rsidP="0011152B">
      <w:pPr>
        <w:pStyle w:val="Nincstrkz"/>
        <w:widowControl w:val="0"/>
        <w:tabs>
          <w:tab w:val="left" w:pos="567"/>
        </w:tabs>
        <w:rPr>
          <w:rFonts w:cs="Times New Roman"/>
        </w:rPr>
      </w:pPr>
      <w:r w:rsidRPr="00525AD5">
        <w:rPr>
          <w:rFonts w:cs="Times New Roman"/>
        </w:rPr>
        <w:t>Ezek az adatok arra utalnak, hogy nem szükséges a dózis módosítása, ha a paklitaxelt és karboplatint szorafenibbel</w:t>
      </w:r>
      <w:r w:rsidR="00E211B4">
        <w:rPr>
          <w:rFonts w:cs="Times New Roman"/>
        </w:rPr>
        <w:t>,</w:t>
      </w:r>
      <w:r w:rsidRPr="00525AD5">
        <w:rPr>
          <w:rFonts w:cs="Times New Roman"/>
        </w:rPr>
        <w:t xml:space="preserve"> a szorafenib adagolásában tartott 3-napos szünettel (a paklitaxel és a karboplatin adása napján és az azt megelőző két napon) együtt adagolják. A szorafenib adagolásában tartott szünet nélküli együttes adagolás esetén a szorafenib- és a paklitaxel-expozíció emelkedésének klinikai jelentősége nem ismert. </w:t>
      </w:r>
    </w:p>
    <w:p w14:paraId="71D177E9" w14:textId="77777777" w:rsidR="00E211B4" w:rsidRDefault="00E211B4" w:rsidP="0011152B">
      <w:pPr>
        <w:pStyle w:val="Nincstrkz"/>
        <w:widowControl w:val="0"/>
        <w:tabs>
          <w:tab w:val="left" w:pos="567"/>
        </w:tabs>
        <w:rPr>
          <w:rFonts w:cs="Times New Roman"/>
        </w:rPr>
      </w:pPr>
    </w:p>
    <w:p w14:paraId="0BF20FAC" w14:textId="77777777" w:rsidR="00E211B4" w:rsidRPr="00E211B4" w:rsidRDefault="00525AD5" w:rsidP="0011152B">
      <w:pPr>
        <w:pStyle w:val="Nincstrkz"/>
        <w:widowControl w:val="0"/>
        <w:tabs>
          <w:tab w:val="left" w:pos="567"/>
        </w:tabs>
        <w:rPr>
          <w:rFonts w:cs="Times New Roman"/>
          <w:u w:val="single"/>
        </w:rPr>
      </w:pPr>
      <w:r w:rsidRPr="00E211B4">
        <w:rPr>
          <w:rFonts w:cs="Times New Roman"/>
          <w:u w:val="single"/>
        </w:rPr>
        <w:t xml:space="preserve">Kapecitabin </w:t>
      </w:r>
    </w:p>
    <w:p w14:paraId="604FEDDC" w14:textId="77777777" w:rsidR="00E211B4" w:rsidRDefault="00E211B4" w:rsidP="0011152B">
      <w:pPr>
        <w:pStyle w:val="Nincstrkz"/>
        <w:widowControl w:val="0"/>
        <w:tabs>
          <w:tab w:val="left" w:pos="567"/>
        </w:tabs>
        <w:rPr>
          <w:rFonts w:cs="Times New Roman"/>
        </w:rPr>
      </w:pPr>
    </w:p>
    <w:p w14:paraId="7564E97C" w14:textId="77777777" w:rsidR="0030307B" w:rsidRDefault="00E211B4" w:rsidP="0011152B">
      <w:pPr>
        <w:pStyle w:val="Nincstrkz"/>
        <w:widowControl w:val="0"/>
        <w:tabs>
          <w:tab w:val="left" w:pos="567"/>
        </w:tabs>
        <w:rPr>
          <w:rFonts w:cs="Times New Roman"/>
        </w:rPr>
      </w:pPr>
      <w:r>
        <w:rPr>
          <w:rFonts w:cs="Times New Roman"/>
        </w:rPr>
        <w:t>K</w:t>
      </w:r>
      <w:r w:rsidR="00525AD5" w:rsidRPr="00525AD5">
        <w:rPr>
          <w:rFonts w:cs="Times New Roman"/>
        </w:rPr>
        <w:t>apecitabin (naponta kétszer 750-1050</w:t>
      </w:r>
      <w:r w:rsidR="00390D2B">
        <w:rPr>
          <w:rFonts w:cs="Times New Roman"/>
        </w:rPr>
        <w:t> mg</w:t>
      </w:r>
      <w:r w:rsidR="00525AD5" w:rsidRPr="00525AD5">
        <w:rPr>
          <w:rFonts w:cs="Times New Roman"/>
        </w:rPr>
        <w:t>/m</w:t>
      </w:r>
      <w:r w:rsidR="00525AD5" w:rsidRPr="00E211B4">
        <w:rPr>
          <w:rFonts w:cs="Times New Roman"/>
          <w:vertAlign w:val="superscript"/>
        </w:rPr>
        <w:t>2</w:t>
      </w:r>
      <w:r w:rsidR="00525AD5" w:rsidRPr="00525AD5">
        <w:rPr>
          <w:rFonts w:cs="Times New Roman"/>
        </w:rPr>
        <w:t xml:space="preserve">, </w:t>
      </w:r>
      <w:r>
        <w:rPr>
          <w:rFonts w:cs="Times New Roman"/>
        </w:rPr>
        <w:t>a</w:t>
      </w:r>
      <w:r w:rsidR="00525AD5" w:rsidRPr="00525AD5">
        <w:rPr>
          <w:rFonts w:cs="Times New Roman"/>
        </w:rPr>
        <w:t xml:space="preserve"> 21 nap </w:t>
      </w:r>
      <w:r>
        <w:rPr>
          <w:rFonts w:cs="Times New Roman"/>
        </w:rPr>
        <w:t xml:space="preserve">minden </w:t>
      </w:r>
      <w:r w:rsidR="00525AD5" w:rsidRPr="00525AD5">
        <w:rPr>
          <w:rFonts w:cs="Times New Roman"/>
        </w:rPr>
        <w:t>1-14</w:t>
      </w:r>
      <w:r w:rsidR="0030307B">
        <w:rPr>
          <w:rFonts w:cs="Times New Roman"/>
        </w:rPr>
        <w:t>.</w:t>
      </w:r>
      <w:r w:rsidR="00525AD5" w:rsidRPr="00525AD5">
        <w:rPr>
          <w:rFonts w:cs="Times New Roman"/>
        </w:rPr>
        <w:t xml:space="preserve"> napján) és a szorafenib (naponta kétszer 200 vagy 400</w:t>
      </w:r>
      <w:r w:rsidR="00390D2B">
        <w:rPr>
          <w:rFonts w:cs="Times New Roman"/>
        </w:rPr>
        <w:t> mg</w:t>
      </w:r>
      <w:r w:rsidR="00525AD5" w:rsidRPr="00525AD5">
        <w:rPr>
          <w:rFonts w:cs="Times New Roman"/>
        </w:rPr>
        <w:t xml:space="preserve">, folyamatos, megszakítás nélküli adása) együttes alkalmazása nem okozott jelentős változást a szorafenib expozíciójában, de 15-50%-kal növelte a kapecitabin expozícióját, és 0-52%-kal növelte az 5-FU expozícióját. Ezeknek, a </w:t>
      </w:r>
      <w:r w:rsidR="0030307B" w:rsidRPr="00525AD5">
        <w:rPr>
          <w:rFonts w:cs="Times New Roman"/>
        </w:rPr>
        <w:t>szorafenibbel</w:t>
      </w:r>
      <w:r w:rsidR="0030307B">
        <w:rPr>
          <w:rFonts w:cs="Times New Roman"/>
        </w:rPr>
        <w:t xml:space="preserve"> együtt adott</w:t>
      </w:r>
      <w:r w:rsidR="0030307B" w:rsidRPr="00525AD5">
        <w:rPr>
          <w:rFonts w:cs="Times New Roman"/>
        </w:rPr>
        <w:t xml:space="preserve"> </w:t>
      </w:r>
      <w:r w:rsidR="00525AD5" w:rsidRPr="00525AD5">
        <w:rPr>
          <w:rFonts w:cs="Times New Roman"/>
        </w:rPr>
        <w:t xml:space="preserve">kapecitabin és az 5-FU expozíciójában bekövetkező kicsi, közepes mértékű emelkedéseknek a klinikai jelentősége nem ismert. </w:t>
      </w:r>
    </w:p>
    <w:p w14:paraId="3B5E2EB6" w14:textId="77777777" w:rsidR="0030307B" w:rsidRDefault="0030307B" w:rsidP="0011152B">
      <w:pPr>
        <w:pStyle w:val="Nincstrkz"/>
        <w:widowControl w:val="0"/>
        <w:tabs>
          <w:tab w:val="left" w:pos="567"/>
        </w:tabs>
        <w:rPr>
          <w:rFonts w:cs="Times New Roman"/>
        </w:rPr>
      </w:pPr>
    </w:p>
    <w:p w14:paraId="2732CEEA" w14:textId="77777777" w:rsidR="0030307B" w:rsidRPr="0030307B" w:rsidRDefault="00525AD5" w:rsidP="0011152B">
      <w:pPr>
        <w:pStyle w:val="Nincstrkz"/>
        <w:widowControl w:val="0"/>
        <w:tabs>
          <w:tab w:val="left" w:pos="567"/>
        </w:tabs>
        <w:rPr>
          <w:rFonts w:cs="Times New Roman"/>
          <w:u w:val="single"/>
        </w:rPr>
      </w:pPr>
      <w:r w:rsidRPr="0030307B">
        <w:rPr>
          <w:rFonts w:cs="Times New Roman"/>
          <w:u w:val="single"/>
        </w:rPr>
        <w:t>Doxorubicin/</w:t>
      </w:r>
      <w:r w:rsidR="0030307B">
        <w:rPr>
          <w:rFonts w:cs="Times New Roman"/>
          <w:u w:val="single"/>
        </w:rPr>
        <w:t>i</w:t>
      </w:r>
      <w:r w:rsidRPr="0030307B">
        <w:rPr>
          <w:rFonts w:cs="Times New Roman"/>
          <w:u w:val="single"/>
        </w:rPr>
        <w:t xml:space="preserve">rinotekán </w:t>
      </w:r>
    </w:p>
    <w:p w14:paraId="6338B5D5" w14:textId="77777777" w:rsidR="0030307B" w:rsidRDefault="0030307B" w:rsidP="0011152B">
      <w:pPr>
        <w:pStyle w:val="Nincstrkz"/>
        <w:widowControl w:val="0"/>
        <w:tabs>
          <w:tab w:val="left" w:pos="567"/>
        </w:tabs>
        <w:rPr>
          <w:rFonts w:cs="Times New Roman"/>
        </w:rPr>
      </w:pPr>
    </w:p>
    <w:p w14:paraId="11A48985" w14:textId="77777777" w:rsidR="0030307B" w:rsidRDefault="00525AD5" w:rsidP="0011152B">
      <w:pPr>
        <w:pStyle w:val="Nincstrkz"/>
        <w:widowControl w:val="0"/>
        <w:tabs>
          <w:tab w:val="left" w:pos="567"/>
        </w:tabs>
        <w:rPr>
          <w:rFonts w:cs="Times New Roman"/>
        </w:rPr>
      </w:pPr>
      <w:r w:rsidRPr="00525AD5">
        <w:rPr>
          <w:rFonts w:cs="Times New Roman"/>
        </w:rPr>
        <w:t>Szorafenib együttes alkalmazása a</w:t>
      </w:r>
      <w:r w:rsidR="0030307B">
        <w:rPr>
          <w:rFonts w:cs="Times New Roman"/>
        </w:rPr>
        <w:t xml:space="preserve"> doxorubicin </w:t>
      </w:r>
      <w:r w:rsidRPr="00525AD5">
        <w:rPr>
          <w:rFonts w:cs="Times New Roman"/>
        </w:rPr>
        <w:t xml:space="preserve">AUC 21%-os emelkedését eredményezte. Irinotekánnal együtt alkalmazva, melynek aktív metabolitja, az SN-38 ugyancsak az UGT1A1 útvonalon </w:t>
      </w:r>
      <w:r w:rsidR="001F1835">
        <w:rPr>
          <w:rFonts w:cs="Times New Roman"/>
        </w:rPr>
        <w:t>metabolizálódik</w:t>
      </w:r>
      <w:r w:rsidRPr="00525AD5">
        <w:rPr>
          <w:rFonts w:cs="Times New Roman"/>
        </w:rPr>
        <w:t xml:space="preserve"> tovább, az SN-38-AUC 67-120%, az irinotekán-AUC 26-42% növekedést mutatott. A fenti eredmények klinikai jelentősége nem ismert (lásd 4.4</w:t>
      </w:r>
      <w:r w:rsidR="00741668">
        <w:rPr>
          <w:rFonts w:cs="Times New Roman"/>
        </w:rPr>
        <w:t> pont</w:t>
      </w:r>
      <w:r w:rsidRPr="00525AD5">
        <w:rPr>
          <w:rFonts w:cs="Times New Roman"/>
        </w:rPr>
        <w:t xml:space="preserve">). </w:t>
      </w:r>
    </w:p>
    <w:p w14:paraId="703C5E53" w14:textId="77777777" w:rsidR="0030307B" w:rsidRDefault="0030307B" w:rsidP="0011152B">
      <w:pPr>
        <w:pStyle w:val="Nincstrkz"/>
        <w:widowControl w:val="0"/>
        <w:tabs>
          <w:tab w:val="left" w:pos="567"/>
        </w:tabs>
        <w:rPr>
          <w:rFonts w:cs="Times New Roman"/>
        </w:rPr>
      </w:pPr>
    </w:p>
    <w:p w14:paraId="56FB7A08" w14:textId="77777777" w:rsidR="0030307B" w:rsidRPr="0030307B" w:rsidRDefault="00525AD5" w:rsidP="0011152B">
      <w:pPr>
        <w:pStyle w:val="Nincstrkz"/>
        <w:widowControl w:val="0"/>
        <w:tabs>
          <w:tab w:val="left" w:pos="567"/>
        </w:tabs>
        <w:rPr>
          <w:rFonts w:cs="Times New Roman"/>
          <w:u w:val="single"/>
        </w:rPr>
      </w:pPr>
      <w:r w:rsidRPr="0030307B">
        <w:rPr>
          <w:rFonts w:cs="Times New Roman"/>
          <w:u w:val="single"/>
        </w:rPr>
        <w:t xml:space="preserve">Docetaxel </w:t>
      </w:r>
    </w:p>
    <w:p w14:paraId="088563B2" w14:textId="77777777" w:rsidR="0030307B" w:rsidRDefault="0030307B" w:rsidP="0011152B">
      <w:pPr>
        <w:pStyle w:val="Nincstrkz"/>
        <w:widowControl w:val="0"/>
        <w:tabs>
          <w:tab w:val="left" w:pos="567"/>
        </w:tabs>
        <w:rPr>
          <w:rFonts w:cs="Times New Roman"/>
        </w:rPr>
      </w:pPr>
    </w:p>
    <w:p w14:paraId="004E4E87" w14:textId="77777777" w:rsidR="00E444D3" w:rsidRDefault="001F1835" w:rsidP="0011152B">
      <w:pPr>
        <w:pStyle w:val="Nincstrkz"/>
        <w:widowControl w:val="0"/>
        <w:tabs>
          <w:tab w:val="left" w:pos="567"/>
        </w:tabs>
        <w:rPr>
          <w:rFonts w:cs="Times New Roman"/>
        </w:rPr>
      </w:pPr>
      <w:r>
        <w:rPr>
          <w:rFonts w:cs="Times New Roman"/>
        </w:rPr>
        <w:t>Do</w:t>
      </w:r>
      <w:r w:rsidR="00525AD5" w:rsidRPr="00525AD5">
        <w:rPr>
          <w:rFonts w:cs="Times New Roman"/>
        </w:rPr>
        <w:t>cetaxel (21</w:t>
      </w:r>
      <w:r>
        <w:rPr>
          <w:rFonts w:cs="Times New Roman"/>
        </w:rPr>
        <w:t> </w:t>
      </w:r>
      <w:r w:rsidR="00525AD5" w:rsidRPr="00525AD5">
        <w:rPr>
          <w:rFonts w:cs="Times New Roman"/>
        </w:rPr>
        <w:t>naponta egyszer 75 vagy 100</w:t>
      </w:r>
      <w:r w:rsidR="00390D2B">
        <w:rPr>
          <w:rFonts w:cs="Times New Roman"/>
        </w:rPr>
        <w:t> mg</w:t>
      </w:r>
      <w:r w:rsidR="00525AD5" w:rsidRPr="00525AD5">
        <w:rPr>
          <w:rFonts w:cs="Times New Roman"/>
        </w:rPr>
        <w:t>/m</w:t>
      </w:r>
      <w:r w:rsidR="00525AD5" w:rsidRPr="001F1835">
        <w:rPr>
          <w:rFonts w:cs="Times New Roman"/>
          <w:vertAlign w:val="superscript"/>
        </w:rPr>
        <w:t>2</w:t>
      </w:r>
      <w:r w:rsidR="00525AD5" w:rsidRPr="00525AD5">
        <w:rPr>
          <w:rFonts w:cs="Times New Roman"/>
        </w:rPr>
        <w:t xml:space="preserve">) </w:t>
      </w:r>
      <w:r>
        <w:rPr>
          <w:rFonts w:cs="Times New Roman"/>
        </w:rPr>
        <w:t xml:space="preserve">és </w:t>
      </w:r>
      <w:r w:rsidR="00525AD5" w:rsidRPr="00525AD5">
        <w:rPr>
          <w:rFonts w:cs="Times New Roman"/>
        </w:rPr>
        <w:t>szorafenib</w:t>
      </w:r>
      <w:r>
        <w:rPr>
          <w:rFonts w:cs="Times New Roman"/>
        </w:rPr>
        <w:t xml:space="preserve"> </w:t>
      </w:r>
      <w:r w:rsidR="0007713F" w:rsidRPr="00525AD5">
        <w:rPr>
          <w:rFonts w:cs="Times New Roman"/>
        </w:rPr>
        <w:t>együtt</w:t>
      </w:r>
      <w:r w:rsidR="0007713F">
        <w:rPr>
          <w:rFonts w:cs="Times New Roman"/>
        </w:rPr>
        <w:t>es adása</w:t>
      </w:r>
      <w:r w:rsidR="0007713F" w:rsidRPr="00525AD5">
        <w:rPr>
          <w:rFonts w:cs="Times New Roman"/>
        </w:rPr>
        <w:t xml:space="preserve"> </w:t>
      </w:r>
      <w:r w:rsidR="00525AD5" w:rsidRPr="00525AD5">
        <w:rPr>
          <w:rFonts w:cs="Times New Roman"/>
        </w:rPr>
        <w:t>(naponta kétszer 200</w:t>
      </w:r>
      <w:r w:rsidR="00390D2B">
        <w:rPr>
          <w:rFonts w:cs="Times New Roman"/>
        </w:rPr>
        <w:t> mg</w:t>
      </w:r>
      <w:r w:rsidR="00525AD5" w:rsidRPr="00525AD5">
        <w:rPr>
          <w:rFonts w:cs="Times New Roman"/>
        </w:rPr>
        <w:t xml:space="preserve"> vagy kétszer 400</w:t>
      </w:r>
      <w:r w:rsidR="00390D2B">
        <w:rPr>
          <w:rFonts w:cs="Times New Roman"/>
        </w:rPr>
        <w:t> mg</w:t>
      </w:r>
      <w:r w:rsidR="00525AD5" w:rsidRPr="00525AD5">
        <w:rPr>
          <w:rFonts w:cs="Times New Roman"/>
        </w:rPr>
        <w:t>, a docetaxel 21 napos ciklus 2. napjától a 19. napjáig, 3 napos szünettel a docetaxel adagolás környékén</w:t>
      </w:r>
      <w:r>
        <w:rPr>
          <w:rFonts w:cs="Times New Roman"/>
        </w:rPr>
        <w:t xml:space="preserve"> beadva</w:t>
      </w:r>
      <w:r w:rsidR="00525AD5" w:rsidRPr="00525AD5">
        <w:rPr>
          <w:rFonts w:cs="Times New Roman"/>
        </w:rPr>
        <w:t>) 36-80%-kal emelte meg a docetaxel AUC-értékét és 16</w:t>
      </w:r>
      <w:r w:rsidR="00E444D3">
        <w:rPr>
          <w:rFonts w:cs="Times New Roman"/>
        </w:rPr>
        <w:noBreakHyphen/>
      </w:r>
      <w:r w:rsidR="00525AD5" w:rsidRPr="00525AD5">
        <w:rPr>
          <w:rFonts w:cs="Times New Roman"/>
        </w:rPr>
        <w:t>32%-kal növelte a docetaxel C</w:t>
      </w:r>
      <w:r w:rsidR="00525AD5" w:rsidRPr="00E444D3">
        <w:rPr>
          <w:rFonts w:cs="Times New Roman"/>
          <w:vertAlign w:val="subscript"/>
        </w:rPr>
        <w:t>max</w:t>
      </w:r>
      <w:r w:rsidR="00525AD5" w:rsidRPr="00525AD5">
        <w:rPr>
          <w:rFonts w:cs="Times New Roman"/>
        </w:rPr>
        <w:t>-értékét. A szorafenib óvatosan adható együtt docetaxellel (lásd 4.4</w:t>
      </w:r>
      <w:r w:rsidR="00741668">
        <w:rPr>
          <w:rFonts w:cs="Times New Roman"/>
        </w:rPr>
        <w:t> pont</w:t>
      </w:r>
      <w:r w:rsidR="00525AD5" w:rsidRPr="00525AD5">
        <w:rPr>
          <w:rFonts w:cs="Times New Roman"/>
        </w:rPr>
        <w:t xml:space="preserve">). </w:t>
      </w:r>
    </w:p>
    <w:p w14:paraId="5727409F" w14:textId="77777777" w:rsidR="00E444D3" w:rsidRDefault="00E444D3" w:rsidP="0011152B">
      <w:pPr>
        <w:pStyle w:val="Nincstrkz"/>
        <w:widowControl w:val="0"/>
        <w:tabs>
          <w:tab w:val="left" w:pos="567"/>
        </w:tabs>
        <w:rPr>
          <w:rFonts w:cs="Times New Roman"/>
        </w:rPr>
      </w:pPr>
    </w:p>
    <w:p w14:paraId="17E6FAB8" w14:textId="003F1D2D" w:rsidR="00E444D3" w:rsidRPr="00E444D3" w:rsidRDefault="00E444D3" w:rsidP="0011152B">
      <w:pPr>
        <w:pStyle w:val="Nincstrkz"/>
        <w:widowControl w:val="0"/>
        <w:tabs>
          <w:tab w:val="left" w:pos="567"/>
        </w:tabs>
        <w:rPr>
          <w:rFonts w:cs="Times New Roman"/>
          <w:u w:val="single"/>
        </w:rPr>
      </w:pPr>
      <w:r w:rsidRPr="00E444D3">
        <w:rPr>
          <w:rFonts w:cs="Times New Roman"/>
          <w:u w:val="single"/>
        </w:rPr>
        <w:t xml:space="preserve">Kombináció egyéb </w:t>
      </w:r>
      <w:r w:rsidR="00116D58">
        <w:rPr>
          <w:rFonts w:cs="Times New Roman"/>
          <w:u w:val="single"/>
        </w:rPr>
        <w:t>hatóanyagokkal</w:t>
      </w:r>
      <w:r w:rsidR="00525AD5" w:rsidRPr="00E444D3">
        <w:rPr>
          <w:rFonts w:cs="Times New Roman"/>
          <w:u w:val="single"/>
        </w:rPr>
        <w:t xml:space="preserve"> </w:t>
      </w:r>
    </w:p>
    <w:p w14:paraId="132D1660" w14:textId="77777777" w:rsidR="00E444D3" w:rsidRDefault="00E444D3" w:rsidP="0011152B">
      <w:pPr>
        <w:pStyle w:val="Nincstrkz"/>
        <w:widowControl w:val="0"/>
        <w:tabs>
          <w:tab w:val="left" w:pos="567"/>
        </w:tabs>
        <w:rPr>
          <w:rFonts w:cs="Times New Roman"/>
        </w:rPr>
      </w:pPr>
    </w:p>
    <w:p w14:paraId="43C016D3" w14:textId="77777777" w:rsidR="00E444D3" w:rsidRPr="00E444D3" w:rsidRDefault="00525AD5" w:rsidP="0011152B">
      <w:pPr>
        <w:pStyle w:val="Nincstrkz"/>
        <w:widowControl w:val="0"/>
        <w:tabs>
          <w:tab w:val="left" w:pos="567"/>
        </w:tabs>
        <w:rPr>
          <w:rFonts w:cs="Times New Roman"/>
          <w:i/>
        </w:rPr>
      </w:pPr>
      <w:r w:rsidRPr="00E444D3">
        <w:rPr>
          <w:rFonts w:cs="Times New Roman"/>
          <w:i/>
        </w:rPr>
        <w:t xml:space="preserve">Neomicin </w:t>
      </w:r>
    </w:p>
    <w:p w14:paraId="3B386E1A" w14:textId="00CA5D15" w:rsidR="00E444D3" w:rsidRDefault="00525AD5" w:rsidP="0011152B">
      <w:pPr>
        <w:pStyle w:val="Nincstrkz"/>
        <w:widowControl w:val="0"/>
        <w:tabs>
          <w:tab w:val="left" w:pos="567"/>
        </w:tabs>
        <w:rPr>
          <w:rFonts w:cs="Times New Roman"/>
        </w:rPr>
      </w:pPr>
      <w:r w:rsidRPr="00525AD5">
        <w:rPr>
          <w:rFonts w:cs="Times New Roman"/>
        </w:rPr>
        <w:t>A neomicin</w:t>
      </w:r>
      <w:r w:rsidR="00E444D3">
        <w:rPr>
          <w:rFonts w:cs="Times New Roman"/>
        </w:rPr>
        <w:t xml:space="preserve">, ami </w:t>
      </w:r>
      <w:r w:rsidRPr="00525AD5">
        <w:rPr>
          <w:rFonts w:cs="Times New Roman"/>
        </w:rPr>
        <w:t xml:space="preserve">a gastrointestionalis flóra eradikálására alkalmazott nem-szisztémás </w:t>
      </w:r>
      <w:r w:rsidR="00116D58">
        <w:rPr>
          <w:rFonts w:cs="Times New Roman"/>
        </w:rPr>
        <w:t>anti</w:t>
      </w:r>
      <w:r w:rsidRPr="00525AD5">
        <w:rPr>
          <w:rFonts w:cs="Times New Roman"/>
        </w:rPr>
        <w:t>mikrób</w:t>
      </w:r>
      <w:r w:rsidR="00116D58">
        <w:rPr>
          <w:rFonts w:cs="Times New Roman"/>
        </w:rPr>
        <w:t>ás</w:t>
      </w:r>
      <w:r w:rsidRPr="00525AD5">
        <w:rPr>
          <w:rFonts w:cs="Times New Roman"/>
        </w:rPr>
        <w:t xml:space="preserve"> </w:t>
      </w:r>
      <w:r w:rsidR="00116D58">
        <w:rPr>
          <w:rFonts w:cs="Times New Roman"/>
        </w:rPr>
        <w:t>hatóanyag</w:t>
      </w:r>
      <w:r w:rsidRPr="00525AD5">
        <w:rPr>
          <w:rFonts w:cs="Times New Roman"/>
        </w:rPr>
        <w:t xml:space="preserve"> egyidejű alkalmazása befolyásolja a szorafenib enterohepatikus körforgását (lásd 5.2</w:t>
      </w:r>
      <w:r w:rsidR="00741668">
        <w:rPr>
          <w:rFonts w:cs="Times New Roman"/>
        </w:rPr>
        <w:t> pont</w:t>
      </w:r>
      <w:r w:rsidRPr="00525AD5">
        <w:rPr>
          <w:rFonts w:cs="Times New Roman"/>
        </w:rPr>
        <w:t xml:space="preserve">, </w:t>
      </w:r>
      <w:r w:rsidR="00E444D3">
        <w:rPr>
          <w:rFonts w:cs="Times New Roman"/>
        </w:rPr>
        <w:t>Metabolizmus és elimináció</w:t>
      </w:r>
      <w:r w:rsidRPr="00525AD5">
        <w:rPr>
          <w:rFonts w:cs="Times New Roman"/>
        </w:rPr>
        <w:t>), ami csökkent szorafenib expozícióhoz vezet. Öt napos neomicin-kezelésben részesülő egészséges önkéntesek</w:t>
      </w:r>
      <w:r w:rsidR="00E444D3">
        <w:rPr>
          <w:rFonts w:cs="Times New Roman"/>
        </w:rPr>
        <w:t>nél</w:t>
      </w:r>
      <w:r w:rsidRPr="00525AD5">
        <w:rPr>
          <w:rFonts w:cs="Times New Roman"/>
        </w:rPr>
        <w:t xml:space="preserve"> a szorafenib átlagos expozíciója 54%-kal csökkent. Más antibiotikumok hatását nem vizsgálták, de az valószínűleg a gl</w:t>
      </w:r>
      <w:r w:rsidR="00E444D3">
        <w:rPr>
          <w:rFonts w:cs="Times New Roman"/>
        </w:rPr>
        <w:t>ü</w:t>
      </w:r>
      <w:r w:rsidRPr="00525AD5">
        <w:rPr>
          <w:rFonts w:cs="Times New Roman"/>
        </w:rPr>
        <w:t xml:space="preserve">kuronidáz aktivitással rendelkező mikroorganizmusokat gátló képességüktől függhet. </w:t>
      </w:r>
    </w:p>
    <w:p w14:paraId="7EE49FED" w14:textId="77777777" w:rsidR="00E444D3" w:rsidRDefault="00E444D3" w:rsidP="0011152B">
      <w:pPr>
        <w:pStyle w:val="Nincstrkz"/>
        <w:widowControl w:val="0"/>
        <w:tabs>
          <w:tab w:val="left" w:pos="567"/>
        </w:tabs>
        <w:rPr>
          <w:rFonts w:cs="Times New Roman"/>
        </w:rPr>
      </w:pPr>
    </w:p>
    <w:p w14:paraId="23D8480D" w14:textId="05F2D94F" w:rsidR="00E444D3" w:rsidRPr="00E444D3" w:rsidRDefault="00525AD5" w:rsidP="00E444D3">
      <w:pPr>
        <w:pStyle w:val="Nincstrkz"/>
        <w:widowControl w:val="0"/>
        <w:tabs>
          <w:tab w:val="left" w:pos="567"/>
        </w:tabs>
        <w:rPr>
          <w:rFonts w:cs="Times New Roman"/>
          <w:b/>
        </w:rPr>
      </w:pPr>
      <w:r w:rsidRPr="00E444D3">
        <w:rPr>
          <w:rFonts w:cs="Times New Roman"/>
          <w:b/>
        </w:rPr>
        <w:t>4.6</w:t>
      </w:r>
      <w:r w:rsidR="00E444D3">
        <w:rPr>
          <w:rFonts w:cs="Times New Roman"/>
          <w:b/>
        </w:rPr>
        <w:tab/>
      </w:r>
      <w:r w:rsidRPr="00E444D3">
        <w:rPr>
          <w:rFonts w:cs="Times New Roman"/>
          <w:b/>
        </w:rPr>
        <w:t xml:space="preserve">Termékenység, terhesség és szoptatás </w:t>
      </w:r>
    </w:p>
    <w:p w14:paraId="3B50E56D" w14:textId="77777777" w:rsidR="00E444D3" w:rsidRDefault="00E444D3" w:rsidP="0011152B">
      <w:pPr>
        <w:pStyle w:val="Nincstrkz"/>
        <w:widowControl w:val="0"/>
        <w:tabs>
          <w:tab w:val="left" w:pos="567"/>
        </w:tabs>
        <w:rPr>
          <w:rFonts w:cs="Times New Roman"/>
        </w:rPr>
      </w:pPr>
    </w:p>
    <w:p w14:paraId="297E641C" w14:textId="77777777" w:rsidR="00E444D3" w:rsidRPr="00E444D3" w:rsidRDefault="00525AD5" w:rsidP="0011152B">
      <w:pPr>
        <w:pStyle w:val="Nincstrkz"/>
        <w:widowControl w:val="0"/>
        <w:tabs>
          <w:tab w:val="left" w:pos="567"/>
        </w:tabs>
        <w:rPr>
          <w:rFonts w:cs="Times New Roman"/>
          <w:u w:val="single"/>
        </w:rPr>
      </w:pPr>
      <w:r w:rsidRPr="00E444D3">
        <w:rPr>
          <w:rFonts w:cs="Times New Roman"/>
          <w:u w:val="single"/>
        </w:rPr>
        <w:t xml:space="preserve">Terhesség </w:t>
      </w:r>
    </w:p>
    <w:p w14:paraId="70D35405" w14:textId="77777777" w:rsidR="00E444D3" w:rsidRDefault="00E444D3" w:rsidP="0011152B">
      <w:pPr>
        <w:pStyle w:val="Nincstrkz"/>
        <w:widowControl w:val="0"/>
        <w:tabs>
          <w:tab w:val="left" w:pos="567"/>
        </w:tabs>
        <w:rPr>
          <w:rFonts w:cs="Times New Roman"/>
        </w:rPr>
      </w:pPr>
    </w:p>
    <w:p w14:paraId="764B3973" w14:textId="77777777" w:rsidR="00414173" w:rsidRDefault="00525AD5" w:rsidP="0011152B">
      <w:pPr>
        <w:pStyle w:val="Nincstrkz"/>
        <w:widowControl w:val="0"/>
        <w:tabs>
          <w:tab w:val="left" w:pos="567"/>
        </w:tabs>
        <w:rPr>
          <w:rFonts w:cs="Times New Roman"/>
        </w:rPr>
      </w:pPr>
      <w:r w:rsidRPr="00525AD5">
        <w:rPr>
          <w:rFonts w:cs="Times New Roman"/>
        </w:rPr>
        <w:t>Terhes nők</w:t>
      </w:r>
      <w:r w:rsidR="00D639E1">
        <w:rPr>
          <w:rFonts w:cs="Times New Roman"/>
        </w:rPr>
        <w:t>nél</w:t>
      </w:r>
      <w:r w:rsidRPr="00525AD5">
        <w:rPr>
          <w:rFonts w:cs="Times New Roman"/>
        </w:rPr>
        <w:t xml:space="preserve"> történő alkalmazásra nincs adat a szorafenib tekintetében. Állatkísérletek során reproduktív toxicitást</w:t>
      </w:r>
      <w:r w:rsidR="008C1E1B">
        <w:rPr>
          <w:rFonts w:cs="Times New Roman"/>
        </w:rPr>
        <w:t>, többek között</w:t>
      </w:r>
      <w:r w:rsidRPr="00525AD5">
        <w:rPr>
          <w:rFonts w:cs="Times New Roman"/>
        </w:rPr>
        <w:t xml:space="preserve"> </w:t>
      </w:r>
      <w:r w:rsidR="00312693" w:rsidRPr="00525AD5">
        <w:rPr>
          <w:rFonts w:cs="Times New Roman"/>
        </w:rPr>
        <w:t xml:space="preserve">malformációkat is </w:t>
      </w:r>
      <w:r w:rsidRPr="00525AD5">
        <w:rPr>
          <w:rFonts w:cs="Times New Roman"/>
        </w:rPr>
        <w:t>igazoltak (lásd 5.3</w:t>
      </w:r>
      <w:r w:rsidR="00741668">
        <w:rPr>
          <w:rFonts w:cs="Times New Roman"/>
        </w:rPr>
        <w:t> pont</w:t>
      </w:r>
      <w:r w:rsidRPr="00525AD5">
        <w:rPr>
          <w:rFonts w:cs="Times New Roman"/>
        </w:rPr>
        <w:t>). Patkányokban kimutatták, hogy a szorafenib és metabolitjai átjutnak a placentán, és várhatóan magzati károsodást okoznak. A szorafenibet a terhesség ideje alatt nem szabad alkalmazni, csak ha arra egyértelműen szükség van, gondosan mérlegelve az any</w:t>
      </w:r>
      <w:r w:rsidR="008633DA">
        <w:rPr>
          <w:rFonts w:cs="Times New Roman"/>
        </w:rPr>
        <w:t>ai előnyöket</w:t>
      </w:r>
      <w:r w:rsidRPr="00525AD5">
        <w:rPr>
          <w:rFonts w:cs="Times New Roman"/>
        </w:rPr>
        <w:t xml:space="preserve"> és a magzati kockázatot. </w:t>
      </w:r>
    </w:p>
    <w:p w14:paraId="3EE7F7E0" w14:textId="77777777" w:rsidR="008633DA" w:rsidRDefault="00D639E1" w:rsidP="0011152B">
      <w:pPr>
        <w:pStyle w:val="Nincstrkz"/>
        <w:widowControl w:val="0"/>
        <w:tabs>
          <w:tab w:val="left" w:pos="567"/>
        </w:tabs>
        <w:rPr>
          <w:rFonts w:cs="Times New Roman"/>
        </w:rPr>
      </w:pPr>
      <w:r>
        <w:rPr>
          <w:rFonts w:cs="Times New Roman"/>
        </w:rPr>
        <w:t>A f</w:t>
      </w:r>
      <w:r w:rsidR="00525AD5" w:rsidRPr="00525AD5">
        <w:rPr>
          <w:rFonts w:cs="Times New Roman"/>
        </w:rPr>
        <w:t>ogamzóképes kor</w:t>
      </w:r>
      <w:r w:rsidR="008633DA">
        <w:rPr>
          <w:rFonts w:cs="Times New Roman"/>
        </w:rPr>
        <w:t>ú</w:t>
      </w:r>
      <w:r w:rsidR="00525AD5" w:rsidRPr="00525AD5">
        <w:rPr>
          <w:rFonts w:cs="Times New Roman"/>
        </w:rPr>
        <w:t xml:space="preserve"> nőknek hatékony fogamzásgátlást kell alkalmazniuk a kezelés alatt. </w:t>
      </w:r>
    </w:p>
    <w:p w14:paraId="641D1308" w14:textId="77777777" w:rsidR="008633DA" w:rsidRDefault="008633DA" w:rsidP="0011152B">
      <w:pPr>
        <w:pStyle w:val="Nincstrkz"/>
        <w:widowControl w:val="0"/>
        <w:tabs>
          <w:tab w:val="left" w:pos="567"/>
        </w:tabs>
        <w:rPr>
          <w:rFonts w:cs="Times New Roman"/>
        </w:rPr>
      </w:pPr>
    </w:p>
    <w:p w14:paraId="4A6FFEC2" w14:textId="77777777" w:rsidR="008633DA" w:rsidRPr="008633DA" w:rsidRDefault="00525AD5" w:rsidP="0011152B">
      <w:pPr>
        <w:pStyle w:val="Nincstrkz"/>
        <w:widowControl w:val="0"/>
        <w:tabs>
          <w:tab w:val="left" w:pos="567"/>
        </w:tabs>
        <w:rPr>
          <w:rFonts w:cs="Times New Roman"/>
          <w:u w:val="single"/>
        </w:rPr>
      </w:pPr>
      <w:r w:rsidRPr="008633DA">
        <w:rPr>
          <w:rFonts w:cs="Times New Roman"/>
          <w:u w:val="single"/>
        </w:rPr>
        <w:t xml:space="preserve">Szoptatás </w:t>
      </w:r>
    </w:p>
    <w:p w14:paraId="458D450C" w14:textId="77777777" w:rsidR="008633DA" w:rsidRDefault="008633DA" w:rsidP="0011152B">
      <w:pPr>
        <w:pStyle w:val="Nincstrkz"/>
        <w:widowControl w:val="0"/>
        <w:tabs>
          <w:tab w:val="left" w:pos="567"/>
        </w:tabs>
        <w:rPr>
          <w:rFonts w:cs="Times New Roman"/>
        </w:rPr>
      </w:pPr>
    </w:p>
    <w:p w14:paraId="579EBEC4" w14:textId="77777777" w:rsidR="0021328B" w:rsidRDefault="00525AD5" w:rsidP="0011152B">
      <w:pPr>
        <w:pStyle w:val="Nincstrkz"/>
        <w:widowControl w:val="0"/>
        <w:tabs>
          <w:tab w:val="left" w:pos="567"/>
        </w:tabs>
        <w:rPr>
          <w:rFonts w:cs="Times New Roman"/>
        </w:rPr>
      </w:pPr>
      <w:r w:rsidRPr="00525AD5">
        <w:rPr>
          <w:rFonts w:cs="Times New Roman"/>
        </w:rPr>
        <w:t>Nem ismert, hogy a szorafenib kiválasztódik-e a humán anyatejbe. Állatkísérletekben a szorafenib és metabolitjai kiválasztódtak az anyatejbe. Tekintettel arra, hogy a szorafenib károsíthatja a csecsemő növekedését és fejlődését (lásd 5.3</w:t>
      </w:r>
      <w:r w:rsidR="00741668">
        <w:rPr>
          <w:rFonts w:cs="Times New Roman"/>
        </w:rPr>
        <w:t> pont</w:t>
      </w:r>
      <w:r w:rsidRPr="00525AD5">
        <w:rPr>
          <w:rFonts w:cs="Times New Roman"/>
        </w:rPr>
        <w:t xml:space="preserve">), a szorafenib-kezelés idején a nők nem szoptathatnak. </w:t>
      </w:r>
    </w:p>
    <w:p w14:paraId="00094424" w14:textId="77777777" w:rsidR="0021328B" w:rsidRDefault="0021328B" w:rsidP="0011152B">
      <w:pPr>
        <w:pStyle w:val="Nincstrkz"/>
        <w:widowControl w:val="0"/>
        <w:tabs>
          <w:tab w:val="left" w:pos="567"/>
        </w:tabs>
        <w:rPr>
          <w:rFonts w:cs="Times New Roman"/>
        </w:rPr>
      </w:pPr>
    </w:p>
    <w:p w14:paraId="7E87D1DF" w14:textId="77777777" w:rsidR="0021328B" w:rsidRPr="0021328B" w:rsidRDefault="00525AD5" w:rsidP="0011152B">
      <w:pPr>
        <w:pStyle w:val="Nincstrkz"/>
        <w:widowControl w:val="0"/>
        <w:tabs>
          <w:tab w:val="left" w:pos="567"/>
        </w:tabs>
        <w:rPr>
          <w:rFonts w:cs="Times New Roman"/>
          <w:u w:val="single"/>
        </w:rPr>
      </w:pPr>
      <w:r w:rsidRPr="0021328B">
        <w:rPr>
          <w:rFonts w:cs="Times New Roman"/>
          <w:u w:val="single"/>
        </w:rPr>
        <w:t xml:space="preserve">Termékenység </w:t>
      </w:r>
    </w:p>
    <w:p w14:paraId="3B8B4C14" w14:textId="77777777" w:rsidR="0021328B" w:rsidRDefault="0021328B" w:rsidP="0011152B">
      <w:pPr>
        <w:pStyle w:val="Nincstrkz"/>
        <w:widowControl w:val="0"/>
        <w:tabs>
          <w:tab w:val="left" w:pos="567"/>
        </w:tabs>
        <w:rPr>
          <w:rFonts w:cs="Times New Roman"/>
        </w:rPr>
      </w:pPr>
    </w:p>
    <w:p w14:paraId="69F26A50" w14:textId="77777777" w:rsidR="0021328B" w:rsidRDefault="00525AD5" w:rsidP="0011152B">
      <w:pPr>
        <w:pStyle w:val="Nincstrkz"/>
        <w:widowControl w:val="0"/>
        <w:tabs>
          <w:tab w:val="left" w:pos="567"/>
        </w:tabs>
        <w:rPr>
          <w:rFonts w:cs="Times New Roman"/>
        </w:rPr>
      </w:pPr>
      <w:r w:rsidRPr="00525AD5">
        <w:rPr>
          <w:rFonts w:cs="Times New Roman"/>
        </w:rPr>
        <w:t>Állatkísérletek eredményei továbbá arra utalnak, hogy a szorafenib csökkenti a férfiak nemzőképességét, illetve a nők fogamzóképességét (lásd 5.3</w:t>
      </w:r>
      <w:r w:rsidR="00741668">
        <w:rPr>
          <w:rFonts w:cs="Times New Roman"/>
        </w:rPr>
        <w:t> pont</w:t>
      </w:r>
      <w:r w:rsidRPr="00525AD5">
        <w:rPr>
          <w:rFonts w:cs="Times New Roman"/>
        </w:rPr>
        <w:t xml:space="preserve">). </w:t>
      </w:r>
    </w:p>
    <w:p w14:paraId="13E5711B" w14:textId="77777777" w:rsidR="0021328B" w:rsidRDefault="0021328B" w:rsidP="0011152B">
      <w:pPr>
        <w:pStyle w:val="Nincstrkz"/>
        <w:widowControl w:val="0"/>
        <w:tabs>
          <w:tab w:val="left" w:pos="567"/>
        </w:tabs>
        <w:rPr>
          <w:rFonts w:cs="Times New Roman"/>
        </w:rPr>
      </w:pPr>
    </w:p>
    <w:p w14:paraId="6430DDD1" w14:textId="50875E33" w:rsidR="0021328B" w:rsidRPr="0021328B" w:rsidRDefault="00525AD5" w:rsidP="0021328B">
      <w:pPr>
        <w:pStyle w:val="Nincstrkz"/>
        <w:widowControl w:val="0"/>
        <w:tabs>
          <w:tab w:val="left" w:pos="567"/>
        </w:tabs>
        <w:rPr>
          <w:rFonts w:cs="Times New Roman"/>
          <w:b/>
        </w:rPr>
      </w:pPr>
      <w:r w:rsidRPr="0021328B">
        <w:rPr>
          <w:rFonts w:cs="Times New Roman"/>
          <w:b/>
        </w:rPr>
        <w:t>4.7</w:t>
      </w:r>
      <w:r w:rsidR="0021328B">
        <w:rPr>
          <w:rFonts w:cs="Times New Roman"/>
          <w:b/>
        </w:rPr>
        <w:tab/>
      </w:r>
      <w:r w:rsidRPr="0021328B">
        <w:rPr>
          <w:rFonts w:cs="Times New Roman"/>
          <w:b/>
        </w:rPr>
        <w:t xml:space="preserve">A készítmény hatásai a gépjárművezetéshez és a gépek kezeléséhez szükséges képességekre </w:t>
      </w:r>
    </w:p>
    <w:p w14:paraId="41BA7FEE" w14:textId="77777777" w:rsidR="0021328B" w:rsidRDefault="0021328B" w:rsidP="0011152B">
      <w:pPr>
        <w:pStyle w:val="Nincstrkz"/>
        <w:widowControl w:val="0"/>
        <w:tabs>
          <w:tab w:val="left" w:pos="567"/>
        </w:tabs>
        <w:rPr>
          <w:rFonts w:cs="Times New Roman"/>
        </w:rPr>
      </w:pPr>
    </w:p>
    <w:p w14:paraId="2ACAA19B" w14:textId="77777777" w:rsidR="0021328B" w:rsidRDefault="00525AD5" w:rsidP="0011152B">
      <w:pPr>
        <w:pStyle w:val="Nincstrkz"/>
        <w:widowControl w:val="0"/>
        <w:tabs>
          <w:tab w:val="left" w:pos="567"/>
        </w:tabs>
        <w:rPr>
          <w:rFonts w:cs="Times New Roman"/>
        </w:rPr>
      </w:pPr>
      <w:r w:rsidRPr="00525AD5">
        <w:rPr>
          <w:rFonts w:cs="Times New Roman"/>
        </w:rPr>
        <w:t xml:space="preserve">A készítménynek a gépjárművezetéshez és a gépek kezeléséhez szükséges képességeket befolyásoló hatásait nem vizsgálták. Nincs arra bizonyíték, hogy a szorafenib befolyásolja a gépjárművezetéshez és a gépek kezeléséhez szükséges képességeket. </w:t>
      </w:r>
    </w:p>
    <w:p w14:paraId="3AA69079" w14:textId="77777777" w:rsidR="0021328B" w:rsidRDefault="0021328B" w:rsidP="0011152B">
      <w:pPr>
        <w:pStyle w:val="Nincstrkz"/>
        <w:widowControl w:val="0"/>
        <w:tabs>
          <w:tab w:val="left" w:pos="567"/>
        </w:tabs>
        <w:rPr>
          <w:rFonts w:cs="Times New Roman"/>
        </w:rPr>
      </w:pPr>
    </w:p>
    <w:p w14:paraId="230151A4" w14:textId="7435B4B3" w:rsidR="0021328B" w:rsidRPr="0021328B" w:rsidRDefault="00525AD5" w:rsidP="0011152B">
      <w:pPr>
        <w:pStyle w:val="Nincstrkz"/>
        <w:widowControl w:val="0"/>
        <w:tabs>
          <w:tab w:val="left" w:pos="567"/>
        </w:tabs>
        <w:rPr>
          <w:rFonts w:cs="Times New Roman"/>
          <w:b/>
        </w:rPr>
      </w:pPr>
      <w:r w:rsidRPr="0021328B">
        <w:rPr>
          <w:rFonts w:cs="Times New Roman"/>
          <w:b/>
        </w:rPr>
        <w:t>4.8</w:t>
      </w:r>
      <w:r w:rsidR="0021328B">
        <w:rPr>
          <w:rFonts w:cs="Times New Roman"/>
          <w:b/>
        </w:rPr>
        <w:tab/>
      </w:r>
      <w:r w:rsidRPr="0021328B">
        <w:rPr>
          <w:rFonts w:cs="Times New Roman"/>
          <w:b/>
        </w:rPr>
        <w:t xml:space="preserve">Nemkívánatos hatások, mellékhatások </w:t>
      </w:r>
    </w:p>
    <w:p w14:paraId="04A5D8B3" w14:textId="77777777" w:rsidR="0021328B" w:rsidRDefault="0021328B" w:rsidP="0011152B">
      <w:pPr>
        <w:pStyle w:val="Nincstrkz"/>
        <w:widowControl w:val="0"/>
        <w:tabs>
          <w:tab w:val="left" w:pos="567"/>
        </w:tabs>
        <w:rPr>
          <w:rFonts w:cs="Times New Roman"/>
        </w:rPr>
      </w:pPr>
    </w:p>
    <w:p w14:paraId="6976EF84" w14:textId="77777777" w:rsidR="0021328B" w:rsidRDefault="00525AD5" w:rsidP="0011152B">
      <w:pPr>
        <w:pStyle w:val="Nincstrkz"/>
        <w:widowControl w:val="0"/>
        <w:tabs>
          <w:tab w:val="left" w:pos="567"/>
        </w:tabs>
        <w:rPr>
          <w:rFonts w:cs="Times New Roman"/>
        </w:rPr>
      </w:pPr>
      <w:r w:rsidRPr="00525AD5">
        <w:rPr>
          <w:rFonts w:cs="Times New Roman"/>
        </w:rPr>
        <w:t>A legfontosabb súlyos mellékhatások a myocardialis infarctus/ischaemia, gastrointestinalis perfor</w:t>
      </w:r>
      <w:r w:rsidR="00D639E1">
        <w:rPr>
          <w:rFonts w:cs="Times New Roman"/>
        </w:rPr>
        <w:t>áció</w:t>
      </w:r>
      <w:r w:rsidRPr="00525AD5">
        <w:rPr>
          <w:rFonts w:cs="Times New Roman"/>
        </w:rPr>
        <w:t xml:space="preserve">, gyógyszer indukálta hepatitis, haemorrhagia és a hypertonia/hypertoniás krízis voltak. </w:t>
      </w:r>
    </w:p>
    <w:p w14:paraId="12CF8667" w14:textId="77777777" w:rsidR="0021328B" w:rsidRDefault="0021328B" w:rsidP="0011152B">
      <w:pPr>
        <w:pStyle w:val="Nincstrkz"/>
        <w:widowControl w:val="0"/>
        <w:tabs>
          <w:tab w:val="left" w:pos="567"/>
        </w:tabs>
        <w:rPr>
          <w:rFonts w:cs="Times New Roman"/>
        </w:rPr>
      </w:pPr>
    </w:p>
    <w:p w14:paraId="3E63E307" w14:textId="34F8FBF0" w:rsidR="0021328B" w:rsidRDefault="00525AD5" w:rsidP="0011152B">
      <w:pPr>
        <w:pStyle w:val="Nincstrkz"/>
        <w:widowControl w:val="0"/>
        <w:tabs>
          <w:tab w:val="left" w:pos="567"/>
        </w:tabs>
        <w:rPr>
          <w:rFonts w:cs="Times New Roman"/>
        </w:rPr>
      </w:pPr>
      <w:r w:rsidRPr="00525AD5">
        <w:rPr>
          <w:rFonts w:cs="Times New Roman"/>
        </w:rPr>
        <w:t xml:space="preserve">A leggyakoribb mellékhatások a hasmenés, kimerültség, alopecia, fertőzés, a kéz-láb </w:t>
      </w:r>
      <w:r w:rsidR="003C0BF5">
        <w:rPr>
          <w:rFonts w:cs="Times New Roman"/>
        </w:rPr>
        <w:t>szindróma</w:t>
      </w:r>
      <w:r w:rsidRPr="00525AD5">
        <w:rPr>
          <w:rFonts w:cs="Times New Roman"/>
        </w:rPr>
        <w:t xml:space="preserve"> (a MedDRA terminológia szerint palmoplantaris erythrodysaesthesia) és a </w:t>
      </w:r>
      <w:r w:rsidR="003C0BF5">
        <w:rPr>
          <w:rFonts w:cs="Times New Roman"/>
        </w:rPr>
        <w:t>bőr</w:t>
      </w:r>
      <w:r w:rsidRPr="00525AD5">
        <w:rPr>
          <w:rFonts w:cs="Times New Roman"/>
        </w:rPr>
        <w:t xml:space="preserve">kiütés voltak. </w:t>
      </w:r>
    </w:p>
    <w:p w14:paraId="19095392" w14:textId="77777777" w:rsidR="0021328B" w:rsidRDefault="0021328B" w:rsidP="0011152B">
      <w:pPr>
        <w:pStyle w:val="Nincstrkz"/>
        <w:widowControl w:val="0"/>
        <w:tabs>
          <w:tab w:val="left" w:pos="567"/>
        </w:tabs>
        <w:rPr>
          <w:rFonts w:cs="Times New Roman"/>
        </w:rPr>
      </w:pPr>
    </w:p>
    <w:p w14:paraId="15D7BB38" w14:textId="37EAF172" w:rsidR="0021328B" w:rsidRPr="0021328B" w:rsidRDefault="00525AD5" w:rsidP="0021328B">
      <w:pPr>
        <w:pStyle w:val="Nincstrkz"/>
        <w:widowControl w:val="0"/>
        <w:tabs>
          <w:tab w:val="left" w:pos="567"/>
        </w:tabs>
        <w:rPr>
          <w:rFonts w:cs="Times New Roman"/>
        </w:rPr>
      </w:pPr>
      <w:r w:rsidRPr="00525AD5">
        <w:rPr>
          <w:rFonts w:cs="Times New Roman"/>
        </w:rPr>
        <w:t>Az összetett klinikai vizsgálatokban vagy a forgalomba hozatalt követően jelentett mellékhatásokat az 1. táblázat tartalmazza (a MedDRA) szervrendszer és gyakoriság szerinti csoportosításában. A gyakorisági csoportok a következők: nagyon gyakori (≥1/10), gyakori (≥1/100-</w:t>
      </w:r>
      <w:r w:rsidR="0021328B" w:rsidRPr="0021328B">
        <w:rPr>
          <w:rFonts w:cs="Times New Roman"/>
        </w:rPr>
        <w:t>&lt;1/10), nem gyakori (≥1/1000-&lt;1/100), ritka (≥1/10</w:t>
      </w:r>
      <w:r w:rsidR="00D639E1">
        <w:rPr>
          <w:rFonts w:cs="Times New Roman"/>
        </w:rPr>
        <w:t> </w:t>
      </w:r>
      <w:r w:rsidR="0021328B" w:rsidRPr="0021328B">
        <w:rPr>
          <w:rFonts w:cs="Times New Roman"/>
        </w:rPr>
        <w:t>000-&lt;1/1000), nem ismert (a</w:t>
      </w:r>
      <w:r w:rsidR="001E59F1">
        <w:rPr>
          <w:rFonts w:cs="Times New Roman"/>
        </w:rPr>
        <w:t xml:space="preserve"> gyakoriság a</w:t>
      </w:r>
      <w:r w:rsidR="0021328B" w:rsidRPr="0021328B">
        <w:rPr>
          <w:rFonts w:cs="Times New Roman"/>
        </w:rPr>
        <w:t xml:space="preserve"> rendelkezésre álló adatokból nem állapítható meg). </w:t>
      </w:r>
    </w:p>
    <w:p w14:paraId="10360925" w14:textId="77777777" w:rsidR="0021328B" w:rsidRPr="0021328B" w:rsidRDefault="0021328B" w:rsidP="0021328B">
      <w:pPr>
        <w:pStyle w:val="Nincstrkz"/>
        <w:widowControl w:val="0"/>
        <w:tabs>
          <w:tab w:val="left" w:pos="567"/>
        </w:tabs>
        <w:rPr>
          <w:rFonts w:cs="Times New Roman"/>
        </w:rPr>
      </w:pPr>
      <w:r w:rsidRPr="0021328B">
        <w:rPr>
          <w:rFonts w:cs="Times New Roman"/>
        </w:rPr>
        <w:t xml:space="preserve">Az egyes gyakorisági kategóriákon belül a mellékhatások csökkenő súlyosság szerint kerülnek megadásra. </w:t>
      </w:r>
    </w:p>
    <w:p w14:paraId="040993F5" w14:textId="77777777" w:rsidR="0021328B" w:rsidRPr="0021328B" w:rsidRDefault="0021328B" w:rsidP="0021328B">
      <w:pPr>
        <w:pStyle w:val="Nincstrkz"/>
        <w:widowControl w:val="0"/>
        <w:tabs>
          <w:tab w:val="left" w:pos="567"/>
        </w:tabs>
        <w:rPr>
          <w:rFonts w:cs="Times New Roman"/>
        </w:rPr>
      </w:pPr>
    </w:p>
    <w:p w14:paraId="7E7DC45D" w14:textId="77777777" w:rsidR="00F7326B" w:rsidRPr="00E62FCB" w:rsidRDefault="0021328B" w:rsidP="00E62FCB">
      <w:pPr>
        <w:pStyle w:val="Nincstrkz"/>
        <w:widowControl w:val="0"/>
        <w:numPr>
          <w:ilvl w:val="0"/>
          <w:numId w:val="4"/>
        </w:numPr>
        <w:tabs>
          <w:tab w:val="left" w:pos="567"/>
        </w:tabs>
        <w:ind w:left="567" w:hanging="567"/>
        <w:rPr>
          <w:rFonts w:cs="Times New Roman"/>
          <w:b/>
        </w:rPr>
      </w:pPr>
      <w:r w:rsidRPr="00E62FCB">
        <w:rPr>
          <w:rFonts w:cs="Times New Roman"/>
          <w:b/>
        </w:rPr>
        <w:t>táblázat: Az összetett klinikai vizsgálatokban résztvevő betegeknél jelentett és a forgalomba hozatalt követő jelentésekből származó mellékhatások</w:t>
      </w:r>
    </w:p>
    <w:p w14:paraId="39E323FD" w14:textId="77777777" w:rsidR="00E62FCB" w:rsidRPr="00A93DF6" w:rsidRDefault="00E62FCB" w:rsidP="00E62FCB">
      <w:pPr>
        <w:pStyle w:val="Nincstrkz"/>
      </w:pPr>
    </w:p>
    <w:tbl>
      <w:tblPr>
        <w:tblStyle w:val="Rcsostblzat"/>
        <w:tblW w:w="9747" w:type="dxa"/>
        <w:tblLayout w:type="fixed"/>
        <w:tblLook w:val="04A0" w:firstRow="1" w:lastRow="0" w:firstColumn="1" w:lastColumn="0" w:noHBand="0" w:noVBand="1"/>
      </w:tblPr>
      <w:tblGrid>
        <w:gridCol w:w="1980"/>
        <w:gridCol w:w="1701"/>
        <w:gridCol w:w="1843"/>
        <w:gridCol w:w="1559"/>
        <w:gridCol w:w="1276"/>
        <w:gridCol w:w="1388"/>
      </w:tblGrid>
      <w:tr w:rsidR="00E62FCB" w:rsidRPr="00A93DF6" w14:paraId="3044D443" w14:textId="77777777" w:rsidTr="00AE1D02">
        <w:trPr>
          <w:tblHeader/>
        </w:trPr>
        <w:tc>
          <w:tcPr>
            <w:tcW w:w="1980" w:type="dxa"/>
            <w:tcBorders>
              <w:bottom w:val="single" w:sz="12" w:space="0" w:color="auto"/>
              <w:right w:val="single" w:sz="12" w:space="0" w:color="auto"/>
            </w:tcBorders>
            <w:shd w:val="clear" w:color="auto" w:fill="D9D9D9" w:themeFill="background1" w:themeFillShade="D9"/>
            <w:tcMar>
              <w:left w:w="57" w:type="dxa"/>
              <w:right w:w="57" w:type="dxa"/>
            </w:tcMar>
          </w:tcPr>
          <w:p w14:paraId="59E872A8" w14:textId="77777777" w:rsidR="00E62FCB" w:rsidRPr="00C37316" w:rsidRDefault="00E62FCB" w:rsidP="00E62FCB">
            <w:pPr>
              <w:pStyle w:val="Nincstrkz"/>
              <w:rPr>
                <w:b/>
              </w:rPr>
            </w:pPr>
            <w:r w:rsidRPr="00C37316">
              <w:rPr>
                <w:b/>
              </w:rPr>
              <w:t>Szervrend</w:t>
            </w:r>
            <w:r w:rsidR="00AE1D02" w:rsidRPr="00C37316">
              <w:rPr>
                <w:b/>
              </w:rPr>
              <w:t>-</w:t>
            </w:r>
            <w:r w:rsidRPr="00C37316">
              <w:rPr>
                <w:b/>
              </w:rPr>
              <w:t>szerenkénti csoportosítás</w:t>
            </w:r>
          </w:p>
        </w:tc>
        <w:tc>
          <w:tcPr>
            <w:tcW w:w="1701" w:type="dxa"/>
            <w:tcBorders>
              <w:left w:val="single" w:sz="12" w:space="0" w:color="auto"/>
              <w:bottom w:val="single" w:sz="12" w:space="0" w:color="auto"/>
            </w:tcBorders>
            <w:tcMar>
              <w:left w:w="57" w:type="dxa"/>
              <w:right w:w="57" w:type="dxa"/>
            </w:tcMar>
          </w:tcPr>
          <w:p w14:paraId="45837764" w14:textId="77777777" w:rsidR="00E62FCB" w:rsidRPr="00C37316" w:rsidRDefault="00D862C2" w:rsidP="00E62FCB">
            <w:pPr>
              <w:pStyle w:val="Nincstrkz"/>
              <w:rPr>
                <w:b/>
              </w:rPr>
            </w:pPr>
            <w:r w:rsidRPr="00C37316">
              <w:rPr>
                <w:b/>
              </w:rPr>
              <w:t>Nagyon gyakori</w:t>
            </w:r>
            <w:r w:rsidR="00E62FCB" w:rsidRPr="00C37316">
              <w:rPr>
                <w:b/>
              </w:rPr>
              <w:t xml:space="preserve"> </w:t>
            </w:r>
          </w:p>
        </w:tc>
        <w:tc>
          <w:tcPr>
            <w:tcW w:w="1843" w:type="dxa"/>
            <w:tcBorders>
              <w:bottom w:val="single" w:sz="12" w:space="0" w:color="auto"/>
            </w:tcBorders>
            <w:tcMar>
              <w:left w:w="57" w:type="dxa"/>
              <w:right w:w="57" w:type="dxa"/>
            </w:tcMar>
          </w:tcPr>
          <w:p w14:paraId="5F88016E" w14:textId="77777777" w:rsidR="00E62FCB" w:rsidRPr="00C37316" w:rsidRDefault="00D862C2" w:rsidP="00E62FCB">
            <w:pPr>
              <w:pStyle w:val="Nincstrkz"/>
              <w:rPr>
                <w:b/>
              </w:rPr>
            </w:pPr>
            <w:r w:rsidRPr="00C37316">
              <w:rPr>
                <w:b/>
              </w:rPr>
              <w:t>Gyakori</w:t>
            </w:r>
          </w:p>
        </w:tc>
        <w:tc>
          <w:tcPr>
            <w:tcW w:w="1559" w:type="dxa"/>
            <w:tcBorders>
              <w:bottom w:val="single" w:sz="12" w:space="0" w:color="auto"/>
            </w:tcBorders>
            <w:tcMar>
              <w:left w:w="57" w:type="dxa"/>
              <w:right w:w="57" w:type="dxa"/>
            </w:tcMar>
          </w:tcPr>
          <w:p w14:paraId="7FABCB73" w14:textId="77777777" w:rsidR="00E62FCB" w:rsidRPr="00C37316" w:rsidRDefault="00CC2D62" w:rsidP="00E62FCB">
            <w:pPr>
              <w:pStyle w:val="Nincstrkz"/>
              <w:rPr>
                <w:b/>
              </w:rPr>
            </w:pPr>
            <w:r w:rsidRPr="00C37316">
              <w:rPr>
                <w:b/>
              </w:rPr>
              <w:t>Nem gyakori</w:t>
            </w:r>
          </w:p>
        </w:tc>
        <w:tc>
          <w:tcPr>
            <w:tcW w:w="1276" w:type="dxa"/>
            <w:tcBorders>
              <w:bottom w:val="single" w:sz="12" w:space="0" w:color="auto"/>
            </w:tcBorders>
            <w:tcMar>
              <w:left w:w="57" w:type="dxa"/>
              <w:right w:w="57" w:type="dxa"/>
            </w:tcMar>
          </w:tcPr>
          <w:p w14:paraId="7CA8E998" w14:textId="77777777" w:rsidR="00E62FCB" w:rsidRPr="00C37316" w:rsidRDefault="00E62FCB" w:rsidP="00E62FCB">
            <w:pPr>
              <w:pStyle w:val="Nincstrkz"/>
              <w:rPr>
                <w:b/>
              </w:rPr>
            </w:pPr>
            <w:r w:rsidRPr="00C37316">
              <w:rPr>
                <w:b/>
              </w:rPr>
              <w:t>R</w:t>
            </w:r>
            <w:r w:rsidR="00CC2D62" w:rsidRPr="00C37316">
              <w:rPr>
                <w:b/>
              </w:rPr>
              <w:t>itka</w:t>
            </w:r>
          </w:p>
        </w:tc>
        <w:tc>
          <w:tcPr>
            <w:tcW w:w="1388" w:type="dxa"/>
            <w:tcBorders>
              <w:bottom w:val="single" w:sz="12" w:space="0" w:color="auto"/>
            </w:tcBorders>
            <w:tcMar>
              <w:left w:w="57" w:type="dxa"/>
              <w:right w:w="57" w:type="dxa"/>
            </w:tcMar>
          </w:tcPr>
          <w:p w14:paraId="77165EEE" w14:textId="77777777" w:rsidR="00E62FCB" w:rsidRPr="00C37316" w:rsidRDefault="00E62FCB" w:rsidP="00E62FCB">
            <w:pPr>
              <w:pStyle w:val="Nincstrkz"/>
              <w:rPr>
                <w:b/>
              </w:rPr>
            </w:pPr>
            <w:r w:rsidRPr="00C37316">
              <w:rPr>
                <w:b/>
              </w:rPr>
              <w:t>N</w:t>
            </w:r>
            <w:r w:rsidR="00CC2D62" w:rsidRPr="00C37316">
              <w:rPr>
                <w:b/>
              </w:rPr>
              <w:t>em ismert</w:t>
            </w:r>
          </w:p>
        </w:tc>
      </w:tr>
      <w:tr w:rsidR="00E62FCB" w:rsidRPr="00A93DF6" w14:paraId="28FEEDD1" w14:textId="77777777" w:rsidTr="00AE1D02">
        <w:tc>
          <w:tcPr>
            <w:tcW w:w="1980" w:type="dxa"/>
            <w:tcBorders>
              <w:top w:val="single" w:sz="12" w:space="0" w:color="auto"/>
              <w:right w:val="single" w:sz="12" w:space="0" w:color="auto"/>
            </w:tcBorders>
            <w:shd w:val="clear" w:color="auto" w:fill="D9D9D9" w:themeFill="background1" w:themeFillShade="D9"/>
            <w:tcMar>
              <w:left w:w="57" w:type="dxa"/>
              <w:right w:w="57" w:type="dxa"/>
            </w:tcMar>
          </w:tcPr>
          <w:p w14:paraId="5B8FD54C" w14:textId="77777777" w:rsidR="00E62FCB" w:rsidRPr="00A93DF6" w:rsidRDefault="00AE1D02" w:rsidP="00AE1D02">
            <w:pPr>
              <w:pStyle w:val="Nincstrkz"/>
            </w:pPr>
            <w:r>
              <w:t xml:space="preserve">Fertőző betegségek és parazita-fertőzések </w:t>
            </w:r>
          </w:p>
        </w:tc>
        <w:tc>
          <w:tcPr>
            <w:tcW w:w="1701" w:type="dxa"/>
            <w:tcBorders>
              <w:top w:val="single" w:sz="12" w:space="0" w:color="auto"/>
              <w:left w:val="single" w:sz="12" w:space="0" w:color="auto"/>
            </w:tcBorders>
            <w:tcMar>
              <w:left w:w="57" w:type="dxa"/>
              <w:right w:w="57" w:type="dxa"/>
            </w:tcMar>
          </w:tcPr>
          <w:p w14:paraId="37F69EF9" w14:textId="77777777" w:rsidR="00E62FCB" w:rsidRPr="00A93DF6" w:rsidRDefault="00AE1D02" w:rsidP="00E62FCB">
            <w:pPr>
              <w:pStyle w:val="Nincstrkz"/>
            </w:pPr>
            <w:r w:rsidRPr="00AE1D02">
              <w:rPr>
                <w:spacing w:val="1"/>
              </w:rPr>
              <w:t>fertőzés</w:t>
            </w:r>
          </w:p>
        </w:tc>
        <w:tc>
          <w:tcPr>
            <w:tcW w:w="1843" w:type="dxa"/>
            <w:tcBorders>
              <w:top w:val="single" w:sz="12" w:space="0" w:color="auto"/>
            </w:tcBorders>
            <w:tcMar>
              <w:left w:w="57" w:type="dxa"/>
              <w:right w:w="57" w:type="dxa"/>
            </w:tcMar>
          </w:tcPr>
          <w:p w14:paraId="0B3D928C" w14:textId="77777777" w:rsidR="00E62FCB" w:rsidRPr="00A93DF6" w:rsidRDefault="00E62FCB" w:rsidP="00E62FCB">
            <w:pPr>
              <w:pStyle w:val="Nincstrkz"/>
            </w:pPr>
            <w:r w:rsidRPr="00A93DF6">
              <w:rPr>
                <w:spacing w:val="1"/>
              </w:rPr>
              <w:t>f</w:t>
            </w:r>
            <w:r w:rsidRPr="00A93DF6">
              <w:t>o</w:t>
            </w:r>
            <w:r w:rsidRPr="00A93DF6">
              <w:rPr>
                <w:spacing w:val="-1"/>
              </w:rPr>
              <w:t>l</w:t>
            </w:r>
            <w:r w:rsidRPr="00A93DF6">
              <w:rPr>
                <w:spacing w:val="1"/>
              </w:rPr>
              <w:t>l</w:t>
            </w:r>
            <w:r w:rsidRPr="00A93DF6">
              <w:rPr>
                <w:spacing w:val="-1"/>
              </w:rPr>
              <w:t>i</w:t>
            </w:r>
            <w:r w:rsidRPr="00A93DF6">
              <w:t>cu</w:t>
            </w:r>
            <w:r w:rsidRPr="00A93DF6">
              <w:rPr>
                <w:spacing w:val="-1"/>
              </w:rPr>
              <w:t>l</w:t>
            </w:r>
            <w:r w:rsidRPr="00A93DF6">
              <w:rPr>
                <w:spacing w:val="1"/>
              </w:rPr>
              <w:t>i</w:t>
            </w:r>
            <w:r w:rsidRPr="00A93DF6">
              <w:rPr>
                <w:spacing w:val="-1"/>
              </w:rPr>
              <w:t>t</w:t>
            </w:r>
            <w:r w:rsidRPr="00A93DF6">
              <w:rPr>
                <w:spacing w:val="1"/>
              </w:rPr>
              <w:t>i</w:t>
            </w:r>
            <w:r w:rsidRPr="00A93DF6">
              <w:t>s</w:t>
            </w:r>
          </w:p>
        </w:tc>
        <w:tc>
          <w:tcPr>
            <w:tcW w:w="1559" w:type="dxa"/>
            <w:tcBorders>
              <w:top w:val="single" w:sz="12" w:space="0" w:color="auto"/>
            </w:tcBorders>
            <w:tcMar>
              <w:left w:w="57" w:type="dxa"/>
              <w:right w:w="57" w:type="dxa"/>
            </w:tcMar>
          </w:tcPr>
          <w:p w14:paraId="542BC167" w14:textId="77777777" w:rsidR="00E62FCB" w:rsidRPr="00A93DF6" w:rsidRDefault="00E62FCB" w:rsidP="00E62FCB">
            <w:pPr>
              <w:pStyle w:val="Nincstrkz"/>
            </w:pPr>
          </w:p>
        </w:tc>
        <w:tc>
          <w:tcPr>
            <w:tcW w:w="1276" w:type="dxa"/>
            <w:tcBorders>
              <w:top w:val="single" w:sz="12" w:space="0" w:color="auto"/>
            </w:tcBorders>
            <w:tcMar>
              <w:left w:w="57" w:type="dxa"/>
              <w:right w:w="57" w:type="dxa"/>
            </w:tcMar>
          </w:tcPr>
          <w:p w14:paraId="2DA75D44" w14:textId="77777777" w:rsidR="00E62FCB" w:rsidRPr="00A93DF6" w:rsidRDefault="00E62FCB" w:rsidP="00E62FCB">
            <w:pPr>
              <w:pStyle w:val="Nincstrkz"/>
            </w:pPr>
          </w:p>
        </w:tc>
        <w:tc>
          <w:tcPr>
            <w:tcW w:w="1388" w:type="dxa"/>
            <w:tcBorders>
              <w:top w:val="single" w:sz="12" w:space="0" w:color="auto"/>
            </w:tcBorders>
            <w:tcMar>
              <w:left w:w="57" w:type="dxa"/>
              <w:right w:w="57" w:type="dxa"/>
            </w:tcMar>
          </w:tcPr>
          <w:p w14:paraId="08B1D32C" w14:textId="77777777" w:rsidR="00E62FCB" w:rsidRPr="00A93DF6" w:rsidRDefault="00E62FCB" w:rsidP="00E62FCB">
            <w:pPr>
              <w:pStyle w:val="Nincstrkz"/>
            </w:pPr>
          </w:p>
        </w:tc>
      </w:tr>
      <w:tr w:rsidR="00E62FCB" w:rsidRPr="00A93DF6" w14:paraId="026DA928"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56F6328E" w14:textId="0E642CD9" w:rsidR="00E62FCB" w:rsidRPr="00A93DF6" w:rsidRDefault="00AE1D02" w:rsidP="00E62FCB">
            <w:pPr>
              <w:pStyle w:val="Nincstrkz"/>
            </w:pPr>
            <w:r w:rsidRPr="00AE1D02">
              <w:t>Vérképzőszervi és nyirokrendszeri betegségek és tünetek</w:t>
            </w:r>
          </w:p>
        </w:tc>
        <w:tc>
          <w:tcPr>
            <w:tcW w:w="1701" w:type="dxa"/>
            <w:tcBorders>
              <w:left w:val="single" w:sz="12" w:space="0" w:color="auto"/>
            </w:tcBorders>
            <w:tcMar>
              <w:left w:w="57" w:type="dxa"/>
              <w:right w:w="57" w:type="dxa"/>
            </w:tcMar>
          </w:tcPr>
          <w:p w14:paraId="3DFE644D" w14:textId="77777777" w:rsidR="00E62FCB" w:rsidRPr="00A93DF6" w:rsidRDefault="00E62FCB" w:rsidP="00E62FCB">
            <w:pPr>
              <w:pStyle w:val="Nincstrkz"/>
            </w:pPr>
            <w:r w:rsidRPr="00A93DF6">
              <w:rPr>
                <w:spacing w:val="1"/>
              </w:rPr>
              <w:t>l</w:t>
            </w:r>
            <w:r w:rsidRPr="00A93DF6">
              <w:t>y</w:t>
            </w:r>
            <w:r w:rsidRPr="00A93DF6">
              <w:rPr>
                <w:spacing w:val="-4"/>
              </w:rPr>
              <w:t>m</w:t>
            </w:r>
            <w:r w:rsidRPr="00A93DF6">
              <w:t>phopen</w:t>
            </w:r>
            <w:r w:rsidRPr="00A93DF6">
              <w:rPr>
                <w:spacing w:val="1"/>
              </w:rPr>
              <w:t>i</w:t>
            </w:r>
            <w:r w:rsidRPr="00A93DF6">
              <w:t>a</w:t>
            </w:r>
          </w:p>
        </w:tc>
        <w:tc>
          <w:tcPr>
            <w:tcW w:w="1843" w:type="dxa"/>
            <w:tcMar>
              <w:left w:w="57" w:type="dxa"/>
              <w:right w:w="57" w:type="dxa"/>
            </w:tcMar>
          </w:tcPr>
          <w:p w14:paraId="635ABB55" w14:textId="77777777" w:rsidR="00E62FCB" w:rsidRPr="00A93DF6" w:rsidRDefault="00E62FCB" w:rsidP="00E62FCB">
            <w:pPr>
              <w:pStyle w:val="Nincstrkz"/>
            </w:pPr>
            <w:r w:rsidRPr="00A93DF6">
              <w:t>leu</w:t>
            </w:r>
            <w:r w:rsidR="00AE1D02">
              <w:t>k</w:t>
            </w:r>
            <w:r w:rsidRPr="00A93DF6">
              <w:t>openia</w:t>
            </w:r>
            <w:r w:rsidR="00D639E1">
              <w:t>,</w:t>
            </w:r>
          </w:p>
          <w:p w14:paraId="2AD19228" w14:textId="77777777" w:rsidR="00E62FCB" w:rsidRPr="00A93DF6" w:rsidRDefault="00E62FCB" w:rsidP="00E62FCB">
            <w:pPr>
              <w:pStyle w:val="Nincstrkz"/>
            </w:pPr>
            <w:r w:rsidRPr="00A93DF6">
              <w:t>neutropenia</w:t>
            </w:r>
            <w:r w:rsidR="00D639E1">
              <w:t>,</w:t>
            </w:r>
          </w:p>
          <w:p w14:paraId="44E0E00C" w14:textId="77777777" w:rsidR="00E62FCB" w:rsidRPr="00A93DF6" w:rsidRDefault="00E62FCB" w:rsidP="00E62FCB">
            <w:pPr>
              <w:pStyle w:val="Nincstrkz"/>
            </w:pPr>
            <w:r w:rsidRPr="00A93DF6">
              <w:t>anaemia</w:t>
            </w:r>
            <w:r w:rsidR="00D639E1">
              <w:t>,</w:t>
            </w:r>
          </w:p>
          <w:p w14:paraId="02000C32" w14:textId="77777777" w:rsidR="00E62FCB" w:rsidRPr="00A93DF6" w:rsidRDefault="00E62FCB" w:rsidP="00E62FCB">
            <w:pPr>
              <w:pStyle w:val="Nincstrkz"/>
            </w:pPr>
            <w:r w:rsidRPr="00A93DF6">
              <w:t>thrombocytopenia</w:t>
            </w:r>
          </w:p>
        </w:tc>
        <w:tc>
          <w:tcPr>
            <w:tcW w:w="1559" w:type="dxa"/>
            <w:tcMar>
              <w:left w:w="57" w:type="dxa"/>
              <w:right w:w="57" w:type="dxa"/>
            </w:tcMar>
          </w:tcPr>
          <w:p w14:paraId="56E099DA" w14:textId="77777777" w:rsidR="00E62FCB" w:rsidRPr="00A93DF6" w:rsidRDefault="00E62FCB" w:rsidP="00E62FCB">
            <w:pPr>
              <w:pStyle w:val="Nincstrkz"/>
            </w:pPr>
          </w:p>
        </w:tc>
        <w:tc>
          <w:tcPr>
            <w:tcW w:w="1276" w:type="dxa"/>
            <w:tcMar>
              <w:left w:w="57" w:type="dxa"/>
              <w:right w:w="57" w:type="dxa"/>
            </w:tcMar>
          </w:tcPr>
          <w:p w14:paraId="017B292D" w14:textId="77777777" w:rsidR="00E62FCB" w:rsidRPr="00A93DF6" w:rsidRDefault="00E62FCB" w:rsidP="00E62FCB">
            <w:pPr>
              <w:pStyle w:val="Nincstrkz"/>
            </w:pPr>
          </w:p>
        </w:tc>
        <w:tc>
          <w:tcPr>
            <w:tcW w:w="1388" w:type="dxa"/>
            <w:tcMar>
              <w:left w:w="57" w:type="dxa"/>
              <w:right w:w="57" w:type="dxa"/>
            </w:tcMar>
          </w:tcPr>
          <w:p w14:paraId="6CE759D1" w14:textId="77777777" w:rsidR="00E62FCB" w:rsidRPr="00A93DF6" w:rsidRDefault="00E62FCB" w:rsidP="00E62FCB">
            <w:pPr>
              <w:pStyle w:val="Nincstrkz"/>
            </w:pPr>
          </w:p>
        </w:tc>
      </w:tr>
      <w:tr w:rsidR="00E62FCB" w:rsidRPr="00A93DF6" w14:paraId="250CECEC"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43FF16B5" w14:textId="77777777" w:rsidR="00E62FCB" w:rsidRPr="00A93DF6" w:rsidRDefault="00AE1D02" w:rsidP="00E62FCB">
            <w:pPr>
              <w:pStyle w:val="Nincstrkz"/>
            </w:pPr>
            <w:r w:rsidRPr="00AE1D02">
              <w:rPr>
                <w:spacing w:val="-2"/>
              </w:rPr>
              <w:t>Immunrendszeri betegségek és tünetek</w:t>
            </w:r>
          </w:p>
        </w:tc>
        <w:tc>
          <w:tcPr>
            <w:tcW w:w="1701" w:type="dxa"/>
            <w:tcBorders>
              <w:left w:val="single" w:sz="12" w:space="0" w:color="auto"/>
            </w:tcBorders>
            <w:tcMar>
              <w:left w:w="57" w:type="dxa"/>
              <w:right w:w="57" w:type="dxa"/>
            </w:tcMar>
          </w:tcPr>
          <w:p w14:paraId="2C16F9EB" w14:textId="77777777" w:rsidR="00E62FCB" w:rsidRPr="00A93DF6" w:rsidRDefault="00E62FCB" w:rsidP="00E62FCB">
            <w:pPr>
              <w:pStyle w:val="Nincstrkz"/>
            </w:pPr>
          </w:p>
        </w:tc>
        <w:tc>
          <w:tcPr>
            <w:tcW w:w="1843" w:type="dxa"/>
            <w:tcMar>
              <w:left w:w="57" w:type="dxa"/>
              <w:right w:w="57" w:type="dxa"/>
            </w:tcMar>
          </w:tcPr>
          <w:p w14:paraId="087E86E3" w14:textId="77777777" w:rsidR="00E62FCB" w:rsidRPr="00A93DF6" w:rsidRDefault="00E62FCB" w:rsidP="00E62FCB">
            <w:pPr>
              <w:pStyle w:val="Nincstrkz"/>
            </w:pPr>
          </w:p>
        </w:tc>
        <w:tc>
          <w:tcPr>
            <w:tcW w:w="1559" w:type="dxa"/>
            <w:tcMar>
              <w:left w:w="57" w:type="dxa"/>
              <w:right w:w="57" w:type="dxa"/>
            </w:tcMar>
          </w:tcPr>
          <w:p w14:paraId="7909761F" w14:textId="269F0895" w:rsidR="00E62FCB" w:rsidRPr="00A93DF6" w:rsidRDefault="00AE1D02" w:rsidP="00AE1D02">
            <w:pPr>
              <w:pStyle w:val="Nincstrkz"/>
            </w:pPr>
            <w:r>
              <w:t>túlérzékenységi reakciók (pl. bőrreakciók, csalánkiütés)</w:t>
            </w:r>
            <w:r w:rsidR="00676D19">
              <w:t>,</w:t>
            </w:r>
            <w:r>
              <w:t xml:space="preserve"> anaphylaxiás reakció</w:t>
            </w:r>
          </w:p>
        </w:tc>
        <w:tc>
          <w:tcPr>
            <w:tcW w:w="1276" w:type="dxa"/>
            <w:tcMar>
              <w:left w:w="57" w:type="dxa"/>
              <w:right w:w="57" w:type="dxa"/>
            </w:tcMar>
          </w:tcPr>
          <w:p w14:paraId="7B058449" w14:textId="77777777" w:rsidR="00E62FCB" w:rsidRPr="00A93DF6" w:rsidRDefault="00E62FCB" w:rsidP="00E62FCB">
            <w:pPr>
              <w:pStyle w:val="Nincstrkz"/>
            </w:pPr>
            <w:r w:rsidRPr="00A93DF6">
              <w:t>an</w:t>
            </w:r>
            <w:r w:rsidRPr="00A93DF6">
              <w:rPr>
                <w:spacing w:val="-2"/>
              </w:rPr>
              <w:t>g</w:t>
            </w:r>
            <w:r w:rsidRPr="00A93DF6">
              <w:rPr>
                <w:spacing w:val="1"/>
              </w:rPr>
              <w:t>i</w:t>
            </w:r>
            <w:r w:rsidRPr="00A93DF6">
              <w:t>oede</w:t>
            </w:r>
            <w:r w:rsidRPr="00A93DF6">
              <w:rPr>
                <w:spacing w:val="-4"/>
              </w:rPr>
              <w:t>m</w:t>
            </w:r>
            <w:r w:rsidRPr="00A93DF6">
              <w:t>a</w:t>
            </w:r>
          </w:p>
        </w:tc>
        <w:tc>
          <w:tcPr>
            <w:tcW w:w="1388" w:type="dxa"/>
            <w:tcMar>
              <w:left w:w="57" w:type="dxa"/>
              <w:right w:w="57" w:type="dxa"/>
            </w:tcMar>
          </w:tcPr>
          <w:p w14:paraId="1DB0DCA2" w14:textId="77777777" w:rsidR="00E62FCB" w:rsidRPr="00A93DF6" w:rsidRDefault="00E62FCB" w:rsidP="00E62FCB">
            <w:pPr>
              <w:pStyle w:val="Nincstrkz"/>
            </w:pPr>
          </w:p>
        </w:tc>
      </w:tr>
      <w:tr w:rsidR="00E62FCB" w:rsidRPr="00A93DF6" w14:paraId="511746E6"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7BE9EACE" w14:textId="77777777" w:rsidR="00E62FCB" w:rsidRPr="00A93DF6" w:rsidRDefault="00E20914" w:rsidP="00E62FCB">
            <w:pPr>
              <w:pStyle w:val="Nincstrkz"/>
            </w:pPr>
            <w:r w:rsidRPr="00E20914">
              <w:t>Endokrin betegségek és tünetek</w:t>
            </w:r>
          </w:p>
        </w:tc>
        <w:tc>
          <w:tcPr>
            <w:tcW w:w="1701" w:type="dxa"/>
            <w:tcBorders>
              <w:left w:val="single" w:sz="12" w:space="0" w:color="auto"/>
            </w:tcBorders>
            <w:tcMar>
              <w:left w:w="57" w:type="dxa"/>
              <w:right w:w="57" w:type="dxa"/>
            </w:tcMar>
          </w:tcPr>
          <w:p w14:paraId="57E1CF34" w14:textId="77777777" w:rsidR="00E62FCB" w:rsidRPr="00A93DF6" w:rsidRDefault="00E62FCB" w:rsidP="00E62FCB">
            <w:pPr>
              <w:pStyle w:val="Nincstrkz"/>
            </w:pPr>
          </w:p>
        </w:tc>
        <w:tc>
          <w:tcPr>
            <w:tcW w:w="1843" w:type="dxa"/>
            <w:tcMar>
              <w:left w:w="57" w:type="dxa"/>
              <w:right w:w="57" w:type="dxa"/>
            </w:tcMar>
          </w:tcPr>
          <w:p w14:paraId="0CD6ED2A" w14:textId="77777777" w:rsidR="00E62FCB" w:rsidRPr="00A93DF6" w:rsidRDefault="00E62FCB" w:rsidP="00E62FCB">
            <w:pPr>
              <w:pStyle w:val="Nincstrkz"/>
            </w:pPr>
            <w:r w:rsidRPr="00A93DF6">
              <w:t>h</w:t>
            </w:r>
            <w:r w:rsidRPr="00A93DF6">
              <w:rPr>
                <w:spacing w:val="-2"/>
              </w:rPr>
              <w:t>y</w:t>
            </w:r>
            <w:r w:rsidRPr="00A93DF6">
              <w:t>po</w:t>
            </w:r>
            <w:r w:rsidRPr="00A93DF6">
              <w:rPr>
                <w:spacing w:val="1"/>
              </w:rPr>
              <w:t>t</w:t>
            </w:r>
            <w:r w:rsidRPr="00A93DF6">
              <w:t>h</w:t>
            </w:r>
            <w:r w:rsidRPr="00A93DF6">
              <w:rPr>
                <w:spacing w:val="-2"/>
              </w:rPr>
              <w:t>y</w:t>
            </w:r>
            <w:r w:rsidRPr="00A93DF6">
              <w:rPr>
                <w:spacing w:val="1"/>
              </w:rPr>
              <w:t>r</w:t>
            </w:r>
            <w:r w:rsidR="00E20914">
              <w:rPr>
                <w:spacing w:val="1"/>
              </w:rPr>
              <w:t>eosis</w:t>
            </w:r>
          </w:p>
        </w:tc>
        <w:tc>
          <w:tcPr>
            <w:tcW w:w="1559" w:type="dxa"/>
            <w:tcMar>
              <w:left w:w="57" w:type="dxa"/>
              <w:right w:w="57" w:type="dxa"/>
            </w:tcMar>
          </w:tcPr>
          <w:p w14:paraId="2C550D9F" w14:textId="77777777" w:rsidR="00E62FCB" w:rsidRPr="00A93DF6" w:rsidRDefault="00E62FCB" w:rsidP="00E62FCB">
            <w:pPr>
              <w:pStyle w:val="Nincstrkz"/>
            </w:pPr>
            <w:r w:rsidRPr="00A93DF6">
              <w:t>h</w:t>
            </w:r>
            <w:r w:rsidRPr="00A93DF6">
              <w:rPr>
                <w:spacing w:val="-2"/>
              </w:rPr>
              <w:t>y</w:t>
            </w:r>
            <w:r w:rsidRPr="00A93DF6">
              <w:t>pe</w:t>
            </w:r>
            <w:r w:rsidRPr="00A93DF6">
              <w:rPr>
                <w:spacing w:val="1"/>
              </w:rPr>
              <w:t>rt</w:t>
            </w:r>
            <w:r w:rsidRPr="00A93DF6">
              <w:t>h</w:t>
            </w:r>
            <w:r w:rsidRPr="00A93DF6">
              <w:rPr>
                <w:spacing w:val="-2"/>
              </w:rPr>
              <w:t>y</w:t>
            </w:r>
            <w:r w:rsidRPr="00A93DF6">
              <w:rPr>
                <w:spacing w:val="1"/>
              </w:rPr>
              <w:t>r</w:t>
            </w:r>
            <w:r w:rsidR="00E20914">
              <w:rPr>
                <w:spacing w:val="1"/>
              </w:rPr>
              <w:t>eosis</w:t>
            </w:r>
          </w:p>
        </w:tc>
        <w:tc>
          <w:tcPr>
            <w:tcW w:w="1276" w:type="dxa"/>
            <w:tcMar>
              <w:left w:w="57" w:type="dxa"/>
              <w:right w:w="57" w:type="dxa"/>
            </w:tcMar>
          </w:tcPr>
          <w:p w14:paraId="55F84A6D" w14:textId="77777777" w:rsidR="00E62FCB" w:rsidRPr="00A93DF6" w:rsidRDefault="00E62FCB" w:rsidP="00E62FCB">
            <w:pPr>
              <w:pStyle w:val="Nincstrkz"/>
            </w:pPr>
          </w:p>
        </w:tc>
        <w:tc>
          <w:tcPr>
            <w:tcW w:w="1388" w:type="dxa"/>
            <w:tcMar>
              <w:left w:w="57" w:type="dxa"/>
              <w:right w:w="57" w:type="dxa"/>
            </w:tcMar>
          </w:tcPr>
          <w:p w14:paraId="314C243F" w14:textId="77777777" w:rsidR="00E62FCB" w:rsidRPr="00A93DF6" w:rsidRDefault="00E62FCB" w:rsidP="00E62FCB">
            <w:pPr>
              <w:pStyle w:val="Nincstrkz"/>
            </w:pPr>
          </w:p>
        </w:tc>
      </w:tr>
      <w:tr w:rsidR="00E62FCB" w:rsidRPr="00A93DF6" w14:paraId="50CB232C"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507C05F" w14:textId="77777777" w:rsidR="00E62FCB" w:rsidRPr="00A93DF6" w:rsidRDefault="00E20914" w:rsidP="00E62FCB">
            <w:pPr>
              <w:pStyle w:val="Nincstrkz"/>
            </w:pPr>
            <w:r w:rsidRPr="00E20914">
              <w:t>Anyagcsere- és táplálkozási betegségek és tünetek</w:t>
            </w:r>
          </w:p>
        </w:tc>
        <w:tc>
          <w:tcPr>
            <w:tcW w:w="1701" w:type="dxa"/>
            <w:tcBorders>
              <w:left w:val="single" w:sz="12" w:space="0" w:color="auto"/>
            </w:tcBorders>
            <w:tcMar>
              <w:left w:w="57" w:type="dxa"/>
              <w:right w:w="57" w:type="dxa"/>
            </w:tcMar>
          </w:tcPr>
          <w:p w14:paraId="156BB5AF" w14:textId="1E5FF931" w:rsidR="00E62FCB" w:rsidRPr="00A93DF6" w:rsidRDefault="00E62FCB" w:rsidP="00E62FCB">
            <w:pPr>
              <w:pStyle w:val="Nincstrkz"/>
            </w:pPr>
            <w:r w:rsidRPr="00A93DF6">
              <w:t>ano</w:t>
            </w:r>
            <w:r w:rsidRPr="00A93DF6">
              <w:rPr>
                <w:spacing w:val="1"/>
              </w:rPr>
              <w:t>r</w:t>
            </w:r>
            <w:r w:rsidRPr="00A93DF6">
              <w:rPr>
                <w:spacing w:val="-2"/>
              </w:rPr>
              <w:t>e</w:t>
            </w:r>
            <w:r w:rsidRPr="00A93DF6">
              <w:t>x</w:t>
            </w:r>
            <w:r w:rsidRPr="00A93DF6">
              <w:rPr>
                <w:spacing w:val="1"/>
              </w:rPr>
              <w:t>i</w:t>
            </w:r>
            <w:r w:rsidRPr="00A93DF6">
              <w:t>a</w:t>
            </w:r>
            <w:r w:rsidR="00676D19">
              <w:t>,</w:t>
            </w:r>
          </w:p>
          <w:p w14:paraId="6025C4C0" w14:textId="77777777" w:rsidR="00E62FCB" w:rsidRPr="00A93DF6" w:rsidRDefault="00E62FCB" w:rsidP="00E62FCB">
            <w:pPr>
              <w:pStyle w:val="Nincstrkz"/>
            </w:pPr>
            <w:r w:rsidRPr="00A93DF6">
              <w:t>h</w:t>
            </w:r>
            <w:r w:rsidRPr="00A93DF6">
              <w:rPr>
                <w:spacing w:val="-2"/>
              </w:rPr>
              <w:t>y</w:t>
            </w:r>
            <w:r w:rsidRPr="00A93DF6">
              <w:t>p</w:t>
            </w:r>
            <w:r w:rsidRPr="00A93DF6">
              <w:rPr>
                <w:spacing w:val="2"/>
              </w:rPr>
              <w:t>o</w:t>
            </w:r>
            <w:r w:rsidRPr="00A93DF6">
              <w:t>- phosph</w:t>
            </w:r>
            <w:r w:rsidRPr="00A93DF6">
              <w:rPr>
                <w:spacing w:val="-2"/>
              </w:rPr>
              <w:t>a</w:t>
            </w:r>
            <w:r w:rsidRPr="00A93DF6">
              <w:rPr>
                <w:spacing w:val="1"/>
              </w:rPr>
              <w:t>t</w:t>
            </w:r>
            <w:r w:rsidRPr="00A93DF6">
              <w:rPr>
                <w:spacing w:val="-2"/>
              </w:rPr>
              <w:t>a</w:t>
            </w:r>
            <w:r w:rsidRPr="00A93DF6">
              <w:t>e</w:t>
            </w:r>
            <w:r w:rsidRPr="00A93DF6">
              <w:rPr>
                <w:spacing w:val="-4"/>
              </w:rPr>
              <w:t>m</w:t>
            </w:r>
            <w:r w:rsidRPr="00A93DF6">
              <w:rPr>
                <w:spacing w:val="1"/>
              </w:rPr>
              <w:t>i</w:t>
            </w:r>
            <w:r w:rsidRPr="00A93DF6">
              <w:t>a</w:t>
            </w:r>
          </w:p>
        </w:tc>
        <w:tc>
          <w:tcPr>
            <w:tcW w:w="1843" w:type="dxa"/>
            <w:tcMar>
              <w:left w:w="57" w:type="dxa"/>
              <w:right w:w="57" w:type="dxa"/>
            </w:tcMar>
          </w:tcPr>
          <w:p w14:paraId="23F9F336" w14:textId="77777777" w:rsidR="00E62FCB" w:rsidRPr="00A93DF6" w:rsidRDefault="00E62FCB" w:rsidP="00E62FCB">
            <w:pPr>
              <w:pStyle w:val="Nincstrkz"/>
            </w:pPr>
            <w:r w:rsidRPr="00A93DF6">
              <w:t>h</w:t>
            </w:r>
            <w:r w:rsidRPr="00A93DF6">
              <w:rPr>
                <w:spacing w:val="-2"/>
              </w:rPr>
              <w:t>y</w:t>
            </w:r>
            <w:r w:rsidRPr="00A93DF6">
              <w:t>poca</w:t>
            </w:r>
            <w:r w:rsidRPr="00A93DF6">
              <w:rPr>
                <w:spacing w:val="1"/>
              </w:rPr>
              <w:t>l</w:t>
            </w:r>
            <w:r w:rsidRPr="00A93DF6">
              <w:t>c</w:t>
            </w:r>
            <w:r w:rsidRPr="00A93DF6">
              <w:rPr>
                <w:spacing w:val="-2"/>
              </w:rPr>
              <w:t>a</w:t>
            </w:r>
            <w:r w:rsidRPr="00A93DF6">
              <w:t>e</w:t>
            </w:r>
            <w:r w:rsidRPr="00A93DF6">
              <w:rPr>
                <w:spacing w:val="-4"/>
              </w:rPr>
              <w:t>m</w:t>
            </w:r>
            <w:r w:rsidRPr="00A93DF6">
              <w:rPr>
                <w:spacing w:val="1"/>
              </w:rPr>
              <w:t>i</w:t>
            </w:r>
            <w:r w:rsidRPr="00A93DF6">
              <w:t>a</w:t>
            </w:r>
            <w:r w:rsidR="00D639E1">
              <w:t>,</w:t>
            </w:r>
          </w:p>
          <w:p w14:paraId="46F422F4" w14:textId="77777777" w:rsidR="00E62FCB" w:rsidRDefault="00E62FCB" w:rsidP="00E62FCB">
            <w:pPr>
              <w:pStyle w:val="Nincstrkz"/>
            </w:pPr>
            <w:r w:rsidRPr="00A93DF6">
              <w:t>h</w:t>
            </w:r>
            <w:r w:rsidRPr="00A93DF6">
              <w:rPr>
                <w:spacing w:val="-2"/>
              </w:rPr>
              <w:t>y</w:t>
            </w:r>
            <w:r w:rsidRPr="00A93DF6">
              <w:t>po</w:t>
            </w:r>
            <w:r w:rsidRPr="00A93DF6">
              <w:rPr>
                <w:spacing w:val="-2"/>
              </w:rPr>
              <w:t>k</w:t>
            </w:r>
            <w:r w:rsidRPr="00A93DF6">
              <w:t>a</w:t>
            </w:r>
            <w:r w:rsidRPr="00A93DF6">
              <w:rPr>
                <w:spacing w:val="1"/>
              </w:rPr>
              <w:t>l</w:t>
            </w:r>
            <w:r w:rsidRPr="00A93DF6">
              <w:t>ae</w:t>
            </w:r>
            <w:r w:rsidRPr="00A93DF6">
              <w:rPr>
                <w:spacing w:val="-4"/>
              </w:rPr>
              <w:t>m</w:t>
            </w:r>
            <w:r w:rsidRPr="00A93DF6">
              <w:rPr>
                <w:spacing w:val="1"/>
              </w:rPr>
              <w:t>i</w:t>
            </w:r>
            <w:r w:rsidRPr="00A93DF6">
              <w:t>a</w:t>
            </w:r>
            <w:r w:rsidR="00D639E1">
              <w:t>,</w:t>
            </w:r>
            <w:r w:rsidRPr="00A93DF6">
              <w:t xml:space="preserve"> h</w:t>
            </w:r>
            <w:r w:rsidRPr="00A93DF6">
              <w:rPr>
                <w:spacing w:val="-2"/>
              </w:rPr>
              <w:t>y</w:t>
            </w:r>
            <w:r w:rsidRPr="00A93DF6">
              <w:t>pona</w:t>
            </w:r>
            <w:r w:rsidRPr="00A93DF6">
              <w:rPr>
                <w:spacing w:val="1"/>
              </w:rPr>
              <w:t>tr</w:t>
            </w:r>
            <w:r w:rsidRPr="00A93DF6">
              <w:rPr>
                <w:spacing w:val="-2"/>
              </w:rPr>
              <w:t>a</w:t>
            </w:r>
            <w:r w:rsidRPr="00A93DF6">
              <w:t>e</w:t>
            </w:r>
            <w:r w:rsidRPr="00A93DF6">
              <w:rPr>
                <w:spacing w:val="-4"/>
              </w:rPr>
              <w:t>m</w:t>
            </w:r>
            <w:r w:rsidRPr="00A93DF6">
              <w:rPr>
                <w:spacing w:val="1"/>
              </w:rPr>
              <w:t>i</w:t>
            </w:r>
            <w:r w:rsidRPr="00A93DF6">
              <w:t>a</w:t>
            </w:r>
            <w:r w:rsidR="00D639E1">
              <w:t>,</w:t>
            </w:r>
          </w:p>
          <w:p w14:paraId="1EEDB74B" w14:textId="77777777" w:rsidR="00E62FCB" w:rsidRPr="007E20F5" w:rsidRDefault="00E62FCB" w:rsidP="00E62FCB">
            <w:pPr>
              <w:pStyle w:val="Nincstrkz"/>
            </w:pPr>
            <w:r w:rsidRPr="00FF4421">
              <w:t>hypogly</w:t>
            </w:r>
            <w:r w:rsidR="00E20914">
              <w:t>k</w:t>
            </w:r>
            <w:r w:rsidRPr="00FF4421">
              <w:t>aemia</w:t>
            </w:r>
          </w:p>
        </w:tc>
        <w:tc>
          <w:tcPr>
            <w:tcW w:w="1559" w:type="dxa"/>
            <w:tcMar>
              <w:left w:w="57" w:type="dxa"/>
              <w:right w:w="57" w:type="dxa"/>
            </w:tcMar>
          </w:tcPr>
          <w:p w14:paraId="209D8B1E" w14:textId="77777777" w:rsidR="00E62FCB" w:rsidRPr="00A93DF6" w:rsidRDefault="00E62FCB" w:rsidP="00E62FCB">
            <w:pPr>
              <w:pStyle w:val="Nincstrkz"/>
            </w:pPr>
            <w:r w:rsidRPr="00A93DF6">
              <w:t>deh</w:t>
            </w:r>
            <w:r w:rsidR="00D639E1">
              <w:t>idráció</w:t>
            </w:r>
          </w:p>
        </w:tc>
        <w:tc>
          <w:tcPr>
            <w:tcW w:w="1276" w:type="dxa"/>
            <w:tcMar>
              <w:left w:w="57" w:type="dxa"/>
              <w:right w:w="57" w:type="dxa"/>
            </w:tcMar>
          </w:tcPr>
          <w:p w14:paraId="56EED3B1" w14:textId="77777777" w:rsidR="00E62FCB" w:rsidRPr="00A93DF6" w:rsidRDefault="00E62FCB" w:rsidP="00E62FCB">
            <w:pPr>
              <w:pStyle w:val="Nincstrkz"/>
            </w:pPr>
          </w:p>
        </w:tc>
        <w:tc>
          <w:tcPr>
            <w:tcW w:w="1388" w:type="dxa"/>
            <w:tcMar>
              <w:left w:w="57" w:type="dxa"/>
              <w:right w:w="57" w:type="dxa"/>
            </w:tcMar>
          </w:tcPr>
          <w:p w14:paraId="233C0651" w14:textId="213C4DF6" w:rsidR="00E62FCB" w:rsidRPr="00A93DF6" w:rsidRDefault="00FE6830" w:rsidP="00E62FCB">
            <w:pPr>
              <w:pStyle w:val="Nincstrkz"/>
            </w:pPr>
            <w:r>
              <w:t>tumorlízis-szindróma</w:t>
            </w:r>
          </w:p>
        </w:tc>
      </w:tr>
      <w:tr w:rsidR="00E62FCB" w:rsidRPr="00A93DF6" w14:paraId="085D821C"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1C112F58" w14:textId="77777777" w:rsidR="00E62FCB" w:rsidRPr="00A93DF6" w:rsidRDefault="00E20914" w:rsidP="00E20914">
            <w:r w:rsidRPr="00E20914">
              <w:rPr>
                <w:rFonts w:ascii="Times New Roman" w:hAnsi="Times New Roman"/>
              </w:rPr>
              <w:t xml:space="preserve">Pszichiátriai kórképek </w:t>
            </w:r>
          </w:p>
        </w:tc>
        <w:tc>
          <w:tcPr>
            <w:tcW w:w="1701" w:type="dxa"/>
            <w:tcBorders>
              <w:left w:val="single" w:sz="12" w:space="0" w:color="auto"/>
            </w:tcBorders>
            <w:tcMar>
              <w:left w:w="57" w:type="dxa"/>
              <w:right w:w="57" w:type="dxa"/>
            </w:tcMar>
          </w:tcPr>
          <w:p w14:paraId="5A520D12" w14:textId="77777777" w:rsidR="00E62FCB" w:rsidRPr="00A93DF6" w:rsidRDefault="00E62FCB" w:rsidP="00E62FCB">
            <w:pPr>
              <w:pStyle w:val="Nincstrkz"/>
            </w:pPr>
          </w:p>
        </w:tc>
        <w:tc>
          <w:tcPr>
            <w:tcW w:w="1843" w:type="dxa"/>
            <w:tcMar>
              <w:left w:w="57" w:type="dxa"/>
              <w:right w:w="57" w:type="dxa"/>
            </w:tcMar>
          </w:tcPr>
          <w:p w14:paraId="18CC5E08" w14:textId="77777777" w:rsidR="00E62FCB" w:rsidRPr="00A93DF6" w:rsidRDefault="00E62FCB" w:rsidP="00E62FCB">
            <w:pPr>
              <w:pStyle w:val="Nincstrkz"/>
            </w:pPr>
            <w:r w:rsidRPr="00A93DF6">
              <w:t>dep</w:t>
            </w:r>
            <w:r w:rsidRPr="00A93DF6">
              <w:rPr>
                <w:spacing w:val="1"/>
              </w:rPr>
              <w:t>r</w:t>
            </w:r>
            <w:r w:rsidRPr="00A93DF6">
              <w:rPr>
                <w:spacing w:val="-2"/>
              </w:rPr>
              <w:t>e</w:t>
            </w:r>
            <w:r w:rsidRPr="00A93DF6">
              <w:t>s</w:t>
            </w:r>
            <w:r w:rsidRPr="00A93DF6">
              <w:rPr>
                <w:spacing w:val="-2"/>
              </w:rPr>
              <w:t>s</w:t>
            </w:r>
            <w:r w:rsidR="00E20914">
              <w:rPr>
                <w:spacing w:val="-2"/>
              </w:rPr>
              <w:t>zió</w:t>
            </w:r>
          </w:p>
        </w:tc>
        <w:tc>
          <w:tcPr>
            <w:tcW w:w="1559" w:type="dxa"/>
            <w:tcMar>
              <w:left w:w="57" w:type="dxa"/>
              <w:right w:w="57" w:type="dxa"/>
            </w:tcMar>
          </w:tcPr>
          <w:p w14:paraId="7340215C" w14:textId="77777777" w:rsidR="00E62FCB" w:rsidRPr="00A93DF6" w:rsidRDefault="00E62FCB" w:rsidP="00E62FCB">
            <w:pPr>
              <w:pStyle w:val="Nincstrkz"/>
            </w:pPr>
          </w:p>
        </w:tc>
        <w:tc>
          <w:tcPr>
            <w:tcW w:w="1276" w:type="dxa"/>
            <w:tcMar>
              <w:left w:w="57" w:type="dxa"/>
              <w:right w:w="57" w:type="dxa"/>
            </w:tcMar>
          </w:tcPr>
          <w:p w14:paraId="7E4CB90F" w14:textId="77777777" w:rsidR="00E62FCB" w:rsidRPr="00A93DF6" w:rsidRDefault="00E62FCB" w:rsidP="00E62FCB">
            <w:pPr>
              <w:pStyle w:val="Nincstrkz"/>
            </w:pPr>
          </w:p>
        </w:tc>
        <w:tc>
          <w:tcPr>
            <w:tcW w:w="1388" w:type="dxa"/>
            <w:tcMar>
              <w:left w:w="57" w:type="dxa"/>
              <w:right w:w="57" w:type="dxa"/>
            </w:tcMar>
          </w:tcPr>
          <w:p w14:paraId="6064715A" w14:textId="77777777" w:rsidR="00E62FCB" w:rsidRPr="00A93DF6" w:rsidRDefault="00E62FCB" w:rsidP="00E62FCB">
            <w:pPr>
              <w:pStyle w:val="Nincstrkz"/>
            </w:pPr>
          </w:p>
        </w:tc>
      </w:tr>
      <w:tr w:rsidR="00E62FCB" w:rsidRPr="00A93DF6" w14:paraId="31CC3745"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6551BAE" w14:textId="77777777" w:rsidR="00E62FCB" w:rsidRPr="00A93DF6" w:rsidRDefault="00E20914" w:rsidP="00E62FCB">
            <w:pPr>
              <w:pStyle w:val="Nincstrkz"/>
            </w:pPr>
            <w:r w:rsidRPr="00E20914">
              <w:rPr>
                <w:spacing w:val="-1"/>
              </w:rPr>
              <w:t>Idegrendszeri betegségek és tünetek</w:t>
            </w:r>
          </w:p>
        </w:tc>
        <w:tc>
          <w:tcPr>
            <w:tcW w:w="1701" w:type="dxa"/>
            <w:tcBorders>
              <w:left w:val="single" w:sz="12" w:space="0" w:color="auto"/>
            </w:tcBorders>
            <w:tcMar>
              <w:left w:w="57" w:type="dxa"/>
              <w:right w:w="57" w:type="dxa"/>
            </w:tcMar>
          </w:tcPr>
          <w:p w14:paraId="0A139BD6" w14:textId="77777777" w:rsidR="00E62FCB" w:rsidRPr="00A93DF6" w:rsidRDefault="00E62FCB" w:rsidP="00E62FCB">
            <w:pPr>
              <w:pStyle w:val="Nincstrkz"/>
            </w:pPr>
          </w:p>
        </w:tc>
        <w:tc>
          <w:tcPr>
            <w:tcW w:w="1843" w:type="dxa"/>
            <w:tcMar>
              <w:left w:w="57" w:type="dxa"/>
              <w:right w:w="57" w:type="dxa"/>
            </w:tcMar>
          </w:tcPr>
          <w:p w14:paraId="2D4E0802" w14:textId="77777777" w:rsidR="00E62FCB" w:rsidRPr="00A93DF6" w:rsidRDefault="00E20914" w:rsidP="00E20914">
            <w:pPr>
              <w:pStyle w:val="Nincstrkz"/>
            </w:pPr>
            <w:r>
              <w:t>perifériás szenzoros neuropathia</w:t>
            </w:r>
            <w:r w:rsidR="00D639E1">
              <w:t>,</w:t>
            </w:r>
            <w:r>
              <w:t xml:space="preserve"> dysgeusia</w:t>
            </w:r>
          </w:p>
        </w:tc>
        <w:tc>
          <w:tcPr>
            <w:tcW w:w="1559" w:type="dxa"/>
            <w:tcMar>
              <w:left w:w="57" w:type="dxa"/>
              <w:right w:w="57" w:type="dxa"/>
            </w:tcMar>
          </w:tcPr>
          <w:p w14:paraId="2595EF19" w14:textId="25F9F490" w:rsidR="00E62FCB" w:rsidRPr="00A93DF6" w:rsidRDefault="00E20914" w:rsidP="00E20914">
            <w:pPr>
              <w:pStyle w:val="Nincstrkz"/>
            </w:pPr>
            <w:r w:rsidRPr="00E20914">
              <w:rPr>
                <w:spacing w:val="1"/>
              </w:rPr>
              <w:t xml:space="preserve">reverzibilis </w:t>
            </w:r>
            <w:r w:rsidR="00057382">
              <w:rPr>
                <w:spacing w:val="1"/>
              </w:rPr>
              <w:t>posterior</w:t>
            </w:r>
            <w:r w:rsidRPr="00E20914">
              <w:rPr>
                <w:spacing w:val="1"/>
              </w:rPr>
              <w:t xml:space="preserve"> leuko</w:t>
            </w:r>
            <w:r>
              <w:rPr>
                <w:spacing w:val="1"/>
              </w:rPr>
              <w:t>-</w:t>
            </w:r>
            <w:r w:rsidRPr="00E20914">
              <w:rPr>
                <w:spacing w:val="1"/>
              </w:rPr>
              <w:t>encephalopa</w:t>
            </w:r>
            <w:r w:rsidR="001E59F1">
              <w:rPr>
                <w:spacing w:val="1"/>
              </w:rPr>
              <w:t>-</w:t>
            </w:r>
            <w:r w:rsidRPr="00E20914">
              <w:rPr>
                <w:spacing w:val="1"/>
              </w:rPr>
              <w:t>thia*</w:t>
            </w:r>
          </w:p>
        </w:tc>
        <w:tc>
          <w:tcPr>
            <w:tcW w:w="1276" w:type="dxa"/>
            <w:tcMar>
              <w:left w:w="57" w:type="dxa"/>
              <w:right w:w="57" w:type="dxa"/>
            </w:tcMar>
          </w:tcPr>
          <w:p w14:paraId="040258AB" w14:textId="77777777" w:rsidR="00E62FCB" w:rsidRPr="00A93DF6" w:rsidRDefault="00E62FCB" w:rsidP="00E62FCB">
            <w:pPr>
              <w:pStyle w:val="Nincstrkz"/>
            </w:pPr>
          </w:p>
        </w:tc>
        <w:tc>
          <w:tcPr>
            <w:tcW w:w="1388" w:type="dxa"/>
            <w:tcMar>
              <w:left w:w="57" w:type="dxa"/>
              <w:right w:w="57" w:type="dxa"/>
            </w:tcMar>
          </w:tcPr>
          <w:p w14:paraId="69104FA4" w14:textId="77777777" w:rsidR="00E62FCB" w:rsidRPr="00A93DF6" w:rsidRDefault="00E62FCB" w:rsidP="00E62FCB">
            <w:pPr>
              <w:pStyle w:val="Nincstrkz"/>
            </w:pPr>
            <w:r w:rsidRPr="00A93DF6">
              <w:t>encep</w:t>
            </w:r>
            <w:r w:rsidRPr="00A93DF6">
              <w:rPr>
                <w:spacing w:val="-2"/>
              </w:rPr>
              <w:t>h</w:t>
            </w:r>
            <w:r w:rsidRPr="00A93DF6">
              <w:t>a</w:t>
            </w:r>
            <w:r w:rsidRPr="00A93DF6">
              <w:rPr>
                <w:spacing w:val="1"/>
              </w:rPr>
              <w:t>l</w:t>
            </w:r>
            <w:r w:rsidRPr="00A93DF6">
              <w:rPr>
                <w:spacing w:val="-2"/>
              </w:rPr>
              <w:t>o</w:t>
            </w:r>
            <w:r w:rsidR="00E20914">
              <w:rPr>
                <w:spacing w:val="-2"/>
              </w:rPr>
              <w:t>-</w:t>
            </w:r>
            <w:r w:rsidRPr="00A93DF6">
              <w:t>pa</w:t>
            </w:r>
            <w:r w:rsidRPr="00A93DF6">
              <w:rPr>
                <w:spacing w:val="-1"/>
              </w:rPr>
              <w:t>t</w:t>
            </w:r>
            <w:r w:rsidRPr="00A93DF6">
              <w:t>h</w:t>
            </w:r>
            <w:r w:rsidR="00E20914">
              <w:t>ia</w:t>
            </w:r>
            <w:r w:rsidRPr="00A93DF6">
              <w:t>°</w:t>
            </w:r>
          </w:p>
        </w:tc>
      </w:tr>
      <w:tr w:rsidR="00E62FCB" w:rsidRPr="00A93DF6" w14:paraId="16A778DF"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271331A" w14:textId="34E58A83" w:rsidR="00E62FCB" w:rsidRPr="00A93DF6" w:rsidRDefault="00B83287" w:rsidP="00B83287">
            <w:r w:rsidRPr="00B83287">
              <w:rPr>
                <w:rFonts w:ascii="Times New Roman" w:hAnsi="Times New Roman"/>
              </w:rPr>
              <w:t>A fül és az egyensúly</w:t>
            </w:r>
            <w:r w:rsidR="001E59F1">
              <w:rPr>
                <w:rFonts w:ascii="Times New Roman" w:hAnsi="Times New Roman"/>
              </w:rPr>
              <w:t>-</w:t>
            </w:r>
            <w:r w:rsidRPr="00B83287">
              <w:rPr>
                <w:rFonts w:ascii="Times New Roman" w:hAnsi="Times New Roman"/>
              </w:rPr>
              <w:t xml:space="preserve">érzékelő szerv betegségei és tünetei </w:t>
            </w:r>
          </w:p>
        </w:tc>
        <w:tc>
          <w:tcPr>
            <w:tcW w:w="1701" w:type="dxa"/>
            <w:tcBorders>
              <w:left w:val="single" w:sz="12" w:space="0" w:color="auto"/>
            </w:tcBorders>
            <w:tcMar>
              <w:left w:w="57" w:type="dxa"/>
              <w:right w:w="57" w:type="dxa"/>
            </w:tcMar>
          </w:tcPr>
          <w:p w14:paraId="4BC2288A" w14:textId="77777777" w:rsidR="00E62FCB" w:rsidRPr="00A93DF6" w:rsidRDefault="00E62FCB" w:rsidP="00E62FCB">
            <w:pPr>
              <w:pStyle w:val="Nincstrkz"/>
            </w:pPr>
          </w:p>
        </w:tc>
        <w:tc>
          <w:tcPr>
            <w:tcW w:w="1843" w:type="dxa"/>
            <w:tcMar>
              <w:left w:w="57" w:type="dxa"/>
              <w:right w:w="57" w:type="dxa"/>
            </w:tcMar>
          </w:tcPr>
          <w:p w14:paraId="729A0389" w14:textId="77777777" w:rsidR="00E62FCB" w:rsidRPr="00A93DF6" w:rsidRDefault="00E62FCB" w:rsidP="00E62FCB">
            <w:pPr>
              <w:pStyle w:val="Nincstrkz"/>
            </w:pPr>
            <w:r w:rsidRPr="00A93DF6">
              <w:rPr>
                <w:spacing w:val="1"/>
              </w:rPr>
              <w:t>ti</w:t>
            </w:r>
            <w:r w:rsidRPr="00A93DF6">
              <w:t>n</w:t>
            </w:r>
            <w:r w:rsidRPr="00A93DF6">
              <w:rPr>
                <w:spacing w:val="-2"/>
              </w:rPr>
              <w:t>n</w:t>
            </w:r>
            <w:r w:rsidRPr="00A93DF6">
              <w:rPr>
                <w:spacing w:val="1"/>
              </w:rPr>
              <w:t>i</w:t>
            </w:r>
            <w:r w:rsidRPr="00A93DF6">
              <w:rPr>
                <w:spacing w:val="-1"/>
              </w:rPr>
              <w:t>t</w:t>
            </w:r>
            <w:r w:rsidRPr="00A93DF6">
              <w:t>us</w:t>
            </w:r>
          </w:p>
        </w:tc>
        <w:tc>
          <w:tcPr>
            <w:tcW w:w="1559" w:type="dxa"/>
            <w:tcMar>
              <w:left w:w="57" w:type="dxa"/>
              <w:right w:w="57" w:type="dxa"/>
            </w:tcMar>
          </w:tcPr>
          <w:p w14:paraId="1986819A" w14:textId="77777777" w:rsidR="00E62FCB" w:rsidRPr="00A93DF6" w:rsidRDefault="00E62FCB" w:rsidP="00E62FCB">
            <w:pPr>
              <w:pStyle w:val="Nincstrkz"/>
            </w:pPr>
          </w:p>
        </w:tc>
        <w:tc>
          <w:tcPr>
            <w:tcW w:w="1276" w:type="dxa"/>
            <w:tcMar>
              <w:left w:w="57" w:type="dxa"/>
              <w:right w:w="57" w:type="dxa"/>
            </w:tcMar>
          </w:tcPr>
          <w:p w14:paraId="5826BAE6" w14:textId="77777777" w:rsidR="00E62FCB" w:rsidRPr="00A93DF6" w:rsidRDefault="00E62FCB" w:rsidP="00E62FCB">
            <w:pPr>
              <w:pStyle w:val="Nincstrkz"/>
            </w:pPr>
          </w:p>
        </w:tc>
        <w:tc>
          <w:tcPr>
            <w:tcW w:w="1388" w:type="dxa"/>
            <w:tcMar>
              <w:left w:w="57" w:type="dxa"/>
              <w:right w:w="57" w:type="dxa"/>
            </w:tcMar>
          </w:tcPr>
          <w:p w14:paraId="60DCEE1B" w14:textId="77777777" w:rsidR="00E62FCB" w:rsidRPr="00A93DF6" w:rsidRDefault="00E62FCB" w:rsidP="00E62FCB">
            <w:pPr>
              <w:pStyle w:val="Nincstrkz"/>
            </w:pPr>
          </w:p>
        </w:tc>
      </w:tr>
      <w:tr w:rsidR="00E62FCB" w:rsidRPr="00A93DF6" w14:paraId="76DE6CD8"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31D4CE8A" w14:textId="77777777" w:rsidR="00E62FCB" w:rsidRPr="00A93DF6" w:rsidRDefault="00B83287" w:rsidP="00E62FCB">
            <w:pPr>
              <w:pStyle w:val="Nincstrkz"/>
            </w:pPr>
            <w:r w:rsidRPr="00B83287">
              <w:rPr>
                <w:spacing w:val="-1"/>
              </w:rPr>
              <w:t>Szívbetegségek és a szívvel kapcsolatos tünetek</w:t>
            </w:r>
          </w:p>
        </w:tc>
        <w:tc>
          <w:tcPr>
            <w:tcW w:w="1701" w:type="dxa"/>
            <w:tcBorders>
              <w:left w:val="single" w:sz="12" w:space="0" w:color="auto"/>
            </w:tcBorders>
            <w:tcMar>
              <w:left w:w="57" w:type="dxa"/>
              <w:right w:w="57" w:type="dxa"/>
            </w:tcMar>
          </w:tcPr>
          <w:p w14:paraId="4C046191" w14:textId="77777777" w:rsidR="00E62FCB" w:rsidRPr="00A93DF6" w:rsidRDefault="00E62FCB" w:rsidP="00E62FCB">
            <w:pPr>
              <w:pStyle w:val="Nincstrkz"/>
            </w:pPr>
          </w:p>
        </w:tc>
        <w:tc>
          <w:tcPr>
            <w:tcW w:w="1843" w:type="dxa"/>
            <w:tcMar>
              <w:left w:w="57" w:type="dxa"/>
              <w:right w:w="57" w:type="dxa"/>
            </w:tcMar>
          </w:tcPr>
          <w:p w14:paraId="5F1FE4EB" w14:textId="0E96056C" w:rsidR="00E62FCB" w:rsidRPr="00A93DF6" w:rsidRDefault="00B83287" w:rsidP="00B83287">
            <w:pPr>
              <w:pStyle w:val="Nincstrkz"/>
            </w:pPr>
            <w:r>
              <w:t>pangásos szívelégtelenség*</w:t>
            </w:r>
            <w:r w:rsidR="001E59F1">
              <w:t>,</w:t>
            </w:r>
            <w:r>
              <w:t xml:space="preserve"> myocardialis ischaemia és infarctus*</w:t>
            </w:r>
          </w:p>
        </w:tc>
        <w:tc>
          <w:tcPr>
            <w:tcW w:w="1559" w:type="dxa"/>
            <w:tcMar>
              <w:left w:w="57" w:type="dxa"/>
              <w:right w:w="57" w:type="dxa"/>
            </w:tcMar>
          </w:tcPr>
          <w:p w14:paraId="659E0521" w14:textId="77777777" w:rsidR="00E62FCB" w:rsidRPr="00A93DF6" w:rsidRDefault="00E62FCB" w:rsidP="00E62FCB">
            <w:pPr>
              <w:pStyle w:val="Nincstrkz"/>
            </w:pPr>
          </w:p>
        </w:tc>
        <w:tc>
          <w:tcPr>
            <w:tcW w:w="1276" w:type="dxa"/>
            <w:tcMar>
              <w:left w:w="57" w:type="dxa"/>
              <w:right w:w="57" w:type="dxa"/>
            </w:tcMar>
          </w:tcPr>
          <w:p w14:paraId="7A37A331" w14:textId="43A7B979" w:rsidR="00E62FCB" w:rsidRPr="00A93DF6" w:rsidRDefault="00E62FCB" w:rsidP="00E62FCB">
            <w:pPr>
              <w:pStyle w:val="Nincstrkz"/>
            </w:pPr>
            <w:r w:rsidRPr="00A93DF6">
              <w:rPr>
                <w:spacing w:val="-1"/>
              </w:rPr>
              <w:t>QT</w:t>
            </w:r>
            <w:r w:rsidR="004335AB">
              <w:rPr>
                <w:spacing w:val="-1"/>
              </w:rPr>
              <w:t>-</w:t>
            </w:r>
          </w:p>
          <w:p w14:paraId="437C97B2" w14:textId="77777777" w:rsidR="00E62FCB" w:rsidRPr="00A93DF6" w:rsidRDefault="00B83287" w:rsidP="00E62FCB">
            <w:pPr>
              <w:pStyle w:val="Nincstrkz"/>
            </w:pPr>
            <w:r>
              <w:t>megnyúlás</w:t>
            </w:r>
          </w:p>
        </w:tc>
        <w:tc>
          <w:tcPr>
            <w:tcW w:w="1388" w:type="dxa"/>
            <w:tcMar>
              <w:left w:w="57" w:type="dxa"/>
              <w:right w:w="57" w:type="dxa"/>
            </w:tcMar>
          </w:tcPr>
          <w:p w14:paraId="1DD45C1C" w14:textId="77777777" w:rsidR="00E62FCB" w:rsidRPr="00A93DF6" w:rsidRDefault="00E62FCB" w:rsidP="00E62FCB">
            <w:pPr>
              <w:pStyle w:val="Nincstrkz"/>
            </w:pPr>
          </w:p>
        </w:tc>
      </w:tr>
      <w:tr w:rsidR="00E62FCB" w:rsidRPr="00A93DF6" w14:paraId="55FF9017"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4E029008" w14:textId="77777777" w:rsidR="00E62FCB" w:rsidRPr="00A93DF6" w:rsidRDefault="00B83287" w:rsidP="00E62FCB">
            <w:pPr>
              <w:pStyle w:val="Nincstrkz"/>
            </w:pPr>
            <w:r w:rsidRPr="00B83287">
              <w:rPr>
                <w:spacing w:val="1"/>
              </w:rPr>
              <w:t>Érbetegségek és tünetek</w:t>
            </w:r>
          </w:p>
        </w:tc>
        <w:tc>
          <w:tcPr>
            <w:tcW w:w="1701" w:type="dxa"/>
            <w:tcBorders>
              <w:left w:val="single" w:sz="12" w:space="0" w:color="auto"/>
            </w:tcBorders>
            <w:tcMar>
              <w:left w:w="57" w:type="dxa"/>
              <w:right w:w="57" w:type="dxa"/>
            </w:tcMar>
          </w:tcPr>
          <w:p w14:paraId="535C5C98" w14:textId="34192DA4" w:rsidR="00E62FCB" w:rsidRPr="00A93DF6" w:rsidRDefault="00B83287" w:rsidP="00E62FCB">
            <w:pPr>
              <w:pStyle w:val="Nincstrkz"/>
            </w:pPr>
            <w:r w:rsidRPr="00B83287">
              <w:t>haemorrhagia (ideértve gastrointestina</w:t>
            </w:r>
            <w:r w:rsidR="001E59F1">
              <w:t>-</w:t>
            </w:r>
            <w:r w:rsidRPr="00B83287">
              <w:t>lis*, légúti-* és agyvérzés*)</w:t>
            </w:r>
            <w:r w:rsidR="001E59F1">
              <w:t>,</w:t>
            </w:r>
            <w:r w:rsidRPr="00B83287">
              <w:t xml:space="preserve"> hypertonia</w:t>
            </w:r>
          </w:p>
        </w:tc>
        <w:tc>
          <w:tcPr>
            <w:tcW w:w="1843" w:type="dxa"/>
            <w:tcMar>
              <w:left w:w="57" w:type="dxa"/>
              <w:right w:w="57" w:type="dxa"/>
            </w:tcMar>
          </w:tcPr>
          <w:p w14:paraId="19591D52" w14:textId="77777777" w:rsidR="00E62FCB" w:rsidRPr="00A93DF6" w:rsidRDefault="00B83287" w:rsidP="00E62FCB">
            <w:pPr>
              <w:pStyle w:val="Nincstrkz"/>
            </w:pPr>
            <w:r>
              <w:rPr>
                <w:spacing w:val="1"/>
              </w:rPr>
              <w:t>kipirulás</w:t>
            </w:r>
          </w:p>
        </w:tc>
        <w:tc>
          <w:tcPr>
            <w:tcW w:w="1559" w:type="dxa"/>
            <w:tcMar>
              <w:left w:w="57" w:type="dxa"/>
              <w:right w:w="57" w:type="dxa"/>
            </w:tcMar>
          </w:tcPr>
          <w:p w14:paraId="0AC68E10" w14:textId="77777777" w:rsidR="00E62FCB" w:rsidRPr="00A93DF6" w:rsidRDefault="00E62FCB" w:rsidP="00B83287">
            <w:pPr>
              <w:pStyle w:val="Nincstrkz"/>
            </w:pPr>
            <w:r w:rsidRPr="00A93DF6">
              <w:t>h</w:t>
            </w:r>
            <w:r w:rsidRPr="00A93DF6">
              <w:rPr>
                <w:spacing w:val="-2"/>
              </w:rPr>
              <w:t>y</w:t>
            </w:r>
            <w:r w:rsidRPr="00A93DF6">
              <w:t>pe</w:t>
            </w:r>
            <w:r w:rsidRPr="00A93DF6">
              <w:rPr>
                <w:spacing w:val="1"/>
              </w:rPr>
              <w:t>rt</w:t>
            </w:r>
            <w:r w:rsidR="00B83287">
              <w:rPr>
                <w:spacing w:val="1"/>
              </w:rPr>
              <w:t>oniás krízis</w:t>
            </w:r>
            <w:r w:rsidRPr="00A93DF6">
              <w:t>*</w:t>
            </w:r>
          </w:p>
        </w:tc>
        <w:tc>
          <w:tcPr>
            <w:tcW w:w="1276" w:type="dxa"/>
            <w:tcMar>
              <w:left w:w="57" w:type="dxa"/>
              <w:right w:w="57" w:type="dxa"/>
            </w:tcMar>
          </w:tcPr>
          <w:p w14:paraId="7E44A2EC" w14:textId="77777777" w:rsidR="00E62FCB" w:rsidRPr="00A93DF6" w:rsidRDefault="00E62FCB" w:rsidP="00E62FCB">
            <w:pPr>
              <w:pStyle w:val="Nincstrkz"/>
            </w:pPr>
          </w:p>
        </w:tc>
        <w:tc>
          <w:tcPr>
            <w:tcW w:w="1388" w:type="dxa"/>
            <w:tcMar>
              <w:left w:w="57" w:type="dxa"/>
              <w:right w:w="57" w:type="dxa"/>
            </w:tcMar>
          </w:tcPr>
          <w:p w14:paraId="2A2B30E5" w14:textId="733CCD3E" w:rsidR="00E62FCB" w:rsidRPr="00B50C29" w:rsidRDefault="00B50C29" w:rsidP="00E62FCB">
            <w:pPr>
              <w:pStyle w:val="Nincstrkz"/>
            </w:pPr>
            <w:r w:rsidRPr="00B50C29">
              <w:rPr>
                <w:lang w:val="hu-HU"/>
              </w:rPr>
              <w:t>a</w:t>
            </w:r>
            <w:r w:rsidR="00A770A5" w:rsidRPr="00C76072">
              <w:t>neurysma és arteria-dissectio</w:t>
            </w:r>
          </w:p>
        </w:tc>
      </w:tr>
      <w:tr w:rsidR="00E62FCB" w:rsidRPr="00A93DF6" w14:paraId="37F4F4EA"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4847A676" w14:textId="77777777" w:rsidR="00E62FCB" w:rsidRPr="00A93DF6" w:rsidRDefault="00B83287" w:rsidP="00E62FCB">
            <w:pPr>
              <w:pStyle w:val="Nincstrkz"/>
            </w:pPr>
            <w:r w:rsidRPr="00B83287">
              <w:rPr>
                <w:spacing w:val="-1"/>
              </w:rPr>
              <w:t>Légzőrendszeri, mellkasi és mediastinalis betegségek és tünetek</w:t>
            </w:r>
          </w:p>
        </w:tc>
        <w:tc>
          <w:tcPr>
            <w:tcW w:w="1701" w:type="dxa"/>
            <w:tcBorders>
              <w:left w:val="single" w:sz="12" w:space="0" w:color="auto"/>
            </w:tcBorders>
            <w:tcMar>
              <w:left w:w="57" w:type="dxa"/>
              <w:right w:w="57" w:type="dxa"/>
            </w:tcMar>
          </w:tcPr>
          <w:p w14:paraId="7FC9CA1D" w14:textId="77777777" w:rsidR="00E62FCB" w:rsidRPr="00A93DF6" w:rsidRDefault="00E62FCB" w:rsidP="00E62FCB">
            <w:pPr>
              <w:pStyle w:val="Nincstrkz"/>
            </w:pPr>
          </w:p>
        </w:tc>
        <w:tc>
          <w:tcPr>
            <w:tcW w:w="1843" w:type="dxa"/>
            <w:tcMar>
              <w:left w:w="57" w:type="dxa"/>
              <w:right w:w="57" w:type="dxa"/>
            </w:tcMar>
          </w:tcPr>
          <w:p w14:paraId="7B5BC526" w14:textId="1664CE95" w:rsidR="00E62FCB" w:rsidRPr="00A93DF6" w:rsidRDefault="00E62FCB" w:rsidP="00E62FCB">
            <w:pPr>
              <w:pStyle w:val="Nincstrkz"/>
            </w:pPr>
            <w:r w:rsidRPr="00A93DF6">
              <w:rPr>
                <w:spacing w:val="1"/>
              </w:rPr>
              <w:t>r</w:t>
            </w:r>
            <w:r w:rsidRPr="00A93DF6">
              <w:t>h</w:t>
            </w:r>
            <w:r w:rsidRPr="00A93DF6">
              <w:rPr>
                <w:spacing w:val="1"/>
              </w:rPr>
              <w:t>i</w:t>
            </w:r>
            <w:r w:rsidRPr="00A93DF6">
              <w:t>n</w:t>
            </w:r>
            <w:r w:rsidRPr="00A93DF6">
              <w:rPr>
                <w:spacing w:val="-2"/>
              </w:rPr>
              <w:t>o</w:t>
            </w:r>
            <w:r w:rsidRPr="00A93DF6">
              <w:rPr>
                <w:spacing w:val="1"/>
              </w:rPr>
              <w:t>r</w:t>
            </w:r>
            <w:r w:rsidRPr="00A93DF6">
              <w:rPr>
                <w:spacing w:val="-2"/>
              </w:rPr>
              <w:t>r</w:t>
            </w:r>
            <w:r w:rsidRPr="00A93DF6">
              <w:t>hea</w:t>
            </w:r>
            <w:r w:rsidR="001E59F1">
              <w:t>,</w:t>
            </w:r>
          </w:p>
          <w:p w14:paraId="0AA74482" w14:textId="77777777" w:rsidR="00E62FCB" w:rsidRPr="00A93DF6" w:rsidRDefault="00E62FCB" w:rsidP="00E62FCB">
            <w:pPr>
              <w:pStyle w:val="Nincstrkz"/>
            </w:pPr>
            <w:r w:rsidRPr="00A93DF6">
              <w:t>d</w:t>
            </w:r>
            <w:r w:rsidRPr="00A93DF6">
              <w:rPr>
                <w:spacing w:val="-2"/>
              </w:rPr>
              <w:t>y</w:t>
            </w:r>
            <w:r w:rsidRPr="00A93DF6">
              <w:t>sphon</w:t>
            </w:r>
            <w:r w:rsidRPr="00A93DF6">
              <w:rPr>
                <w:spacing w:val="1"/>
              </w:rPr>
              <w:t>i</w:t>
            </w:r>
            <w:r w:rsidRPr="00A93DF6">
              <w:t>a</w:t>
            </w:r>
          </w:p>
        </w:tc>
        <w:tc>
          <w:tcPr>
            <w:tcW w:w="1559" w:type="dxa"/>
            <w:tcMar>
              <w:left w:w="57" w:type="dxa"/>
              <w:right w:w="57" w:type="dxa"/>
            </w:tcMar>
          </w:tcPr>
          <w:p w14:paraId="4DFBF2E3" w14:textId="77777777" w:rsidR="00E62FCB" w:rsidRPr="00730F9E" w:rsidRDefault="00B83287" w:rsidP="00B83287">
            <w:pPr>
              <w:pStyle w:val="Nincstrkz"/>
            </w:pPr>
            <w:r w:rsidRPr="00B83287">
              <w:rPr>
                <w:spacing w:val="1"/>
              </w:rPr>
              <w:t xml:space="preserve">interstitialis tüdőbetegség jellegű esetek* (pl. pneumonitis, irradiációs pneumonitis, akut légzési distress, stb.)  </w:t>
            </w:r>
          </w:p>
        </w:tc>
        <w:tc>
          <w:tcPr>
            <w:tcW w:w="1276" w:type="dxa"/>
            <w:tcMar>
              <w:left w:w="57" w:type="dxa"/>
              <w:right w:w="57" w:type="dxa"/>
            </w:tcMar>
          </w:tcPr>
          <w:p w14:paraId="55A1C921" w14:textId="77777777" w:rsidR="00E62FCB" w:rsidRPr="00A93DF6" w:rsidRDefault="00E62FCB" w:rsidP="00E62FCB">
            <w:pPr>
              <w:pStyle w:val="Nincstrkz"/>
            </w:pPr>
          </w:p>
        </w:tc>
        <w:tc>
          <w:tcPr>
            <w:tcW w:w="1388" w:type="dxa"/>
            <w:tcMar>
              <w:left w:w="57" w:type="dxa"/>
              <w:right w:w="57" w:type="dxa"/>
            </w:tcMar>
          </w:tcPr>
          <w:p w14:paraId="3AADC896" w14:textId="77777777" w:rsidR="00E62FCB" w:rsidRPr="00A93DF6" w:rsidRDefault="00E62FCB" w:rsidP="00E62FCB">
            <w:pPr>
              <w:pStyle w:val="Nincstrkz"/>
            </w:pPr>
          </w:p>
        </w:tc>
      </w:tr>
      <w:tr w:rsidR="00E62FCB" w:rsidRPr="00A93DF6" w14:paraId="2EE7AF68"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4B64875B" w14:textId="77777777" w:rsidR="00E62FCB" w:rsidRPr="00A93DF6" w:rsidRDefault="00B83287" w:rsidP="00E62FCB">
            <w:pPr>
              <w:pStyle w:val="Nincstrkz"/>
            </w:pPr>
            <w:r w:rsidRPr="00B83287">
              <w:rPr>
                <w:spacing w:val="-1"/>
              </w:rPr>
              <w:t>Emésztőrendszeri betegségek és tünetek</w:t>
            </w:r>
          </w:p>
        </w:tc>
        <w:tc>
          <w:tcPr>
            <w:tcW w:w="1701" w:type="dxa"/>
            <w:tcBorders>
              <w:left w:val="single" w:sz="12" w:space="0" w:color="auto"/>
            </w:tcBorders>
            <w:tcMar>
              <w:left w:w="57" w:type="dxa"/>
              <w:right w:w="57" w:type="dxa"/>
            </w:tcMar>
          </w:tcPr>
          <w:p w14:paraId="6AA9796F" w14:textId="49A69A4A" w:rsidR="001C562E" w:rsidRDefault="00887B79" w:rsidP="00E62FCB">
            <w:pPr>
              <w:pStyle w:val="Nincstrkz"/>
            </w:pPr>
            <w:r w:rsidRPr="00887B79">
              <w:t>hasmenés</w:t>
            </w:r>
            <w:r w:rsidR="00676D19">
              <w:t>,</w:t>
            </w:r>
            <w:r w:rsidRPr="00887B79">
              <w:t xml:space="preserve"> hányinger</w:t>
            </w:r>
            <w:r w:rsidR="00676D19">
              <w:t>,</w:t>
            </w:r>
            <w:r w:rsidRPr="00887B79">
              <w:t xml:space="preserve"> </w:t>
            </w:r>
          </w:p>
          <w:p w14:paraId="02A48D31" w14:textId="53EB89B5" w:rsidR="00E62FCB" w:rsidRPr="00A93DF6" w:rsidRDefault="00887B79" w:rsidP="00E62FCB">
            <w:pPr>
              <w:pStyle w:val="Nincstrkz"/>
            </w:pPr>
            <w:r w:rsidRPr="00887B79">
              <w:t>hányás</w:t>
            </w:r>
            <w:r w:rsidR="00676D19">
              <w:t>,</w:t>
            </w:r>
            <w:r w:rsidRPr="00887B79">
              <w:t xml:space="preserve"> székrekedés</w:t>
            </w:r>
          </w:p>
        </w:tc>
        <w:tc>
          <w:tcPr>
            <w:tcW w:w="1843" w:type="dxa"/>
            <w:tcMar>
              <w:left w:w="57" w:type="dxa"/>
              <w:right w:w="57" w:type="dxa"/>
            </w:tcMar>
          </w:tcPr>
          <w:p w14:paraId="7DC9398F" w14:textId="77777777" w:rsidR="004A0AD6" w:rsidRDefault="001C562E" w:rsidP="00E62FCB">
            <w:pPr>
              <w:pStyle w:val="Nincstrkz"/>
            </w:pPr>
            <w:r w:rsidRPr="001C562E">
              <w:t>stomatitis (pl. szájszárazság, glossodynia) dyspepsia</w:t>
            </w:r>
            <w:r w:rsidR="00D639E1">
              <w:t>,</w:t>
            </w:r>
            <w:r w:rsidRPr="001C562E">
              <w:t xml:space="preserve"> dysphagia</w:t>
            </w:r>
            <w:r w:rsidR="004A0AD6">
              <w:t>,</w:t>
            </w:r>
          </w:p>
          <w:p w14:paraId="2BB21BF6" w14:textId="14B321A3" w:rsidR="00E62FCB" w:rsidRPr="00A93DF6" w:rsidRDefault="001C562E" w:rsidP="00E62FCB">
            <w:pPr>
              <w:pStyle w:val="Nincstrkz"/>
            </w:pPr>
            <w:r w:rsidRPr="001C562E">
              <w:t>gastrooesophagea</w:t>
            </w:r>
            <w:r w:rsidR="004335AB">
              <w:t>-</w:t>
            </w:r>
            <w:r w:rsidRPr="001C562E">
              <w:t>lis refluxbetegség</w:t>
            </w:r>
          </w:p>
        </w:tc>
        <w:tc>
          <w:tcPr>
            <w:tcW w:w="1559" w:type="dxa"/>
            <w:tcMar>
              <w:left w:w="57" w:type="dxa"/>
              <w:right w:w="57" w:type="dxa"/>
            </w:tcMar>
          </w:tcPr>
          <w:p w14:paraId="6AE78441" w14:textId="77777777" w:rsidR="00E62FCB" w:rsidRPr="00A93DF6" w:rsidRDefault="00E62FCB" w:rsidP="00E62FCB">
            <w:pPr>
              <w:pStyle w:val="Nincstrkz"/>
            </w:pPr>
            <w:r w:rsidRPr="00A93DF6">
              <w:t>panc</w:t>
            </w:r>
            <w:r w:rsidRPr="00A93DF6">
              <w:rPr>
                <w:spacing w:val="-2"/>
              </w:rPr>
              <w:t>r</w:t>
            </w:r>
            <w:r w:rsidRPr="00A93DF6">
              <w:t>e</w:t>
            </w:r>
            <w:r w:rsidRPr="00A93DF6">
              <w:rPr>
                <w:spacing w:val="-2"/>
              </w:rPr>
              <w:t>a</w:t>
            </w:r>
            <w:r w:rsidRPr="00A93DF6">
              <w:rPr>
                <w:spacing w:val="1"/>
              </w:rPr>
              <w:t>t</w:t>
            </w:r>
            <w:r w:rsidRPr="00A93DF6">
              <w:rPr>
                <w:spacing w:val="-1"/>
              </w:rPr>
              <w:t>i</w:t>
            </w:r>
            <w:r w:rsidRPr="00A93DF6">
              <w:rPr>
                <w:spacing w:val="1"/>
              </w:rPr>
              <w:t>ti</w:t>
            </w:r>
            <w:r w:rsidRPr="00A93DF6">
              <w:t>s</w:t>
            </w:r>
            <w:r w:rsidR="004A0AD6">
              <w:t>,</w:t>
            </w:r>
          </w:p>
          <w:p w14:paraId="4EC9B44A" w14:textId="77777777" w:rsidR="00E62FCB" w:rsidRDefault="00E62FCB" w:rsidP="00E62FCB">
            <w:pPr>
              <w:pStyle w:val="Nincstrkz"/>
              <w:rPr>
                <w:spacing w:val="-1"/>
              </w:rPr>
            </w:pPr>
            <w:r w:rsidRPr="00A93DF6">
              <w:rPr>
                <w:spacing w:val="-2"/>
              </w:rPr>
              <w:t>g</w:t>
            </w:r>
            <w:r w:rsidRPr="00A93DF6">
              <w:t>as</w:t>
            </w:r>
            <w:r w:rsidRPr="00A93DF6">
              <w:rPr>
                <w:spacing w:val="1"/>
              </w:rPr>
              <w:t>tr</w:t>
            </w:r>
            <w:r w:rsidRPr="00A93DF6">
              <w:rPr>
                <w:spacing w:val="-1"/>
              </w:rPr>
              <w:t>i</w:t>
            </w:r>
            <w:r w:rsidRPr="00A93DF6">
              <w:rPr>
                <w:spacing w:val="1"/>
              </w:rPr>
              <w:t>t</w:t>
            </w:r>
            <w:r w:rsidRPr="00A93DF6">
              <w:rPr>
                <w:spacing w:val="-1"/>
              </w:rPr>
              <w:t>is</w:t>
            </w:r>
            <w:r w:rsidR="004A0AD6">
              <w:rPr>
                <w:spacing w:val="-1"/>
              </w:rPr>
              <w:t>,</w:t>
            </w:r>
            <w:r w:rsidRPr="00A93DF6">
              <w:rPr>
                <w:spacing w:val="-1"/>
              </w:rPr>
              <w:t xml:space="preserve"> </w:t>
            </w:r>
          </w:p>
          <w:p w14:paraId="2B164C55" w14:textId="77777777" w:rsidR="00E62FCB" w:rsidRPr="00A93DF6" w:rsidRDefault="00E62FCB" w:rsidP="00E62FCB">
            <w:pPr>
              <w:pStyle w:val="Nincstrkz"/>
            </w:pPr>
            <w:r w:rsidRPr="00A93DF6">
              <w:rPr>
                <w:spacing w:val="-2"/>
              </w:rPr>
              <w:t>g</w:t>
            </w:r>
            <w:r w:rsidRPr="00A93DF6">
              <w:t>as</w:t>
            </w:r>
            <w:r w:rsidRPr="00A93DF6">
              <w:rPr>
                <w:spacing w:val="1"/>
              </w:rPr>
              <w:t>tr</w:t>
            </w:r>
            <w:r w:rsidRPr="00A93DF6">
              <w:t>o</w:t>
            </w:r>
            <w:r w:rsidRPr="00A93DF6">
              <w:rPr>
                <w:spacing w:val="-1"/>
              </w:rPr>
              <w:t>i</w:t>
            </w:r>
            <w:r w:rsidRPr="00A93DF6">
              <w:t>n</w:t>
            </w:r>
            <w:r w:rsidRPr="00A93DF6">
              <w:rPr>
                <w:spacing w:val="1"/>
              </w:rPr>
              <w:t>t</w:t>
            </w:r>
            <w:r w:rsidRPr="00A93DF6">
              <w:rPr>
                <w:spacing w:val="-2"/>
              </w:rPr>
              <w:t>e</w:t>
            </w:r>
            <w:r w:rsidRPr="00A93DF6">
              <w:t>s</w:t>
            </w:r>
            <w:r w:rsidR="001C562E">
              <w:t>-</w:t>
            </w:r>
            <w:r w:rsidRPr="00A93DF6">
              <w:rPr>
                <w:spacing w:val="-1"/>
              </w:rPr>
              <w:t>t</w:t>
            </w:r>
            <w:r w:rsidRPr="00A93DF6">
              <w:rPr>
                <w:spacing w:val="1"/>
              </w:rPr>
              <w:t>i</w:t>
            </w:r>
            <w:r w:rsidRPr="00A93DF6">
              <w:t>n</w:t>
            </w:r>
            <w:r w:rsidRPr="00A93DF6">
              <w:rPr>
                <w:spacing w:val="-2"/>
              </w:rPr>
              <w:t>a</w:t>
            </w:r>
            <w:r w:rsidRPr="00A93DF6">
              <w:t>l</w:t>
            </w:r>
            <w:r w:rsidR="001C562E">
              <w:t>is</w:t>
            </w:r>
          </w:p>
          <w:p w14:paraId="117B1D5E" w14:textId="77777777" w:rsidR="00E62FCB" w:rsidRPr="00A93DF6" w:rsidRDefault="00E62FCB" w:rsidP="00E62FCB">
            <w:pPr>
              <w:pStyle w:val="Nincstrkz"/>
            </w:pPr>
            <w:r w:rsidRPr="00A93DF6">
              <w:t>pe</w:t>
            </w:r>
            <w:r w:rsidRPr="00A93DF6">
              <w:rPr>
                <w:spacing w:val="1"/>
              </w:rPr>
              <w:t>r</w:t>
            </w:r>
            <w:r w:rsidRPr="00A93DF6">
              <w:rPr>
                <w:spacing w:val="-2"/>
              </w:rPr>
              <w:t>f</w:t>
            </w:r>
            <w:r w:rsidRPr="00A93DF6">
              <w:t>o</w:t>
            </w:r>
            <w:r w:rsidRPr="00A93DF6">
              <w:rPr>
                <w:spacing w:val="1"/>
              </w:rPr>
              <w:t>r</w:t>
            </w:r>
            <w:r w:rsidR="001C562E">
              <w:rPr>
                <w:spacing w:val="1"/>
              </w:rPr>
              <w:t>ációk</w:t>
            </w:r>
            <w:r w:rsidRPr="00A93DF6">
              <w:t>*</w:t>
            </w:r>
          </w:p>
        </w:tc>
        <w:tc>
          <w:tcPr>
            <w:tcW w:w="1276" w:type="dxa"/>
            <w:tcMar>
              <w:left w:w="57" w:type="dxa"/>
              <w:right w:w="57" w:type="dxa"/>
            </w:tcMar>
          </w:tcPr>
          <w:p w14:paraId="3B225360" w14:textId="77777777" w:rsidR="00E62FCB" w:rsidRPr="00A93DF6" w:rsidRDefault="00E62FCB" w:rsidP="00E62FCB">
            <w:pPr>
              <w:pStyle w:val="Nincstrkz"/>
            </w:pPr>
          </w:p>
        </w:tc>
        <w:tc>
          <w:tcPr>
            <w:tcW w:w="1388" w:type="dxa"/>
            <w:tcMar>
              <w:left w:w="57" w:type="dxa"/>
              <w:right w:w="57" w:type="dxa"/>
            </w:tcMar>
          </w:tcPr>
          <w:p w14:paraId="2EE55481" w14:textId="77777777" w:rsidR="00E62FCB" w:rsidRPr="00A93DF6" w:rsidRDefault="00E62FCB" w:rsidP="00E62FCB">
            <w:pPr>
              <w:pStyle w:val="Nincstrkz"/>
            </w:pPr>
          </w:p>
        </w:tc>
      </w:tr>
      <w:tr w:rsidR="00E62FCB" w:rsidRPr="00A93DF6" w14:paraId="68AC1372"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940FAC2" w14:textId="77777777" w:rsidR="00E62FCB" w:rsidRPr="00A93DF6" w:rsidRDefault="001C562E" w:rsidP="00E62FCB">
            <w:pPr>
              <w:pStyle w:val="Nincstrkz"/>
            </w:pPr>
            <w:r w:rsidRPr="001C562E">
              <w:rPr>
                <w:spacing w:val="-1"/>
              </w:rPr>
              <w:t>Máj- és epebetegségek, illetve tünetek</w:t>
            </w:r>
          </w:p>
        </w:tc>
        <w:tc>
          <w:tcPr>
            <w:tcW w:w="1701" w:type="dxa"/>
            <w:tcBorders>
              <w:left w:val="single" w:sz="12" w:space="0" w:color="auto"/>
            </w:tcBorders>
            <w:tcMar>
              <w:left w:w="57" w:type="dxa"/>
              <w:right w:w="57" w:type="dxa"/>
            </w:tcMar>
          </w:tcPr>
          <w:p w14:paraId="1CE08D04" w14:textId="77777777" w:rsidR="00E62FCB" w:rsidRPr="00A93DF6" w:rsidRDefault="00E62FCB" w:rsidP="00E62FCB">
            <w:pPr>
              <w:pStyle w:val="Nincstrkz"/>
            </w:pPr>
          </w:p>
        </w:tc>
        <w:tc>
          <w:tcPr>
            <w:tcW w:w="1843" w:type="dxa"/>
            <w:tcMar>
              <w:left w:w="57" w:type="dxa"/>
              <w:right w:w="57" w:type="dxa"/>
            </w:tcMar>
          </w:tcPr>
          <w:p w14:paraId="6D8E9031" w14:textId="77777777" w:rsidR="00E62FCB" w:rsidRPr="00A93DF6" w:rsidRDefault="00E62FCB" w:rsidP="00E62FCB">
            <w:pPr>
              <w:pStyle w:val="Nincstrkz"/>
            </w:pPr>
          </w:p>
        </w:tc>
        <w:tc>
          <w:tcPr>
            <w:tcW w:w="1559" w:type="dxa"/>
            <w:tcMar>
              <w:left w:w="57" w:type="dxa"/>
              <w:right w:w="57" w:type="dxa"/>
            </w:tcMar>
          </w:tcPr>
          <w:p w14:paraId="113E9B6B" w14:textId="6537C545" w:rsidR="00E62FCB" w:rsidRPr="001C562E" w:rsidRDefault="001C562E" w:rsidP="00E62FCB">
            <w:pPr>
              <w:pStyle w:val="Nincstrkz"/>
              <w:rPr>
                <w:spacing w:val="-2"/>
              </w:rPr>
            </w:pPr>
            <w:r w:rsidRPr="001C562E">
              <w:rPr>
                <w:spacing w:val="1"/>
              </w:rPr>
              <w:t xml:space="preserve">megemelkedett bilirubinszint és </w:t>
            </w:r>
            <w:r w:rsidR="00057382">
              <w:rPr>
                <w:spacing w:val="1"/>
              </w:rPr>
              <w:t>icterus</w:t>
            </w:r>
            <w:r w:rsidRPr="001C562E">
              <w:rPr>
                <w:spacing w:val="1"/>
              </w:rPr>
              <w:t>, cholecystitis, cholangitis</w:t>
            </w:r>
          </w:p>
        </w:tc>
        <w:tc>
          <w:tcPr>
            <w:tcW w:w="1276" w:type="dxa"/>
            <w:tcMar>
              <w:left w:w="57" w:type="dxa"/>
              <w:right w:w="57" w:type="dxa"/>
            </w:tcMar>
          </w:tcPr>
          <w:p w14:paraId="29DD15D7" w14:textId="77777777" w:rsidR="00E62FCB" w:rsidRPr="00A93DF6" w:rsidRDefault="001C562E" w:rsidP="001C562E">
            <w:pPr>
              <w:pStyle w:val="Nincstrkz"/>
            </w:pPr>
            <w:r>
              <w:t>gyógyszer indukálta hepatitis*</w:t>
            </w:r>
          </w:p>
        </w:tc>
        <w:tc>
          <w:tcPr>
            <w:tcW w:w="1388" w:type="dxa"/>
            <w:tcMar>
              <w:left w:w="57" w:type="dxa"/>
              <w:right w:w="57" w:type="dxa"/>
            </w:tcMar>
          </w:tcPr>
          <w:p w14:paraId="219B94E7" w14:textId="77777777" w:rsidR="00E62FCB" w:rsidRPr="00A93DF6" w:rsidRDefault="00E62FCB" w:rsidP="00E62FCB">
            <w:pPr>
              <w:pStyle w:val="Nincstrkz"/>
            </w:pPr>
          </w:p>
        </w:tc>
      </w:tr>
      <w:tr w:rsidR="00E62FCB" w:rsidRPr="00A93DF6" w14:paraId="44D8FF22"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2C72D8BA" w14:textId="77777777" w:rsidR="00E62FCB" w:rsidRPr="00A93DF6" w:rsidRDefault="001C562E" w:rsidP="00E62FCB">
            <w:pPr>
              <w:pStyle w:val="Nincstrkz"/>
            </w:pPr>
            <w:r w:rsidRPr="001C562E">
              <w:t>A bőr és a bőr alatti szövet betegségei és tünetei</w:t>
            </w:r>
          </w:p>
        </w:tc>
        <w:tc>
          <w:tcPr>
            <w:tcW w:w="1701" w:type="dxa"/>
            <w:tcBorders>
              <w:left w:val="single" w:sz="12" w:space="0" w:color="auto"/>
            </w:tcBorders>
            <w:tcMar>
              <w:left w:w="57" w:type="dxa"/>
              <w:right w:w="57" w:type="dxa"/>
            </w:tcMar>
          </w:tcPr>
          <w:p w14:paraId="4CF12904" w14:textId="77777777" w:rsidR="004A0AD6" w:rsidRDefault="001C562E" w:rsidP="001C562E">
            <w:pPr>
              <w:pStyle w:val="Nincstrkz"/>
            </w:pPr>
            <w:r>
              <w:t>száraz bőr</w:t>
            </w:r>
            <w:r w:rsidR="004A0AD6">
              <w:t>,</w:t>
            </w:r>
            <w:r>
              <w:t xml:space="preserve"> </w:t>
            </w:r>
          </w:p>
          <w:p w14:paraId="5ABF694D" w14:textId="77777777" w:rsidR="004A0AD6" w:rsidRDefault="001C562E" w:rsidP="001C562E">
            <w:pPr>
              <w:pStyle w:val="Nincstrkz"/>
            </w:pPr>
            <w:r>
              <w:t>kiütés</w:t>
            </w:r>
            <w:r w:rsidR="004A0AD6">
              <w:t>,</w:t>
            </w:r>
          </w:p>
          <w:p w14:paraId="7C37898F" w14:textId="77777777" w:rsidR="004A0AD6" w:rsidRDefault="001C562E" w:rsidP="001C562E">
            <w:pPr>
              <w:pStyle w:val="Nincstrkz"/>
            </w:pPr>
            <w:r>
              <w:t>alopecia</w:t>
            </w:r>
            <w:r w:rsidR="004A0AD6">
              <w:t>,</w:t>
            </w:r>
          </w:p>
          <w:p w14:paraId="79A523F0" w14:textId="31116703" w:rsidR="00E62FCB" w:rsidRPr="00A93DF6" w:rsidRDefault="001C562E" w:rsidP="001C562E">
            <w:pPr>
              <w:pStyle w:val="Nincstrkz"/>
            </w:pPr>
            <w:r>
              <w:t xml:space="preserve">kéz-láb </w:t>
            </w:r>
            <w:r w:rsidR="00057382">
              <w:t>szindróma</w:t>
            </w:r>
            <w:r>
              <w:t>**</w:t>
            </w:r>
            <w:r w:rsidR="00676D19">
              <w:t>,</w:t>
            </w:r>
            <w:r>
              <w:t xml:space="preserve"> erythema</w:t>
            </w:r>
            <w:r w:rsidR="004A0AD6">
              <w:t>,</w:t>
            </w:r>
            <w:r>
              <w:t xml:space="preserve"> viszketés </w:t>
            </w:r>
          </w:p>
        </w:tc>
        <w:tc>
          <w:tcPr>
            <w:tcW w:w="1843" w:type="dxa"/>
            <w:tcMar>
              <w:left w:w="57" w:type="dxa"/>
              <w:right w:w="57" w:type="dxa"/>
            </w:tcMar>
          </w:tcPr>
          <w:p w14:paraId="4F60AB18" w14:textId="77777777" w:rsidR="004A0AD6" w:rsidRDefault="001C562E" w:rsidP="001C562E">
            <w:pPr>
              <w:pStyle w:val="Nincstrkz"/>
              <w:rPr>
                <w:spacing w:val="-2"/>
              </w:rPr>
            </w:pPr>
            <w:r w:rsidRPr="001C562E">
              <w:rPr>
                <w:spacing w:val="-2"/>
              </w:rPr>
              <w:t>keratoacanthoma /laphámsejtes bőrrák</w:t>
            </w:r>
            <w:r w:rsidR="004A0AD6">
              <w:rPr>
                <w:spacing w:val="-2"/>
              </w:rPr>
              <w:t>,</w:t>
            </w:r>
          </w:p>
          <w:p w14:paraId="4A9089C4" w14:textId="066F1681" w:rsidR="004A0AD6" w:rsidRDefault="00057382" w:rsidP="001C562E">
            <w:pPr>
              <w:pStyle w:val="Nincstrkz"/>
              <w:rPr>
                <w:spacing w:val="-2"/>
              </w:rPr>
            </w:pPr>
            <w:r>
              <w:rPr>
                <w:spacing w:val="-2"/>
              </w:rPr>
              <w:t xml:space="preserve">exfoliativ </w:t>
            </w:r>
            <w:r w:rsidR="001C562E" w:rsidRPr="001C562E">
              <w:rPr>
                <w:spacing w:val="-2"/>
              </w:rPr>
              <w:t>dermatitis</w:t>
            </w:r>
            <w:r w:rsidR="004A0AD6">
              <w:rPr>
                <w:spacing w:val="-2"/>
              </w:rPr>
              <w:t>,</w:t>
            </w:r>
            <w:r w:rsidR="001C562E" w:rsidRPr="001C562E">
              <w:rPr>
                <w:spacing w:val="-2"/>
              </w:rPr>
              <w:t xml:space="preserve"> </w:t>
            </w:r>
          </w:p>
          <w:p w14:paraId="2601FA13" w14:textId="77777777" w:rsidR="004A0AD6" w:rsidRDefault="001C562E" w:rsidP="001C562E">
            <w:pPr>
              <w:pStyle w:val="Nincstrkz"/>
              <w:rPr>
                <w:spacing w:val="-2"/>
              </w:rPr>
            </w:pPr>
            <w:r w:rsidRPr="001C562E">
              <w:rPr>
                <w:spacing w:val="-2"/>
              </w:rPr>
              <w:t>akne</w:t>
            </w:r>
            <w:r w:rsidR="004A0AD6">
              <w:rPr>
                <w:spacing w:val="-2"/>
              </w:rPr>
              <w:t>,</w:t>
            </w:r>
          </w:p>
          <w:p w14:paraId="34E36486" w14:textId="77777777" w:rsidR="00E62FCB" w:rsidRPr="00A93DF6" w:rsidRDefault="001C562E" w:rsidP="001C562E">
            <w:pPr>
              <w:pStyle w:val="Nincstrkz"/>
            </w:pPr>
            <w:r w:rsidRPr="001C562E">
              <w:rPr>
                <w:spacing w:val="-2"/>
              </w:rPr>
              <w:t>a bőr hámlása hyperkeratosis</w:t>
            </w:r>
          </w:p>
        </w:tc>
        <w:tc>
          <w:tcPr>
            <w:tcW w:w="1559" w:type="dxa"/>
            <w:tcMar>
              <w:left w:w="57" w:type="dxa"/>
              <w:right w:w="57" w:type="dxa"/>
            </w:tcMar>
          </w:tcPr>
          <w:p w14:paraId="1294364F" w14:textId="77777777" w:rsidR="00E62FCB" w:rsidRPr="00A93DF6" w:rsidRDefault="00E62FCB" w:rsidP="00E62FCB">
            <w:pPr>
              <w:pStyle w:val="Nincstrkz"/>
            </w:pPr>
            <w:r w:rsidRPr="00A93DF6">
              <w:t>e</w:t>
            </w:r>
            <w:r w:rsidR="001C562E">
              <w:t>k</w:t>
            </w:r>
            <w:r w:rsidRPr="00A93DF6">
              <w:rPr>
                <w:spacing w:val="-2"/>
              </w:rPr>
              <w:t>z</w:t>
            </w:r>
            <w:r w:rsidRPr="00A93DF6">
              <w:t>e</w:t>
            </w:r>
            <w:r w:rsidRPr="00A93DF6">
              <w:rPr>
                <w:spacing w:val="-4"/>
              </w:rPr>
              <w:t>m</w:t>
            </w:r>
            <w:r w:rsidRPr="00A93DF6">
              <w:t>a</w:t>
            </w:r>
            <w:r w:rsidR="004A0AD6">
              <w:t>,</w:t>
            </w:r>
          </w:p>
          <w:p w14:paraId="5AF42F11" w14:textId="77777777" w:rsidR="00E62FCB" w:rsidRPr="00A93DF6" w:rsidRDefault="00E62FCB" w:rsidP="00E62FCB">
            <w:pPr>
              <w:pStyle w:val="Nincstrkz"/>
            </w:pPr>
            <w:r w:rsidRPr="00A93DF6">
              <w:t>e</w:t>
            </w:r>
            <w:r w:rsidRPr="00A93DF6">
              <w:rPr>
                <w:spacing w:val="1"/>
              </w:rPr>
              <w:t>r</w:t>
            </w:r>
            <w:r w:rsidRPr="00A93DF6">
              <w:rPr>
                <w:spacing w:val="-2"/>
              </w:rPr>
              <w:t>y</w:t>
            </w:r>
            <w:r w:rsidRPr="00A93DF6">
              <w:rPr>
                <w:spacing w:val="1"/>
              </w:rPr>
              <w:t>t</w:t>
            </w:r>
            <w:r w:rsidRPr="00A93DF6">
              <w:t>he</w:t>
            </w:r>
            <w:r w:rsidRPr="00A93DF6">
              <w:rPr>
                <w:spacing w:val="-4"/>
              </w:rPr>
              <w:t>m</w:t>
            </w:r>
            <w:r w:rsidRPr="00A93DF6">
              <w:t xml:space="preserve">a </w:t>
            </w:r>
            <w:r w:rsidRPr="00A93DF6">
              <w:rPr>
                <w:spacing w:val="-4"/>
              </w:rPr>
              <w:t>m</w:t>
            </w:r>
            <w:r w:rsidRPr="00A93DF6">
              <w:t>u</w:t>
            </w:r>
            <w:r w:rsidRPr="00A93DF6">
              <w:rPr>
                <w:spacing w:val="1"/>
              </w:rPr>
              <w:t>ltif</w:t>
            </w:r>
            <w:r w:rsidRPr="00A93DF6">
              <w:rPr>
                <w:spacing w:val="-2"/>
              </w:rPr>
              <w:t>o</w:t>
            </w:r>
            <w:r w:rsidRPr="00A93DF6">
              <w:rPr>
                <w:spacing w:val="1"/>
              </w:rPr>
              <w:t>r</w:t>
            </w:r>
            <w:r w:rsidRPr="00A93DF6">
              <w:rPr>
                <w:spacing w:val="-4"/>
              </w:rPr>
              <w:t>m</w:t>
            </w:r>
            <w:r w:rsidRPr="00A93DF6">
              <w:t>e</w:t>
            </w:r>
          </w:p>
        </w:tc>
        <w:tc>
          <w:tcPr>
            <w:tcW w:w="1276" w:type="dxa"/>
            <w:tcMar>
              <w:left w:w="57" w:type="dxa"/>
              <w:right w:w="57" w:type="dxa"/>
            </w:tcMar>
          </w:tcPr>
          <w:p w14:paraId="64BE8C1F" w14:textId="1868EC5B" w:rsidR="00E62FCB" w:rsidRPr="00A93DF6" w:rsidRDefault="00083A97" w:rsidP="00083A97">
            <w:pPr>
              <w:pStyle w:val="Nincstrkz"/>
            </w:pPr>
            <w:r>
              <w:rPr>
                <w:spacing w:val="1"/>
              </w:rPr>
              <w:t>a</w:t>
            </w:r>
            <w:r w:rsidRPr="00083A97">
              <w:rPr>
                <w:spacing w:val="1"/>
              </w:rPr>
              <w:t xml:space="preserve"> besugárzott bőr túlérzékeny</w:t>
            </w:r>
            <w:r>
              <w:rPr>
                <w:spacing w:val="1"/>
              </w:rPr>
              <w:t>-</w:t>
            </w:r>
            <w:r w:rsidRPr="00083A97">
              <w:rPr>
                <w:spacing w:val="1"/>
              </w:rPr>
              <w:t>sége („radiation recall dermatitis”) Stevens</w:t>
            </w:r>
            <w:r w:rsidR="00676D19">
              <w:rPr>
                <w:spacing w:val="1"/>
              </w:rPr>
              <w:t>–</w:t>
            </w:r>
            <w:r w:rsidRPr="00083A97">
              <w:rPr>
                <w:spacing w:val="1"/>
              </w:rPr>
              <w:t>Johnson</w:t>
            </w:r>
            <w:r w:rsidR="00676D19">
              <w:rPr>
                <w:spacing w:val="1"/>
              </w:rPr>
              <w:t>-</w:t>
            </w:r>
            <w:r w:rsidRPr="00083A97">
              <w:rPr>
                <w:spacing w:val="1"/>
              </w:rPr>
              <w:t>szindróma</w:t>
            </w:r>
            <w:r w:rsidR="004A0AD6">
              <w:rPr>
                <w:spacing w:val="1"/>
              </w:rPr>
              <w:t>,</w:t>
            </w:r>
            <w:r w:rsidRPr="00083A97">
              <w:rPr>
                <w:spacing w:val="1"/>
              </w:rPr>
              <w:t xml:space="preserve"> leukocyto</w:t>
            </w:r>
            <w:r>
              <w:rPr>
                <w:spacing w:val="1"/>
              </w:rPr>
              <w:t>-</w:t>
            </w:r>
            <w:r w:rsidRPr="00083A97">
              <w:rPr>
                <w:spacing w:val="1"/>
              </w:rPr>
              <w:t>clasticus vasculitis</w:t>
            </w:r>
            <w:r w:rsidR="004A0AD6">
              <w:rPr>
                <w:spacing w:val="1"/>
              </w:rPr>
              <w:t>,</w:t>
            </w:r>
            <w:r w:rsidRPr="00083A97">
              <w:rPr>
                <w:spacing w:val="1"/>
              </w:rPr>
              <w:t xml:space="preserve"> toxicus epidermalis necrolysis</w:t>
            </w:r>
            <w:r w:rsidR="00676D19">
              <w:rPr>
                <w:spacing w:val="1"/>
              </w:rPr>
              <w:t>*</w:t>
            </w:r>
          </w:p>
        </w:tc>
        <w:tc>
          <w:tcPr>
            <w:tcW w:w="1388" w:type="dxa"/>
            <w:tcMar>
              <w:left w:w="57" w:type="dxa"/>
              <w:right w:w="57" w:type="dxa"/>
            </w:tcMar>
          </w:tcPr>
          <w:p w14:paraId="7D125F25" w14:textId="77777777" w:rsidR="00E62FCB" w:rsidRPr="00A93DF6" w:rsidRDefault="00E62FCB" w:rsidP="00E62FCB">
            <w:pPr>
              <w:pStyle w:val="Nincstrkz"/>
            </w:pPr>
          </w:p>
        </w:tc>
      </w:tr>
      <w:tr w:rsidR="00E62FCB" w:rsidRPr="00A93DF6" w14:paraId="2C6DCBEF"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53C09C62" w14:textId="77777777" w:rsidR="00E62FCB" w:rsidRPr="00A93DF6" w:rsidRDefault="00083A97" w:rsidP="00E62FCB">
            <w:pPr>
              <w:pStyle w:val="Nincstrkz"/>
            </w:pPr>
            <w:r w:rsidRPr="00083A97">
              <w:t>A csont- és izomrendszer, valamint a kötőszövet betegségei és tünetei</w:t>
            </w:r>
          </w:p>
        </w:tc>
        <w:tc>
          <w:tcPr>
            <w:tcW w:w="1701" w:type="dxa"/>
            <w:tcBorders>
              <w:left w:val="single" w:sz="12" w:space="0" w:color="auto"/>
            </w:tcBorders>
            <w:tcMar>
              <w:left w:w="57" w:type="dxa"/>
              <w:right w:w="57" w:type="dxa"/>
            </w:tcMar>
          </w:tcPr>
          <w:p w14:paraId="1F3C3E0F" w14:textId="77777777" w:rsidR="00E62FCB" w:rsidRPr="00A93DF6" w:rsidRDefault="00E62FCB" w:rsidP="00E62FCB">
            <w:pPr>
              <w:pStyle w:val="Nincstrkz"/>
            </w:pPr>
            <w:r w:rsidRPr="00A93DF6">
              <w:t>a</w:t>
            </w:r>
            <w:r w:rsidRPr="00A93DF6">
              <w:rPr>
                <w:spacing w:val="1"/>
              </w:rPr>
              <w:t>rt</w:t>
            </w:r>
            <w:r w:rsidRPr="00A93DF6">
              <w:rPr>
                <w:spacing w:val="-2"/>
              </w:rPr>
              <w:t>h</w:t>
            </w:r>
            <w:r w:rsidRPr="00A93DF6">
              <w:rPr>
                <w:spacing w:val="1"/>
              </w:rPr>
              <w:t>r</w:t>
            </w:r>
            <w:r w:rsidRPr="00A93DF6">
              <w:rPr>
                <w:spacing w:val="-2"/>
              </w:rPr>
              <w:t>a</w:t>
            </w:r>
            <w:r w:rsidRPr="00A93DF6">
              <w:rPr>
                <w:spacing w:val="1"/>
              </w:rPr>
              <w:t>l</w:t>
            </w:r>
            <w:r w:rsidRPr="00A93DF6">
              <w:rPr>
                <w:spacing w:val="-2"/>
              </w:rPr>
              <w:t>g</w:t>
            </w:r>
            <w:r w:rsidRPr="00A93DF6">
              <w:rPr>
                <w:spacing w:val="1"/>
              </w:rPr>
              <w:t>ia</w:t>
            </w:r>
          </w:p>
        </w:tc>
        <w:tc>
          <w:tcPr>
            <w:tcW w:w="1843" w:type="dxa"/>
            <w:tcMar>
              <w:left w:w="57" w:type="dxa"/>
              <w:right w:w="57" w:type="dxa"/>
            </w:tcMar>
          </w:tcPr>
          <w:p w14:paraId="652592D9" w14:textId="77777777" w:rsidR="00E62FCB" w:rsidRPr="00A93DF6" w:rsidRDefault="00E62FCB" w:rsidP="00E62FCB">
            <w:pPr>
              <w:pStyle w:val="Nincstrkz"/>
            </w:pPr>
            <w:r w:rsidRPr="00A93DF6">
              <w:rPr>
                <w:spacing w:val="-1"/>
              </w:rPr>
              <w:t>m</w:t>
            </w:r>
            <w:r w:rsidRPr="00A93DF6">
              <w:rPr>
                <w:spacing w:val="-2"/>
              </w:rPr>
              <w:t>y</w:t>
            </w:r>
            <w:r w:rsidRPr="00A93DF6">
              <w:t>a</w:t>
            </w:r>
            <w:r w:rsidRPr="00A93DF6">
              <w:rPr>
                <w:spacing w:val="1"/>
              </w:rPr>
              <w:t>l</w:t>
            </w:r>
            <w:r w:rsidRPr="00A93DF6">
              <w:rPr>
                <w:spacing w:val="-2"/>
              </w:rPr>
              <w:t>g</w:t>
            </w:r>
            <w:r w:rsidRPr="00A93DF6">
              <w:rPr>
                <w:spacing w:val="1"/>
              </w:rPr>
              <w:t>i</w:t>
            </w:r>
            <w:r w:rsidRPr="00A93DF6">
              <w:t>a</w:t>
            </w:r>
            <w:r w:rsidR="004A0AD6">
              <w:t>,</w:t>
            </w:r>
          </w:p>
          <w:p w14:paraId="6D7F8105" w14:textId="77777777" w:rsidR="00E62FCB" w:rsidRPr="00A93DF6" w:rsidRDefault="00083A97" w:rsidP="00E62FCB">
            <w:pPr>
              <w:pStyle w:val="Nincstrkz"/>
            </w:pPr>
            <w:r w:rsidRPr="00083A97">
              <w:rPr>
                <w:spacing w:val="-4"/>
              </w:rPr>
              <w:t>izomgörcsök</w:t>
            </w:r>
          </w:p>
        </w:tc>
        <w:tc>
          <w:tcPr>
            <w:tcW w:w="1559" w:type="dxa"/>
            <w:tcMar>
              <w:left w:w="57" w:type="dxa"/>
              <w:right w:w="57" w:type="dxa"/>
            </w:tcMar>
          </w:tcPr>
          <w:p w14:paraId="4F859620" w14:textId="77777777" w:rsidR="00E62FCB" w:rsidRPr="00A93DF6" w:rsidRDefault="00E62FCB" w:rsidP="00E62FCB">
            <w:pPr>
              <w:pStyle w:val="Nincstrkz"/>
            </w:pPr>
          </w:p>
        </w:tc>
        <w:tc>
          <w:tcPr>
            <w:tcW w:w="1276" w:type="dxa"/>
            <w:tcMar>
              <w:left w:w="57" w:type="dxa"/>
              <w:right w:w="57" w:type="dxa"/>
            </w:tcMar>
          </w:tcPr>
          <w:p w14:paraId="52DD2676" w14:textId="77777777" w:rsidR="00E62FCB" w:rsidRPr="00A93DF6" w:rsidRDefault="00E62FCB" w:rsidP="00E62FCB">
            <w:pPr>
              <w:pStyle w:val="Nincstrkz"/>
            </w:pPr>
            <w:r w:rsidRPr="00A93DF6">
              <w:rPr>
                <w:spacing w:val="1"/>
              </w:rPr>
              <w:t>r</w:t>
            </w:r>
            <w:r w:rsidRPr="00A93DF6">
              <w:t>habdo</w:t>
            </w:r>
            <w:r w:rsidR="00083A97">
              <w:t>-</w:t>
            </w:r>
            <w:r w:rsidRPr="00A93DF6">
              <w:rPr>
                <w:spacing w:val="-4"/>
              </w:rPr>
              <w:t>m</w:t>
            </w:r>
            <w:r w:rsidRPr="00A93DF6">
              <w:rPr>
                <w:spacing w:val="-2"/>
              </w:rPr>
              <w:t>y</w:t>
            </w:r>
            <w:r w:rsidRPr="00A93DF6">
              <w:t>o</w:t>
            </w:r>
            <w:r w:rsidRPr="00A93DF6">
              <w:rPr>
                <w:spacing w:val="1"/>
              </w:rPr>
              <w:t>l</w:t>
            </w:r>
            <w:r w:rsidRPr="00A93DF6">
              <w:rPr>
                <w:spacing w:val="-2"/>
              </w:rPr>
              <w:t>y</w:t>
            </w:r>
            <w:r w:rsidRPr="00A93DF6">
              <w:t>s</w:t>
            </w:r>
            <w:r w:rsidRPr="00A93DF6">
              <w:rPr>
                <w:spacing w:val="1"/>
              </w:rPr>
              <w:t>i</w:t>
            </w:r>
            <w:r w:rsidRPr="00A93DF6">
              <w:t>s</w:t>
            </w:r>
          </w:p>
        </w:tc>
        <w:tc>
          <w:tcPr>
            <w:tcW w:w="1388" w:type="dxa"/>
            <w:tcMar>
              <w:left w:w="57" w:type="dxa"/>
              <w:right w:w="57" w:type="dxa"/>
            </w:tcMar>
          </w:tcPr>
          <w:p w14:paraId="091958BC" w14:textId="77777777" w:rsidR="00E62FCB" w:rsidRPr="00A93DF6" w:rsidRDefault="00E62FCB" w:rsidP="00E62FCB">
            <w:pPr>
              <w:pStyle w:val="Nincstrkz"/>
            </w:pPr>
          </w:p>
        </w:tc>
      </w:tr>
      <w:tr w:rsidR="00E62FCB" w:rsidRPr="00A93DF6" w14:paraId="01AEB3E5"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B356D0A" w14:textId="77777777" w:rsidR="00E62FCB" w:rsidRPr="00A93DF6" w:rsidRDefault="00083A97" w:rsidP="00E62FCB">
            <w:pPr>
              <w:pStyle w:val="Nincstrkz"/>
            </w:pPr>
            <w:r w:rsidRPr="00083A97">
              <w:rPr>
                <w:spacing w:val="-1"/>
              </w:rPr>
              <w:t>Vese- és húgyúti betegségek és tünetek</w:t>
            </w:r>
          </w:p>
        </w:tc>
        <w:tc>
          <w:tcPr>
            <w:tcW w:w="1701" w:type="dxa"/>
            <w:tcBorders>
              <w:left w:val="single" w:sz="12" w:space="0" w:color="auto"/>
            </w:tcBorders>
            <w:tcMar>
              <w:left w:w="57" w:type="dxa"/>
              <w:right w:w="57" w:type="dxa"/>
            </w:tcMar>
          </w:tcPr>
          <w:p w14:paraId="1BA4CA9D" w14:textId="77777777" w:rsidR="00E62FCB" w:rsidRPr="00A93DF6" w:rsidRDefault="00E62FCB" w:rsidP="00E62FCB">
            <w:pPr>
              <w:pStyle w:val="Nincstrkz"/>
            </w:pPr>
          </w:p>
        </w:tc>
        <w:tc>
          <w:tcPr>
            <w:tcW w:w="1843" w:type="dxa"/>
            <w:tcMar>
              <w:left w:w="57" w:type="dxa"/>
              <w:right w:w="57" w:type="dxa"/>
            </w:tcMar>
          </w:tcPr>
          <w:p w14:paraId="1BFDA26F" w14:textId="77777777" w:rsidR="00E62FCB" w:rsidRPr="00A93DF6" w:rsidRDefault="00083A97" w:rsidP="00E62FCB">
            <w:pPr>
              <w:pStyle w:val="Nincstrkz"/>
              <w:rPr>
                <w:sz w:val="11"/>
                <w:szCs w:val="11"/>
              </w:rPr>
            </w:pPr>
            <w:r>
              <w:rPr>
                <w:spacing w:val="1"/>
              </w:rPr>
              <w:t>veseelégtelenség,</w:t>
            </w:r>
          </w:p>
          <w:p w14:paraId="6C4D350B" w14:textId="77777777" w:rsidR="00E62FCB" w:rsidRPr="00A93DF6" w:rsidRDefault="00E62FCB" w:rsidP="00E62FCB">
            <w:pPr>
              <w:pStyle w:val="Nincstrkz"/>
            </w:pPr>
            <w:r w:rsidRPr="00A93DF6">
              <w:t>p</w:t>
            </w:r>
            <w:r w:rsidRPr="00A93DF6">
              <w:rPr>
                <w:spacing w:val="1"/>
              </w:rPr>
              <w:t>r</w:t>
            </w:r>
            <w:r w:rsidRPr="00A93DF6">
              <w:t>o</w:t>
            </w:r>
            <w:r w:rsidRPr="00A93DF6">
              <w:rPr>
                <w:spacing w:val="-1"/>
              </w:rPr>
              <w:t>t</w:t>
            </w:r>
            <w:r w:rsidRPr="00A93DF6">
              <w:t>e</w:t>
            </w:r>
            <w:r w:rsidRPr="00A93DF6">
              <w:rPr>
                <w:spacing w:val="1"/>
              </w:rPr>
              <w:t>i</w:t>
            </w:r>
            <w:r w:rsidRPr="00A93DF6">
              <w:t>n</w:t>
            </w:r>
            <w:r w:rsidRPr="00A93DF6">
              <w:rPr>
                <w:spacing w:val="-2"/>
              </w:rPr>
              <w:t>u</w:t>
            </w:r>
            <w:r w:rsidRPr="00A93DF6">
              <w:rPr>
                <w:spacing w:val="1"/>
              </w:rPr>
              <w:t>r</w:t>
            </w:r>
            <w:r w:rsidRPr="00A93DF6">
              <w:rPr>
                <w:spacing w:val="-1"/>
              </w:rPr>
              <w:t>i</w:t>
            </w:r>
            <w:r w:rsidRPr="00A93DF6">
              <w:t>a</w:t>
            </w:r>
          </w:p>
        </w:tc>
        <w:tc>
          <w:tcPr>
            <w:tcW w:w="1559" w:type="dxa"/>
            <w:tcMar>
              <w:left w:w="57" w:type="dxa"/>
              <w:right w:w="57" w:type="dxa"/>
            </w:tcMar>
          </w:tcPr>
          <w:p w14:paraId="68F8D417" w14:textId="77777777" w:rsidR="00E62FCB" w:rsidRPr="00A93DF6" w:rsidRDefault="00E62FCB" w:rsidP="00E62FCB">
            <w:pPr>
              <w:pStyle w:val="Nincstrkz"/>
            </w:pPr>
          </w:p>
        </w:tc>
        <w:tc>
          <w:tcPr>
            <w:tcW w:w="1276" w:type="dxa"/>
            <w:tcMar>
              <w:left w:w="57" w:type="dxa"/>
              <w:right w:w="57" w:type="dxa"/>
            </w:tcMar>
          </w:tcPr>
          <w:p w14:paraId="2CED622E" w14:textId="77777777" w:rsidR="00E62FCB" w:rsidRPr="00A93DF6" w:rsidRDefault="00E62FCB" w:rsidP="004A0AD6">
            <w:pPr>
              <w:pStyle w:val="Nincstrkz"/>
            </w:pPr>
            <w:r w:rsidRPr="00A93DF6">
              <w:t>ne</w:t>
            </w:r>
            <w:r w:rsidR="00083A97">
              <w:t>frózis szindróma</w:t>
            </w:r>
          </w:p>
        </w:tc>
        <w:tc>
          <w:tcPr>
            <w:tcW w:w="1388" w:type="dxa"/>
            <w:tcMar>
              <w:left w:w="57" w:type="dxa"/>
              <w:right w:w="57" w:type="dxa"/>
            </w:tcMar>
          </w:tcPr>
          <w:p w14:paraId="29DC40CD" w14:textId="77777777" w:rsidR="00E62FCB" w:rsidRPr="00A93DF6" w:rsidRDefault="00E62FCB" w:rsidP="00E62FCB">
            <w:pPr>
              <w:pStyle w:val="Nincstrkz"/>
            </w:pPr>
          </w:p>
        </w:tc>
      </w:tr>
      <w:tr w:rsidR="00E62FCB" w:rsidRPr="00A93DF6" w14:paraId="5034259F"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26380D3E" w14:textId="77777777" w:rsidR="00E62FCB" w:rsidRPr="00A93DF6" w:rsidRDefault="00083A97" w:rsidP="00E62FCB">
            <w:pPr>
              <w:pStyle w:val="Nincstrkz"/>
            </w:pPr>
            <w:r w:rsidRPr="00083A97">
              <w:rPr>
                <w:spacing w:val="-1"/>
              </w:rPr>
              <w:t>A nemi szervekkel és az emlőkkel kapcsolatos betegségek és tünetek</w:t>
            </w:r>
          </w:p>
        </w:tc>
        <w:tc>
          <w:tcPr>
            <w:tcW w:w="1701" w:type="dxa"/>
            <w:tcBorders>
              <w:left w:val="single" w:sz="12" w:space="0" w:color="auto"/>
            </w:tcBorders>
            <w:tcMar>
              <w:left w:w="57" w:type="dxa"/>
              <w:right w:w="57" w:type="dxa"/>
            </w:tcMar>
          </w:tcPr>
          <w:p w14:paraId="4F60CE14" w14:textId="77777777" w:rsidR="00E62FCB" w:rsidRPr="00A93DF6" w:rsidRDefault="00E62FCB" w:rsidP="00E62FCB">
            <w:pPr>
              <w:pStyle w:val="Nincstrkz"/>
            </w:pPr>
          </w:p>
        </w:tc>
        <w:tc>
          <w:tcPr>
            <w:tcW w:w="1843" w:type="dxa"/>
            <w:tcMar>
              <w:left w:w="57" w:type="dxa"/>
              <w:right w:w="57" w:type="dxa"/>
            </w:tcMar>
          </w:tcPr>
          <w:p w14:paraId="4FCEBBD8" w14:textId="6EBF13F9" w:rsidR="00E62FCB" w:rsidRPr="00A93DF6" w:rsidRDefault="00057382" w:rsidP="00083A97">
            <w:pPr>
              <w:pStyle w:val="Nincstrkz"/>
            </w:pPr>
            <w:r>
              <w:t>erectilis dysfunctio</w:t>
            </w:r>
          </w:p>
        </w:tc>
        <w:tc>
          <w:tcPr>
            <w:tcW w:w="1559" w:type="dxa"/>
            <w:tcMar>
              <w:left w:w="57" w:type="dxa"/>
              <w:right w:w="57" w:type="dxa"/>
            </w:tcMar>
          </w:tcPr>
          <w:p w14:paraId="49091A7F" w14:textId="77777777" w:rsidR="00E62FCB" w:rsidRPr="00A93DF6" w:rsidRDefault="00E62FCB" w:rsidP="00E62FCB">
            <w:pPr>
              <w:pStyle w:val="Nincstrkz"/>
            </w:pPr>
            <w:r w:rsidRPr="00A93DF6">
              <w:t>g</w:t>
            </w:r>
            <w:r w:rsidRPr="00A93DF6">
              <w:rPr>
                <w:spacing w:val="-2"/>
              </w:rPr>
              <w:t>y</w:t>
            </w:r>
            <w:r w:rsidRPr="00A93DF6">
              <w:t>naeco</w:t>
            </w:r>
            <w:r w:rsidRPr="00A93DF6">
              <w:rPr>
                <w:spacing w:val="-4"/>
              </w:rPr>
              <w:t>m</w:t>
            </w:r>
            <w:r w:rsidRPr="00A93DF6">
              <w:t>as</w:t>
            </w:r>
            <w:r w:rsidRPr="00A93DF6">
              <w:rPr>
                <w:spacing w:val="1"/>
              </w:rPr>
              <w:t>ti</w:t>
            </w:r>
            <w:r w:rsidRPr="00A93DF6">
              <w:t>a</w:t>
            </w:r>
          </w:p>
        </w:tc>
        <w:tc>
          <w:tcPr>
            <w:tcW w:w="1276" w:type="dxa"/>
            <w:tcMar>
              <w:left w:w="57" w:type="dxa"/>
              <w:right w:w="57" w:type="dxa"/>
            </w:tcMar>
          </w:tcPr>
          <w:p w14:paraId="7D4A497B" w14:textId="77777777" w:rsidR="00E62FCB" w:rsidRPr="00A93DF6" w:rsidRDefault="00E62FCB" w:rsidP="00E62FCB">
            <w:pPr>
              <w:pStyle w:val="Nincstrkz"/>
            </w:pPr>
          </w:p>
        </w:tc>
        <w:tc>
          <w:tcPr>
            <w:tcW w:w="1388" w:type="dxa"/>
            <w:tcMar>
              <w:left w:w="57" w:type="dxa"/>
              <w:right w:w="57" w:type="dxa"/>
            </w:tcMar>
          </w:tcPr>
          <w:p w14:paraId="25F2019A" w14:textId="77777777" w:rsidR="00E62FCB" w:rsidRPr="00A93DF6" w:rsidRDefault="00E62FCB" w:rsidP="00E62FCB">
            <w:pPr>
              <w:pStyle w:val="Nincstrkz"/>
            </w:pPr>
          </w:p>
        </w:tc>
      </w:tr>
      <w:tr w:rsidR="00E62FCB" w:rsidRPr="00A93DF6" w14:paraId="42B3BF51"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7B9412D5" w14:textId="77777777" w:rsidR="00E62FCB" w:rsidRPr="00A93DF6" w:rsidRDefault="00083A97" w:rsidP="00E62FCB">
            <w:pPr>
              <w:pStyle w:val="Nincstrkz"/>
            </w:pPr>
            <w:r w:rsidRPr="00083A97">
              <w:rPr>
                <w:spacing w:val="-1"/>
              </w:rPr>
              <w:t>Általános tünetek, az alkalmazás helyén fellépő reakciók</w:t>
            </w:r>
          </w:p>
        </w:tc>
        <w:tc>
          <w:tcPr>
            <w:tcW w:w="1701" w:type="dxa"/>
            <w:tcBorders>
              <w:left w:val="single" w:sz="12" w:space="0" w:color="auto"/>
            </w:tcBorders>
            <w:tcMar>
              <w:left w:w="57" w:type="dxa"/>
              <w:right w:w="57" w:type="dxa"/>
            </w:tcMar>
          </w:tcPr>
          <w:p w14:paraId="7AA37FEB" w14:textId="336E31BE" w:rsidR="004A0AD6" w:rsidRDefault="00083A97" w:rsidP="00E62FCB">
            <w:pPr>
              <w:pStyle w:val="Nincstrkz"/>
              <w:rPr>
                <w:spacing w:val="1"/>
              </w:rPr>
            </w:pPr>
            <w:r w:rsidRPr="00083A97">
              <w:rPr>
                <w:spacing w:val="1"/>
              </w:rPr>
              <w:t>kimerültség</w:t>
            </w:r>
            <w:r w:rsidR="004A0AD6">
              <w:rPr>
                <w:spacing w:val="1"/>
              </w:rPr>
              <w:t>,</w:t>
            </w:r>
            <w:r w:rsidRPr="00083A97">
              <w:rPr>
                <w:spacing w:val="1"/>
              </w:rPr>
              <w:t xml:space="preserve"> fájdalom (beleértve a száj, hasi és csontfájdalmat, </w:t>
            </w:r>
            <w:r w:rsidR="003A4605">
              <w:rPr>
                <w:spacing w:val="1"/>
              </w:rPr>
              <w:t xml:space="preserve">tumoros </w:t>
            </w:r>
            <w:r w:rsidRPr="00083A97">
              <w:rPr>
                <w:spacing w:val="1"/>
              </w:rPr>
              <w:t>fájdalmat és fejfájást)</w:t>
            </w:r>
            <w:r w:rsidR="004A0AD6">
              <w:rPr>
                <w:spacing w:val="1"/>
              </w:rPr>
              <w:t>,</w:t>
            </w:r>
            <w:r w:rsidRPr="00083A97">
              <w:rPr>
                <w:spacing w:val="1"/>
              </w:rPr>
              <w:t xml:space="preserve"> </w:t>
            </w:r>
          </w:p>
          <w:p w14:paraId="6D6F5507" w14:textId="77777777" w:rsidR="00E62FCB" w:rsidRPr="00A93DF6" w:rsidRDefault="00083A97" w:rsidP="00E62FCB">
            <w:pPr>
              <w:pStyle w:val="Nincstrkz"/>
            </w:pPr>
            <w:r w:rsidRPr="00083A97">
              <w:rPr>
                <w:spacing w:val="1"/>
              </w:rPr>
              <w:t>láz</w:t>
            </w:r>
          </w:p>
        </w:tc>
        <w:tc>
          <w:tcPr>
            <w:tcW w:w="1843" w:type="dxa"/>
            <w:tcMar>
              <w:left w:w="57" w:type="dxa"/>
              <w:right w:w="57" w:type="dxa"/>
            </w:tcMar>
          </w:tcPr>
          <w:p w14:paraId="631DD4B8" w14:textId="77777777" w:rsidR="004A0AD6" w:rsidRDefault="00D5062F" w:rsidP="00D5062F">
            <w:pPr>
              <w:pStyle w:val="Nincstrkz"/>
            </w:pPr>
            <w:r>
              <w:t>asthenia</w:t>
            </w:r>
            <w:r w:rsidR="004A0AD6">
              <w:t>,</w:t>
            </w:r>
          </w:p>
          <w:p w14:paraId="0A767555" w14:textId="0C402379" w:rsidR="00E62FCB" w:rsidRPr="00A93DF6" w:rsidRDefault="00D5062F" w:rsidP="00D5062F">
            <w:pPr>
              <w:pStyle w:val="Nincstrkz"/>
            </w:pPr>
            <w:r>
              <w:t>influenzaszerű megbetegedés</w:t>
            </w:r>
            <w:r w:rsidR="004A0AD6">
              <w:t>,</w:t>
            </w:r>
            <w:r>
              <w:t xml:space="preserve"> nyálkahártya</w:t>
            </w:r>
            <w:r w:rsidR="00676D19">
              <w:t>-</w:t>
            </w:r>
            <w:r>
              <w:t>gyulladás</w:t>
            </w:r>
          </w:p>
        </w:tc>
        <w:tc>
          <w:tcPr>
            <w:tcW w:w="1559" w:type="dxa"/>
            <w:tcMar>
              <w:left w:w="57" w:type="dxa"/>
              <w:right w:w="57" w:type="dxa"/>
            </w:tcMar>
          </w:tcPr>
          <w:p w14:paraId="7D7FF339" w14:textId="77777777" w:rsidR="00E62FCB" w:rsidRPr="00A93DF6" w:rsidRDefault="00E62FCB" w:rsidP="00E62FCB">
            <w:pPr>
              <w:pStyle w:val="Nincstrkz"/>
            </w:pPr>
          </w:p>
        </w:tc>
        <w:tc>
          <w:tcPr>
            <w:tcW w:w="1276" w:type="dxa"/>
            <w:tcMar>
              <w:left w:w="57" w:type="dxa"/>
              <w:right w:w="57" w:type="dxa"/>
            </w:tcMar>
          </w:tcPr>
          <w:p w14:paraId="30A2DE80" w14:textId="77777777" w:rsidR="00E62FCB" w:rsidRPr="00A93DF6" w:rsidRDefault="00E62FCB" w:rsidP="00E62FCB">
            <w:pPr>
              <w:pStyle w:val="Nincstrkz"/>
            </w:pPr>
          </w:p>
        </w:tc>
        <w:tc>
          <w:tcPr>
            <w:tcW w:w="1388" w:type="dxa"/>
            <w:tcMar>
              <w:left w:w="57" w:type="dxa"/>
              <w:right w:w="57" w:type="dxa"/>
            </w:tcMar>
          </w:tcPr>
          <w:p w14:paraId="733E93A9" w14:textId="77777777" w:rsidR="00E62FCB" w:rsidRPr="00A93DF6" w:rsidRDefault="00E62FCB" w:rsidP="00E62FCB">
            <w:pPr>
              <w:pStyle w:val="Nincstrkz"/>
            </w:pPr>
          </w:p>
        </w:tc>
      </w:tr>
      <w:tr w:rsidR="00E62FCB" w:rsidRPr="00A93DF6" w14:paraId="57F2F8D2" w14:textId="77777777" w:rsidTr="00AE1D02">
        <w:tc>
          <w:tcPr>
            <w:tcW w:w="1980" w:type="dxa"/>
            <w:tcBorders>
              <w:right w:val="single" w:sz="12" w:space="0" w:color="auto"/>
            </w:tcBorders>
            <w:shd w:val="clear" w:color="auto" w:fill="D9D9D9" w:themeFill="background1" w:themeFillShade="D9"/>
            <w:tcMar>
              <w:left w:w="57" w:type="dxa"/>
              <w:right w:w="57" w:type="dxa"/>
            </w:tcMar>
          </w:tcPr>
          <w:p w14:paraId="04BF6943" w14:textId="77777777" w:rsidR="00E62FCB" w:rsidRPr="00A93DF6" w:rsidRDefault="00D5062F" w:rsidP="00E62FCB">
            <w:pPr>
              <w:pStyle w:val="Nincstrkz"/>
              <w:rPr>
                <w:spacing w:val="-1"/>
              </w:rPr>
            </w:pPr>
            <w:r w:rsidRPr="00D5062F">
              <w:rPr>
                <w:spacing w:val="2"/>
              </w:rPr>
              <w:t>Laboratóriumi és egyéb vizsgálatok eredményei</w:t>
            </w:r>
          </w:p>
        </w:tc>
        <w:tc>
          <w:tcPr>
            <w:tcW w:w="1701" w:type="dxa"/>
            <w:tcBorders>
              <w:left w:val="single" w:sz="12" w:space="0" w:color="auto"/>
            </w:tcBorders>
            <w:tcMar>
              <w:left w:w="57" w:type="dxa"/>
              <w:right w:w="57" w:type="dxa"/>
            </w:tcMar>
          </w:tcPr>
          <w:p w14:paraId="3E35D2DB" w14:textId="77777777" w:rsidR="00D5062F" w:rsidRDefault="00D5062F" w:rsidP="00E62FCB">
            <w:pPr>
              <w:pStyle w:val="Nincstrkz"/>
              <w:rPr>
                <w:spacing w:val="-1"/>
              </w:rPr>
            </w:pPr>
            <w:r>
              <w:rPr>
                <w:spacing w:val="-1"/>
              </w:rPr>
              <w:t>t</w:t>
            </w:r>
            <w:r w:rsidRPr="00D5062F">
              <w:rPr>
                <w:spacing w:val="-1"/>
              </w:rPr>
              <w:t>est</w:t>
            </w:r>
            <w:r>
              <w:rPr>
                <w:spacing w:val="-1"/>
              </w:rPr>
              <w:t>tömeg-</w:t>
            </w:r>
          </w:p>
          <w:p w14:paraId="31E6F925" w14:textId="77777777" w:rsidR="004A0AD6" w:rsidRDefault="00D5062F" w:rsidP="00E62FCB">
            <w:pPr>
              <w:pStyle w:val="Nincstrkz"/>
              <w:rPr>
                <w:spacing w:val="-1"/>
              </w:rPr>
            </w:pPr>
            <w:r w:rsidRPr="00D5062F">
              <w:rPr>
                <w:spacing w:val="-1"/>
              </w:rPr>
              <w:t>csökkenés</w:t>
            </w:r>
            <w:r w:rsidR="004A0AD6">
              <w:rPr>
                <w:spacing w:val="-1"/>
              </w:rPr>
              <w:t>,</w:t>
            </w:r>
            <w:r w:rsidRPr="00D5062F">
              <w:rPr>
                <w:spacing w:val="-1"/>
              </w:rPr>
              <w:t xml:space="preserve"> fokozott amiláz</w:t>
            </w:r>
            <w:r w:rsidR="004A0AD6">
              <w:rPr>
                <w:spacing w:val="-1"/>
              </w:rPr>
              <w:t>-</w:t>
            </w:r>
            <w:r w:rsidRPr="00D5062F">
              <w:rPr>
                <w:spacing w:val="-1"/>
              </w:rPr>
              <w:t>aktivitás</w:t>
            </w:r>
            <w:r w:rsidR="004A0AD6">
              <w:rPr>
                <w:spacing w:val="-1"/>
              </w:rPr>
              <w:t>,</w:t>
            </w:r>
            <w:r w:rsidRPr="00D5062F">
              <w:rPr>
                <w:spacing w:val="-1"/>
              </w:rPr>
              <w:t xml:space="preserve"> </w:t>
            </w:r>
          </w:p>
          <w:p w14:paraId="04F0D544" w14:textId="77777777" w:rsidR="00E62FCB" w:rsidRPr="00A93DF6" w:rsidRDefault="00D5062F" w:rsidP="00E62FCB">
            <w:pPr>
              <w:pStyle w:val="Nincstrkz"/>
            </w:pPr>
            <w:r w:rsidRPr="00D5062F">
              <w:rPr>
                <w:spacing w:val="-1"/>
              </w:rPr>
              <w:t>fokozott lipáz</w:t>
            </w:r>
            <w:r w:rsidR="004A0AD6">
              <w:rPr>
                <w:spacing w:val="-1"/>
              </w:rPr>
              <w:t>-</w:t>
            </w:r>
            <w:r w:rsidRPr="00D5062F">
              <w:rPr>
                <w:spacing w:val="-1"/>
              </w:rPr>
              <w:t>aktivitás</w:t>
            </w:r>
          </w:p>
        </w:tc>
        <w:tc>
          <w:tcPr>
            <w:tcW w:w="1843" w:type="dxa"/>
            <w:tcMar>
              <w:left w:w="57" w:type="dxa"/>
              <w:right w:w="57" w:type="dxa"/>
            </w:tcMar>
          </w:tcPr>
          <w:p w14:paraId="2632367F" w14:textId="77777777" w:rsidR="00E62FCB" w:rsidRPr="00A93DF6" w:rsidRDefault="00D5062F" w:rsidP="00E62FCB">
            <w:pPr>
              <w:pStyle w:val="Nincstrkz"/>
            </w:pPr>
            <w:r>
              <w:rPr>
                <w:spacing w:val="1"/>
              </w:rPr>
              <w:t>a</w:t>
            </w:r>
            <w:r w:rsidR="00E62FCB" w:rsidRPr="00A93DF6">
              <w:t xml:space="preserve"> </w:t>
            </w:r>
            <w:r w:rsidR="00E62FCB" w:rsidRPr="00A93DF6">
              <w:rPr>
                <w:spacing w:val="-1"/>
              </w:rPr>
              <w:t>t</w:t>
            </w:r>
            <w:r w:rsidR="00E62FCB" w:rsidRPr="00A93DF6">
              <w:rPr>
                <w:spacing w:val="1"/>
              </w:rPr>
              <w:t>r</w:t>
            </w:r>
            <w:r w:rsidR="00E62FCB" w:rsidRPr="00A93DF6">
              <w:t>a</w:t>
            </w:r>
            <w:r w:rsidR="00E62FCB" w:rsidRPr="00A93DF6">
              <w:rPr>
                <w:spacing w:val="-2"/>
              </w:rPr>
              <w:t>n</w:t>
            </w:r>
            <w:r w:rsidR="00E62FCB" w:rsidRPr="00A93DF6">
              <w:t>s</w:t>
            </w:r>
            <w:r>
              <w:t>z</w:t>
            </w:r>
            <w:r w:rsidR="00E62FCB" w:rsidRPr="00A93DF6">
              <w:t>a</w:t>
            </w:r>
            <w:r w:rsidR="00E62FCB" w:rsidRPr="00A93DF6">
              <w:rPr>
                <w:spacing w:val="-4"/>
              </w:rPr>
              <w:t>m</w:t>
            </w:r>
            <w:r w:rsidR="00E62FCB" w:rsidRPr="00A93DF6">
              <w:rPr>
                <w:spacing w:val="1"/>
              </w:rPr>
              <w:t>i</w:t>
            </w:r>
            <w:r w:rsidR="00E62FCB" w:rsidRPr="00A93DF6">
              <w:t>n</w:t>
            </w:r>
            <w:r>
              <w:t>ázok átmeneti emelkedése</w:t>
            </w:r>
          </w:p>
        </w:tc>
        <w:tc>
          <w:tcPr>
            <w:tcW w:w="1559" w:type="dxa"/>
            <w:tcMar>
              <w:left w:w="57" w:type="dxa"/>
              <w:right w:w="57" w:type="dxa"/>
            </w:tcMar>
          </w:tcPr>
          <w:p w14:paraId="6F6160BA" w14:textId="62D25833" w:rsidR="004A0AD6" w:rsidRDefault="00D5062F" w:rsidP="00E62FCB">
            <w:pPr>
              <w:pStyle w:val="Nincstrkz"/>
              <w:rPr>
                <w:spacing w:val="1"/>
              </w:rPr>
            </w:pPr>
            <w:r>
              <w:rPr>
                <w:spacing w:val="1"/>
              </w:rPr>
              <w:t xml:space="preserve">az </w:t>
            </w:r>
            <w:r w:rsidRPr="00D5062F">
              <w:rPr>
                <w:spacing w:val="1"/>
              </w:rPr>
              <w:t>alkalikus foszfatáz</w:t>
            </w:r>
            <w:r>
              <w:rPr>
                <w:spacing w:val="1"/>
              </w:rPr>
              <w:t xml:space="preserve"> átm</w:t>
            </w:r>
            <w:r w:rsidRPr="00D5062F">
              <w:rPr>
                <w:spacing w:val="1"/>
              </w:rPr>
              <w:t xml:space="preserve">eneti </w:t>
            </w:r>
            <w:r>
              <w:rPr>
                <w:spacing w:val="1"/>
              </w:rPr>
              <w:t>emelkedése</w:t>
            </w:r>
            <w:r w:rsidRPr="00D5062F">
              <w:rPr>
                <w:spacing w:val="1"/>
              </w:rPr>
              <w:t xml:space="preserve"> a vérben</w:t>
            </w:r>
            <w:r>
              <w:rPr>
                <w:spacing w:val="1"/>
              </w:rPr>
              <w:t xml:space="preserve">, </w:t>
            </w:r>
          </w:p>
          <w:p w14:paraId="05C8C16D" w14:textId="77777777" w:rsidR="00E62FCB" w:rsidRPr="00A93DF6" w:rsidRDefault="00D5062F" w:rsidP="00E62FCB">
            <w:pPr>
              <w:pStyle w:val="Nincstrkz"/>
            </w:pPr>
            <w:r w:rsidRPr="00D5062F">
              <w:rPr>
                <w:spacing w:val="1"/>
              </w:rPr>
              <w:t xml:space="preserve">kóros INR, kóros protrombinszint </w:t>
            </w:r>
          </w:p>
        </w:tc>
        <w:tc>
          <w:tcPr>
            <w:tcW w:w="1276" w:type="dxa"/>
            <w:tcMar>
              <w:left w:w="57" w:type="dxa"/>
              <w:right w:w="57" w:type="dxa"/>
            </w:tcMar>
          </w:tcPr>
          <w:p w14:paraId="01B11DD6" w14:textId="77777777" w:rsidR="00E62FCB" w:rsidRPr="00A93DF6" w:rsidRDefault="00E62FCB" w:rsidP="00E62FCB">
            <w:pPr>
              <w:pStyle w:val="Nincstrkz"/>
            </w:pPr>
          </w:p>
        </w:tc>
        <w:tc>
          <w:tcPr>
            <w:tcW w:w="1388" w:type="dxa"/>
            <w:tcMar>
              <w:left w:w="57" w:type="dxa"/>
              <w:right w:w="57" w:type="dxa"/>
            </w:tcMar>
          </w:tcPr>
          <w:p w14:paraId="02D246CE" w14:textId="77777777" w:rsidR="00E62FCB" w:rsidRPr="00A93DF6" w:rsidRDefault="00E62FCB" w:rsidP="00E62FCB">
            <w:pPr>
              <w:pStyle w:val="Nincstrkz"/>
            </w:pPr>
          </w:p>
        </w:tc>
      </w:tr>
    </w:tbl>
    <w:p w14:paraId="1F4072AB" w14:textId="77777777" w:rsidR="00E9481E" w:rsidRDefault="00E62FCB" w:rsidP="00E9481E">
      <w:pPr>
        <w:pStyle w:val="Nincstrkz"/>
        <w:tabs>
          <w:tab w:val="left" w:pos="567"/>
        </w:tabs>
        <w:ind w:left="567" w:hanging="567"/>
      </w:pPr>
      <w:r w:rsidRPr="00A93DF6">
        <w:t>*</w:t>
      </w:r>
      <w:r w:rsidRPr="00A93DF6">
        <w:tab/>
      </w:r>
      <w:r w:rsidR="00D5062F" w:rsidRPr="00D5062F">
        <w:t xml:space="preserve">A mellékhatások életveszélyesek vagy halálos kimenetelűek lehetnek. Ezek az eseményeknek nem gyakoriak vagy a nem gyakorinál is ritkábban fordulnak elő.  </w:t>
      </w:r>
    </w:p>
    <w:p w14:paraId="067BC8EA" w14:textId="0BB24886" w:rsidR="00E9481E" w:rsidRDefault="00D5062F" w:rsidP="00E9481E">
      <w:pPr>
        <w:pStyle w:val="Nincstrkz"/>
        <w:tabs>
          <w:tab w:val="left" w:pos="567"/>
        </w:tabs>
        <w:ind w:left="567" w:hanging="567"/>
      </w:pPr>
      <w:r w:rsidRPr="00D5062F">
        <w:t xml:space="preserve">** </w:t>
      </w:r>
      <w:r w:rsidR="00E9481E">
        <w:tab/>
      </w:r>
      <w:r w:rsidRPr="00D5062F">
        <w:t xml:space="preserve">A kéz-láb </w:t>
      </w:r>
      <w:r w:rsidR="003A4605">
        <w:t>szindróma</w:t>
      </w:r>
      <w:r w:rsidRPr="00D5062F">
        <w:t xml:space="preserve"> a palm</w:t>
      </w:r>
      <w:r w:rsidR="003A4605">
        <w:t>o</w:t>
      </w:r>
      <w:r w:rsidRPr="00D5062F">
        <w:t xml:space="preserve">plantaris erythrodysaesthesia szindrómának felel meg a MedDRA terminológia szerint. </w:t>
      </w:r>
    </w:p>
    <w:p w14:paraId="55D774BA" w14:textId="77777777" w:rsidR="00E9481E" w:rsidRDefault="00D5062F" w:rsidP="00D5062F">
      <w:pPr>
        <w:pStyle w:val="Nincstrkz"/>
        <w:tabs>
          <w:tab w:val="left" w:pos="567"/>
        </w:tabs>
      </w:pPr>
      <w:r w:rsidRPr="00D5062F">
        <w:t xml:space="preserve">° </w:t>
      </w:r>
      <w:r w:rsidR="00E9481E">
        <w:tab/>
      </w:r>
      <w:r w:rsidRPr="00D5062F">
        <w:t xml:space="preserve">Az eseteket a forgalomba hozatalt követően jelentették. </w:t>
      </w:r>
    </w:p>
    <w:p w14:paraId="45A5D47E" w14:textId="77777777" w:rsidR="00E9481E" w:rsidRDefault="00E9481E" w:rsidP="00E9481E">
      <w:pPr>
        <w:pStyle w:val="Nincstrkz"/>
        <w:tabs>
          <w:tab w:val="left" w:pos="567"/>
        </w:tabs>
        <w:rPr>
          <w:spacing w:val="2"/>
        </w:rPr>
      </w:pPr>
    </w:p>
    <w:p w14:paraId="05D5C636" w14:textId="77777777" w:rsidR="00E9481E" w:rsidRPr="00E9481E" w:rsidRDefault="00E9481E" w:rsidP="00E9481E">
      <w:pPr>
        <w:pStyle w:val="Nincstrkz"/>
        <w:tabs>
          <w:tab w:val="left" w:pos="567"/>
        </w:tabs>
        <w:rPr>
          <w:spacing w:val="2"/>
          <w:u w:val="single"/>
        </w:rPr>
      </w:pPr>
      <w:r w:rsidRPr="00E9481E">
        <w:rPr>
          <w:spacing w:val="2"/>
          <w:u w:val="single"/>
        </w:rPr>
        <w:t xml:space="preserve">További információk egyes mellékhatásokkal kapcsolatban </w:t>
      </w:r>
    </w:p>
    <w:p w14:paraId="7521B053" w14:textId="77777777" w:rsidR="00E9481E" w:rsidRPr="00E9481E" w:rsidRDefault="00E9481E" w:rsidP="00E9481E">
      <w:pPr>
        <w:pStyle w:val="Nincstrkz"/>
        <w:tabs>
          <w:tab w:val="left" w:pos="567"/>
        </w:tabs>
        <w:rPr>
          <w:spacing w:val="2"/>
        </w:rPr>
      </w:pPr>
    </w:p>
    <w:p w14:paraId="28764E86" w14:textId="77777777" w:rsidR="00E9481E" w:rsidRPr="00E9481E" w:rsidRDefault="00E9481E" w:rsidP="00E9481E">
      <w:pPr>
        <w:pStyle w:val="Nincstrkz"/>
        <w:tabs>
          <w:tab w:val="left" w:pos="567"/>
        </w:tabs>
        <w:rPr>
          <w:i/>
          <w:spacing w:val="2"/>
        </w:rPr>
      </w:pPr>
      <w:r w:rsidRPr="00E9481E">
        <w:rPr>
          <w:i/>
          <w:spacing w:val="2"/>
        </w:rPr>
        <w:t xml:space="preserve">Pangásos szívelégtelenség </w:t>
      </w:r>
    </w:p>
    <w:p w14:paraId="5DAF3395" w14:textId="77777777" w:rsidR="00E9481E" w:rsidRPr="00E9481E" w:rsidRDefault="00615E8E" w:rsidP="00E9481E">
      <w:pPr>
        <w:pStyle w:val="Nincstrkz"/>
        <w:tabs>
          <w:tab w:val="left" w:pos="567"/>
        </w:tabs>
        <w:rPr>
          <w:spacing w:val="2"/>
        </w:rPr>
      </w:pPr>
      <w:r>
        <w:rPr>
          <w:spacing w:val="2"/>
        </w:rPr>
        <w:t>C</w:t>
      </w:r>
      <w:r w:rsidR="00E9481E" w:rsidRPr="00E9481E">
        <w:rPr>
          <w:spacing w:val="2"/>
        </w:rPr>
        <w:t xml:space="preserve">ég által szponzorált klinikai vizsgálatok során a pangásos szívelégtelenséget a szorafenibbel kezelt betegek (N=2276) 1,9%-ánál jelentették nemkívánatos eseményként. A 11213. számú (RCC) vizsgálatban a pangásos szívelégtelenséget a szorafenibbel kezelt betegek 1,7%-ánál és a placebót kapó betegek 0,7%-ánál jelentették mellékhatásként. A 100554. számú (HCC) vizsgálatban a szorafenibbel kezelt betegek 0,99%ánál és a placebót kapó betegek 1,1%-ánál jelentettek ilyen mellékhatást.  </w:t>
      </w:r>
    </w:p>
    <w:p w14:paraId="255AD138" w14:textId="77777777" w:rsidR="00E9481E" w:rsidRPr="00E9481E" w:rsidRDefault="00E9481E" w:rsidP="00E9481E">
      <w:pPr>
        <w:pStyle w:val="Nincstrkz"/>
        <w:tabs>
          <w:tab w:val="left" w:pos="567"/>
        </w:tabs>
        <w:rPr>
          <w:spacing w:val="2"/>
        </w:rPr>
      </w:pPr>
    </w:p>
    <w:p w14:paraId="28190F03" w14:textId="1D32BABC" w:rsidR="0062581E" w:rsidRPr="0062581E" w:rsidRDefault="004335AB" w:rsidP="00E9481E">
      <w:pPr>
        <w:pStyle w:val="Nincstrkz"/>
        <w:tabs>
          <w:tab w:val="left" w:pos="567"/>
        </w:tabs>
        <w:rPr>
          <w:i/>
          <w:spacing w:val="2"/>
        </w:rPr>
      </w:pPr>
      <w:r>
        <w:rPr>
          <w:i/>
          <w:spacing w:val="2"/>
        </w:rPr>
        <w:t>Különleges</w:t>
      </w:r>
      <w:r w:rsidR="00E9481E" w:rsidRPr="0062581E">
        <w:rPr>
          <w:i/>
          <w:spacing w:val="2"/>
        </w:rPr>
        <w:t xml:space="preserve"> betegcsoportokkal kapcsolatos további információk </w:t>
      </w:r>
    </w:p>
    <w:p w14:paraId="6461AC5F" w14:textId="3E326E1A" w:rsidR="00E9481E" w:rsidRPr="00E9481E" w:rsidRDefault="00E9481E" w:rsidP="00E9481E">
      <w:pPr>
        <w:pStyle w:val="Nincstrkz"/>
        <w:tabs>
          <w:tab w:val="left" w:pos="567"/>
        </w:tabs>
        <w:rPr>
          <w:spacing w:val="2"/>
        </w:rPr>
      </w:pPr>
      <w:r w:rsidRPr="00E9481E">
        <w:rPr>
          <w:spacing w:val="2"/>
        </w:rPr>
        <w:t xml:space="preserve">A klinikai vizsgálatok során bizonyos gyógyszermellékhatások, úgymint a kéz-láb </w:t>
      </w:r>
      <w:r w:rsidR="00B43699">
        <w:rPr>
          <w:spacing w:val="2"/>
        </w:rPr>
        <w:t>szindróma</w:t>
      </w:r>
      <w:r w:rsidRPr="00E9481E">
        <w:rPr>
          <w:spacing w:val="2"/>
        </w:rPr>
        <w:t>, hasmenés, alopecia, test</w:t>
      </w:r>
      <w:r w:rsidR="007A3E47">
        <w:rPr>
          <w:spacing w:val="2"/>
        </w:rPr>
        <w:t>tömegc</w:t>
      </w:r>
      <w:r w:rsidRPr="00E9481E">
        <w:rPr>
          <w:spacing w:val="2"/>
        </w:rPr>
        <w:t xml:space="preserve">sökkenés, hypertonia, hypocalcaemia és keratoacanthoma/a bőr laphámsejtes carcinomája, lényegesen nagyobb gyakorisággal fordultak elő differenciált pajzsmirigy carcinomában szenvedő betegeknél, mint a vesesejtes vagy hepatocellularis carcinomás betegekkel végzett vizsgálatokban. </w:t>
      </w:r>
    </w:p>
    <w:p w14:paraId="121EA0E4" w14:textId="77777777" w:rsidR="00E9481E" w:rsidRPr="00E9481E" w:rsidRDefault="00E9481E" w:rsidP="00E9481E">
      <w:pPr>
        <w:pStyle w:val="Nincstrkz"/>
        <w:tabs>
          <w:tab w:val="left" w:pos="567"/>
        </w:tabs>
        <w:rPr>
          <w:spacing w:val="2"/>
        </w:rPr>
      </w:pPr>
    </w:p>
    <w:p w14:paraId="3C0EFF47" w14:textId="77777777" w:rsidR="00E9481E" w:rsidRPr="0062581E" w:rsidRDefault="00E9481E" w:rsidP="00E9481E">
      <w:pPr>
        <w:pStyle w:val="Nincstrkz"/>
        <w:tabs>
          <w:tab w:val="left" w:pos="567"/>
        </w:tabs>
        <w:rPr>
          <w:spacing w:val="2"/>
          <w:u w:val="single"/>
        </w:rPr>
      </w:pPr>
      <w:r w:rsidRPr="0062581E">
        <w:rPr>
          <w:spacing w:val="2"/>
          <w:u w:val="single"/>
        </w:rPr>
        <w:t xml:space="preserve">Laboratóriumi vizsgálatok eltérései </w:t>
      </w:r>
      <w:r w:rsidR="004C26FA">
        <w:rPr>
          <w:spacing w:val="2"/>
          <w:u w:val="single"/>
        </w:rPr>
        <w:t xml:space="preserve">a </w:t>
      </w:r>
      <w:r w:rsidRPr="0062581E">
        <w:rPr>
          <w:spacing w:val="2"/>
          <w:u w:val="single"/>
        </w:rPr>
        <w:t>HCC-s (3. vizsgálat) és RCC-s (1. vizsgálat) beteg</w:t>
      </w:r>
      <w:r w:rsidR="004C26FA">
        <w:rPr>
          <w:spacing w:val="2"/>
          <w:u w:val="single"/>
        </w:rPr>
        <w:t>ei</w:t>
      </w:r>
      <w:r w:rsidRPr="0062581E">
        <w:rPr>
          <w:spacing w:val="2"/>
          <w:u w:val="single"/>
        </w:rPr>
        <w:t xml:space="preserve"> körében </w:t>
      </w:r>
    </w:p>
    <w:p w14:paraId="26642654" w14:textId="77777777" w:rsidR="00E9481E" w:rsidRPr="00E9481E" w:rsidRDefault="00E9481E" w:rsidP="00E9481E">
      <w:pPr>
        <w:pStyle w:val="Nincstrkz"/>
        <w:tabs>
          <w:tab w:val="left" w:pos="567"/>
        </w:tabs>
        <w:rPr>
          <w:spacing w:val="2"/>
        </w:rPr>
      </w:pPr>
    </w:p>
    <w:p w14:paraId="6B1F2EB1" w14:textId="1A40A245" w:rsidR="00E9481E" w:rsidRPr="00E9481E" w:rsidRDefault="00E9481E" w:rsidP="00E9481E">
      <w:pPr>
        <w:pStyle w:val="Nincstrkz"/>
        <w:tabs>
          <w:tab w:val="left" w:pos="567"/>
        </w:tabs>
        <w:rPr>
          <w:spacing w:val="2"/>
        </w:rPr>
      </w:pPr>
      <w:r w:rsidRPr="00E9481E">
        <w:rPr>
          <w:spacing w:val="2"/>
        </w:rPr>
        <w:t>Gyakran számoltak be emelkedett lipáz- és amilázértékekről. Common Toxicity Criteria Adverse Event (CTCAE</w:t>
      </w:r>
      <w:r w:rsidR="007A3E47">
        <w:rPr>
          <w:spacing w:val="2"/>
        </w:rPr>
        <w:t xml:space="preserve">- </w:t>
      </w:r>
      <w:r w:rsidR="007A3E47">
        <w:t>Mellékhatások közös toxicitási kritériumai</w:t>
      </w:r>
      <w:r w:rsidR="004C26FA">
        <w:t>)</w:t>
      </w:r>
      <w:r w:rsidRPr="00E9481E">
        <w:rPr>
          <w:spacing w:val="2"/>
        </w:rPr>
        <w:t xml:space="preserve"> </w:t>
      </w:r>
      <w:r w:rsidR="007A3E47">
        <w:rPr>
          <w:spacing w:val="2"/>
        </w:rPr>
        <w:t xml:space="preserve">szerinti </w:t>
      </w:r>
      <w:r w:rsidRPr="00E9481E">
        <w:rPr>
          <w:spacing w:val="2"/>
        </w:rPr>
        <w:t>3. és 4. fokú lipázaktivitás</w:t>
      </w:r>
      <w:r w:rsidR="004335AB">
        <w:rPr>
          <w:spacing w:val="2"/>
        </w:rPr>
        <w:t>-</w:t>
      </w:r>
      <w:r w:rsidRPr="00E9481E">
        <w:rPr>
          <w:spacing w:val="2"/>
        </w:rPr>
        <w:t>emelkedés fordult elő a szorafenibbel kezelt csoportban a betegek 11%-ánál az 1. vizsgálatban (RCC) ill. 9%-ánál a 3. vizsgálatban (HCC) szemben a placebocsoportban megfigyelt 7%-kal ill. 9%-kal. CTCAE 3. és 4. fokú amiláz</w:t>
      </w:r>
      <w:r w:rsidR="004C26FA">
        <w:rPr>
          <w:spacing w:val="2"/>
        </w:rPr>
        <w:t>-</w:t>
      </w:r>
      <w:r w:rsidRPr="00E9481E">
        <w:rPr>
          <w:spacing w:val="2"/>
        </w:rPr>
        <w:t>emelkedésről számoltak be a szorafenibbel kezelt csoportban a betegek 1%-ánál az 1. vizsgálatban ill. 2%-ánál a 3. vizsgálatban. szemben a mindkét placebocsoportban megfigyelt 3%-kal. Az 1. vizsgálatban klinikai pancreatitis megjelenéséről számoltak be a 451</w:t>
      </w:r>
      <w:r w:rsidR="004A0AD6">
        <w:rPr>
          <w:spacing w:val="2"/>
        </w:rPr>
        <w:t>,</w:t>
      </w:r>
      <w:r w:rsidRPr="00E9481E">
        <w:rPr>
          <w:spacing w:val="2"/>
        </w:rPr>
        <w:t xml:space="preserve"> szorafenib-kezelésben részesülő beteg közül 2 esetben (CTCAE 4. fokú), míg a 3.vizsgálatban 297</w:t>
      </w:r>
      <w:r w:rsidR="00DA69CC">
        <w:rPr>
          <w:spacing w:val="2"/>
        </w:rPr>
        <w:t>,</w:t>
      </w:r>
      <w:r w:rsidRPr="00E9481E">
        <w:rPr>
          <w:spacing w:val="2"/>
        </w:rPr>
        <w:t xml:space="preserve"> szorafenib-kezelésben részesülő beteg közül 1 esetben (CTCAE 2. fokú), illetve az 1.vizsgálat placebocsoportjában 451 beteg közül 1 esetben (CTCAE 2. fokú). </w:t>
      </w:r>
    </w:p>
    <w:p w14:paraId="264F35C3" w14:textId="77777777" w:rsidR="00E9481E" w:rsidRPr="00E9481E" w:rsidRDefault="00E9481E" w:rsidP="00E9481E">
      <w:pPr>
        <w:pStyle w:val="Nincstrkz"/>
        <w:tabs>
          <w:tab w:val="left" w:pos="567"/>
        </w:tabs>
        <w:rPr>
          <w:spacing w:val="2"/>
        </w:rPr>
      </w:pPr>
    </w:p>
    <w:p w14:paraId="47CE3E40" w14:textId="7762F81C" w:rsidR="00E9481E" w:rsidRPr="00E9481E" w:rsidRDefault="00E9481E" w:rsidP="00E9481E">
      <w:pPr>
        <w:pStyle w:val="Nincstrkz"/>
        <w:tabs>
          <w:tab w:val="left" w:pos="567"/>
        </w:tabs>
        <w:rPr>
          <w:spacing w:val="2"/>
        </w:rPr>
      </w:pPr>
      <w:r w:rsidRPr="00E9481E">
        <w:rPr>
          <w:spacing w:val="2"/>
        </w:rPr>
        <w:t>A hypophosphataemia nagyon gyakran volt megfigyelhető a laboratóriumi vizsgálatok során, a szorafenibbel kezelt betegek 45%-ánál, ill. 35%-ánál fordult elő az 1. és a 3. vizsgálatban, szemben a placebót kapó csoport 12%-ával, ill. 11%-ával az 1. és a 3. vizsgálatban. CTCAE 3. fokú hypophosphataemia (1-2 mg/dl) az 1. vizsgálatban a szorafenibbel kezelt csoportban a betegek 13%</w:t>
      </w:r>
      <w:r w:rsidR="00073E16">
        <w:rPr>
          <w:spacing w:val="2"/>
        </w:rPr>
        <w:noBreakHyphen/>
      </w:r>
      <w:r w:rsidRPr="00E9481E">
        <w:rPr>
          <w:spacing w:val="2"/>
        </w:rPr>
        <w:t>ánál, illetve a placebocsoportban lévő betegek 3%-ánál fordult elő, míg a 3. vizsgálatban a szorafenibbel kezelt csoportban a betegek 11%-ánál, illetve a placebocsoportban lévő betegek 2%</w:t>
      </w:r>
      <w:r w:rsidR="00073E16">
        <w:rPr>
          <w:spacing w:val="2"/>
        </w:rPr>
        <w:noBreakHyphen/>
      </w:r>
      <w:r w:rsidRPr="00E9481E">
        <w:rPr>
          <w:spacing w:val="2"/>
        </w:rPr>
        <w:t xml:space="preserve">ánál fordult elő. CTCAE 4. fokú hypophosphataemiáról (&lt; 1 mg/dl) az 1. vizsgálatban sem a szorafenibbel kezelt csoportban, sem a placebocsoportban nem számoltak be, míg a 3. vizsgálatban a placebocsoportban 1 eset fordult elő. A szorafenib-kezelés alatt fellépő hypophosphataemia </w:t>
      </w:r>
      <w:r w:rsidR="002541F8">
        <w:rPr>
          <w:spacing w:val="2"/>
        </w:rPr>
        <w:t>etiológiája</w:t>
      </w:r>
      <w:r w:rsidRPr="00E9481E">
        <w:rPr>
          <w:spacing w:val="2"/>
        </w:rPr>
        <w:t xml:space="preserve"> ismeretlen. </w:t>
      </w:r>
    </w:p>
    <w:p w14:paraId="4E36F0DF" w14:textId="77777777" w:rsidR="00E9481E" w:rsidRPr="00E9481E" w:rsidRDefault="00E9481E" w:rsidP="00E9481E">
      <w:pPr>
        <w:pStyle w:val="Nincstrkz"/>
        <w:tabs>
          <w:tab w:val="left" w:pos="567"/>
        </w:tabs>
        <w:rPr>
          <w:spacing w:val="2"/>
        </w:rPr>
      </w:pPr>
    </w:p>
    <w:p w14:paraId="2CC369C3" w14:textId="77777777" w:rsidR="00E9481E" w:rsidRPr="00E9481E" w:rsidRDefault="00E9481E" w:rsidP="00E9481E">
      <w:pPr>
        <w:pStyle w:val="Nincstrkz"/>
        <w:tabs>
          <w:tab w:val="left" w:pos="567"/>
        </w:tabs>
        <w:rPr>
          <w:spacing w:val="2"/>
        </w:rPr>
      </w:pPr>
      <w:r w:rsidRPr="00E9481E">
        <w:rPr>
          <w:spacing w:val="2"/>
        </w:rPr>
        <w:t>CTCAE 3</w:t>
      </w:r>
      <w:r w:rsidR="00466256">
        <w:rPr>
          <w:spacing w:val="2"/>
        </w:rPr>
        <w:t>-as</w:t>
      </w:r>
      <w:r w:rsidRPr="00E9481E">
        <w:rPr>
          <w:spacing w:val="2"/>
        </w:rPr>
        <w:t xml:space="preserve"> és 4</w:t>
      </w:r>
      <w:r w:rsidR="00466256">
        <w:rPr>
          <w:spacing w:val="2"/>
        </w:rPr>
        <w:t>-es</w:t>
      </w:r>
      <w:r w:rsidRPr="00E9481E">
        <w:rPr>
          <w:spacing w:val="2"/>
        </w:rPr>
        <w:t xml:space="preserve"> fok</w:t>
      </w:r>
      <w:r w:rsidR="00466256">
        <w:rPr>
          <w:spacing w:val="2"/>
        </w:rPr>
        <w:t>ozat</w:t>
      </w:r>
      <w:r w:rsidRPr="00E9481E">
        <w:rPr>
          <w:spacing w:val="2"/>
        </w:rPr>
        <w:t xml:space="preserve">ú laboratóriumi eltérések a szorafenibbel kezelt betegek ≥ 5%-ánál fordultak elő, beleértve a lymphopeniát és a neutropeniát. </w:t>
      </w:r>
    </w:p>
    <w:p w14:paraId="5FBD3401" w14:textId="77777777" w:rsidR="00E9481E" w:rsidRPr="00E9481E" w:rsidRDefault="00E9481E" w:rsidP="00E9481E">
      <w:pPr>
        <w:pStyle w:val="Nincstrkz"/>
        <w:tabs>
          <w:tab w:val="left" w:pos="567"/>
        </w:tabs>
        <w:rPr>
          <w:spacing w:val="2"/>
        </w:rPr>
      </w:pPr>
    </w:p>
    <w:p w14:paraId="78810637" w14:textId="77777777" w:rsidR="00E9481E" w:rsidRPr="00E9481E" w:rsidRDefault="00E9481E" w:rsidP="00E9481E">
      <w:pPr>
        <w:pStyle w:val="Nincstrkz"/>
        <w:tabs>
          <w:tab w:val="left" w:pos="567"/>
        </w:tabs>
        <w:rPr>
          <w:spacing w:val="2"/>
        </w:rPr>
      </w:pPr>
      <w:r w:rsidRPr="00E9481E">
        <w:rPr>
          <w:spacing w:val="2"/>
        </w:rPr>
        <w:t>Hypocalcaemiáról az 1. és 3. vizsgálatok során a szorafenibbel kezelt betegek 12%-ánál és 26,5%</w:t>
      </w:r>
      <w:r w:rsidR="00466256">
        <w:rPr>
          <w:spacing w:val="2"/>
        </w:rPr>
        <w:noBreakHyphen/>
      </w:r>
      <w:r w:rsidRPr="00E9481E">
        <w:rPr>
          <w:spacing w:val="2"/>
        </w:rPr>
        <w:t xml:space="preserve">ánál, míg a placebóval kezelt betegek 7,5%-ánál illetve 14,8%-ánál számoltak be. A jelentett hypocalcaemia többnyire enyhe fokú volt (CTCAE 1. és 2. fokú). CTCAE 3. fokú hypocalcaemia az 1. és 3. vizsgálatok során (6,0-7,0 mg/dl) a szorafenibbel kezelt betegek 1,1%-ánál és 1,8%-ánál, míg a placebóval kezelt betegek 0,2%-ánál és 1,1%-ánál, míg 4. fokú hypocalcaemia (&lt;6,0 mg/dl) a szorafenibbel kezelt betegek 1,1%-ánál és 0,4%-ánál és a placebóval kezelt betegek 0,5%-ánál és 0%-ánál fordult elő. A szorafenibbel kapcsolatos hypocalcaemia etiológiája nem ismert. </w:t>
      </w:r>
    </w:p>
    <w:p w14:paraId="08D875DA" w14:textId="77777777" w:rsidR="00E9481E" w:rsidRPr="00E9481E" w:rsidRDefault="00E9481E" w:rsidP="00E9481E">
      <w:pPr>
        <w:pStyle w:val="Nincstrkz"/>
        <w:tabs>
          <w:tab w:val="left" w:pos="567"/>
        </w:tabs>
        <w:rPr>
          <w:spacing w:val="2"/>
        </w:rPr>
      </w:pPr>
    </w:p>
    <w:p w14:paraId="732DE80F" w14:textId="713D4F0F" w:rsidR="00E9481E" w:rsidRPr="00E9481E" w:rsidRDefault="00E9481E" w:rsidP="00E9481E">
      <w:pPr>
        <w:pStyle w:val="Nincstrkz"/>
        <w:tabs>
          <w:tab w:val="left" w:pos="567"/>
        </w:tabs>
        <w:rPr>
          <w:spacing w:val="2"/>
        </w:rPr>
      </w:pPr>
      <w:r w:rsidRPr="00E9481E">
        <w:rPr>
          <w:spacing w:val="2"/>
        </w:rPr>
        <w:t>Az 1. és 3. vizsgálatban csökkent káliumszintet figyeltek meg a szorafenibbel kezelt betegek 5,4 illetve 9,5%-ánál, míg a</w:t>
      </w:r>
      <w:r w:rsidR="00466256">
        <w:rPr>
          <w:spacing w:val="2"/>
        </w:rPr>
        <w:t xml:space="preserve">zoknál, akik </w:t>
      </w:r>
      <w:r w:rsidRPr="00E9481E">
        <w:rPr>
          <w:spacing w:val="2"/>
        </w:rPr>
        <w:t>placebót kap</w:t>
      </w:r>
      <w:r w:rsidR="00466256">
        <w:rPr>
          <w:spacing w:val="2"/>
        </w:rPr>
        <w:t>tak,</w:t>
      </w:r>
      <w:r w:rsidRPr="00E9481E">
        <w:rPr>
          <w:spacing w:val="2"/>
        </w:rPr>
        <w:t xml:space="preserve"> ez az érték sorrendben 0,7 és 5,9% volt. A jelentett hypokalaemiás esetek többnyire enyhe fokúak voltak (CTCAE 1. fokú). Ezekben a vizsgálatokban CTCAE 3. fokú hypokalaemia a szorafenibbel kezelt betegk 1,1 és 0,4%-ánál, míg a placebocsoportban a betegek 0,2 és 0,7%-ánál lépett fel. CTCAE 4. fokú hypokalaemiáról nem számoltak be. </w:t>
      </w:r>
    </w:p>
    <w:p w14:paraId="432C8CAC" w14:textId="77777777" w:rsidR="00E9481E" w:rsidRDefault="00E9481E" w:rsidP="00E9481E">
      <w:pPr>
        <w:pStyle w:val="Nincstrkz"/>
        <w:tabs>
          <w:tab w:val="left" w:pos="567"/>
        </w:tabs>
        <w:rPr>
          <w:spacing w:val="2"/>
        </w:rPr>
      </w:pPr>
    </w:p>
    <w:p w14:paraId="02F59BF2" w14:textId="77777777" w:rsidR="002D3BCB" w:rsidRPr="00226383" w:rsidRDefault="002D3BCB" w:rsidP="002D3BCB">
      <w:pPr>
        <w:pStyle w:val="Nincstrkz"/>
        <w:tabs>
          <w:tab w:val="left" w:pos="567"/>
        </w:tabs>
        <w:rPr>
          <w:spacing w:val="2"/>
          <w:u w:val="single"/>
        </w:rPr>
      </w:pPr>
      <w:r w:rsidRPr="00226383">
        <w:rPr>
          <w:spacing w:val="2"/>
          <w:u w:val="single"/>
        </w:rPr>
        <w:t>Laboratóriumi vizsgálatok eltérései DTC-s betegeknél (5. vizsgálat)</w:t>
      </w:r>
    </w:p>
    <w:p w14:paraId="7C5F9862" w14:textId="77777777" w:rsidR="002D3BCB" w:rsidRDefault="002D3BCB" w:rsidP="002D3BCB">
      <w:pPr>
        <w:pStyle w:val="Nincstrkz"/>
        <w:tabs>
          <w:tab w:val="left" w:pos="567"/>
        </w:tabs>
        <w:rPr>
          <w:spacing w:val="2"/>
        </w:rPr>
      </w:pPr>
    </w:p>
    <w:p w14:paraId="236C572D" w14:textId="4C4B35E6" w:rsidR="002D3BCB" w:rsidRPr="002D3BCB" w:rsidRDefault="002D3BCB" w:rsidP="002D3BCB">
      <w:pPr>
        <w:pStyle w:val="Nincstrkz"/>
        <w:tabs>
          <w:tab w:val="left" w:pos="567"/>
        </w:tabs>
        <w:rPr>
          <w:spacing w:val="2"/>
        </w:rPr>
      </w:pPr>
      <w:r w:rsidRPr="002D3BCB">
        <w:rPr>
          <w:spacing w:val="2"/>
        </w:rPr>
        <w:t>A szorafenibbel kezelt betegek 35,7%-ánál számoltak be hypocalcaemiáról, míg a placebóval kezelt betegeknél ez az arány 11,0% volt. A hypocalcaemiás esetek többsége enyhe fokú volt. A CTCAE szerinti 3. fokú hypocalcaemia a szorafenibbel kezelt betegek 6,8%-ánál, míg a placebo csoport betegeinek 1,9%-ánál fordult elő, továbbá a CTCAE szerinti 4. fokú hypocalcaemia a szorafenibbel kezelt betegek 3,4%-ánál, míg a placebo csoport betegeinek 1,0%-ánál fordult elő.</w:t>
      </w:r>
    </w:p>
    <w:p w14:paraId="5E6D2960" w14:textId="77777777" w:rsidR="002D3BCB" w:rsidRDefault="002D3BCB" w:rsidP="002D3BCB">
      <w:pPr>
        <w:pStyle w:val="Nincstrkz"/>
        <w:tabs>
          <w:tab w:val="left" w:pos="567"/>
        </w:tabs>
        <w:rPr>
          <w:spacing w:val="2"/>
        </w:rPr>
      </w:pPr>
    </w:p>
    <w:p w14:paraId="74B426A2" w14:textId="7BEA1679" w:rsidR="002D3BCB" w:rsidRDefault="002D3BCB" w:rsidP="002D3BCB">
      <w:pPr>
        <w:pStyle w:val="Nincstrkz"/>
        <w:tabs>
          <w:tab w:val="left" w:pos="567"/>
        </w:tabs>
        <w:rPr>
          <w:spacing w:val="2"/>
        </w:rPr>
      </w:pPr>
      <w:r w:rsidRPr="002D3BCB">
        <w:rPr>
          <w:spacing w:val="2"/>
        </w:rPr>
        <w:t>Az 5. vizsgálat során észlelt és klinikailag releváns egyéb laboratóriumi eltérések a 2. táblázatban kerülnek feltüntetésre.</w:t>
      </w:r>
    </w:p>
    <w:p w14:paraId="0DFA9FF0" w14:textId="77777777" w:rsidR="002D3BCB" w:rsidRDefault="002D3BCB" w:rsidP="002D3BCB">
      <w:pPr>
        <w:pStyle w:val="Nincstrkz"/>
        <w:tabs>
          <w:tab w:val="left" w:pos="567"/>
        </w:tabs>
        <w:rPr>
          <w:spacing w:val="2"/>
        </w:rPr>
      </w:pPr>
    </w:p>
    <w:p w14:paraId="715AF06B" w14:textId="5F17AE99" w:rsidR="002D3BCB" w:rsidRDefault="002D3BCB" w:rsidP="00226383">
      <w:pPr>
        <w:pStyle w:val="Nincstrkz"/>
        <w:numPr>
          <w:ilvl w:val="0"/>
          <w:numId w:val="4"/>
        </w:numPr>
        <w:tabs>
          <w:tab w:val="left" w:pos="567"/>
        </w:tabs>
        <w:ind w:left="567" w:hanging="567"/>
        <w:rPr>
          <w:spacing w:val="2"/>
        </w:rPr>
      </w:pPr>
      <w:r w:rsidRPr="002D3BCB">
        <w:rPr>
          <w:b/>
          <w:bCs/>
          <w:spacing w:val="2"/>
        </w:rPr>
        <w:t>táblázat: DTC-s betegeknél (5. vizsgálat), a kettős-vak időszakban jelentett, a kezeléssel összefüggésben fellépő laboratóriumi vizsgálati eltérések</w:t>
      </w:r>
    </w:p>
    <w:p w14:paraId="0B7847C6" w14:textId="77777777" w:rsidR="002D3BCB" w:rsidRDefault="002D3BCB" w:rsidP="002D3BCB">
      <w:pPr>
        <w:pStyle w:val="Nincstrkz"/>
        <w:tabs>
          <w:tab w:val="left" w:pos="567"/>
        </w:tabs>
        <w:rPr>
          <w:spacing w:val="2"/>
        </w:rPr>
      </w:pPr>
    </w:p>
    <w:tbl>
      <w:tblPr>
        <w:tblW w:w="89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5"/>
        <w:gridCol w:w="1134"/>
        <w:gridCol w:w="851"/>
        <w:gridCol w:w="850"/>
        <w:gridCol w:w="1276"/>
        <w:gridCol w:w="992"/>
        <w:gridCol w:w="993"/>
      </w:tblGrid>
      <w:tr w:rsidR="004E5D72" w:rsidRPr="004E5D72" w14:paraId="73F23A8D" w14:textId="77777777" w:rsidTr="00226383">
        <w:trPr>
          <w:trHeight w:val="253"/>
        </w:trPr>
        <w:tc>
          <w:tcPr>
            <w:tcW w:w="2835" w:type="dxa"/>
            <w:vMerge w:val="restart"/>
            <w:tcBorders>
              <w:bottom w:val="single" w:sz="4" w:space="0" w:color="000000"/>
              <w:right w:val="single" w:sz="4" w:space="0" w:color="000000"/>
            </w:tcBorders>
            <w:vAlign w:val="center"/>
          </w:tcPr>
          <w:p w14:paraId="296DA149" w14:textId="40357A83" w:rsidR="004E5D72" w:rsidRPr="00226383" w:rsidRDefault="004E5D72" w:rsidP="00226383">
            <w:pPr>
              <w:pStyle w:val="Default"/>
              <w:jc w:val="center"/>
            </w:pPr>
            <w:r>
              <w:rPr>
                <w:sz w:val="22"/>
                <w:szCs w:val="22"/>
              </w:rPr>
              <w:t>Laboratóriumi paraméter, (a vizsgált minták %-ában)</w:t>
            </w:r>
          </w:p>
        </w:tc>
        <w:tc>
          <w:tcPr>
            <w:tcW w:w="2835" w:type="dxa"/>
            <w:gridSpan w:val="3"/>
            <w:tcBorders>
              <w:left w:val="single" w:sz="4" w:space="0" w:color="000000"/>
              <w:bottom w:val="single" w:sz="4" w:space="0" w:color="000000"/>
              <w:right w:val="single" w:sz="4" w:space="0" w:color="000000"/>
            </w:tcBorders>
          </w:tcPr>
          <w:p w14:paraId="6DD124E4" w14:textId="28BD09E6" w:rsidR="004E5D72" w:rsidRPr="004E5D72" w:rsidRDefault="004E5D72" w:rsidP="004E5D72">
            <w:pPr>
              <w:keepNext/>
              <w:widowControl w:val="0"/>
              <w:autoSpaceDE w:val="0"/>
              <w:autoSpaceDN w:val="0"/>
              <w:spacing w:after="0" w:line="234" w:lineRule="exact"/>
              <w:ind w:left="654"/>
              <w:rPr>
                <w:rFonts w:ascii="Times New Roman" w:eastAsia="Times New Roman" w:hAnsi="Times New Roman" w:cs="Times New Roman"/>
                <w:lang w:val="en-US" w:bidi="en-US"/>
              </w:rPr>
            </w:pPr>
            <w:proofErr w:type="spellStart"/>
            <w:r w:rsidRPr="004E5D72">
              <w:rPr>
                <w:rFonts w:ascii="Times New Roman" w:eastAsia="Times New Roman" w:hAnsi="Times New Roman" w:cs="Times New Roman"/>
                <w:lang w:val="en-US" w:bidi="en-US"/>
              </w:rPr>
              <w:t>S</w:t>
            </w:r>
            <w:r>
              <w:rPr>
                <w:rFonts w:ascii="Times New Roman" w:eastAsia="Times New Roman" w:hAnsi="Times New Roman" w:cs="Times New Roman"/>
                <w:lang w:val="en-US" w:bidi="en-US"/>
              </w:rPr>
              <w:t>z</w:t>
            </w:r>
            <w:r w:rsidRPr="004E5D72">
              <w:rPr>
                <w:rFonts w:ascii="Times New Roman" w:eastAsia="Times New Roman" w:hAnsi="Times New Roman" w:cs="Times New Roman"/>
                <w:lang w:val="en-US" w:bidi="en-US"/>
              </w:rPr>
              <w:t>orafenib</w:t>
            </w:r>
            <w:proofErr w:type="spellEnd"/>
            <w:r w:rsidRPr="004E5D72">
              <w:rPr>
                <w:rFonts w:ascii="Times New Roman" w:eastAsia="Times New Roman" w:hAnsi="Times New Roman" w:cs="Times New Roman"/>
                <w:lang w:val="en-US" w:bidi="en-US"/>
              </w:rPr>
              <w:t xml:space="preserve"> N=207</w:t>
            </w:r>
          </w:p>
        </w:tc>
        <w:tc>
          <w:tcPr>
            <w:tcW w:w="3261" w:type="dxa"/>
            <w:gridSpan w:val="3"/>
            <w:tcBorders>
              <w:left w:val="single" w:sz="4" w:space="0" w:color="000000"/>
              <w:bottom w:val="single" w:sz="4" w:space="0" w:color="000000"/>
              <w:right w:val="single" w:sz="4" w:space="0" w:color="000000"/>
            </w:tcBorders>
          </w:tcPr>
          <w:p w14:paraId="0B812196" w14:textId="77777777" w:rsidR="004E5D72" w:rsidRPr="004E5D72" w:rsidRDefault="004E5D72" w:rsidP="004E5D72">
            <w:pPr>
              <w:keepNext/>
              <w:widowControl w:val="0"/>
              <w:autoSpaceDE w:val="0"/>
              <w:autoSpaceDN w:val="0"/>
              <w:spacing w:after="0" w:line="234" w:lineRule="exact"/>
              <w:ind w:left="748"/>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Placebo N=209</w:t>
            </w:r>
          </w:p>
        </w:tc>
      </w:tr>
      <w:tr w:rsidR="009C19E3" w:rsidRPr="004E5D72" w14:paraId="42F124D5" w14:textId="77777777" w:rsidTr="00226383">
        <w:trPr>
          <w:trHeight w:val="664"/>
        </w:trPr>
        <w:tc>
          <w:tcPr>
            <w:tcW w:w="2835" w:type="dxa"/>
            <w:vMerge/>
            <w:tcBorders>
              <w:top w:val="nil"/>
              <w:bottom w:val="single" w:sz="4" w:space="0" w:color="000000"/>
              <w:right w:val="single" w:sz="4" w:space="0" w:color="000000"/>
            </w:tcBorders>
          </w:tcPr>
          <w:p w14:paraId="2EBD22DE" w14:textId="77777777" w:rsidR="004E5D72" w:rsidRPr="004E5D72" w:rsidRDefault="004E5D72" w:rsidP="004E5D72">
            <w:pPr>
              <w:keepNext/>
              <w:tabs>
                <w:tab w:val="left" w:pos="567"/>
              </w:tabs>
              <w:spacing w:after="0" w:line="260" w:lineRule="exact"/>
              <w:rPr>
                <w:rFonts w:ascii="Times New Roman" w:eastAsia="Times New Roman" w:hAnsi="Times New Roman" w:cs="Times New Roman"/>
                <w:sz w:val="2"/>
                <w:szCs w:val="2"/>
                <w:lang w:val="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EF6B01" w14:textId="582D6732" w:rsidR="004E5D72" w:rsidRPr="00226383" w:rsidRDefault="004E5D72" w:rsidP="00226383">
            <w:pPr>
              <w:pStyle w:val="Default"/>
              <w:jc w:val="center"/>
            </w:pPr>
            <w:r>
              <w:rPr>
                <w:sz w:val="22"/>
                <w:szCs w:val="22"/>
              </w:rPr>
              <w:t>Összes súlyossági fok*</w:t>
            </w:r>
          </w:p>
        </w:tc>
        <w:tc>
          <w:tcPr>
            <w:tcW w:w="851" w:type="dxa"/>
            <w:tcBorders>
              <w:top w:val="single" w:sz="4" w:space="0" w:color="000000"/>
              <w:left w:val="single" w:sz="4" w:space="0" w:color="000000"/>
              <w:bottom w:val="single" w:sz="4" w:space="0" w:color="000000"/>
              <w:right w:val="single" w:sz="4" w:space="0" w:color="000000"/>
            </w:tcBorders>
            <w:vAlign w:val="center"/>
          </w:tcPr>
          <w:p w14:paraId="03E8BC5D" w14:textId="537FCCF6" w:rsidR="004E5D72" w:rsidRPr="00226383" w:rsidRDefault="004E5D72" w:rsidP="00226383">
            <w:pPr>
              <w:pStyle w:val="Default"/>
              <w:jc w:val="center"/>
            </w:pPr>
            <w:r>
              <w:rPr>
                <w:sz w:val="22"/>
                <w:szCs w:val="22"/>
              </w:rPr>
              <w:t>3. fokú*</w:t>
            </w:r>
          </w:p>
        </w:tc>
        <w:tc>
          <w:tcPr>
            <w:tcW w:w="850" w:type="dxa"/>
            <w:tcBorders>
              <w:top w:val="single" w:sz="4" w:space="0" w:color="000000"/>
              <w:left w:val="single" w:sz="4" w:space="0" w:color="000000"/>
              <w:bottom w:val="single" w:sz="4" w:space="0" w:color="000000"/>
              <w:right w:val="single" w:sz="4" w:space="0" w:color="000000"/>
            </w:tcBorders>
            <w:vAlign w:val="center"/>
          </w:tcPr>
          <w:p w14:paraId="128EFBB4" w14:textId="5820EFFD" w:rsidR="004E5D72" w:rsidRPr="00226383" w:rsidRDefault="004E5D72" w:rsidP="00226383">
            <w:pPr>
              <w:pStyle w:val="Default"/>
              <w:jc w:val="center"/>
            </w:pPr>
            <w:r>
              <w:rPr>
                <w:sz w:val="22"/>
                <w:szCs w:val="22"/>
              </w:rPr>
              <w:t>4. fokú*</w:t>
            </w:r>
          </w:p>
        </w:tc>
        <w:tc>
          <w:tcPr>
            <w:tcW w:w="1276" w:type="dxa"/>
            <w:tcBorders>
              <w:top w:val="single" w:sz="4" w:space="0" w:color="000000"/>
              <w:left w:val="single" w:sz="4" w:space="0" w:color="000000"/>
              <w:bottom w:val="single" w:sz="4" w:space="0" w:color="000000"/>
              <w:right w:val="single" w:sz="4" w:space="0" w:color="000000"/>
            </w:tcBorders>
            <w:vAlign w:val="center"/>
          </w:tcPr>
          <w:p w14:paraId="125AD98C" w14:textId="0D4CE6B0" w:rsidR="004E5D72" w:rsidRPr="004E5D72" w:rsidRDefault="004E5D72" w:rsidP="00226383">
            <w:pPr>
              <w:keepNext/>
              <w:widowControl w:val="0"/>
              <w:autoSpaceDE w:val="0"/>
              <w:autoSpaceDN w:val="0"/>
              <w:spacing w:before="77" w:after="0" w:line="240" w:lineRule="auto"/>
              <w:ind w:left="159" w:right="135"/>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bidi="en-US"/>
              </w:rPr>
              <w:t>Össz</w:t>
            </w:r>
            <w:r>
              <w:rPr>
                <w:rFonts w:ascii="Times New Roman" w:eastAsia="Times New Roman" w:hAnsi="Times New Roman" w:cs="Times New Roman"/>
                <w:lang w:bidi="en-US"/>
              </w:rPr>
              <w:t>e</w:t>
            </w:r>
            <w:r w:rsidRPr="004E5D72">
              <w:rPr>
                <w:rFonts w:ascii="Times New Roman" w:eastAsia="Times New Roman" w:hAnsi="Times New Roman" w:cs="Times New Roman"/>
                <w:lang w:bidi="en-US"/>
              </w:rPr>
              <w:t>s súlyossági fok*</w:t>
            </w:r>
          </w:p>
        </w:tc>
        <w:tc>
          <w:tcPr>
            <w:tcW w:w="992" w:type="dxa"/>
            <w:tcBorders>
              <w:top w:val="single" w:sz="4" w:space="0" w:color="000000"/>
              <w:left w:val="single" w:sz="4" w:space="0" w:color="000000"/>
              <w:bottom w:val="single" w:sz="4" w:space="0" w:color="000000"/>
              <w:right w:val="single" w:sz="4" w:space="0" w:color="000000"/>
            </w:tcBorders>
            <w:vAlign w:val="center"/>
          </w:tcPr>
          <w:p w14:paraId="42588954" w14:textId="7EA665F4" w:rsidR="004E5D72" w:rsidRPr="004E5D72" w:rsidRDefault="009C19E3" w:rsidP="00226383">
            <w:pPr>
              <w:keepNext/>
              <w:widowControl w:val="0"/>
              <w:autoSpaceDE w:val="0"/>
              <w:autoSpaceDN w:val="0"/>
              <w:spacing w:before="77" w:after="0" w:line="240" w:lineRule="auto"/>
              <w:ind w:right="181"/>
              <w:jc w:val="center"/>
              <w:rPr>
                <w:rFonts w:ascii="Times New Roman" w:eastAsia="Times New Roman" w:hAnsi="Times New Roman" w:cs="Times New Roman"/>
                <w:lang w:val="en-US" w:bidi="en-US"/>
              </w:rPr>
            </w:pPr>
            <w:r w:rsidRPr="009C19E3">
              <w:rPr>
                <w:rFonts w:ascii="Times New Roman" w:eastAsia="Times New Roman" w:hAnsi="Times New Roman" w:cs="Times New Roman"/>
                <w:lang w:bidi="en-US"/>
              </w:rPr>
              <w:t>3. fokú*</w:t>
            </w:r>
          </w:p>
        </w:tc>
        <w:tc>
          <w:tcPr>
            <w:tcW w:w="993" w:type="dxa"/>
            <w:tcBorders>
              <w:top w:val="single" w:sz="4" w:space="0" w:color="000000"/>
              <w:left w:val="single" w:sz="4" w:space="0" w:color="000000"/>
              <w:bottom w:val="single" w:sz="4" w:space="0" w:color="000000"/>
              <w:right w:val="single" w:sz="4" w:space="0" w:color="000000"/>
            </w:tcBorders>
            <w:vAlign w:val="center"/>
          </w:tcPr>
          <w:p w14:paraId="59994191" w14:textId="50F12A08" w:rsidR="004E5D72" w:rsidRPr="004E5D72" w:rsidRDefault="009C19E3" w:rsidP="00226383">
            <w:pPr>
              <w:keepNext/>
              <w:widowControl w:val="0"/>
              <w:autoSpaceDE w:val="0"/>
              <w:autoSpaceDN w:val="0"/>
              <w:spacing w:before="77" w:after="0" w:line="240" w:lineRule="auto"/>
              <w:ind w:right="121"/>
              <w:jc w:val="center"/>
              <w:rPr>
                <w:rFonts w:ascii="Times New Roman" w:eastAsia="Times New Roman" w:hAnsi="Times New Roman" w:cs="Times New Roman"/>
                <w:lang w:val="en-US" w:bidi="en-US"/>
              </w:rPr>
            </w:pPr>
            <w:r>
              <w:rPr>
                <w:rFonts w:ascii="Times New Roman" w:eastAsia="Times New Roman" w:hAnsi="Times New Roman" w:cs="Times New Roman"/>
                <w:lang w:val="en-US" w:bidi="en-US"/>
              </w:rPr>
              <w:t xml:space="preserve">4. </w:t>
            </w:r>
            <w:r w:rsidRPr="00226383">
              <w:rPr>
                <w:rFonts w:ascii="Times New Roman" w:eastAsia="Times New Roman" w:hAnsi="Times New Roman" w:cs="Times New Roman"/>
                <w:lang w:bidi="en-US"/>
              </w:rPr>
              <w:t>fokú</w:t>
            </w:r>
            <w:r w:rsidR="004E5D72" w:rsidRPr="004E5D72">
              <w:rPr>
                <w:rFonts w:ascii="Times New Roman" w:eastAsia="Times New Roman" w:hAnsi="Times New Roman" w:cs="Times New Roman"/>
                <w:lang w:val="en-US" w:bidi="en-US"/>
              </w:rPr>
              <w:t>*</w:t>
            </w:r>
          </w:p>
        </w:tc>
      </w:tr>
      <w:tr w:rsidR="004E5D72" w:rsidRPr="004E5D72" w14:paraId="1F726F6E" w14:textId="77777777" w:rsidTr="00226383">
        <w:trPr>
          <w:trHeight w:val="404"/>
        </w:trPr>
        <w:tc>
          <w:tcPr>
            <w:tcW w:w="8931" w:type="dxa"/>
            <w:gridSpan w:val="7"/>
            <w:tcBorders>
              <w:top w:val="single" w:sz="4" w:space="0" w:color="000000"/>
              <w:left w:val="single" w:sz="4" w:space="0" w:color="000000"/>
              <w:bottom w:val="single" w:sz="4" w:space="0" w:color="000000"/>
              <w:right w:val="single" w:sz="4" w:space="0" w:color="000000"/>
            </w:tcBorders>
          </w:tcPr>
          <w:p w14:paraId="183E0C81" w14:textId="61D80961" w:rsidR="004E5D72" w:rsidRPr="00226383" w:rsidRDefault="009C19E3" w:rsidP="004E5D72">
            <w:pPr>
              <w:keepNext/>
              <w:widowControl w:val="0"/>
              <w:autoSpaceDE w:val="0"/>
              <w:autoSpaceDN w:val="0"/>
              <w:spacing w:before="22" w:after="0" w:line="240" w:lineRule="auto"/>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Vérképzőszervi és nyirokrendszeri betegségek és tünetek</w:t>
            </w:r>
          </w:p>
        </w:tc>
      </w:tr>
      <w:tr w:rsidR="009C19E3" w:rsidRPr="004E5D72" w14:paraId="20AA85A9" w14:textId="77777777" w:rsidTr="00226383">
        <w:trPr>
          <w:trHeight w:val="261"/>
        </w:trPr>
        <w:tc>
          <w:tcPr>
            <w:tcW w:w="2835" w:type="dxa"/>
            <w:tcBorders>
              <w:top w:val="single" w:sz="4" w:space="0" w:color="000000"/>
              <w:left w:val="single" w:sz="4" w:space="0" w:color="000000"/>
              <w:bottom w:val="single" w:sz="4" w:space="0" w:color="000000"/>
              <w:right w:val="single" w:sz="4" w:space="0" w:color="000000"/>
            </w:tcBorders>
          </w:tcPr>
          <w:p w14:paraId="04299C24" w14:textId="77777777" w:rsidR="004E5D72" w:rsidRPr="004E5D72" w:rsidRDefault="004E5D72" w:rsidP="004E5D72">
            <w:pPr>
              <w:widowControl w:val="0"/>
              <w:autoSpaceDE w:val="0"/>
              <w:autoSpaceDN w:val="0"/>
              <w:spacing w:after="0" w:line="241" w:lineRule="exact"/>
              <w:ind w:left="110"/>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Anemia</w:t>
            </w:r>
          </w:p>
        </w:tc>
        <w:tc>
          <w:tcPr>
            <w:tcW w:w="1134" w:type="dxa"/>
            <w:tcBorders>
              <w:top w:val="single" w:sz="4" w:space="0" w:color="000000"/>
              <w:left w:val="single" w:sz="4" w:space="0" w:color="000000"/>
              <w:bottom w:val="single" w:sz="4" w:space="0" w:color="000000"/>
              <w:right w:val="single" w:sz="4" w:space="0" w:color="000000"/>
            </w:tcBorders>
          </w:tcPr>
          <w:p w14:paraId="4B57C800" w14:textId="77777777" w:rsidR="004E5D72" w:rsidRPr="004E5D72" w:rsidRDefault="004E5D72" w:rsidP="004E5D72">
            <w:pPr>
              <w:widowControl w:val="0"/>
              <w:autoSpaceDE w:val="0"/>
              <w:autoSpaceDN w:val="0"/>
              <w:spacing w:before="3" w:after="0" w:line="238"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30.9</w:t>
            </w:r>
          </w:p>
        </w:tc>
        <w:tc>
          <w:tcPr>
            <w:tcW w:w="851" w:type="dxa"/>
            <w:tcBorders>
              <w:top w:val="single" w:sz="4" w:space="0" w:color="000000"/>
              <w:left w:val="single" w:sz="4" w:space="0" w:color="000000"/>
              <w:bottom w:val="single" w:sz="4" w:space="0" w:color="000000"/>
              <w:right w:val="single" w:sz="4" w:space="0" w:color="000000"/>
            </w:tcBorders>
          </w:tcPr>
          <w:p w14:paraId="01A08750" w14:textId="77777777" w:rsidR="004E5D72" w:rsidRPr="004E5D72" w:rsidRDefault="004E5D72" w:rsidP="004E5D72">
            <w:pPr>
              <w:widowControl w:val="0"/>
              <w:autoSpaceDE w:val="0"/>
              <w:autoSpaceDN w:val="0"/>
              <w:spacing w:before="3" w:after="0" w:line="238"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850" w:type="dxa"/>
            <w:tcBorders>
              <w:top w:val="single" w:sz="4" w:space="0" w:color="000000"/>
              <w:left w:val="single" w:sz="4" w:space="0" w:color="000000"/>
              <w:bottom w:val="single" w:sz="4" w:space="0" w:color="000000"/>
              <w:right w:val="single" w:sz="4" w:space="0" w:color="000000"/>
            </w:tcBorders>
          </w:tcPr>
          <w:p w14:paraId="0673BD57" w14:textId="77777777" w:rsidR="004E5D72" w:rsidRPr="004E5D72" w:rsidRDefault="004E5D72" w:rsidP="004E5D72">
            <w:pPr>
              <w:widowControl w:val="0"/>
              <w:autoSpaceDE w:val="0"/>
              <w:autoSpaceDN w:val="0"/>
              <w:spacing w:before="3" w:after="0" w:line="238" w:lineRule="exact"/>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21336BB4" w14:textId="77777777" w:rsidR="004E5D72" w:rsidRPr="004E5D72" w:rsidRDefault="004E5D72" w:rsidP="004E5D72">
            <w:pPr>
              <w:widowControl w:val="0"/>
              <w:autoSpaceDE w:val="0"/>
              <w:autoSpaceDN w:val="0"/>
              <w:spacing w:before="3" w:after="0" w:line="238" w:lineRule="exact"/>
              <w:ind w:left="315"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23.4</w:t>
            </w:r>
          </w:p>
        </w:tc>
        <w:tc>
          <w:tcPr>
            <w:tcW w:w="992" w:type="dxa"/>
            <w:tcBorders>
              <w:top w:val="single" w:sz="4" w:space="0" w:color="000000"/>
              <w:left w:val="single" w:sz="4" w:space="0" w:color="000000"/>
              <w:bottom w:val="single" w:sz="4" w:space="0" w:color="000000"/>
              <w:right w:val="single" w:sz="4" w:space="0" w:color="000000"/>
            </w:tcBorders>
            <w:vAlign w:val="center"/>
          </w:tcPr>
          <w:p w14:paraId="4CB7A719" w14:textId="77777777" w:rsidR="004E5D72" w:rsidRPr="004E5D72" w:rsidRDefault="004E5D72" w:rsidP="00226383">
            <w:pPr>
              <w:widowControl w:val="0"/>
              <w:autoSpaceDE w:val="0"/>
              <w:autoSpaceDN w:val="0"/>
              <w:spacing w:before="3" w:after="0" w:line="238" w:lineRule="exact"/>
              <w:ind w:left="315"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993" w:type="dxa"/>
            <w:tcBorders>
              <w:top w:val="single" w:sz="4" w:space="0" w:color="000000"/>
              <w:left w:val="single" w:sz="4" w:space="0" w:color="000000"/>
              <w:bottom w:val="single" w:sz="4" w:space="0" w:color="000000"/>
              <w:right w:val="single" w:sz="4" w:space="0" w:color="000000"/>
            </w:tcBorders>
          </w:tcPr>
          <w:p w14:paraId="3C92484E" w14:textId="77777777" w:rsidR="004E5D72" w:rsidRPr="004E5D72" w:rsidRDefault="004E5D72" w:rsidP="004E5D72">
            <w:pPr>
              <w:widowControl w:val="0"/>
              <w:autoSpaceDE w:val="0"/>
              <w:autoSpaceDN w:val="0"/>
              <w:spacing w:before="3" w:after="0" w:line="238" w:lineRule="exact"/>
              <w:ind w:right="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6C5D8004" w14:textId="77777777" w:rsidTr="00226383">
        <w:trPr>
          <w:trHeight w:val="275"/>
        </w:trPr>
        <w:tc>
          <w:tcPr>
            <w:tcW w:w="2835" w:type="dxa"/>
            <w:tcBorders>
              <w:top w:val="single" w:sz="4" w:space="0" w:color="000000"/>
              <w:left w:val="single" w:sz="4" w:space="0" w:color="000000"/>
              <w:bottom w:val="single" w:sz="4" w:space="0" w:color="000000"/>
              <w:right w:val="single" w:sz="4" w:space="0" w:color="000000"/>
            </w:tcBorders>
          </w:tcPr>
          <w:p w14:paraId="5CFADFD6" w14:textId="77777777" w:rsidR="004E5D72" w:rsidRPr="004E5D72" w:rsidRDefault="004E5D72" w:rsidP="004E5D72">
            <w:pPr>
              <w:widowControl w:val="0"/>
              <w:autoSpaceDE w:val="0"/>
              <w:autoSpaceDN w:val="0"/>
              <w:spacing w:after="0" w:line="251" w:lineRule="exact"/>
              <w:ind w:left="110"/>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Thrombocytopenia</w:t>
            </w:r>
          </w:p>
        </w:tc>
        <w:tc>
          <w:tcPr>
            <w:tcW w:w="1134" w:type="dxa"/>
            <w:tcBorders>
              <w:top w:val="single" w:sz="4" w:space="0" w:color="000000"/>
              <w:left w:val="single" w:sz="4" w:space="0" w:color="000000"/>
              <w:bottom w:val="single" w:sz="4" w:space="0" w:color="000000"/>
              <w:right w:val="single" w:sz="4" w:space="0" w:color="000000"/>
            </w:tcBorders>
          </w:tcPr>
          <w:p w14:paraId="1F6A0E21" w14:textId="77777777" w:rsidR="004E5D72" w:rsidRPr="004E5D72" w:rsidRDefault="004E5D72" w:rsidP="004E5D72">
            <w:pPr>
              <w:widowControl w:val="0"/>
              <w:autoSpaceDE w:val="0"/>
              <w:autoSpaceDN w:val="0"/>
              <w:spacing w:before="10" w:after="0" w:line="245"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18.4</w:t>
            </w:r>
          </w:p>
        </w:tc>
        <w:tc>
          <w:tcPr>
            <w:tcW w:w="851" w:type="dxa"/>
            <w:tcBorders>
              <w:top w:val="single" w:sz="4" w:space="0" w:color="000000"/>
              <w:left w:val="single" w:sz="4" w:space="0" w:color="000000"/>
              <w:bottom w:val="single" w:sz="4" w:space="0" w:color="000000"/>
              <w:right w:val="single" w:sz="4" w:space="0" w:color="000000"/>
            </w:tcBorders>
          </w:tcPr>
          <w:p w14:paraId="42ACC55B" w14:textId="77777777" w:rsidR="004E5D72" w:rsidRPr="004E5D72" w:rsidRDefault="004E5D72" w:rsidP="004E5D72">
            <w:pPr>
              <w:widowControl w:val="0"/>
              <w:autoSpaceDE w:val="0"/>
              <w:autoSpaceDN w:val="0"/>
              <w:spacing w:before="10" w:after="0" w:line="245" w:lineRule="exact"/>
              <w:ind w:left="8"/>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850" w:type="dxa"/>
            <w:tcBorders>
              <w:top w:val="single" w:sz="4" w:space="0" w:color="000000"/>
              <w:left w:val="single" w:sz="4" w:space="0" w:color="000000"/>
              <w:bottom w:val="single" w:sz="4" w:space="0" w:color="000000"/>
              <w:right w:val="single" w:sz="4" w:space="0" w:color="000000"/>
            </w:tcBorders>
          </w:tcPr>
          <w:p w14:paraId="791C04D4" w14:textId="77777777" w:rsidR="004E5D72" w:rsidRPr="004E5D72" w:rsidRDefault="004E5D72" w:rsidP="004E5D72">
            <w:pPr>
              <w:widowControl w:val="0"/>
              <w:autoSpaceDE w:val="0"/>
              <w:autoSpaceDN w:val="0"/>
              <w:spacing w:before="10" w:after="0" w:line="245" w:lineRule="exact"/>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42F231E0" w14:textId="77777777" w:rsidR="004E5D72" w:rsidRPr="004E5D72" w:rsidRDefault="004E5D72" w:rsidP="004E5D72">
            <w:pPr>
              <w:widowControl w:val="0"/>
              <w:autoSpaceDE w:val="0"/>
              <w:autoSpaceDN w:val="0"/>
              <w:spacing w:before="10" w:after="0" w:line="245" w:lineRule="exact"/>
              <w:ind w:left="312"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9.6</w:t>
            </w:r>
          </w:p>
        </w:tc>
        <w:tc>
          <w:tcPr>
            <w:tcW w:w="992" w:type="dxa"/>
            <w:tcBorders>
              <w:top w:val="single" w:sz="4" w:space="0" w:color="000000"/>
              <w:left w:val="single" w:sz="4" w:space="0" w:color="000000"/>
              <w:bottom w:val="single" w:sz="4" w:space="0" w:color="000000"/>
              <w:right w:val="single" w:sz="4" w:space="0" w:color="000000"/>
            </w:tcBorders>
          </w:tcPr>
          <w:p w14:paraId="607037C3" w14:textId="77777777" w:rsidR="004E5D72" w:rsidRPr="004E5D72" w:rsidRDefault="004E5D72" w:rsidP="004E5D72">
            <w:pPr>
              <w:widowControl w:val="0"/>
              <w:autoSpaceDE w:val="0"/>
              <w:autoSpaceDN w:val="0"/>
              <w:spacing w:before="10" w:after="0" w:line="245" w:lineRule="exact"/>
              <w:ind w:left="1"/>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4C18286E" w14:textId="77777777" w:rsidR="004E5D72" w:rsidRPr="004E5D72" w:rsidRDefault="004E5D72" w:rsidP="004E5D72">
            <w:pPr>
              <w:widowControl w:val="0"/>
              <w:autoSpaceDE w:val="0"/>
              <w:autoSpaceDN w:val="0"/>
              <w:spacing w:before="10" w:after="0" w:line="245" w:lineRule="exact"/>
              <w:ind w:right="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40F70A2E" w14:textId="77777777" w:rsidTr="00226383">
        <w:trPr>
          <w:trHeight w:val="277"/>
        </w:trPr>
        <w:tc>
          <w:tcPr>
            <w:tcW w:w="2835" w:type="dxa"/>
            <w:tcBorders>
              <w:top w:val="single" w:sz="4" w:space="0" w:color="000000"/>
              <w:left w:val="single" w:sz="4" w:space="0" w:color="000000"/>
              <w:bottom w:val="single" w:sz="4" w:space="0" w:color="000000"/>
              <w:right w:val="single" w:sz="4" w:space="0" w:color="000000"/>
            </w:tcBorders>
          </w:tcPr>
          <w:p w14:paraId="39D46B75" w14:textId="77777777" w:rsidR="004E5D72" w:rsidRPr="004E5D72" w:rsidRDefault="004E5D72" w:rsidP="004E5D72">
            <w:pPr>
              <w:widowControl w:val="0"/>
              <w:autoSpaceDE w:val="0"/>
              <w:autoSpaceDN w:val="0"/>
              <w:spacing w:after="0" w:line="251" w:lineRule="exact"/>
              <w:ind w:left="110"/>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Neutropenia</w:t>
            </w:r>
          </w:p>
        </w:tc>
        <w:tc>
          <w:tcPr>
            <w:tcW w:w="1134" w:type="dxa"/>
            <w:tcBorders>
              <w:top w:val="single" w:sz="4" w:space="0" w:color="000000"/>
              <w:left w:val="single" w:sz="4" w:space="0" w:color="000000"/>
              <w:bottom w:val="single" w:sz="4" w:space="0" w:color="000000"/>
              <w:right w:val="single" w:sz="4" w:space="0" w:color="000000"/>
            </w:tcBorders>
          </w:tcPr>
          <w:p w14:paraId="252B4863" w14:textId="77777777" w:rsidR="004E5D72" w:rsidRPr="004E5D72" w:rsidRDefault="004E5D72" w:rsidP="004E5D72">
            <w:pPr>
              <w:widowControl w:val="0"/>
              <w:autoSpaceDE w:val="0"/>
              <w:autoSpaceDN w:val="0"/>
              <w:spacing w:before="10" w:after="0" w:line="248"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19.8</w:t>
            </w:r>
          </w:p>
        </w:tc>
        <w:tc>
          <w:tcPr>
            <w:tcW w:w="851" w:type="dxa"/>
            <w:tcBorders>
              <w:top w:val="single" w:sz="4" w:space="0" w:color="000000"/>
              <w:left w:val="single" w:sz="4" w:space="0" w:color="000000"/>
              <w:bottom w:val="single" w:sz="4" w:space="0" w:color="000000"/>
              <w:right w:val="single" w:sz="4" w:space="0" w:color="000000"/>
            </w:tcBorders>
          </w:tcPr>
          <w:p w14:paraId="0884D27D" w14:textId="77777777" w:rsidR="004E5D72" w:rsidRPr="004E5D72" w:rsidRDefault="004E5D72" w:rsidP="004E5D72">
            <w:pPr>
              <w:widowControl w:val="0"/>
              <w:autoSpaceDE w:val="0"/>
              <w:autoSpaceDN w:val="0"/>
              <w:spacing w:before="10" w:after="0" w:line="248"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850" w:type="dxa"/>
            <w:tcBorders>
              <w:top w:val="single" w:sz="4" w:space="0" w:color="000000"/>
              <w:left w:val="single" w:sz="4" w:space="0" w:color="000000"/>
              <w:bottom w:val="single" w:sz="4" w:space="0" w:color="000000"/>
              <w:right w:val="single" w:sz="4" w:space="0" w:color="000000"/>
            </w:tcBorders>
          </w:tcPr>
          <w:p w14:paraId="6A8BB4B0" w14:textId="77777777" w:rsidR="004E5D72" w:rsidRPr="004E5D72" w:rsidRDefault="004E5D72" w:rsidP="004E5D72">
            <w:pPr>
              <w:widowControl w:val="0"/>
              <w:autoSpaceDE w:val="0"/>
              <w:autoSpaceDN w:val="0"/>
              <w:spacing w:before="10" w:after="0" w:line="248" w:lineRule="exact"/>
              <w:ind w:left="266" w:right="26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1276" w:type="dxa"/>
            <w:tcBorders>
              <w:top w:val="single" w:sz="4" w:space="0" w:color="000000"/>
              <w:left w:val="single" w:sz="4" w:space="0" w:color="000000"/>
              <w:bottom w:val="single" w:sz="4" w:space="0" w:color="000000"/>
              <w:right w:val="single" w:sz="4" w:space="0" w:color="000000"/>
            </w:tcBorders>
          </w:tcPr>
          <w:p w14:paraId="0C9FB562" w14:textId="77777777" w:rsidR="004E5D72" w:rsidRPr="004E5D72" w:rsidRDefault="004E5D72" w:rsidP="004E5D72">
            <w:pPr>
              <w:widowControl w:val="0"/>
              <w:autoSpaceDE w:val="0"/>
              <w:autoSpaceDN w:val="0"/>
              <w:spacing w:before="10" w:after="0" w:line="248" w:lineRule="exact"/>
              <w:ind w:left="314"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12</w:t>
            </w:r>
          </w:p>
        </w:tc>
        <w:tc>
          <w:tcPr>
            <w:tcW w:w="992" w:type="dxa"/>
            <w:tcBorders>
              <w:top w:val="single" w:sz="4" w:space="0" w:color="000000"/>
              <w:left w:val="single" w:sz="4" w:space="0" w:color="000000"/>
              <w:bottom w:val="single" w:sz="4" w:space="0" w:color="000000"/>
              <w:right w:val="single" w:sz="4" w:space="0" w:color="000000"/>
            </w:tcBorders>
          </w:tcPr>
          <w:p w14:paraId="65FE243A" w14:textId="77777777" w:rsidR="004E5D72" w:rsidRPr="004E5D72" w:rsidRDefault="004E5D72" w:rsidP="004E5D72">
            <w:pPr>
              <w:widowControl w:val="0"/>
              <w:autoSpaceDE w:val="0"/>
              <w:autoSpaceDN w:val="0"/>
              <w:spacing w:before="10" w:after="0" w:line="248" w:lineRule="exact"/>
              <w:ind w:left="1"/>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61C0A4AD" w14:textId="77777777" w:rsidR="004E5D72" w:rsidRPr="004E5D72" w:rsidRDefault="004E5D72" w:rsidP="004E5D72">
            <w:pPr>
              <w:widowControl w:val="0"/>
              <w:autoSpaceDE w:val="0"/>
              <w:autoSpaceDN w:val="0"/>
              <w:spacing w:before="10" w:after="0" w:line="248" w:lineRule="exact"/>
              <w:ind w:right="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5AA483F9" w14:textId="77777777" w:rsidTr="00226383">
        <w:trPr>
          <w:trHeight w:val="278"/>
        </w:trPr>
        <w:tc>
          <w:tcPr>
            <w:tcW w:w="2835" w:type="dxa"/>
            <w:tcBorders>
              <w:top w:val="single" w:sz="4" w:space="0" w:color="000000"/>
              <w:left w:val="single" w:sz="4" w:space="0" w:color="000000"/>
              <w:bottom w:val="single" w:sz="4" w:space="0" w:color="000000"/>
              <w:right w:val="single" w:sz="4" w:space="0" w:color="000000"/>
            </w:tcBorders>
          </w:tcPr>
          <w:p w14:paraId="13683066" w14:textId="77777777" w:rsidR="004E5D72" w:rsidRPr="004E5D72" w:rsidRDefault="004E5D72" w:rsidP="004E5D72">
            <w:pPr>
              <w:widowControl w:val="0"/>
              <w:autoSpaceDE w:val="0"/>
              <w:autoSpaceDN w:val="0"/>
              <w:spacing w:after="0" w:line="252" w:lineRule="exact"/>
              <w:ind w:left="110"/>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Lymphopenia</w:t>
            </w:r>
          </w:p>
        </w:tc>
        <w:tc>
          <w:tcPr>
            <w:tcW w:w="1134" w:type="dxa"/>
            <w:tcBorders>
              <w:top w:val="single" w:sz="4" w:space="0" w:color="000000"/>
              <w:left w:val="single" w:sz="4" w:space="0" w:color="000000"/>
              <w:bottom w:val="single" w:sz="4" w:space="0" w:color="000000"/>
              <w:right w:val="single" w:sz="4" w:space="0" w:color="000000"/>
            </w:tcBorders>
          </w:tcPr>
          <w:p w14:paraId="1F157DC4" w14:textId="77777777" w:rsidR="004E5D72" w:rsidRPr="004E5D72" w:rsidRDefault="004E5D72" w:rsidP="004E5D72">
            <w:pPr>
              <w:widowControl w:val="0"/>
              <w:autoSpaceDE w:val="0"/>
              <w:autoSpaceDN w:val="0"/>
              <w:spacing w:before="11" w:after="0" w:line="248" w:lineRule="exact"/>
              <w:ind w:left="349"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42</w:t>
            </w:r>
          </w:p>
        </w:tc>
        <w:tc>
          <w:tcPr>
            <w:tcW w:w="851" w:type="dxa"/>
            <w:tcBorders>
              <w:top w:val="single" w:sz="4" w:space="0" w:color="000000"/>
              <w:left w:val="single" w:sz="4" w:space="0" w:color="000000"/>
              <w:bottom w:val="single" w:sz="4" w:space="0" w:color="000000"/>
              <w:right w:val="single" w:sz="4" w:space="0" w:color="000000"/>
            </w:tcBorders>
          </w:tcPr>
          <w:p w14:paraId="16869156" w14:textId="77777777" w:rsidR="004E5D72" w:rsidRPr="004E5D72" w:rsidRDefault="004E5D72" w:rsidP="004E5D72">
            <w:pPr>
              <w:widowControl w:val="0"/>
              <w:autoSpaceDE w:val="0"/>
              <w:autoSpaceDN w:val="0"/>
              <w:spacing w:before="11" w:after="0" w:line="248"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9.7</w:t>
            </w:r>
          </w:p>
        </w:tc>
        <w:tc>
          <w:tcPr>
            <w:tcW w:w="850" w:type="dxa"/>
            <w:tcBorders>
              <w:top w:val="single" w:sz="4" w:space="0" w:color="000000"/>
              <w:left w:val="single" w:sz="4" w:space="0" w:color="000000"/>
              <w:bottom w:val="single" w:sz="4" w:space="0" w:color="000000"/>
              <w:right w:val="single" w:sz="4" w:space="0" w:color="000000"/>
            </w:tcBorders>
          </w:tcPr>
          <w:p w14:paraId="43824E82" w14:textId="77777777" w:rsidR="004E5D72" w:rsidRPr="004E5D72" w:rsidRDefault="004E5D72" w:rsidP="004E5D72">
            <w:pPr>
              <w:widowControl w:val="0"/>
              <w:autoSpaceDE w:val="0"/>
              <w:autoSpaceDN w:val="0"/>
              <w:spacing w:before="11" w:after="0" w:line="248" w:lineRule="exact"/>
              <w:ind w:left="266" w:right="26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1276" w:type="dxa"/>
            <w:tcBorders>
              <w:top w:val="single" w:sz="4" w:space="0" w:color="000000"/>
              <w:left w:val="single" w:sz="4" w:space="0" w:color="000000"/>
              <w:bottom w:val="single" w:sz="4" w:space="0" w:color="000000"/>
              <w:right w:val="single" w:sz="4" w:space="0" w:color="000000"/>
            </w:tcBorders>
          </w:tcPr>
          <w:p w14:paraId="790AA8E4" w14:textId="77777777" w:rsidR="004E5D72" w:rsidRPr="004E5D72" w:rsidRDefault="004E5D72" w:rsidP="004E5D72">
            <w:pPr>
              <w:widowControl w:val="0"/>
              <w:autoSpaceDE w:val="0"/>
              <w:autoSpaceDN w:val="0"/>
              <w:spacing w:before="11" w:after="0" w:line="248" w:lineRule="exact"/>
              <w:ind w:left="315"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25.8</w:t>
            </w:r>
          </w:p>
        </w:tc>
        <w:tc>
          <w:tcPr>
            <w:tcW w:w="992" w:type="dxa"/>
            <w:tcBorders>
              <w:top w:val="single" w:sz="4" w:space="0" w:color="000000"/>
              <w:left w:val="single" w:sz="4" w:space="0" w:color="000000"/>
              <w:bottom w:val="single" w:sz="4" w:space="0" w:color="000000"/>
              <w:right w:val="single" w:sz="4" w:space="0" w:color="000000"/>
            </w:tcBorders>
            <w:vAlign w:val="center"/>
          </w:tcPr>
          <w:p w14:paraId="28FE209A" w14:textId="77777777" w:rsidR="004E5D72" w:rsidRPr="004E5D72" w:rsidRDefault="004E5D72" w:rsidP="00226383">
            <w:pPr>
              <w:widowControl w:val="0"/>
              <w:autoSpaceDE w:val="0"/>
              <w:autoSpaceDN w:val="0"/>
              <w:spacing w:before="3" w:after="0" w:line="238" w:lineRule="exact"/>
              <w:ind w:left="315" w:right="30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5.3</w:t>
            </w:r>
          </w:p>
        </w:tc>
        <w:tc>
          <w:tcPr>
            <w:tcW w:w="993" w:type="dxa"/>
            <w:tcBorders>
              <w:top w:val="single" w:sz="4" w:space="0" w:color="000000"/>
              <w:left w:val="single" w:sz="4" w:space="0" w:color="000000"/>
              <w:bottom w:val="single" w:sz="4" w:space="0" w:color="000000"/>
              <w:right w:val="single" w:sz="4" w:space="0" w:color="000000"/>
            </w:tcBorders>
          </w:tcPr>
          <w:p w14:paraId="38356B78" w14:textId="77777777" w:rsidR="004E5D72" w:rsidRPr="004E5D72" w:rsidRDefault="004E5D72" w:rsidP="004E5D72">
            <w:pPr>
              <w:widowControl w:val="0"/>
              <w:autoSpaceDE w:val="0"/>
              <w:autoSpaceDN w:val="0"/>
              <w:spacing w:before="11" w:after="0" w:line="248" w:lineRule="exact"/>
              <w:ind w:right="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4E5D72" w:rsidRPr="004E5D72" w14:paraId="28218BBC" w14:textId="77777777" w:rsidTr="00226383">
        <w:trPr>
          <w:trHeight w:val="515"/>
        </w:trPr>
        <w:tc>
          <w:tcPr>
            <w:tcW w:w="8931" w:type="dxa"/>
            <w:gridSpan w:val="7"/>
            <w:tcBorders>
              <w:top w:val="single" w:sz="4" w:space="0" w:color="000000"/>
              <w:left w:val="single" w:sz="4" w:space="0" w:color="000000"/>
              <w:bottom w:val="single" w:sz="4" w:space="0" w:color="000000"/>
              <w:right w:val="single" w:sz="4" w:space="0" w:color="000000"/>
            </w:tcBorders>
          </w:tcPr>
          <w:p w14:paraId="6D8BD2C4" w14:textId="179C722E" w:rsidR="004E5D72" w:rsidRPr="00226383" w:rsidRDefault="00543664" w:rsidP="004E5D72">
            <w:pPr>
              <w:widowControl w:val="0"/>
              <w:autoSpaceDE w:val="0"/>
              <w:autoSpaceDN w:val="0"/>
              <w:spacing w:before="130" w:after="0" w:line="240" w:lineRule="auto"/>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Anyagcsere- és táplálkozási betegségek és tünetek</w:t>
            </w:r>
          </w:p>
        </w:tc>
      </w:tr>
      <w:tr w:rsidR="009C19E3" w:rsidRPr="004E5D72" w14:paraId="49FA800D" w14:textId="77777777" w:rsidTr="00226383">
        <w:trPr>
          <w:trHeight w:val="457"/>
        </w:trPr>
        <w:tc>
          <w:tcPr>
            <w:tcW w:w="2835" w:type="dxa"/>
            <w:tcBorders>
              <w:top w:val="single" w:sz="4" w:space="0" w:color="000000"/>
              <w:bottom w:val="single" w:sz="4" w:space="0" w:color="000000"/>
              <w:right w:val="single" w:sz="4" w:space="0" w:color="000000"/>
            </w:tcBorders>
          </w:tcPr>
          <w:p w14:paraId="29FA7FBE" w14:textId="77777777" w:rsidR="004E5D72" w:rsidRPr="004E5D72" w:rsidRDefault="004E5D72" w:rsidP="004E5D72">
            <w:pPr>
              <w:widowControl w:val="0"/>
              <w:autoSpaceDE w:val="0"/>
              <w:autoSpaceDN w:val="0"/>
              <w:spacing w:before="101" w:after="0" w:line="240" w:lineRule="auto"/>
              <w:ind w:left="107"/>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Hypokalemia</w:t>
            </w:r>
          </w:p>
        </w:tc>
        <w:tc>
          <w:tcPr>
            <w:tcW w:w="1134" w:type="dxa"/>
            <w:tcBorders>
              <w:top w:val="single" w:sz="4" w:space="0" w:color="000000"/>
              <w:left w:val="single" w:sz="4" w:space="0" w:color="000000"/>
              <w:bottom w:val="single" w:sz="4" w:space="0" w:color="000000"/>
              <w:right w:val="single" w:sz="4" w:space="0" w:color="000000"/>
            </w:tcBorders>
          </w:tcPr>
          <w:p w14:paraId="0A036AB4" w14:textId="77777777" w:rsidR="004E5D72" w:rsidRPr="004E5D72" w:rsidRDefault="004E5D72" w:rsidP="004E5D72">
            <w:pPr>
              <w:widowControl w:val="0"/>
              <w:autoSpaceDE w:val="0"/>
              <w:autoSpaceDN w:val="0"/>
              <w:spacing w:before="101" w:after="0" w:line="240" w:lineRule="auto"/>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17.9</w:t>
            </w:r>
          </w:p>
        </w:tc>
        <w:tc>
          <w:tcPr>
            <w:tcW w:w="851" w:type="dxa"/>
            <w:tcBorders>
              <w:top w:val="single" w:sz="4" w:space="0" w:color="000000"/>
              <w:left w:val="single" w:sz="4" w:space="0" w:color="000000"/>
              <w:bottom w:val="single" w:sz="4" w:space="0" w:color="000000"/>
              <w:right w:val="single" w:sz="4" w:space="0" w:color="000000"/>
            </w:tcBorders>
          </w:tcPr>
          <w:p w14:paraId="4021243A" w14:textId="77777777" w:rsidR="004E5D72" w:rsidRPr="004E5D72" w:rsidRDefault="004E5D72" w:rsidP="004E5D72">
            <w:pPr>
              <w:widowControl w:val="0"/>
              <w:autoSpaceDE w:val="0"/>
              <w:autoSpaceDN w:val="0"/>
              <w:spacing w:before="101" w:after="0" w:line="240" w:lineRule="auto"/>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1.9</w:t>
            </w:r>
          </w:p>
        </w:tc>
        <w:tc>
          <w:tcPr>
            <w:tcW w:w="850" w:type="dxa"/>
            <w:tcBorders>
              <w:top w:val="single" w:sz="4" w:space="0" w:color="000000"/>
              <w:left w:val="single" w:sz="4" w:space="0" w:color="000000"/>
              <w:bottom w:val="single" w:sz="4" w:space="0" w:color="000000"/>
              <w:right w:val="single" w:sz="4" w:space="0" w:color="000000"/>
            </w:tcBorders>
          </w:tcPr>
          <w:p w14:paraId="52779EAF" w14:textId="77777777" w:rsidR="004E5D72" w:rsidRPr="004E5D72" w:rsidRDefault="004E5D72" w:rsidP="004E5D72">
            <w:pPr>
              <w:widowControl w:val="0"/>
              <w:autoSpaceDE w:val="0"/>
              <w:autoSpaceDN w:val="0"/>
              <w:spacing w:before="101" w:after="0" w:line="240" w:lineRule="auto"/>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520F82B4" w14:textId="77777777" w:rsidR="004E5D72" w:rsidRPr="004E5D72" w:rsidRDefault="004E5D72" w:rsidP="004E5D72">
            <w:pPr>
              <w:widowControl w:val="0"/>
              <w:autoSpaceDE w:val="0"/>
              <w:autoSpaceDN w:val="0"/>
              <w:spacing w:before="101" w:after="0" w:line="240" w:lineRule="auto"/>
              <w:ind w:left="385"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2.4</w:t>
            </w:r>
          </w:p>
        </w:tc>
        <w:tc>
          <w:tcPr>
            <w:tcW w:w="992" w:type="dxa"/>
            <w:tcBorders>
              <w:top w:val="single" w:sz="4" w:space="0" w:color="000000"/>
              <w:left w:val="single" w:sz="4" w:space="0" w:color="000000"/>
              <w:bottom w:val="single" w:sz="4" w:space="0" w:color="000000"/>
              <w:right w:val="single" w:sz="4" w:space="0" w:color="000000"/>
            </w:tcBorders>
          </w:tcPr>
          <w:p w14:paraId="38161925" w14:textId="77777777" w:rsidR="004E5D72" w:rsidRPr="004E5D72" w:rsidRDefault="004E5D72" w:rsidP="004E5D72">
            <w:pPr>
              <w:widowControl w:val="0"/>
              <w:autoSpaceDE w:val="0"/>
              <w:autoSpaceDN w:val="0"/>
              <w:spacing w:before="101" w:after="0" w:line="240" w:lineRule="auto"/>
              <w:ind w:right="65"/>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42CF6D8B" w14:textId="77777777" w:rsidR="004E5D72" w:rsidRPr="004E5D72" w:rsidRDefault="004E5D72" w:rsidP="004E5D72">
            <w:pPr>
              <w:widowControl w:val="0"/>
              <w:autoSpaceDE w:val="0"/>
              <w:autoSpaceDN w:val="0"/>
              <w:spacing w:before="101" w:after="0" w:line="240" w:lineRule="auto"/>
              <w:ind w:right="70"/>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68C2B674" w14:textId="77777777" w:rsidTr="00226383">
        <w:trPr>
          <w:trHeight w:val="290"/>
        </w:trPr>
        <w:tc>
          <w:tcPr>
            <w:tcW w:w="2835" w:type="dxa"/>
            <w:tcBorders>
              <w:top w:val="single" w:sz="4" w:space="0" w:color="000000"/>
              <w:bottom w:val="single" w:sz="4" w:space="0" w:color="000000"/>
              <w:right w:val="single" w:sz="4" w:space="0" w:color="000000"/>
            </w:tcBorders>
          </w:tcPr>
          <w:p w14:paraId="60F865FE" w14:textId="77777777" w:rsidR="004E5D72" w:rsidRPr="004E5D72" w:rsidRDefault="004E5D72" w:rsidP="004E5D72">
            <w:pPr>
              <w:widowControl w:val="0"/>
              <w:autoSpaceDE w:val="0"/>
              <w:autoSpaceDN w:val="0"/>
              <w:spacing w:before="17" w:after="0" w:line="252" w:lineRule="exact"/>
              <w:ind w:left="107"/>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Hypophosphatemia**</w:t>
            </w:r>
          </w:p>
        </w:tc>
        <w:tc>
          <w:tcPr>
            <w:tcW w:w="1134" w:type="dxa"/>
            <w:tcBorders>
              <w:top w:val="single" w:sz="4" w:space="0" w:color="000000"/>
              <w:left w:val="single" w:sz="4" w:space="0" w:color="000000"/>
              <w:bottom w:val="single" w:sz="4" w:space="0" w:color="000000"/>
              <w:right w:val="single" w:sz="4" w:space="0" w:color="000000"/>
            </w:tcBorders>
          </w:tcPr>
          <w:p w14:paraId="346D9C8A" w14:textId="77777777" w:rsidR="004E5D72" w:rsidRPr="004E5D72" w:rsidRDefault="004E5D72" w:rsidP="004E5D72">
            <w:pPr>
              <w:widowControl w:val="0"/>
              <w:autoSpaceDE w:val="0"/>
              <w:autoSpaceDN w:val="0"/>
              <w:spacing w:before="17" w:after="0" w:line="252"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19.3</w:t>
            </w:r>
          </w:p>
        </w:tc>
        <w:tc>
          <w:tcPr>
            <w:tcW w:w="851" w:type="dxa"/>
            <w:tcBorders>
              <w:top w:val="single" w:sz="4" w:space="0" w:color="000000"/>
              <w:left w:val="single" w:sz="4" w:space="0" w:color="000000"/>
              <w:bottom w:val="single" w:sz="4" w:space="0" w:color="000000"/>
              <w:right w:val="single" w:sz="4" w:space="0" w:color="000000"/>
            </w:tcBorders>
          </w:tcPr>
          <w:p w14:paraId="6C1B16BF" w14:textId="77777777" w:rsidR="004E5D72" w:rsidRPr="004E5D72" w:rsidRDefault="004E5D72" w:rsidP="004E5D72">
            <w:pPr>
              <w:widowControl w:val="0"/>
              <w:autoSpaceDE w:val="0"/>
              <w:autoSpaceDN w:val="0"/>
              <w:spacing w:before="17" w:after="0" w:line="252" w:lineRule="exact"/>
              <w:ind w:right="220"/>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12.6</w:t>
            </w:r>
          </w:p>
        </w:tc>
        <w:tc>
          <w:tcPr>
            <w:tcW w:w="850" w:type="dxa"/>
            <w:tcBorders>
              <w:top w:val="single" w:sz="4" w:space="0" w:color="000000"/>
              <w:left w:val="single" w:sz="4" w:space="0" w:color="000000"/>
              <w:bottom w:val="single" w:sz="4" w:space="0" w:color="000000"/>
              <w:right w:val="single" w:sz="4" w:space="0" w:color="000000"/>
            </w:tcBorders>
          </w:tcPr>
          <w:p w14:paraId="66449B90" w14:textId="77777777" w:rsidR="004E5D72" w:rsidRPr="004E5D72" w:rsidRDefault="004E5D72" w:rsidP="004E5D72">
            <w:pPr>
              <w:widowControl w:val="0"/>
              <w:autoSpaceDE w:val="0"/>
              <w:autoSpaceDN w:val="0"/>
              <w:spacing w:before="17" w:after="0" w:line="252" w:lineRule="exact"/>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7110DF04" w14:textId="77777777" w:rsidR="004E5D72" w:rsidRPr="004E5D72" w:rsidRDefault="004E5D72" w:rsidP="004E5D72">
            <w:pPr>
              <w:widowControl w:val="0"/>
              <w:autoSpaceDE w:val="0"/>
              <w:autoSpaceDN w:val="0"/>
              <w:spacing w:before="17" w:after="0" w:line="252" w:lineRule="exact"/>
              <w:ind w:left="385"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2.4</w:t>
            </w:r>
          </w:p>
        </w:tc>
        <w:tc>
          <w:tcPr>
            <w:tcW w:w="992" w:type="dxa"/>
            <w:tcBorders>
              <w:top w:val="single" w:sz="4" w:space="0" w:color="000000"/>
              <w:left w:val="single" w:sz="4" w:space="0" w:color="000000"/>
              <w:bottom w:val="single" w:sz="4" w:space="0" w:color="000000"/>
              <w:right w:val="single" w:sz="4" w:space="0" w:color="000000"/>
            </w:tcBorders>
          </w:tcPr>
          <w:p w14:paraId="2F489863" w14:textId="77777777" w:rsidR="004E5D72" w:rsidRPr="004E5D72" w:rsidRDefault="004E5D72" w:rsidP="004E5D72">
            <w:pPr>
              <w:widowControl w:val="0"/>
              <w:autoSpaceDE w:val="0"/>
              <w:autoSpaceDN w:val="0"/>
              <w:spacing w:before="17" w:after="0" w:line="252" w:lineRule="exact"/>
              <w:ind w:right="296"/>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1.4</w:t>
            </w:r>
          </w:p>
        </w:tc>
        <w:tc>
          <w:tcPr>
            <w:tcW w:w="993" w:type="dxa"/>
            <w:tcBorders>
              <w:top w:val="single" w:sz="4" w:space="0" w:color="000000"/>
              <w:left w:val="single" w:sz="4" w:space="0" w:color="000000"/>
              <w:bottom w:val="single" w:sz="4" w:space="0" w:color="000000"/>
              <w:right w:val="single" w:sz="4" w:space="0" w:color="000000"/>
            </w:tcBorders>
          </w:tcPr>
          <w:p w14:paraId="0F0AD23A" w14:textId="77777777" w:rsidR="004E5D72" w:rsidRPr="004E5D72" w:rsidRDefault="004E5D72" w:rsidP="004E5D72">
            <w:pPr>
              <w:widowControl w:val="0"/>
              <w:autoSpaceDE w:val="0"/>
              <w:autoSpaceDN w:val="0"/>
              <w:spacing w:before="17" w:after="0" w:line="252" w:lineRule="exact"/>
              <w:ind w:right="70"/>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4E5D72" w:rsidRPr="004E5D72" w14:paraId="276C783B" w14:textId="77777777" w:rsidTr="00226383">
        <w:trPr>
          <w:trHeight w:val="282"/>
        </w:trPr>
        <w:tc>
          <w:tcPr>
            <w:tcW w:w="8931" w:type="dxa"/>
            <w:gridSpan w:val="7"/>
            <w:tcBorders>
              <w:top w:val="single" w:sz="4" w:space="0" w:color="000000"/>
              <w:left w:val="single" w:sz="4" w:space="0" w:color="000000"/>
              <w:bottom w:val="single" w:sz="4" w:space="0" w:color="000000"/>
              <w:right w:val="single" w:sz="4" w:space="0" w:color="000000"/>
            </w:tcBorders>
          </w:tcPr>
          <w:p w14:paraId="1C02831C" w14:textId="4F81A9A4" w:rsidR="004E5D72" w:rsidRPr="00226383" w:rsidRDefault="00543664" w:rsidP="004E5D72">
            <w:pPr>
              <w:widowControl w:val="0"/>
              <w:autoSpaceDE w:val="0"/>
              <w:autoSpaceDN w:val="0"/>
              <w:spacing w:after="0" w:line="251"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Máj- és epebetegségek, illetve tünetek</w:t>
            </w:r>
          </w:p>
        </w:tc>
      </w:tr>
      <w:tr w:rsidR="009C19E3" w:rsidRPr="004E5D72" w14:paraId="7076B276" w14:textId="77777777" w:rsidTr="00226383">
        <w:trPr>
          <w:trHeight w:val="325"/>
        </w:trPr>
        <w:tc>
          <w:tcPr>
            <w:tcW w:w="2835" w:type="dxa"/>
            <w:tcBorders>
              <w:top w:val="single" w:sz="4" w:space="0" w:color="000000"/>
              <w:left w:val="single" w:sz="4" w:space="0" w:color="000000"/>
              <w:bottom w:val="single" w:sz="4" w:space="0" w:color="000000"/>
              <w:right w:val="single" w:sz="4" w:space="0" w:color="000000"/>
            </w:tcBorders>
          </w:tcPr>
          <w:p w14:paraId="074D259C" w14:textId="32A8A49D" w:rsidR="004E5D72" w:rsidRPr="00226383" w:rsidRDefault="00543664" w:rsidP="004E5D72">
            <w:pPr>
              <w:widowControl w:val="0"/>
              <w:autoSpaceDE w:val="0"/>
              <w:autoSpaceDN w:val="0"/>
              <w:spacing w:after="0" w:line="251"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Emelkedett bilirubinszint</w:t>
            </w:r>
          </w:p>
        </w:tc>
        <w:tc>
          <w:tcPr>
            <w:tcW w:w="1134" w:type="dxa"/>
            <w:tcBorders>
              <w:top w:val="single" w:sz="4" w:space="0" w:color="000000"/>
              <w:left w:val="single" w:sz="4" w:space="0" w:color="000000"/>
              <w:bottom w:val="single" w:sz="4" w:space="0" w:color="000000"/>
              <w:right w:val="single" w:sz="4" w:space="0" w:color="000000"/>
            </w:tcBorders>
          </w:tcPr>
          <w:p w14:paraId="35A891A9" w14:textId="77777777" w:rsidR="004E5D72" w:rsidRPr="004E5D72" w:rsidRDefault="004E5D72" w:rsidP="004E5D72">
            <w:pPr>
              <w:widowControl w:val="0"/>
              <w:autoSpaceDE w:val="0"/>
              <w:autoSpaceDN w:val="0"/>
              <w:spacing w:after="0" w:line="251"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8.7</w:t>
            </w:r>
          </w:p>
        </w:tc>
        <w:tc>
          <w:tcPr>
            <w:tcW w:w="851" w:type="dxa"/>
            <w:tcBorders>
              <w:top w:val="single" w:sz="4" w:space="0" w:color="000000"/>
              <w:left w:val="single" w:sz="4" w:space="0" w:color="000000"/>
              <w:bottom w:val="single" w:sz="4" w:space="0" w:color="000000"/>
              <w:right w:val="single" w:sz="4" w:space="0" w:color="000000"/>
            </w:tcBorders>
          </w:tcPr>
          <w:p w14:paraId="1EE8DEE2" w14:textId="77777777" w:rsidR="004E5D72" w:rsidRPr="004E5D72" w:rsidRDefault="004E5D72" w:rsidP="004E5D72">
            <w:pPr>
              <w:widowControl w:val="0"/>
              <w:autoSpaceDE w:val="0"/>
              <w:autoSpaceDN w:val="0"/>
              <w:spacing w:before="34" w:after="0" w:line="240" w:lineRule="auto"/>
              <w:ind w:left="8"/>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850" w:type="dxa"/>
            <w:tcBorders>
              <w:top w:val="single" w:sz="4" w:space="0" w:color="000000"/>
              <w:left w:val="single" w:sz="4" w:space="0" w:color="000000"/>
              <w:bottom w:val="single" w:sz="4" w:space="0" w:color="000000"/>
              <w:right w:val="single" w:sz="4" w:space="0" w:color="000000"/>
            </w:tcBorders>
          </w:tcPr>
          <w:p w14:paraId="66BB3973" w14:textId="77777777" w:rsidR="004E5D72" w:rsidRPr="004E5D72" w:rsidRDefault="004E5D72" w:rsidP="004E5D72">
            <w:pPr>
              <w:widowControl w:val="0"/>
              <w:autoSpaceDE w:val="0"/>
              <w:autoSpaceDN w:val="0"/>
              <w:spacing w:before="34" w:after="0" w:line="240" w:lineRule="auto"/>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3797D735" w14:textId="77777777" w:rsidR="004E5D72" w:rsidRPr="004E5D72" w:rsidRDefault="004E5D72" w:rsidP="004E5D72">
            <w:pPr>
              <w:widowControl w:val="0"/>
              <w:autoSpaceDE w:val="0"/>
              <w:autoSpaceDN w:val="0"/>
              <w:spacing w:before="34" w:after="0" w:line="240" w:lineRule="auto"/>
              <w:ind w:left="385"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4.8</w:t>
            </w:r>
          </w:p>
        </w:tc>
        <w:tc>
          <w:tcPr>
            <w:tcW w:w="992" w:type="dxa"/>
            <w:tcBorders>
              <w:top w:val="single" w:sz="4" w:space="0" w:color="000000"/>
              <w:left w:val="single" w:sz="4" w:space="0" w:color="000000"/>
              <w:bottom w:val="single" w:sz="4" w:space="0" w:color="000000"/>
              <w:right w:val="single" w:sz="4" w:space="0" w:color="000000"/>
            </w:tcBorders>
          </w:tcPr>
          <w:p w14:paraId="5727CB58" w14:textId="77777777" w:rsidR="004E5D72" w:rsidRPr="004E5D72" w:rsidRDefault="004E5D72" w:rsidP="004E5D72">
            <w:pPr>
              <w:widowControl w:val="0"/>
              <w:autoSpaceDE w:val="0"/>
              <w:autoSpaceDN w:val="0"/>
              <w:spacing w:after="0" w:line="251" w:lineRule="exact"/>
              <w:ind w:right="31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2CB0C690" w14:textId="77777777" w:rsidR="004E5D72" w:rsidRPr="004E5D72" w:rsidRDefault="004E5D72" w:rsidP="004E5D72">
            <w:pPr>
              <w:widowControl w:val="0"/>
              <w:autoSpaceDE w:val="0"/>
              <w:autoSpaceDN w:val="0"/>
              <w:spacing w:after="0" w:line="251" w:lineRule="exact"/>
              <w:ind w:left="5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54F54B39" w14:textId="77777777" w:rsidTr="00226383">
        <w:trPr>
          <w:trHeight w:val="282"/>
        </w:trPr>
        <w:tc>
          <w:tcPr>
            <w:tcW w:w="2835" w:type="dxa"/>
            <w:tcBorders>
              <w:top w:val="single" w:sz="4" w:space="0" w:color="000000"/>
              <w:left w:val="single" w:sz="4" w:space="0" w:color="000000"/>
              <w:bottom w:val="single" w:sz="4" w:space="0" w:color="000000"/>
              <w:right w:val="single" w:sz="4" w:space="0" w:color="000000"/>
            </w:tcBorders>
          </w:tcPr>
          <w:p w14:paraId="6213A1AE" w14:textId="675F1D06" w:rsidR="004E5D72" w:rsidRPr="00226383" w:rsidRDefault="00675C63" w:rsidP="004E5D72">
            <w:pPr>
              <w:widowControl w:val="0"/>
              <w:autoSpaceDE w:val="0"/>
              <w:autoSpaceDN w:val="0"/>
              <w:spacing w:before="1" w:after="0" w:line="240" w:lineRule="auto"/>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 xml:space="preserve">Emelkedett </w:t>
            </w:r>
            <w:r w:rsidR="00DC442E">
              <w:rPr>
                <w:rFonts w:ascii="Times New Roman" w:eastAsia="Times New Roman" w:hAnsi="Times New Roman" w:cs="Times New Roman"/>
                <w:lang w:bidi="en-US"/>
              </w:rPr>
              <w:t>GPT (</w:t>
            </w:r>
            <w:r w:rsidRPr="00226383">
              <w:rPr>
                <w:rFonts w:ascii="Times New Roman" w:eastAsia="Times New Roman" w:hAnsi="Times New Roman" w:cs="Times New Roman"/>
                <w:lang w:bidi="en-US"/>
              </w:rPr>
              <w:t>AL</w:t>
            </w:r>
            <w:r w:rsidR="00DC442E">
              <w:rPr>
                <w:rFonts w:ascii="Times New Roman" w:eastAsia="Times New Roman" w:hAnsi="Times New Roman" w:cs="Times New Roman"/>
                <w:lang w:bidi="en-US"/>
              </w:rPr>
              <w:t>A</w:t>
            </w:r>
            <w:r w:rsidRPr="00226383">
              <w:rPr>
                <w:rFonts w:ascii="Times New Roman" w:eastAsia="Times New Roman" w:hAnsi="Times New Roman" w:cs="Times New Roman"/>
                <w:lang w:bidi="en-US"/>
              </w:rPr>
              <w:t>T-szint</w:t>
            </w:r>
            <w:r w:rsidR="00DC442E">
              <w:rPr>
                <w:rFonts w:ascii="Times New Roman" w:eastAsia="Times New Roman" w:hAnsi="Times New Roman" w:cs="Times New Roman"/>
                <w:lang w:bidi="en-US"/>
              </w:rPr>
              <w:t>)</w:t>
            </w:r>
          </w:p>
        </w:tc>
        <w:tc>
          <w:tcPr>
            <w:tcW w:w="1134" w:type="dxa"/>
            <w:tcBorders>
              <w:top w:val="single" w:sz="4" w:space="0" w:color="000000"/>
              <w:left w:val="single" w:sz="4" w:space="0" w:color="000000"/>
              <w:bottom w:val="single" w:sz="4" w:space="0" w:color="000000"/>
              <w:right w:val="single" w:sz="4" w:space="0" w:color="000000"/>
            </w:tcBorders>
          </w:tcPr>
          <w:p w14:paraId="262E7990" w14:textId="77777777" w:rsidR="004E5D72" w:rsidRPr="004E5D72" w:rsidRDefault="004E5D72" w:rsidP="004E5D72">
            <w:pPr>
              <w:widowControl w:val="0"/>
              <w:autoSpaceDE w:val="0"/>
              <w:autoSpaceDN w:val="0"/>
              <w:spacing w:before="1" w:after="0" w:line="240" w:lineRule="auto"/>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58.9</w:t>
            </w:r>
          </w:p>
        </w:tc>
        <w:tc>
          <w:tcPr>
            <w:tcW w:w="851" w:type="dxa"/>
            <w:tcBorders>
              <w:top w:val="single" w:sz="4" w:space="0" w:color="000000"/>
              <w:left w:val="single" w:sz="4" w:space="0" w:color="000000"/>
              <w:bottom w:val="single" w:sz="4" w:space="0" w:color="000000"/>
              <w:right w:val="single" w:sz="4" w:space="0" w:color="000000"/>
            </w:tcBorders>
          </w:tcPr>
          <w:p w14:paraId="5FFA4B9F" w14:textId="77777777" w:rsidR="004E5D72" w:rsidRPr="004E5D72" w:rsidRDefault="004E5D72" w:rsidP="004E5D72">
            <w:pPr>
              <w:widowControl w:val="0"/>
              <w:autoSpaceDE w:val="0"/>
              <w:autoSpaceDN w:val="0"/>
              <w:spacing w:before="1" w:after="0" w:line="240" w:lineRule="auto"/>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3.4</w:t>
            </w:r>
          </w:p>
        </w:tc>
        <w:tc>
          <w:tcPr>
            <w:tcW w:w="850" w:type="dxa"/>
            <w:tcBorders>
              <w:top w:val="single" w:sz="4" w:space="0" w:color="000000"/>
              <w:left w:val="single" w:sz="4" w:space="0" w:color="000000"/>
              <w:bottom w:val="single" w:sz="4" w:space="0" w:color="000000"/>
              <w:right w:val="single" w:sz="4" w:space="0" w:color="000000"/>
            </w:tcBorders>
          </w:tcPr>
          <w:p w14:paraId="20340973" w14:textId="77777777" w:rsidR="004E5D72" w:rsidRPr="004E5D72" w:rsidRDefault="004E5D72" w:rsidP="004E5D72">
            <w:pPr>
              <w:widowControl w:val="0"/>
              <w:autoSpaceDE w:val="0"/>
              <w:autoSpaceDN w:val="0"/>
              <w:spacing w:before="1" w:after="0" w:line="240" w:lineRule="auto"/>
              <w:ind w:left="266" w:right="26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1.0</w:t>
            </w:r>
          </w:p>
        </w:tc>
        <w:tc>
          <w:tcPr>
            <w:tcW w:w="1276" w:type="dxa"/>
            <w:tcBorders>
              <w:top w:val="single" w:sz="4" w:space="0" w:color="000000"/>
              <w:left w:val="single" w:sz="4" w:space="0" w:color="000000"/>
              <w:bottom w:val="single" w:sz="4" w:space="0" w:color="000000"/>
              <w:right w:val="single" w:sz="4" w:space="0" w:color="000000"/>
            </w:tcBorders>
          </w:tcPr>
          <w:p w14:paraId="075B4FD5" w14:textId="77777777" w:rsidR="004E5D72" w:rsidRPr="004E5D72" w:rsidRDefault="004E5D72" w:rsidP="004E5D72">
            <w:pPr>
              <w:widowControl w:val="0"/>
              <w:autoSpaceDE w:val="0"/>
              <w:autoSpaceDN w:val="0"/>
              <w:spacing w:before="13" w:after="0" w:line="250" w:lineRule="exact"/>
              <w:ind w:left="390"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24.4</w:t>
            </w:r>
          </w:p>
        </w:tc>
        <w:tc>
          <w:tcPr>
            <w:tcW w:w="992" w:type="dxa"/>
            <w:tcBorders>
              <w:top w:val="single" w:sz="4" w:space="0" w:color="000000"/>
              <w:left w:val="single" w:sz="4" w:space="0" w:color="000000"/>
              <w:bottom w:val="single" w:sz="4" w:space="0" w:color="000000"/>
              <w:right w:val="single" w:sz="4" w:space="0" w:color="000000"/>
            </w:tcBorders>
          </w:tcPr>
          <w:p w14:paraId="551243B1" w14:textId="77777777" w:rsidR="004E5D72" w:rsidRPr="004E5D72" w:rsidRDefault="004E5D72" w:rsidP="004E5D72">
            <w:pPr>
              <w:widowControl w:val="0"/>
              <w:autoSpaceDE w:val="0"/>
              <w:autoSpaceDN w:val="0"/>
              <w:spacing w:before="1" w:after="0" w:line="240" w:lineRule="auto"/>
              <w:ind w:right="31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38BBC8AC" w14:textId="77777777" w:rsidR="004E5D72" w:rsidRPr="004E5D72" w:rsidRDefault="004E5D72" w:rsidP="004E5D72">
            <w:pPr>
              <w:widowControl w:val="0"/>
              <w:autoSpaceDE w:val="0"/>
              <w:autoSpaceDN w:val="0"/>
              <w:spacing w:before="1" w:after="0" w:line="240" w:lineRule="auto"/>
              <w:ind w:left="5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9C19E3" w:rsidRPr="004E5D72" w14:paraId="70139704" w14:textId="77777777" w:rsidTr="00226383">
        <w:trPr>
          <w:trHeight w:val="280"/>
        </w:trPr>
        <w:tc>
          <w:tcPr>
            <w:tcW w:w="2835" w:type="dxa"/>
            <w:tcBorders>
              <w:top w:val="single" w:sz="4" w:space="0" w:color="000000"/>
              <w:left w:val="single" w:sz="4" w:space="0" w:color="000000"/>
              <w:bottom w:val="single" w:sz="4" w:space="0" w:color="000000"/>
              <w:right w:val="single" w:sz="4" w:space="0" w:color="000000"/>
            </w:tcBorders>
          </w:tcPr>
          <w:p w14:paraId="1BA5B68F" w14:textId="4AA930B7" w:rsidR="004E5D72" w:rsidRPr="00226383" w:rsidRDefault="00675C63" w:rsidP="004E5D72">
            <w:pPr>
              <w:widowControl w:val="0"/>
              <w:autoSpaceDE w:val="0"/>
              <w:autoSpaceDN w:val="0"/>
              <w:spacing w:after="0" w:line="251"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 xml:space="preserve">Emelkedett </w:t>
            </w:r>
            <w:r w:rsidR="00DC442E">
              <w:rPr>
                <w:rFonts w:ascii="Times New Roman" w:eastAsia="Times New Roman" w:hAnsi="Times New Roman" w:cs="Times New Roman"/>
                <w:lang w:bidi="en-US"/>
              </w:rPr>
              <w:t>GOT (</w:t>
            </w:r>
            <w:r w:rsidRPr="00226383">
              <w:rPr>
                <w:rFonts w:ascii="Times New Roman" w:eastAsia="Times New Roman" w:hAnsi="Times New Roman" w:cs="Times New Roman"/>
                <w:lang w:bidi="en-US"/>
              </w:rPr>
              <w:t>AS</w:t>
            </w:r>
            <w:r w:rsidR="00DC442E">
              <w:rPr>
                <w:rFonts w:ascii="Times New Roman" w:eastAsia="Times New Roman" w:hAnsi="Times New Roman" w:cs="Times New Roman"/>
                <w:lang w:bidi="en-US"/>
              </w:rPr>
              <w:t>A</w:t>
            </w:r>
            <w:r w:rsidRPr="00226383">
              <w:rPr>
                <w:rFonts w:ascii="Times New Roman" w:eastAsia="Times New Roman" w:hAnsi="Times New Roman" w:cs="Times New Roman"/>
                <w:lang w:bidi="en-US"/>
              </w:rPr>
              <w:t>T</w:t>
            </w:r>
            <w:r w:rsidR="00DC442E">
              <w:rPr>
                <w:rFonts w:ascii="Times New Roman" w:eastAsia="Times New Roman" w:hAnsi="Times New Roman" w:cs="Times New Roman"/>
                <w:lang w:bidi="en-US"/>
              </w:rPr>
              <w:t>)</w:t>
            </w:r>
            <w:r w:rsidRPr="00226383">
              <w:rPr>
                <w:rFonts w:ascii="Times New Roman" w:eastAsia="Times New Roman" w:hAnsi="Times New Roman" w:cs="Times New Roman"/>
                <w:lang w:bidi="en-US"/>
              </w:rPr>
              <w:t>-szint</w:t>
            </w:r>
          </w:p>
        </w:tc>
        <w:tc>
          <w:tcPr>
            <w:tcW w:w="1134" w:type="dxa"/>
            <w:tcBorders>
              <w:top w:val="single" w:sz="4" w:space="0" w:color="000000"/>
              <w:left w:val="single" w:sz="4" w:space="0" w:color="000000"/>
              <w:bottom w:val="single" w:sz="4" w:space="0" w:color="000000"/>
              <w:right w:val="single" w:sz="4" w:space="0" w:color="000000"/>
            </w:tcBorders>
          </w:tcPr>
          <w:p w14:paraId="3F593EC0" w14:textId="77777777" w:rsidR="004E5D72" w:rsidRPr="004E5D72" w:rsidRDefault="004E5D72" w:rsidP="004E5D72">
            <w:pPr>
              <w:widowControl w:val="0"/>
              <w:autoSpaceDE w:val="0"/>
              <w:autoSpaceDN w:val="0"/>
              <w:spacing w:after="0" w:line="251"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53.6</w:t>
            </w:r>
          </w:p>
        </w:tc>
        <w:tc>
          <w:tcPr>
            <w:tcW w:w="851" w:type="dxa"/>
            <w:tcBorders>
              <w:top w:val="single" w:sz="4" w:space="0" w:color="000000"/>
              <w:left w:val="single" w:sz="4" w:space="0" w:color="000000"/>
              <w:bottom w:val="single" w:sz="4" w:space="0" w:color="000000"/>
              <w:right w:val="single" w:sz="4" w:space="0" w:color="000000"/>
            </w:tcBorders>
          </w:tcPr>
          <w:p w14:paraId="5DC92B6F" w14:textId="77777777" w:rsidR="004E5D72" w:rsidRPr="004E5D72" w:rsidRDefault="004E5D72" w:rsidP="004E5D72">
            <w:pPr>
              <w:widowControl w:val="0"/>
              <w:autoSpaceDE w:val="0"/>
              <w:autoSpaceDN w:val="0"/>
              <w:spacing w:after="0" w:line="251"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1.0</w:t>
            </w:r>
          </w:p>
        </w:tc>
        <w:tc>
          <w:tcPr>
            <w:tcW w:w="850" w:type="dxa"/>
            <w:tcBorders>
              <w:top w:val="single" w:sz="4" w:space="0" w:color="000000"/>
              <w:left w:val="single" w:sz="4" w:space="0" w:color="000000"/>
              <w:bottom w:val="single" w:sz="4" w:space="0" w:color="000000"/>
              <w:right w:val="single" w:sz="4" w:space="0" w:color="000000"/>
            </w:tcBorders>
          </w:tcPr>
          <w:p w14:paraId="09941972" w14:textId="77777777" w:rsidR="004E5D72" w:rsidRPr="004E5D72" w:rsidRDefault="004E5D72" w:rsidP="004E5D72">
            <w:pPr>
              <w:widowControl w:val="0"/>
              <w:autoSpaceDE w:val="0"/>
              <w:autoSpaceDN w:val="0"/>
              <w:spacing w:after="0" w:line="251" w:lineRule="exact"/>
              <w:ind w:left="266" w:right="26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1.0</w:t>
            </w:r>
          </w:p>
        </w:tc>
        <w:tc>
          <w:tcPr>
            <w:tcW w:w="1276" w:type="dxa"/>
            <w:tcBorders>
              <w:top w:val="single" w:sz="4" w:space="0" w:color="000000"/>
              <w:left w:val="single" w:sz="4" w:space="0" w:color="000000"/>
              <w:bottom w:val="single" w:sz="4" w:space="0" w:color="000000"/>
              <w:right w:val="single" w:sz="4" w:space="0" w:color="000000"/>
            </w:tcBorders>
          </w:tcPr>
          <w:p w14:paraId="11A0CEE8" w14:textId="77777777" w:rsidR="004E5D72" w:rsidRPr="004E5D72" w:rsidRDefault="004E5D72" w:rsidP="004E5D72">
            <w:pPr>
              <w:widowControl w:val="0"/>
              <w:autoSpaceDE w:val="0"/>
              <w:autoSpaceDN w:val="0"/>
              <w:spacing w:after="0" w:line="251" w:lineRule="exact"/>
              <w:ind w:left="390"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14.8</w:t>
            </w:r>
          </w:p>
        </w:tc>
        <w:tc>
          <w:tcPr>
            <w:tcW w:w="992" w:type="dxa"/>
            <w:tcBorders>
              <w:top w:val="single" w:sz="4" w:space="0" w:color="000000"/>
              <w:left w:val="single" w:sz="4" w:space="0" w:color="000000"/>
              <w:bottom w:val="single" w:sz="4" w:space="0" w:color="000000"/>
              <w:right w:val="single" w:sz="4" w:space="0" w:color="000000"/>
            </w:tcBorders>
          </w:tcPr>
          <w:p w14:paraId="612E5F5D" w14:textId="77777777" w:rsidR="004E5D72" w:rsidRPr="004E5D72" w:rsidRDefault="004E5D72" w:rsidP="004E5D72">
            <w:pPr>
              <w:widowControl w:val="0"/>
              <w:autoSpaceDE w:val="0"/>
              <w:autoSpaceDN w:val="0"/>
              <w:spacing w:after="0" w:line="251" w:lineRule="exact"/>
              <w:ind w:right="31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4B0D5EC2" w14:textId="77777777" w:rsidR="004E5D72" w:rsidRPr="004E5D72" w:rsidRDefault="004E5D72" w:rsidP="004E5D72">
            <w:pPr>
              <w:widowControl w:val="0"/>
              <w:autoSpaceDE w:val="0"/>
              <w:autoSpaceDN w:val="0"/>
              <w:spacing w:after="0" w:line="251" w:lineRule="exact"/>
              <w:ind w:left="5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r w:rsidR="004E5D72" w:rsidRPr="004E5D72" w14:paraId="77508BCB" w14:textId="77777777" w:rsidTr="00226383">
        <w:trPr>
          <w:trHeight w:val="309"/>
        </w:trPr>
        <w:tc>
          <w:tcPr>
            <w:tcW w:w="8931" w:type="dxa"/>
            <w:gridSpan w:val="7"/>
            <w:tcBorders>
              <w:top w:val="single" w:sz="4" w:space="0" w:color="000000"/>
              <w:left w:val="single" w:sz="4" w:space="0" w:color="000000"/>
              <w:bottom w:val="single" w:sz="4" w:space="0" w:color="000000"/>
              <w:right w:val="single" w:sz="4" w:space="0" w:color="000000"/>
            </w:tcBorders>
          </w:tcPr>
          <w:p w14:paraId="1EC7F00B" w14:textId="38406140" w:rsidR="004E5D72" w:rsidRPr="00226383" w:rsidRDefault="00675C63" w:rsidP="004E5D72">
            <w:pPr>
              <w:widowControl w:val="0"/>
              <w:autoSpaceDE w:val="0"/>
              <w:autoSpaceDN w:val="0"/>
              <w:spacing w:after="0" w:line="251"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Laboratóriumi és egyéb vizsgálatok eredményei</w:t>
            </w:r>
          </w:p>
        </w:tc>
      </w:tr>
      <w:tr w:rsidR="009C19E3" w:rsidRPr="004E5D72" w14:paraId="061527F8" w14:textId="77777777" w:rsidTr="00226383">
        <w:trPr>
          <w:trHeight w:val="280"/>
        </w:trPr>
        <w:tc>
          <w:tcPr>
            <w:tcW w:w="2835" w:type="dxa"/>
            <w:tcBorders>
              <w:top w:val="single" w:sz="4" w:space="0" w:color="000000"/>
              <w:left w:val="single" w:sz="4" w:space="0" w:color="000000"/>
              <w:bottom w:val="single" w:sz="4" w:space="0" w:color="000000"/>
              <w:right w:val="single" w:sz="4" w:space="0" w:color="000000"/>
            </w:tcBorders>
          </w:tcPr>
          <w:p w14:paraId="680FD49E" w14:textId="7932974F" w:rsidR="004E5D72" w:rsidRPr="00226383" w:rsidRDefault="00675C63" w:rsidP="004E5D72">
            <w:pPr>
              <w:widowControl w:val="0"/>
              <w:autoSpaceDE w:val="0"/>
              <w:autoSpaceDN w:val="0"/>
              <w:spacing w:after="0" w:line="251"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Emelkedett amilázszint</w:t>
            </w:r>
          </w:p>
        </w:tc>
        <w:tc>
          <w:tcPr>
            <w:tcW w:w="1134" w:type="dxa"/>
            <w:tcBorders>
              <w:top w:val="single" w:sz="4" w:space="0" w:color="000000"/>
              <w:left w:val="single" w:sz="4" w:space="0" w:color="000000"/>
              <w:bottom w:val="single" w:sz="4" w:space="0" w:color="000000"/>
              <w:right w:val="single" w:sz="4" w:space="0" w:color="000000"/>
            </w:tcBorders>
          </w:tcPr>
          <w:p w14:paraId="425CA490" w14:textId="77777777" w:rsidR="004E5D72" w:rsidRPr="004E5D72" w:rsidRDefault="004E5D72" w:rsidP="004E5D72">
            <w:pPr>
              <w:widowControl w:val="0"/>
              <w:autoSpaceDE w:val="0"/>
              <w:autoSpaceDN w:val="0"/>
              <w:spacing w:after="0" w:line="251"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12.6</w:t>
            </w:r>
          </w:p>
        </w:tc>
        <w:tc>
          <w:tcPr>
            <w:tcW w:w="851" w:type="dxa"/>
            <w:tcBorders>
              <w:top w:val="single" w:sz="4" w:space="0" w:color="000000"/>
              <w:left w:val="single" w:sz="4" w:space="0" w:color="000000"/>
              <w:bottom w:val="single" w:sz="4" w:space="0" w:color="000000"/>
              <w:right w:val="single" w:sz="4" w:space="0" w:color="000000"/>
            </w:tcBorders>
          </w:tcPr>
          <w:p w14:paraId="7722091E" w14:textId="77777777" w:rsidR="004E5D72" w:rsidRPr="004E5D72" w:rsidRDefault="004E5D72" w:rsidP="004E5D72">
            <w:pPr>
              <w:widowControl w:val="0"/>
              <w:autoSpaceDE w:val="0"/>
              <w:autoSpaceDN w:val="0"/>
              <w:spacing w:after="0" w:line="251"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2.4</w:t>
            </w:r>
          </w:p>
        </w:tc>
        <w:tc>
          <w:tcPr>
            <w:tcW w:w="850" w:type="dxa"/>
            <w:tcBorders>
              <w:top w:val="single" w:sz="4" w:space="0" w:color="000000"/>
              <w:left w:val="single" w:sz="4" w:space="0" w:color="000000"/>
              <w:bottom w:val="single" w:sz="4" w:space="0" w:color="000000"/>
              <w:right w:val="single" w:sz="4" w:space="0" w:color="000000"/>
            </w:tcBorders>
          </w:tcPr>
          <w:p w14:paraId="6FC4B7CF" w14:textId="77777777" w:rsidR="004E5D72" w:rsidRPr="004E5D72" w:rsidRDefault="004E5D72" w:rsidP="004E5D72">
            <w:pPr>
              <w:widowControl w:val="0"/>
              <w:autoSpaceDE w:val="0"/>
              <w:autoSpaceDN w:val="0"/>
              <w:spacing w:after="0" w:line="251" w:lineRule="exact"/>
              <w:ind w:left="266" w:right="26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1.4</w:t>
            </w:r>
          </w:p>
        </w:tc>
        <w:tc>
          <w:tcPr>
            <w:tcW w:w="1276" w:type="dxa"/>
            <w:tcBorders>
              <w:top w:val="single" w:sz="4" w:space="0" w:color="000000"/>
              <w:left w:val="single" w:sz="4" w:space="0" w:color="000000"/>
              <w:bottom w:val="single" w:sz="4" w:space="0" w:color="000000"/>
              <w:right w:val="single" w:sz="4" w:space="0" w:color="000000"/>
            </w:tcBorders>
          </w:tcPr>
          <w:p w14:paraId="68CC8066" w14:textId="77777777" w:rsidR="004E5D72" w:rsidRPr="004E5D72" w:rsidRDefault="004E5D72" w:rsidP="004E5D72">
            <w:pPr>
              <w:widowControl w:val="0"/>
              <w:autoSpaceDE w:val="0"/>
              <w:autoSpaceDN w:val="0"/>
              <w:spacing w:after="0" w:line="251" w:lineRule="exact"/>
              <w:ind w:left="385"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6.2</w:t>
            </w:r>
          </w:p>
        </w:tc>
        <w:tc>
          <w:tcPr>
            <w:tcW w:w="992" w:type="dxa"/>
            <w:tcBorders>
              <w:top w:val="single" w:sz="4" w:space="0" w:color="000000"/>
              <w:left w:val="single" w:sz="4" w:space="0" w:color="000000"/>
              <w:bottom w:val="single" w:sz="4" w:space="0" w:color="000000"/>
              <w:right w:val="single" w:sz="4" w:space="0" w:color="000000"/>
            </w:tcBorders>
          </w:tcPr>
          <w:p w14:paraId="0866C12B" w14:textId="77777777" w:rsidR="004E5D72" w:rsidRPr="004E5D72" w:rsidRDefault="004E5D72" w:rsidP="004E5D72">
            <w:pPr>
              <w:widowControl w:val="0"/>
              <w:autoSpaceDE w:val="0"/>
              <w:autoSpaceDN w:val="0"/>
              <w:spacing w:after="0" w:line="251" w:lineRule="exact"/>
              <w:ind w:right="1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993" w:type="dxa"/>
            <w:tcBorders>
              <w:top w:val="single" w:sz="4" w:space="0" w:color="000000"/>
              <w:left w:val="single" w:sz="4" w:space="0" w:color="000000"/>
              <w:bottom w:val="single" w:sz="4" w:space="0" w:color="000000"/>
              <w:right w:val="single" w:sz="4" w:space="0" w:color="000000"/>
            </w:tcBorders>
          </w:tcPr>
          <w:p w14:paraId="690D489D" w14:textId="77777777" w:rsidR="004E5D72" w:rsidRPr="004E5D72" w:rsidRDefault="004E5D72" w:rsidP="004E5D72">
            <w:pPr>
              <w:widowControl w:val="0"/>
              <w:autoSpaceDE w:val="0"/>
              <w:autoSpaceDN w:val="0"/>
              <w:spacing w:after="0" w:line="251" w:lineRule="exact"/>
              <w:ind w:left="269"/>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1.0</w:t>
            </w:r>
          </w:p>
        </w:tc>
      </w:tr>
      <w:tr w:rsidR="009C19E3" w:rsidRPr="004E5D72" w14:paraId="72AF9F6E" w14:textId="77777777" w:rsidTr="00226383">
        <w:trPr>
          <w:trHeight w:val="280"/>
        </w:trPr>
        <w:tc>
          <w:tcPr>
            <w:tcW w:w="2835" w:type="dxa"/>
            <w:tcBorders>
              <w:top w:val="single" w:sz="4" w:space="0" w:color="000000"/>
              <w:left w:val="single" w:sz="4" w:space="0" w:color="000000"/>
              <w:bottom w:val="single" w:sz="4" w:space="0" w:color="000000"/>
              <w:right w:val="single" w:sz="4" w:space="0" w:color="000000"/>
            </w:tcBorders>
          </w:tcPr>
          <w:p w14:paraId="629EE3FD" w14:textId="54B0837E" w:rsidR="004E5D72" w:rsidRPr="00226383" w:rsidRDefault="00675C63" w:rsidP="004E5D72">
            <w:pPr>
              <w:widowControl w:val="0"/>
              <w:autoSpaceDE w:val="0"/>
              <w:autoSpaceDN w:val="0"/>
              <w:spacing w:after="0" w:line="252" w:lineRule="exact"/>
              <w:ind w:left="110"/>
              <w:rPr>
                <w:rFonts w:ascii="Times New Roman" w:eastAsia="Times New Roman" w:hAnsi="Times New Roman" w:cs="Times New Roman"/>
                <w:lang w:bidi="en-US"/>
              </w:rPr>
            </w:pPr>
            <w:r w:rsidRPr="00226383">
              <w:rPr>
                <w:rFonts w:ascii="Times New Roman" w:eastAsia="Times New Roman" w:hAnsi="Times New Roman" w:cs="Times New Roman"/>
                <w:lang w:bidi="en-US"/>
              </w:rPr>
              <w:t>Emelkedett lipázszint</w:t>
            </w:r>
          </w:p>
        </w:tc>
        <w:tc>
          <w:tcPr>
            <w:tcW w:w="1134" w:type="dxa"/>
            <w:tcBorders>
              <w:top w:val="single" w:sz="4" w:space="0" w:color="000000"/>
              <w:left w:val="single" w:sz="4" w:space="0" w:color="000000"/>
              <w:bottom w:val="single" w:sz="4" w:space="0" w:color="000000"/>
              <w:right w:val="single" w:sz="4" w:space="0" w:color="000000"/>
            </w:tcBorders>
          </w:tcPr>
          <w:p w14:paraId="049D4FBC" w14:textId="77777777" w:rsidR="004E5D72" w:rsidRPr="004E5D72" w:rsidRDefault="004E5D72" w:rsidP="004E5D72">
            <w:pPr>
              <w:widowControl w:val="0"/>
              <w:autoSpaceDE w:val="0"/>
              <w:autoSpaceDN w:val="0"/>
              <w:spacing w:after="0" w:line="252" w:lineRule="exact"/>
              <w:ind w:left="352" w:right="34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11.1</w:t>
            </w:r>
          </w:p>
        </w:tc>
        <w:tc>
          <w:tcPr>
            <w:tcW w:w="851" w:type="dxa"/>
            <w:tcBorders>
              <w:top w:val="single" w:sz="4" w:space="0" w:color="000000"/>
              <w:left w:val="single" w:sz="4" w:space="0" w:color="000000"/>
              <w:bottom w:val="single" w:sz="4" w:space="0" w:color="000000"/>
              <w:right w:val="single" w:sz="4" w:space="0" w:color="000000"/>
            </w:tcBorders>
          </w:tcPr>
          <w:p w14:paraId="22088536" w14:textId="77777777" w:rsidR="004E5D72" w:rsidRPr="004E5D72" w:rsidRDefault="004E5D72" w:rsidP="004E5D72">
            <w:pPr>
              <w:widowControl w:val="0"/>
              <w:autoSpaceDE w:val="0"/>
              <w:autoSpaceDN w:val="0"/>
              <w:spacing w:after="0" w:line="252" w:lineRule="exact"/>
              <w:ind w:right="278"/>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2.4</w:t>
            </w:r>
          </w:p>
        </w:tc>
        <w:tc>
          <w:tcPr>
            <w:tcW w:w="850" w:type="dxa"/>
            <w:tcBorders>
              <w:top w:val="single" w:sz="4" w:space="0" w:color="000000"/>
              <w:left w:val="single" w:sz="4" w:space="0" w:color="000000"/>
              <w:bottom w:val="single" w:sz="4" w:space="0" w:color="000000"/>
              <w:right w:val="single" w:sz="4" w:space="0" w:color="000000"/>
            </w:tcBorders>
          </w:tcPr>
          <w:p w14:paraId="3BEB3F03" w14:textId="77777777" w:rsidR="004E5D72" w:rsidRPr="004E5D72" w:rsidRDefault="004E5D72" w:rsidP="004E5D72">
            <w:pPr>
              <w:widowControl w:val="0"/>
              <w:autoSpaceDE w:val="0"/>
              <w:autoSpaceDN w:val="0"/>
              <w:spacing w:after="0" w:line="252" w:lineRule="exact"/>
              <w:ind w:left="6"/>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c>
          <w:tcPr>
            <w:tcW w:w="1276" w:type="dxa"/>
            <w:tcBorders>
              <w:top w:val="single" w:sz="4" w:space="0" w:color="000000"/>
              <w:left w:val="single" w:sz="4" w:space="0" w:color="000000"/>
              <w:bottom w:val="single" w:sz="4" w:space="0" w:color="000000"/>
              <w:right w:val="single" w:sz="4" w:space="0" w:color="000000"/>
            </w:tcBorders>
          </w:tcPr>
          <w:p w14:paraId="4ADD1A20" w14:textId="77777777" w:rsidR="004E5D72" w:rsidRPr="004E5D72" w:rsidRDefault="004E5D72" w:rsidP="004E5D72">
            <w:pPr>
              <w:widowControl w:val="0"/>
              <w:autoSpaceDE w:val="0"/>
              <w:autoSpaceDN w:val="0"/>
              <w:spacing w:after="0" w:line="252" w:lineRule="exact"/>
              <w:ind w:left="385" w:right="382"/>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2.9</w:t>
            </w:r>
          </w:p>
        </w:tc>
        <w:tc>
          <w:tcPr>
            <w:tcW w:w="992" w:type="dxa"/>
            <w:tcBorders>
              <w:top w:val="single" w:sz="4" w:space="0" w:color="000000"/>
              <w:left w:val="single" w:sz="4" w:space="0" w:color="000000"/>
              <w:bottom w:val="single" w:sz="4" w:space="0" w:color="000000"/>
              <w:right w:val="single" w:sz="4" w:space="0" w:color="000000"/>
            </w:tcBorders>
          </w:tcPr>
          <w:p w14:paraId="1F4014C5" w14:textId="77777777" w:rsidR="004E5D72" w:rsidRPr="004E5D72" w:rsidRDefault="004E5D72" w:rsidP="004E5D72">
            <w:pPr>
              <w:widowControl w:val="0"/>
              <w:autoSpaceDE w:val="0"/>
              <w:autoSpaceDN w:val="0"/>
              <w:spacing w:after="0" w:line="252" w:lineRule="exact"/>
              <w:ind w:right="272"/>
              <w:jc w:val="right"/>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0.5</w:t>
            </w:r>
          </w:p>
        </w:tc>
        <w:tc>
          <w:tcPr>
            <w:tcW w:w="993" w:type="dxa"/>
            <w:tcBorders>
              <w:top w:val="single" w:sz="4" w:space="0" w:color="000000"/>
              <w:left w:val="single" w:sz="4" w:space="0" w:color="000000"/>
              <w:bottom w:val="single" w:sz="4" w:space="0" w:color="000000"/>
              <w:right w:val="single" w:sz="4" w:space="0" w:color="000000"/>
            </w:tcBorders>
          </w:tcPr>
          <w:p w14:paraId="7869868E" w14:textId="77777777" w:rsidR="004E5D72" w:rsidRPr="004E5D72" w:rsidRDefault="004E5D72" w:rsidP="004E5D72">
            <w:pPr>
              <w:widowControl w:val="0"/>
              <w:autoSpaceDE w:val="0"/>
              <w:autoSpaceDN w:val="0"/>
              <w:spacing w:after="0" w:line="252" w:lineRule="exact"/>
              <w:ind w:right="17"/>
              <w:jc w:val="center"/>
              <w:rPr>
                <w:rFonts w:ascii="Times New Roman" w:eastAsia="Times New Roman" w:hAnsi="Times New Roman" w:cs="Times New Roman"/>
                <w:lang w:val="en-US" w:bidi="en-US"/>
              </w:rPr>
            </w:pPr>
            <w:r w:rsidRPr="004E5D72">
              <w:rPr>
                <w:rFonts w:ascii="Times New Roman" w:eastAsia="Times New Roman" w:hAnsi="Times New Roman" w:cs="Times New Roman"/>
                <w:lang w:val="en-US" w:bidi="en-US"/>
              </w:rPr>
              <w:t>0</w:t>
            </w:r>
          </w:p>
        </w:tc>
      </w:tr>
    </w:tbl>
    <w:p w14:paraId="4EC5DE6D" w14:textId="77777777" w:rsidR="00675C63" w:rsidRPr="00675C63" w:rsidRDefault="00675C63" w:rsidP="00675C63">
      <w:pPr>
        <w:pStyle w:val="Nincstrkz"/>
        <w:tabs>
          <w:tab w:val="left" w:pos="567"/>
        </w:tabs>
        <w:rPr>
          <w:spacing w:val="2"/>
        </w:rPr>
      </w:pPr>
      <w:r w:rsidRPr="00675C63">
        <w:rPr>
          <w:spacing w:val="2"/>
        </w:rPr>
        <w:t>* A nemkívánatos események közös terminológiai kritériumai (Common Terminology Criteria for Adverse Events, CTCAE), 3.0 - ás változat</w:t>
      </w:r>
    </w:p>
    <w:p w14:paraId="29E0A76A" w14:textId="17F2E10E" w:rsidR="002D3BCB" w:rsidRDefault="00675C63" w:rsidP="00675C63">
      <w:pPr>
        <w:pStyle w:val="Nincstrkz"/>
        <w:tabs>
          <w:tab w:val="left" w:pos="567"/>
        </w:tabs>
        <w:rPr>
          <w:spacing w:val="2"/>
        </w:rPr>
      </w:pPr>
      <w:r w:rsidRPr="00675C63">
        <w:rPr>
          <w:spacing w:val="2"/>
        </w:rPr>
        <w:t>** A szorafenib alkalmazása mellett előforduló hypophosphataemia etiológiája nem ismert.</w:t>
      </w:r>
    </w:p>
    <w:p w14:paraId="3ED37AE9" w14:textId="77777777" w:rsidR="00675C63" w:rsidRPr="00E9481E" w:rsidRDefault="00675C63" w:rsidP="00675C63">
      <w:pPr>
        <w:pStyle w:val="Nincstrkz"/>
        <w:tabs>
          <w:tab w:val="left" w:pos="567"/>
        </w:tabs>
        <w:rPr>
          <w:spacing w:val="2"/>
        </w:rPr>
      </w:pPr>
    </w:p>
    <w:p w14:paraId="1F1D7AD4" w14:textId="77777777" w:rsidR="00A61E29" w:rsidRPr="00D16BAE" w:rsidRDefault="00A61E29" w:rsidP="00A61E29">
      <w:pPr>
        <w:pStyle w:val="Nincstrkz"/>
        <w:rPr>
          <w:u w:val="single"/>
        </w:rPr>
      </w:pPr>
      <w:bookmarkStart w:id="3" w:name="_Hlk505622233"/>
      <w:r w:rsidRPr="00D16BAE">
        <w:rPr>
          <w:u w:val="single"/>
        </w:rPr>
        <w:t>Feltételezett mellékhatások bejelentése</w:t>
      </w:r>
    </w:p>
    <w:p w14:paraId="48FDD069" w14:textId="77777777" w:rsidR="00A61E29" w:rsidRPr="00A61E29" w:rsidRDefault="00A61E29" w:rsidP="00A61E29">
      <w:pPr>
        <w:pStyle w:val="Nincstrkz"/>
      </w:pPr>
      <w:r w:rsidRPr="00A61E29">
        <w:t xml:space="preserve">A gyógyszer engedélyezését követően lényeges a feltételezett mellékhatások bejelentése, mert ez fontos eszköze annak, hogy a gyógyszer előny/kockázat profilját folyamatosan figyelemmel lehessen kísérni. </w:t>
      </w:r>
    </w:p>
    <w:p w14:paraId="4C312B3A" w14:textId="69229BDB" w:rsidR="00E9481E" w:rsidRDefault="00A61E29" w:rsidP="00A61E29">
      <w:pPr>
        <w:pStyle w:val="Nincstrkz"/>
        <w:rPr>
          <w:highlight w:val="lightGray"/>
        </w:rPr>
      </w:pPr>
      <w:r w:rsidRPr="00A61E29">
        <w:t xml:space="preserve">Az egészségügyi szakembereket kérjük, hogy jelentsék be a feltételezett mellékhatásokat a hatóság részére az </w:t>
      </w:r>
      <w:hyperlink r:id="rId7" w:history="1">
        <w:r w:rsidRPr="00A61E29">
          <w:rPr>
            <w:rStyle w:val="Hiperhivatkozs"/>
            <w:rFonts w:cs="Times New Roman"/>
            <w:highlight w:val="lightGray"/>
          </w:rPr>
          <w:t>V. függelékben</w:t>
        </w:r>
      </w:hyperlink>
      <w:r w:rsidRPr="00A61E29">
        <w:rPr>
          <w:highlight w:val="lightGray"/>
        </w:rPr>
        <w:t xml:space="preserve"> található elérhetőségek valamelyikén keresztül</w:t>
      </w:r>
      <w:bookmarkEnd w:id="3"/>
      <w:r w:rsidR="00D16BAE">
        <w:rPr>
          <w:highlight w:val="lightGray"/>
        </w:rPr>
        <w:t>.</w:t>
      </w:r>
    </w:p>
    <w:p w14:paraId="15543D2B" w14:textId="77777777" w:rsidR="00D16BAE" w:rsidRDefault="00D16BAE" w:rsidP="00A61E29">
      <w:pPr>
        <w:pStyle w:val="Nincstrkz"/>
        <w:rPr>
          <w:spacing w:val="2"/>
        </w:rPr>
      </w:pPr>
    </w:p>
    <w:p w14:paraId="5BBB6014" w14:textId="580EDDD2" w:rsidR="00D16BAE" w:rsidRPr="00D16BAE" w:rsidRDefault="00D16BAE" w:rsidP="00D16BAE">
      <w:pPr>
        <w:pStyle w:val="Nincstrkz"/>
        <w:tabs>
          <w:tab w:val="left" w:pos="567"/>
        </w:tabs>
        <w:rPr>
          <w:b/>
          <w:spacing w:val="2"/>
        </w:rPr>
      </w:pPr>
      <w:r w:rsidRPr="00D16BAE">
        <w:rPr>
          <w:b/>
          <w:spacing w:val="2"/>
        </w:rPr>
        <w:t>4.9</w:t>
      </w:r>
      <w:r>
        <w:rPr>
          <w:b/>
          <w:spacing w:val="2"/>
        </w:rPr>
        <w:tab/>
      </w:r>
      <w:r w:rsidRPr="00D16BAE">
        <w:rPr>
          <w:b/>
          <w:spacing w:val="2"/>
        </w:rPr>
        <w:t xml:space="preserve">Túladagolás </w:t>
      </w:r>
    </w:p>
    <w:p w14:paraId="3E61C7B7" w14:textId="77777777" w:rsidR="00D16BAE" w:rsidRPr="00D16BAE" w:rsidRDefault="00D16BAE" w:rsidP="00D16BAE">
      <w:pPr>
        <w:pStyle w:val="Nincstrkz"/>
        <w:rPr>
          <w:spacing w:val="2"/>
        </w:rPr>
      </w:pPr>
    </w:p>
    <w:p w14:paraId="48379943" w14:textId="77777777" w:rsidR="00D16BAE" w:rsidRPr="00D16BAE" w:rsidRDefault="007845B1" w:rsidP="00D16BAE">
      <w:pPr>
        <w:pStyle w:val="Nincstrkz"/>
        <w:rPr>
          <w:spacing w:val="2"/>
        </w:rPr>
      </w:pPr>
      <w:r>
        <w:rPr>
          <w:spacing w:val="2"/>
        </w:rPr>
        <w:t>A s</w:t>
      </w:r>
      <w:r w:rsidR="00D16BAE" w:rsidRPr="00D16BAE">
        <w:rPr>
          <w:spacing w:val="2"/>
        </w:rPr>
        <w:t>zorafenib túladagolás</w:t>
      </w:r>
      <w:r>
        <w:rPr>
          <w:spacing w:val="2"/>
        </w:rPr>
        <w:t>nak</w:t>
      </w:r>
      <w:r w:rsidR="00D16BAE" w:rsidRPr="00D16BAE">
        <w:rPr>
          <w:spacing w:val="2"/>
        </w:rPr>
        <w:t xml:space="preserve"> nincs specifikus kezelés</w:t>
      </w:r>
      <w:r>
        <w:rPr>
          <w:spacing w:val="2"/>
        </w:rPr>
        <w:t>e</w:t>
      </w:r>
      <w:r w:rsidR="00D16BAE" w:rsidRPr="00D16BAE">
        <w:rPr>
          <w:spacing w:val="2"/>
        </w:rPr>
        <w:t xml:space="preserve">. A szorafenib klinikailag vizsgált napi maximális adagja kétszer 800 mg. Az ennél az adagnál megfigyelt mellékhatások főként a hasmenés és a bőrtünetek voltak. Túladagolás gyanúja esetén a szorafenib-kezelést abba kell hagyni, és szükség esetén szupportív kezelést kell alkalmazni. </w:t>
      </w:r>
    </w:p>
    <w:p w14:paraId="17FF7AC1" w14:textId="77777777" w:rsidR="00D16BAE" w:rsidRPr="00D16BAE" w:rsidRDefault="00D16BAE" w:rsidP="00D16BAE">
      <w:pPr>
        <w:pStyle w:val="Nincstrkz"/>
        <w:rPr>
          <w:spacing w:val="2"/>
        </w:rPr>
      </w:pPr>
    </w:p>
    <w:p w14:paraId="3F1508AB" w14:textId="77777777" w:rsidR="00D16BAE" w:rsidRPr="00D16BAE" w:rsidRDefault="00D16BAE" w:rsidP="00D16BAE">
      <w:pPr>
        <w:pStyle w:val="Nincstrkz"/>
        <w:rPr>
          <w:spacing w:val="2"/>
        </w:rPr>
      </w:pPr>
    </w:p>
    <w:p w14:paraId="24FA57B2" w14:textId="4D60A65E" w:rsidR="00D16BAE" w:rsidRPr="00D16BAE" w:rsidRDefault="00D16BAE" w:rsidP="00D16BAE">
      <w:pPr>
        <w:pStyle w:val="Nincstrkz"/>
        <w:tabs>
          <w:tab w:val="left" w:pos="567"/>
        </w:tabs>
        <w:rPr>
          <w:b/>
          <w:spacing w:val="2"/>
        </w:rPr>
      </w:pPr>
      <w:r w:rsidRPr="00D16BAE">
        <w:rPr>
          <w:b/>
          <w:spacing w:val="2"/>
        </w:rPr>
        <w:t>5.</w:t>
      </w:r>
      <w:r>
        <w:rPr>
          <w:b/>
          <w:spacing w:val="2"/>
        </w:rPr>
        <w:tab/>
      </w:r>
      <w:r w:rsidRPr="00D16BAE">
        <w:rPr>
          <w:b/>
          <w:spacing w:val="2"/>
        </w:rPr>
        <w:t xml:space="preserve">FARMAKOLÓGIAI TULAJDONSÁGOK </w:t>
      </w:r>
    </w:p>
    <w:p w14:paraId="33031DC2" w14:textId="77777777" w:rsidR="00D16BAE" w:rsidRPr="00D16BAE" w:rsidRDefault="00D16BAE" w:rsidP="00D16BAE">
      <w:pPr>
        <w:pStyle w:val="Nincstrkz"/>
        <w:rPr>
          <w:spacing w:val="2"/>
        </w:rPr>
      </w:pPr>
    </w:p>
    <w:p w14:paraId="19996A01" w14:textId="0FDB3F44" w:rsidR="00D16BAE" w:rsidRPr="00D16BAE" w:rsidRDefault="00D16BAE" w:rsidP="00D16BAE">
      <w:pPr>
        <w:pStyle w:val="Nincstrkz"/>
        <w:tabs>
          <w:tab w:val="left" w:pos="567"/>
        </w:tabs>
        <w:rPr>
          <w:b/>
          <w:spacing w:val="2"/>
        </w:rPr>
      </w:pPr>
      <w:r w:rsidRPr="00D16BAE">
        <w:rPr>
          <w:b/>
          <w:spacing w:val="2"/>
        </w:rPr>
        <w:t>5.1</w:t>
      </w:r>
      <w:r>
        <w:rPr>
          <w:b/>
          <w:spacing w:val="2"/>
        </w:rPr>
        <w:tab/>
      </w:r>
      <w:r w:rsidRPr="00D16BAE">
        <w:rPr>
          <w:b/>
          <w:spacing w:val="2"/>
        </w:rPr>
        <w:t xml:space="preserve">Farmakodinámiás tulajdonságok </w:t>
      </w:r>
    </w:p>
    <w:p w14:paraId="2D8469A1" w14:textId="77777777" w:rsidR="00D16BAE" w:rsidRPr="00D16BAE" w:rsidRDefault="00D16BAE" w:rsidP="00D16BAE">
      <w:pPr>
        <w:pStyle w:val="Nincstrkz"/>
        <w:rPr>
          <w:spacing w:val="2"/>
        </w:rPr>
      </w:pPr>
    </w:p>
    <w:p w14:paraId="4BD500FB" w14:textId="74A04FE3" w:rsidR="00D16BAE" w:rsidRPr="00D16BAE" w:rsidRDefault="00D16BAE" w:rsidP="00D16BAE">
      <w:pPr>
        <w:pStyle w:val="Nincstrkz"/>
        <w:rPr>
          <w:spacing w:val="2"/>
        </w:rPr>
      </w:pPr>
      <w:r w:rsidRPr="00D16BAE">
        <w:rPr>
          <w:spacing w:val="2"/>
        </w:rPr>
        <w:t>Farmakoterápiás csoport: Daganatellenes szerek, protein</w:t>
      </w:r>
      <w:r w:rsidR="00DA69CC">
        <w:rPr>
          <w:spacing w:val="2"/>
        </w:rPr>
        <w:t>-</w:t>
      </w:r>
      <w:r w:rsidRPr="00D16BAE">
        <w:rPr>
          <w:spacing w:val="2"/>
        </w:rPr>
        <w:t xml:space="preserve">kináz inhibitorok. ATC kód: </w:t>
      </w:r>
      <w:r w:rsidR="00FF0FDA">
        <w:rPr>
          <w:spacing w:val="2"/>
        </w:rPr>
        <w:t>L01EX02</w:t>
      </w:r>
      <w:r w:rsidRPr="00D16BAE">
        <w:rPr>
          <w:spacing w:val="2"/>
        </w:rPr>
        <w:t xml:space="preserve"> </w:t>
      </w:r>
    </w:p>
    <w:p w14:paraId="45937F90" w14:textId="77777777" w:rsidR="00D16BAE" w:rsidRPr="00D16BAE" w:rsidRDefault="00D16BAE" w:rsidP="00D16BAE">
      <w:pPr>
        <w:pStyle w:val="Nincstrkz"/>
        <w:rPr>
          <w:spacing w:val="2"/>
        </w:rPr>
      </w:pPr>
    </w:p>
    <w:p w14:paraId="4691A41C" w14:textId="292C09A9" w:rsidR="00D16BAE" w:rsidRPr="00D16BAE" w:rsidRDefault="00D16BAE" w:rsidP="00D16BAE">
      <w:pPr>
        <w:pStyle w:val="Nincstrkz"/>
        <w:rPr>
          <w:spacing w:val="2"/>
        </w:rPr>
      </w:pPr>
      <w:r w:rsidRPr="00D16BAE">
        <w:rPr>
          <w:spacing w:val="2"/>
        </w:rPr>
        <w:t xml:space="preserve">A szorafenib egy multikináz inhibitor, amely </w:t>
      </w:r>
      <w:r w:rsidRPr="00966D8C">
        <w:rPr>
          <w:i/>
          <w:spacing w:val="2"/>
        </w:rPr>
        <w:t>in vitro</w:t>
      </w:r>
      <w:r w:rsidRPr="00D16BAE">
        <w:rPr>
          <w:spacing w:val="2"/>
        </w:rPr>
        <w:t xml:space="preserve"> és </w:t>
      </w:r>
      <w:r w:rsidRPr="00966D8C">
        <w:rPr>
          <w:i/>
          <w:spacing w:val="2"/>
        </w:rPr>
        <w:t>in vivo</w:t>
      </w:r>
      <w:r w:rsidRPr="00D16BAE">
        <w:rPr>
          <w:spacing w:val="2"/>
        </w:rPr>
        <w:t xml:space="preserve"> körülmények között is antiproliferatív és antiangiogén hatásúnak bizonyult. </w:t>
      </w:r>
    </w:p>
    <w:p w14:paraId="5C51961E" w14:textId="77777777" w:rsidR="00D16BAE" w:rsidRPr="00D16BAE" w:rsidRDefault="00D16BAE" w:rsidP="00D16BAE">
      <w:pPr>
        <w:pStyle w:val="Nincstrkz"/>
        <w:rPr>
          <w:spacing w:val="2"/>
        </w:rPr>
      </w:pPr>
    </w:p>
    <w:p w14:paraId="40F8F5D5" w14:textId="77777777" w:rsidR="00D16BAE" w:rsidRPr="00966D8C" w:rsidRDefault="00D16BAE" w:rsidP="00D16BAE">
      <w:pPr>
        <w:pStyle w:val="Nincstrkz"/>
        <w:rPr>
          <w:spacing w:val="2"/>
          <w:u w:val="single"/>
        </w:rPr>
      </w:pPr>
      <w:r w:rsidRPr="00966D8C">
        <w:rPr>
          <w:spacing w:val="2"/>
          <w:u w:val="single"/>
        </w:rPr>
        <w:t xml:space="preserve">Hatásmechanizmus és farmakodinámiás hatások </w:t>
      </w:r>
    </w:p>
    <w:p w14:paraId="29FBCCAA" w14:textId="77777777" w:rsidR="00D16BAE" w:rsidRPr="00D16BAE" w:rsidRDefault="00D16BAE" w:rsidP="00D16BAE">
      <w:pPr>
        <w:pStyle w:val="Nincstrkz"/>
        <w:rPr>
          <w:spacing w:val="2"/>
        </w:rPr>
      </w:pPr>
    </w:p>
    <w:p w14:paraId="3BE758E5" w14:textId="77777777" w:rsidR="00D16BAE" w:rsidRPr="00D16BAE" w:rsidRDefault="00D16BAE" w:rsidP="00D16BAE">
      <w:pPr>
        <w:pStyle w:val="Nincstrkz"/>
        <w:rPr>
          <w:spacing w:val="2"/>
        </w:rPr>
      </w:pPr>
      <w:r w:rsidRPr="00D16BAE">
        <w:rPr>
          <w:spacing w:val="2"/>
        </w:rPr>
        <w:t xml:space="preserve">A szorafenib egy multikináz inhibitor, amely </w:t>
      </w:r>
      <w:r w:rsidRPr="00B06CA5">
        <w:rPr>
          <w:i/>
          <w:spacing w:val="2"/>
        </w:rPr>
        <w:t>in vivo</w:t>
      </w:r>
      <w:r w:rsidRPr="00D16BAE">
        <w:rPr>
          <w:spacing w:val="2"/>
        </w:rPr>
        <w:t xml:space="preserve"> csökkent</w:t>
      </w:r>
      <w:r w:rsidR="00B06CA5">
        <w:rPr>
          <w:spacing w:val="2"/>
        </w:rPr>
        <w:t xml:space="preserve">i </w:t>
      </w:r>
      <w:r w:rsidRPr="00D16BAE">
        <w:rPr>
          <w:spacing w:val="2"/>
        </w:rPr>
        <w:t xml:space="preserve">a daganatos sejtek proliferációját. A szorafenib gátolja a daganat növekedését számos humán xenograft esetén csecsemőmirigy nélküli egerekben, amely hatás a daganat angiogenezisének csökkenésével társul. A szorafenib gátolja a tumorsejtekben lévő célpontok aktivitását (CRAF, BRAF, V600E BRAF, c-KIT és FLT-3), illetve a daganat érellátásában lévőket (CRAF, VEGFR-2, VEGFR-3 és PDGFR-ß). A RAF kinázok szerin/treonin kinázok, míg a c-KIT, FLT-3, VEGFR-2, VEGFR-3 és a PDGFR-ß receptor tirozin kinázok. </w:t>
      </w:r>
    </w:p>
    <w:p w14:paraId="354A1971" w14:textId="77777777" w:rsidR="00D16BAE" w:rsidRPr="00D16BAE" w:rsidRDefault="00D16BAE" w:rsidP="00D16BAE">
      <w:pPr>
        <w:pStyle w:val="Nincstrkz"/>
        <w:rPr>
          <w:spacing w:val="2"/>
        </w:rPr>
      </w:pPr>
    </w:p>
    <w:p w14:paraId="76BECC21" w14:textId="77777777" w:rsidR="00D16BAE" w:rsidRPr="00B06CA5" w:rsidRDefault="00D16BAE" w:rsidP="00D16BAE">
      <w:pPr>
        <w:pStyle w:val="Nincstrkz"/>
        <w:rPr>
          <w:spacing w:val="2"/>
          <w:u w:val="single"/>
        </w:rPr>
      </w:pPr>
      <w:r w:rsidRPr="00B06CA5">
        <w:rPr>
          <w:spacing w:val="2"/>
          <w:u w:val="single"/>
        </w:rPr>
        <w:t xml:space="preserve">Klinikai hatásosság </w:t>
      </w:r>
    </w:p>
    <w:p w14:paraId="10AA0427" w14:textId="77777777" w:rsidR="00D16BAE" w:rsidRPr="00D16BAE" w:rsidRDefault="00D16BAE" w:rsidP="00D16BAE">
      <w:pPr>
        <w:pStyle w:val="Nincstrkz"/>
        <w:rPr>
          <w:spacing w:val="2"/>
        </w:rPr>
      </w:pPr>
    </w:p>
    <w:p w14:paraId="656E10E0" w14:textId="115B5636" w:rsidR="00D16BAE" w:rsidRPr="00D16BAE" w:rsidRDefault="00D16BAE" w:rsidP="00D16BAE">
      <w:pPr>
        <w:pStyle w:val="Nincstrkz"/>
        <w:rPr>
          <w:spacing w:val="2"/>
        </w:rPr>
      </w:pPr>
      <w:r w:rsidRPr="00D16BAE">
        <w:rPr>
          <w:spacing w:val="2"/>
        </w:rPr>
        <w:t>A szorafenib klinikai biztonságosságát és hatásosságát májsejt carcinomában (HCC), előrehaladott stádiumban lévő vesesejtes carcinomában (RCC)</w:t>
      </w:r>
      <w:r w:rsidR="0091196E">
        <w:rPr>
          <w:spacing w:val="2"/>
        </w:rPr>
        <w:t>, valamint differenciált pajzsmirigy carcinomában (DTC)</w:t>
      </w:r>
      <w:r w:rsidR="00DA69CC">
        <w:rPr>
          <w:spacing w:val="2"/>
        </w:rPr>
        <w:t xml:space="preserve"> </w:t>
      </w:r>
      <w:r w:rsidRPr="00D16BAE">
        <w:rPr>
          <w:spacing w:val="2"/>
        </w:rPr>
        <w:t>szenvedő betegek</w:t>
      </w:r>
      <w:r w:rsidR="00DA69CC">
        <w:rPr>
          <w:spacing w:val="2"/>
        </w:rPr>
        <w:t>nél</w:t>
      </w:r>
      <w:r w:rsidRPr="00D16BAE">
        <w:rPr>
          <w:spacing w:val="2"/>
        </w:rPr>
        <w:t xml:space="preserve"> vizsgálták. </w:t>
      </w:r>
    </w:p>
    <w:p w14:paraId="4A8A50DE" w14:textId="77777777" w:rsidR="00D16BAE" w:rsidRPr="00D16BAE" w:rsidRDefault="00D16BAE" w:rsidP="00D16BAE">
      <w:pPr>
        <w:pStyle w:val="Nincstrkz"/>
        <w:rPr>
          <w:spacing w:val="2"/>
        </w:rPr>
      </w:pPr>
    </w:p>
    <w:p w14:paraId="374D3947" w14:textId="77777777" w:rsidR="00D16BAE" w:rsidRPr="00DF3F3F" w:rsidRDefault="00B06CA5" w:rsidP="00D16BAE">
      <w:pPr>
        <w:pStyle w:val="Nincstrkz"/>
        <w:rPr>
          <w:spacing w:val="2"/>
          <w:u w:val="single"/>
        </w:rPr>
      </w:pPr>
      <w:r w:rsidRPr="00DF3F3F">
        <w:rPr>
          <w:spacing w:val="2"/>
          <w:u w:val="single"/>
        </w:rPr>
        <w:t>Hepatocelluláris</w:t>
      </w:r>
      <w:r w:rsidR="00D16BAE" w:rsidRPr="00DF3F3F">
        <w:rPr>
          <w:spacing w:val="2"/>
          <w:u w:val="single"/>
        </w:rPr>
        <w:t xml:space="preserve"> carcinoma </w:t>
      </w:r>
    </w:p>
    <w:p w14:paraId="289B3076" w14:textId="77777777" w:rsidR="00D16BAE" w:rsidRPr="00D16BAE" w:rsidRDefault="00D16BAE" w:rsidP="00D16BAE">
      <w:pPr>
        <w:pStyle w:val="Nincstrkz"/>
        <w:rPr>
          <w:spacing w:val="2"/>
        </w:rPr>
      </w:pPr>
    </w:p>
    <w:p w14:paraId="649EE646" w14:textId="4E97D1DA" w:rsidR="00D16BAE" w:rsidRPr="00D16BAE" w:rsidRDefault="00D16BAE" w:rsidP="00D16BAE">
      <w:pPr>
        <w:pStyle w:val="Nincstrkz"/>
        <w:rPr>
          <w:spacing w:val="2"/>
        </w:rPr>
      </w:pPr>
      <w:r w:rsidRPr="00D16BAE">
        <w:rPr>
          <w:spacing w:val="2"/>
        </w:rPr>
        <w:t xml:space="preserve">A 3. vizsgálat (100554-es vizsgálat) egy </w:t>
      </w:r>
      <w:r w:rsidR="0037337B">
        <w:rPr>
          <w:spacing w:val="2"/>
        </w:rPr>
        <w:t xml:space="preserve">III. </w:t>
      </w:r>
      <w:r w:rsidR="00DF3F3F">
        <w:rPr>
          <w:spacing w:val="2"/>
        </w:rPr>
        <w:t>fázis</w:t>
      </w:r>
      <w:r w:rsidR="0037337B">
        <w:rPr>
          <w:spacing w:val="2"/>
        </w:rPr>
        <w:t>ú</w:t>
      </w:r>
      <w:r w:rsidR="004116EC">
        <w:rPr>
          <w:spacing w:val="2"/>
        </w:rPr>
        <w:t xml:space="preserve">, </w:t>
      </w:r>
      <w:r w:rsidRPr="00D16BAE">
        <w:rPr>
          <w:spacing w:val="2"/>
        </w:rPr>
        <w:t>nemzetközi, multicentrikus, randomizált, kettős</w:t>
      </w:r>
      <w:r w:rsidR="003D28DB">
        <w:rPr>
          <w:spacing w:val="2"/>
        </w:rPr>
        <w:t xml:space="preserve"> </w:t>
      </w:r>
      <w:r w:rsidRPr="00D16BAE">
        <w:rPr>
          <w:spacing w:val="2"/>
        </w:rPr>
        <w:t>vak, placebokontrollos, 602</w:t>
      </w:r>
      <w:r w:rsidR="00DA69CC">
        <w:rPr>
          <w:spacing w:val="2"/>
        </w:rPr>
        <w:t>,</w:t>
      </w:r>
      <w:r w:rsidRPr="00D16BAE">
        <w:rPr>
          <w:spacing w:val="2"/>
        </w:rPr>
        <w:t xml:space="preserve"> májsejt carcinomában szenvedő beteggel elvégzett vizsgálat volt. A szorafenibbel kezelt betegek és a placebocsoportba tartozó betegek demográfiai és a betegségre vonatkozó kiindulási adatai az ECOG status (status 0: 54% vs. 54%, status 1: 38% vs. 39%, status 2: 8% vs. 7%), a TNM-stádium (I. stádium &lt; 1% vs. &lt; 1%, II. stádium: 10,4% vs. 8,3%, III. stádium: 37,8% vs. 43,6%, IV. stádium 50,8% vs. 46,9%), valamint a BCLC-stádium (B stádium: 18,1% vs. 16,8%, C stádium: 81,6% vs. 83,2%, D stádium: &lt; 1% vs. 0%) tekintetében hasonlóak voltak. </w:t>
      </w:r>
    </w:p>
    <w:p w14:paraId="3EF4E93E" w14:textId="77777777" w:rsidR="00D16BAE" w:rsidRPr="00D16BAE" w:rsidRDefault="00D16BAE" w:rsidP="00D16BAE">
      <w:pPr>
        <w:pStyle w:val="Nincstrkz"/>
        <w:rPr>
          <w:spacing w:val="2"/>
        </w:rPr>
      </w:pPr>
    </w:p>
    <w:p w14:paraId="54A4B2E2" w14:textId="78071959" w:rsidR="00D16BAE" w:rsidRPr="00D16BAE" w:rsidRDefault="00D16BAE" w:rsidP="00D16BAE">
      <w:pPr>
        <w:pStyle w:val="Nincstrkz"/>
        <w:rPr>
          <w:spacing w:val="2"/>
        </w:rPr>
      </w:pPr>
      <w:r w:rsidRPr="00D16BAE">
        <w:rPr>
          <w:spacing w:val="2"/>
        </w:rPr>
        <w:t>A vizsgálatot a</w:t>
      </w:r>
      <w:r w:rsidR="004116EC">
        <w:rPr>
          <w:spacing w:val="2"/>
        </w:rPr>
        <w:t>z össz</w:t>
      </w:r>
      <w:r w:rsidRPr="00D16BAE">
        <w:rPr>
          <w:spacing w:val="2"/>
        </w:rPr>
        <w:t xml:space="preserve">túlélés (overall survival – OS) egy előre tervezett interim analízisét követően fejezték be, amikor az OS-érték átlépte az előre meghatározott hatékonysági küszöböt. Ez az OS-analízis a szorafenib statisztikailag szignifikáns előnyét mutatta ki a placebóval szemben (relatív hazárd: 0,69, p = 0,00058, lásd </w:t>
      </w:r>
      <w:r w:rsidR="00641D7B">
        <w:rPr>
          <w:spacing w:val="2"/>
        </w:rPr>
        <w:t>3</w:t>
      </w:r>
      <w:r w:rsidRPr="00D16BAE">
        <w:rPr>
          <w:spacing w:val="2"/>
        </w:rPr>
        <w:t xml:space="preserve">. táblázat). </w:t>
      </w:r>
    </w:p>
    <w:p w14:paraId="4D6F6D41" w14:textId="77777777" w:rsidR="00D16BAE" w:rsidRPr="00D16BAE" w:rsidRDefault="00D16BAE" w:rsidP="00D16BAE">
      <w:pPr>
        <w:pStyle w:val="Nincstrkz"/>
        <w:rPr>
          <w:spacing w:val="2"/>
        </w:rPr>
      </w:pPr>
    </w:p>
    <w:p w14:paraId="46BF38B2" w14:textId="77777777" w:rsidR="00D16BAE" w:rsidRPr="00D16BAE" w:rsidRDefault="00D16BAE" w:rsidP="00D16BAE">
      <w:pPr>
        <w:pStyle w:val="Nincstrkz"/>
        <w:rPr>
          <w:spacing w:val="2"/>
        </w:rPr>
      </w:pPr>
      <w:r w:rsidRPr="00D16BAE">
        <w:rPr>
          <w:spacing w:val="2"/>
        </w:rPr>
        <w:t xml:space="preserve">Ebben a vizsgálatban csak korlátozott számú adat áll rendelkezésre Child-Pugh B stádiumú májkárosodásban szenvedő betegek esetében, míg csupán egyetlen, Child-Pugh C stádiumú májkárosodásban szenvedő beteg került bevonásra. </w:t>
      </w:r>
    </w:p>
    <w:p w14:paraId="30EED596" w14:textId="77777777" w:rsidR="00D16BAE" w:rsidRPr="00D16BAE" w:rsidRDefault="00D16BAE" w:rsidP="00D16BAE">
      <w:pPr>
        <w:pStyle w:val="Nincstrkz"/>
        <w:rPr>
          <w:spacing w:val="2"/>
        </w:rPr>
      </w:pPr>
    </w:p>
    <w:p w14:paraId="5584BBED" w14:textId="43647354" w:rsidR="00D16BAE" w:rsidRPr="004116EC" w:rsidRDefault="00641D7B" w:rsidP="00DC0223">
      <w:pPr>
        <w:pStyle w:val="Nincstrkz"/>
        <w:keepNext/>
        <w:rPr>
          <w:b/>
          <w:spacing w:val="2"/>
        </w:rPr>
      </w:pPr>
      <w:r>
        <w:rPr>
          <w:b/>
          <w:spacing w:val="2"/>
        </w:rPr>
        <w:t>3</w:t>
      </w:r>
      <w:r w:rsidR="00D16BAE" w:rsidRPr="004116EC">
        <w:rPr>
          <w:b/>
          <w:spacing w:val="2"/>
        </w:rPr>
        <w:t>. táblázat: A 3. vizsgálat (100554.) hatékonysági eredményei májsejt carcinomában</w:t>
      </w:r>
    </w:p>
    <w:p w14:paraId="602A442B" w14:textId="77777777" w:rsidR="004116EC" w:rsidRPr="00A93DF6" w:rsidRDefault="004116EC" w:rsidP="00DC0223">
      <w:pPr>
        <w:pStyle w:val="Nincstrkz"/>
        <w:keepNext/>
      </w:pPr>
    </w:p>
    <w:tbl>
      <w:tblPr>
        <w:tblStyle w:val="Rcsostblzat"/>
        <w:tblW w:w="0" w:type="auto"/>
        <w:tblLook w:val="04A0" w:firstRow="1" w:lastRow="0" w:firstColumn="1" w:lastColumn="0" w:noHBand="0" w:noVBand="1"/>
      </w:tblPr>
      <w:tblGrid>
        <w:gridCol w:w="2200"/>
        <w:gridCol w:w="1681"/>
        <w:gridCol w:w="1673"/>
        <w:gridCol w:w="1811"/>
        <w:gridCol w:w="1695"/>
      </w:tblGrid>
      <w:tr w:rsidR="004116EC" w:rsidRPr="00BE06A4" w14:paraId="59D9815E" w14:textId="77777777" w:rsidTr="009A75A1">
        <w:tc>
          <w:tcPr>
            <w:tcW w:w="2200" w:type="dxa"/>
          </w:tcPr>
          <w:p w14:paraId="508613FD" w14:textId="77777777" w:rsidR="004116EC" w:rsidRPr="00BE06A4" w:rsidRDefault="009A75A1" w:rsidP="00DC0223">
            <w:pPr>
              <w:pStyle w:val="Nincstrkz"/>
              <w:keepNext/>
              <w:rPr>
                <w:lang w:val="hu-HU"/>
              </w:rPr>
            </w:pPr>
            <w:r w:rsidRPr="00BE06A4">
              <w:rPr>
                <w:lang w:val="hu-HU"/>
              </w:rPr>
              <w:t>Hatásossági</w:t>
            </w:r>
            <w:r w:rsidR="004116EC" w:rsidRPr="00BE06A4">
              <w:rPr>
                <w:lang w:val="hu-HU"/>
              </w:rPr>
              <w:t xml:space="preserve"> </w:t>
            </w:r>
            <w:r w:rsidRPr="00BE06A4">
              <w:rPr>
                <w:lang w:val="hu-HU"/>
              </w:rPr>
              <w:t>p</w:t>
            </w:r>
            <w:r w:rsidR="004116EC" w:rsidRPr="00BE06A4">
              <w:rPr>
                <w:lang w:val="hu-HU"/>
              </w:rPr>
              <w:t>aram</w:t>
            </w:r>
            <w:r w:rsidRPr="00BE06A4">
              <w:rPr>
                <w:lang w:val="hu-HU"/>
              </w:rPr>
              <w:t>é</w:t>
            </w:r>
            <w:r w:rsidR="004116EC" w:rsidRPr="00BE06A4">
              <w:rPr>
                <w:lang w:val="hu-HU"/>
              </w:rPr>
              <w:t>ter</w:t>
            </w:r>
          </w:p>
        </w:tc>
        <w:tc>
          <w:tcPr>
            <w:tcW w:w="1681" w:type="dxa"/>
          </w:tcPr>
          <w:p w14:paraId="42B9C01B" w14:textId="77777777" w:rsidR="004116EC" w:rsidRPr="00BE06A4" w:rsidRDefault="004116EC" w:rsidP="00DC0223">
            <w:pPr>
              <w:pStyle w:val="Nincstrkz"/>
              <w:keepNext/>
              <w:rPr>
                <w:lang w:val="hu-HU"/>
              </w:rPr>
            </w:pPr>
            <w:r w:rsidRPr="00BE06A4">
              <w:rPr>
                <w:lang w:val="hu-HU"/>
              </w:rPr>
              <w:t>S</w:t>
            </w:r>
            <w:r w:rsidR="009A75A1" w:rsidRPr="00BE06A4">
              <w:rPr>
                <w:lang w:val="hu-HU"/>
              </w:rPr>
              <w:t>z</w:t>
            </w:r>
            <w:r w:rsidRPr="00BE06A4">
              <w:rPr>
                <w:lang w:val="hu-HU"/>
              </w:rPr>
              <w:t xml:space="preserve">orafenib </w:t>
            </w:r>
          </w:p>
          <w:p w14:paraId="6B0B9490" w14:textId="77777777" w:rsidR="004116EC" w:rsidRPr="00BE06A4" w:rsidRDefault="004116EC" w:rsidP="00DC0223">
            <w:pPr>
              <w:pStyle w:val="Nincstrkz"/>
              <w:keepNext/>
              <w:rPr>
                <w:lang w:val="hu-HU"/>
              </w:rPr>
            </w:pPr>
            <w:r w:rsidRPr="00BE06A4">
              <w:rPr>
                <w:lang w:val="hu-HU"/>
              </w:rPr>
              <w:t xml:space="preserve">(N=299) </w:t>
            </w:r>
          </w:p>
        </w:tc>
        <w:tc>
          <w:tcPr>
            <w:tcW w:w="1673" w:type="dxa"/>
          </w:tcPr>
          <w:p w14:paraId="364F4077" w14:textId="77777777" w:rsidR="004116EC" w:rsidRPr="00BE06A4" w:rsidRDefault="004116EC" w:rsidP="00DC0223">
            <w:pPr>
              <w:pStyle w:val="Nincstrkz"/>
              <w:keepNext/>
              <w:rPr>
                <w:lang w:val="hu-HU"/>
              </w:rPr>
            </w:pPr>
            <w:r w:rsidRPr="00BE06A4">
              <w:rPr>
                <w:lang w:val="hu-HU"/>
              </w:rPr>
              <w:t xml:space="preserve">Placebo </w:t>
            </w:r>
          </w:p>
          <w:p w14:paraId="1968DB4B" w14:textId="77777777" w:rsidR="004116EC" w:rsidRPr="00BE06A4" w:rsidRDefault="004116EC" w:rsidP="00DC0223">
            <w:pPr>
              <w:pStyle w:val="Nincstrkz"/>
              <w:keepNext/>
              <w:rPr>
                <w:lang w:val="hu-HU"/>
              </w:rPr>
            </w:pPr>
            <w:r w:rsidRPr="00BE06A4">
              <w:rPr>
                <w:lang w:val="hu-HU"/>
              </w:rPr>
              <w:t xml:space="preserve">(N=303) </w:t>
            </w:r>
          </w:p>
        </w:tc>
        <w:tc>
          <w:tcPr>
            <w:tcW w:w="1811" w:type="dxa"/>
          </w:tcPr>
          <w:p w14:paraId="66B1795A" w14:textId="77777777" w:rsidR="004116EC" w:rsidRPr="00BE06A4" w:rsidRDefault="004116EC" w:rsidP="00DC0223">
            <w:pPr>
              <w:pStyle w:val="Nincstrkz"/>
              <w:keepNext/>
              <w:rPr>
                <w:lang w:val="hu-HU"/>
              </w:rPr>
            </w:pPr>
            <w:r w:rsidRPr="00BE06A4">
              <w:rPr>
                <w:lang w:val="hu-HU"/>
              </w:rPr>
              <w:t>P</w:t>
            </w:r>
            <w:r w:rsidRPr="00BE06A4">
              <w:rPr>
                <w:lang w:val="hu-HU"/>
              </w:rPr>
              <w:noBreakHyphen/>
            </w:r>
            <w:r w:rsidR="009A75A1" w:rsidRPr="00BE06A4">
              <w:rPr>
                <w:lang w:val="hu-HU"/>
              </w:rPr>
              <w:t>érték</w:t>
            </w:r>
            <w:r w:rsidRPr="00BE06A4">
              <w:rPr>
                <w:lang w:val="hu-HU"/>
              </w:rPr>
              <w:t xml:space="preserve"> </w:t>
            </w:r>
          </w:p>
          <w:p w14:paraId="418958DF" w14:textId="77777777" w:rsidR="004116EC" w:rsidRPr="00BE06A4" w:rsidRDefault="004116EC" w:rsidP="00DC0223">
            <w:pPr>
              <w:pStyle w:val="Nincstrkz"/>
              <w:keepNext/>
              <w:rPr>
                <w:lang w:val="hu-HU"/>
              </w:rPr>
            </w:pPr>
          </w:p>
        </w:tc>
        <w:tc>
          <w:tcPr>
            <w:tcW w:w="1695" w:type="dxa"/>
          </w:tcPr>
          <w:p w14:paraId="4D23416C" w14:textId="77777777" w:rsidR="004116EC" w:rsidRPr="00BE06A4" w:rsidRDefault="004116EC" w:rsidP="00DC0223">
            <w:pPr>
              <w:pStyle w:val="Nincstrkz"/>
              <w:keepNext/>
              <w:rPr>
                <w:lang w:val="hu-HU"/>
              </w:rPr>
            </w:pPr>
            <w:r w:rsidRPr="00BE06A4">
              <w:rPr>
                <w:lang w:val="hu-HU"/>
              </w:rPr>
              <w:t xml:space="preserve">HR </w:t>
            </w:r>
          </w:p>
          <w:p w14:paraId="5C91A0FA" w14:textId="77777777" w:rsidR="004116EC" w:rsidRPr="00BE06A4" w:rsidRDefault="004116EC" w:rsidP="00DC0223">
            <w:pPr>
              <w:pStyle w:val="Nincstrkz"/>
              <w:keepNext/>
              <w:rPr>
                <w:lang w:val="hu-HU"/>
              </w:rPr>
            </w:pPr>
            <w:r w:rsidRPr="00BE06A4">
              <w:rPr>
                <w:lang w:val="hu-HU"/>
              </w:rPr>
              <w:t xml:space="preserve">(95% CI) </w:t>
            </w:r>
          </w:p>
        </w:tc>
      </w:tr>
      <w:tr w:rsidR="004116EC" w:rsidRPr="00BE06A4" w14:paraId="5EF51D6A" w14:textId="77777777" w:rsidTr="009A75A1">
        <w:tc>
          <w:tcPr>
            <w:tcW w:w="2200" w:type="dxa"/>
          </w:tcPr>
          <w:p w14:paraId="0844D83B" w14:textId="7731654A" w:rsidR="004116EC" w:rsidRPr="00BE06A4" w:rsidRDefault="00734A95" w:rsidP="00DC0223">
            <w:pPr>
              <w:pStyle w:val="Nincstrkz"/>
              <w:keepNext/>
              <w:rPr>
                <w:lang w:val="hu-HU"/>
              </w:rPr>
            </w:pPr>
            <w:r w:rsidRPr="00BE06A4">
              <w:rPr>
                <w:lang w:val="hu-HU"/>
              </w:rPr>
              <w:t xml:space="preserve">Össztúlélés (OS) [medián, hetek (95% CI)] </w:t>
            </w:r>
          </w:p>
        </w:tc>
        <w:tc>
          <w:tcPr>
            <w:tcW w:w="1681" w:type="dxa"/>
          </w:tcPr>
          <w:p w14:paraId="5428042F" w14:textId="77777777" w:rsidR="004116EC" w:rsidRPr="00BE06A4" w:rsidRDefault="004116EC" w:rsidP="00DC0223">
            <w:pPr>
              <w:pStyle w:val="Nincstrkz"/>
              <w:keepNext/>
              <w:rPr>
                <w:lang w:val="hu-HU"/>
              </w:rPr>
            </w:pPr>
            <w:r w:rsidRPr="00BE06A4">
              <w:rPr>
                <w:lang w:val="hu-HU"/>
              </w:rPr>
              <w:t>46</w:t>
            </w:r>
            <w:r w:rsidR="009A75A1" w:rsidRPr="00BE06A4">
              <w:rPr>
                <w:lang w:val="hu-HU"/>
              </w:rPr>
              <w:t>,</w:t>
            </w:r>
            <w:r w:rsidRPr="00BE06A4">
              <w:rPr>
                <w:lang w:val="hu-HU"/>
              </w:rPr>
              <w:t xml:space="preserve">3 </w:t>
            </w:r>
          </w:p>
          <w:p w14:paraId="1E35541F" w14:textId="77777777" w:rsidR="004116EC" w:rsidRPr="00BE06A4" w:rsidRDefault="004116EC" w:rsidP="00DC0223">
            <w:pPr>
              <w:pStyle w:val="Nincstrkz"/>
              <w:keepNext/>
              <w:rPr>
                <w:lang w:val="hu-HU"/>
              </w:rPr>
            </w:pPr>
            <w:r w:rsidRPr="00BE06A4">
              <w:rPr>
                <w:lang w:val="hu-HU"/>
              </w:rPr>
              <w:t>(40</w:t>
            </w:r>
            <w:r w:rsidR="009A75A1" w:rsidRPr="00BE06A4">
              <w:rPr>
                <w:lang w:val="hu-HU"/>
              </w:rPr>
              <w:t>,</w:t>
            </w:r>
            <w:r w:rsidRPr="00BE06A4">
              <w:rPr>
                <w:lang w:val="hu-HU"/>
              </w:rPr>
              <w:t>9, 57</w:t>
            </w:r>
            <w:r w:rsidR="009A75A1" w:rsidRPr="00BE06A4">
              <w:rPr>
                <w:lang w:val="hu-HU"/>
              </w:rPr>
              <w:t>,</w:t>
            </w:r>
            <w:r w:rsidRPr="00BE06A4">
              <w:rPr>
                <w:lang w:val="hu-HU"/>
              </w:rPr>
              <w:t>9)</w:t>
            </w:r>
          </w:p>
        </w:tc>
        <w:tc>
          <w:tcPr>
            <w:tcW w:w="1673" w:type="dxa"/>
          </w:tcPr>
          <w:p w14:paraId="7EE8E2F4" w14:textId="77777777" w:rsidR="004116EC" w:rsidRPr="00BE06A4" w:rsidRDefault="004116EC" w:rsidP="00DC0223">
            <w:pPr>
              <w:pStyle w:val="Nincstrkz"/>
              <w:keepNext/>
              <w:rPr>
                <w:lang w:val="hu-HU"/>
              </w:rPr>
            </w:pPr>
            <w:r w:rsidRPr="00BE06A4">
              <w:rPr>
                <w:lang w:val="hu-HU"/>
              </w:rPr>
              <w:t>34</w:t>
            </w:r>
            <w:r w:rsidR="009A75A1" w:rsidRPr="00BE06A4">
              <w:rPr>
                <w:lang w:val="hu-HU"/>
              </w:rPr>
              <w:t>,</w:t>
            </w:r>
            <w:r w:rsidRPr="00BE06A4">
              <w:rPr>
                <w:lang w:val="hu-HU"/>
              </w:rPr>
              <w:t xml:space="preserve">4 </w:t>
            </w:r>
          </w:p>
          <w:p w14:paraId="4757A599" w14:textId="77777777" w:rsidR="004116EC" w:rsidRPr="00BE06A4" w:rsidRDefault="004116EC" w:rsidP="00DC0223">
            <w:pPr>
              <w:pStyle w:val="Nincstrkz"/>
              <w:keepNext/>
              <w:rPr>
                <w:lang w:val="hu-HU"/>
              </w:rPr>
            </w:pPr>
            <w:r w:rsidRPr="00BE06A4">
              <w:rPr>
                <w:lang w:val="hu-HU"/>
              </w:rPr>
              <w:t>(29</w:t>
            </w:r>
            <w:r w:rsidR="009A75A1" w:rsidRPr="00BE06A4">
              <w:rPr>
                <w:lang w:val="hu-HU"/>
              </w:rPr>
              <w:t>,</w:t>
            </w:r>
            <w:r w:rsidRPr="00BE06A4">
              <w:rPr>
                <w:lang w:val="hu-HU"/>
              </w:rPr>
              <w:t>4, 39</w:t>
            </w:r>
            <w:r w:rsidR="009A75A1" w:rsidRPr="00BE06A4">
              <w:rPr>
                <w:lang w:val="hu-HU"/>
              </w:rPr>
              <w:t>,</w:t>
            </w:r>
            <w:r w:rsidRPr="00BE06A4">
              <w:rPr>
                <w:lang w:val="hu-HU"/>
              </w:rPr>
              <w:t>4)</w:t>
            </w:r>
          </w:p>
        </w:tc>
        <w:tc>
          <w:tcPr>
            <w:tcW w:w="1811" w:type="dxa"/>
          </w:tcPr>
          <w:p w14:paraId="0878BB46" w14:textId="77777777" w:rsidR="004116EC" w:rsidRPr="00BE06A4" w:rsidRDefault="004116EC" w:rsidP="00DC0223">
            <w:pPr>
              <w:pStyle w:val="Nincstrkz"/>
              <w:keepNext/>
              <w:rPr>
                <w:lang w:val="hu-HU"/>
              </w:rPr>
            </w:pPr>
            <w:r w:rsidRPr="00BE06A4">
              <w:rPr>
                <w:lang w:val="hu-HU"/>
              </w:rPr>
              <w:t>0</w:t>
            </w:r>
            <w:r w:rsidR="009A75A1" w:rsidRPr="00BE06A4">
              <w:rPr>
                <w:lang w:val="hu-HU"/>
              </w:rPr>
              <w:t>,</w:t>
            </w:r>
            <w:r w:rsidRPr="00BE06A4">
              <w:rPr>
                <w:lang w:val="hu-HU"/>
              </w:rPr>
              <w:t>00058*</w:t>
            </w:r>
          </w:p>
        </w:tc>
        <w:tc>
          <w:tcPr>
            <w:tcW w:w="1695" w:type="dxa"/>
          </w:tcPr>
          <w:p w14:paraId="1AB513FF" w14:textId="77777777" w:rsidR="004116EC" w:rsidRPr="00BE06A4" w:rsidRDefault="004116EC" w:rsidP="00DC0223">
            <w:pPr>
              <w:pStyle w:val="Nincstrkz"/>
              <w:keepNext/>
              <w:rPr>
                <w:lang w:val="hu-HU"/>
              </w:rPr>
            </w:pPr>
            <w:r w:rsidRPr="00BE06A4">
              <w:rPr>
                <w:lang w:val="hu-HU"/>
              </w:rPr>
              <w:t>0</w:t>
            </w:r>
            <w:r w:rsidR="009A75A1" w:rsidRPr="00BE06A4">
              <w:rPr>
                <w:lang w:val="hu-HU"/>
              </w:rPr>
              <w:t>,</w:t>
            </w:r>
            <w:r w:rsidRPr="00BE06A4">
              <w:rPr>
                <w:lang w:val="hu-HU"/>
              </w:rPr>
              <w:t>69</w:t>
            </w:r>
          </w:p>
          <w:p w14:paraId="2FCCCD84" w14:textId="77777777" w:rsidR="004116EC" w:rsidRPr="00BE06A4" w:rsidRDefault="004116EC" w:rsidP="00DC0223">
            <w:pPr>
              <w:pStyle w:val="Nincstrkz"/>
              <w:keepNext/>
              <w:rPr>
                <w:lang w:val="hu-HU"/>
              </w:rPr>
            </w:pPr>
            <w:r w:rsidRPr="00BE06A4">
              <w:rPr>
                <w:lang w:val="hu-HU"/>
              </w:rPr>
              <w:t>(0</w:t>
            </w:r>
            <w:r w:rsidR="009A75A1" w:rsidRPr="00BE06A4">
              <w:rPr>
                <w:lang w:val="hu-HU"/>
              </w:rPr>
              <w:t>,</w:t>
            </w:r>
            <w:r w:rsidRPr="00BE06A4">
              <w:rPr>
                <w:lang w:val="hu-HU"/>
              </w:rPr>
              <w:t>55, 0</w:t>
            </w:r>
            <w:r w:rsidR="009A75A1" w:rsidRPr="00BE06A4">
              <w:rPr>
                <w:lang w:val="hu-HU"/>
              </w:rPr>
              <w:t>,</w:t>
            </w:r>
            <w:r w:rsidRPr="00BE06A4">
              <w:rPr>
                <w:lang w:val="hu-HU"/>
              </w:rPr>
              <w:t>87)</w:t>
            </w:r>
          </w:p>
        </w:tc>
      </w:tr>
      <w:tr w:rsidR="004116EC" w:rsidRPr="00BE06A4" w14:paraId="5E4DA087" w14:textId="77777777" w:rsidTr="009A75A1">
        <w:tc>
          <w:tcPr>
            <w:tcW w:w="2200" w:type="dxa"/>
          </w:tcPr>
          <w:p w14:paraId="7C764AE3" w14:textId="77777777" w:rsidR="004116EC" w:rsidRPr="00BE06A4" w:rsidRDefault="00734A95" w:rsidP="009A75A1">
            <w:pPr>
              <w:pStyle w:val="Nincstrkz"/>
              <w:rPr>
                <w:lang w:val="hu-HU"/>
              </w:rPr>
            </w:pPr>
            <w:r w:rsidRPr="00BE06A4">
              <w:rPr>
                <w:lang w:val="hu-HU"/>
              </w:rPr>
              <w:t>A progresszióig eltelt idő (TTP) [medián, hetek (95% CI)]**</w:t>
            </w:r>
          </w:p>
        </w:tc>
        <w:tc>
          <w:tcPr>
            <w:tcW w:w="1681" w:type="dxa"/>
          </w:tcPr>
          <w:p w14:paraId="6123EF6F" w14:textId="77777777" w:rsidR="004116EC" w:rsidRPr="00BE06A4" w:rsidRDefault="004116EC" w:rsidP="009A75A1">
            <w:pPr>
              <w:pStyle w:val="Nincstrkz"/>
              <w:rPr>
                <w:lang w:val="hu-HU"/>
              </w:rPr>
            </w:pPr>
            <w:r w:rsidRPr="00BE06A4">
              <w:rPr>
                <w:lang w:val="hu-HU"/>
              </w:rPr>
              <w:t>24</w:t>
            </w:r>
            <w:r w:rsidR="009A75A1" w:rsidRPr="00BE06A4">
              <w:rPr>
                <w:lang w:val="hu-HU"/>
              </w:rPr>
              <w:t>,</w:t>
            </w:r>
            <w:r w:rsidRPr="00BE06A4">
              <w:rPr>
                <w:lang w:val="hu-HU"/>
              </w:rPr>
              <w:t xml:space="preserve">0 </w:t>
            </w:r>
          </w:p>
          <w:p w14:paraId="3AA550AA" w14:textId="77777777" w:rsidR="004116EC" w:rsidRPr="00BE06A4" w:rsidRDefault="004116EC" w:rsidP="009A75A1">
            <w:pPr>
              <w:pStyle w:val="Nincstrkz"/>
              <w:rPr>
                <w:lang w:val="hu-HU"/>
              </w:rPr>
            </w:pPr>
            <w:r w:rsidRPr="00BE06A4">
              <w:rPr>
                <w:lang w:val="hu-HU"/>
              </w:rPr>
              <w:t>(18</w:t>
            </w:r>
            <w:r w:rsidR="009A75A1" w:rsidRPr="00BE06A4">
              <w:rPr>
                <w:lang w:val="hu-HU"/>
              </w:rPr>
              <w:t>,</w:t>
            </w:r>
            <w:r w:rsidRPr="00BE06A4">
              <w:rPr>
                <w:lang w:val="hu-HU"/>
              </w:rPr>
              <w:t>0, 30</w:t>
            </w:r>
            <w:r w:rsidR="009A75A1" w:rsidRPr="00BE06A4">
              <w:rPr>
                <w:lang w:val="hu-HU"/>
              </w:rPr>
              <w:t>,</w:t>
            </w:r>
            <w:r w:rsidRPr="00BE06A4">
              <w:rPr>
                <w:lang w:val="hu-HU"/>
              </w:rPr>
              <w:t>0)</w:t>
            </w:r>
          </w:p>
        </w:tc>
        <w:tc>
          <w:tcPr>
            <w:tcW w:w="1673" w:type="dxa"/>
          </w:tcPr>
          <w:p w14:paraId="73144D57" w14:textId="77777777" w:rsidR="004116EC" w:rsidRPr="00BE06A4" w:rsidRDefault="004116EC" w:rsidP="009A75A1">
            <w:pPr>
              <w:pStyle w:val="Nincstrkz"/>
              <w:rPr>
                <w:lang w:val="hu-HU"/>
              </w:rPr>
            </w:pPr>
            <w:r w:rsidRPr="00BE06A4">
              <w:rPr>
                <w:lang w:val="hu-HU"/>
              </w:rPr>
              <w:t>12</w:t>
            </w:r>
            <w:r w:rsidR="009A75A1" w:rsidRPr="00BE06A4">
              <w:rPr>
                <w:lang w:val="hu-HU"/>
              </w:rPr>
              <w:t>,</w:t>
            </w:r>
            <w:r w:rsidRPr="00BE06A4">
              <w:rPr>
                <w:lang w:val="hu-HU"/>
              </w:rPr>
              <w:t xml:space="preserve">3 </w:t>
            </w:r>
          </w:p>
          <w:p w14:paraId="6CE7FCA9" w14:textId="77777777" w:rsidR="004116EC" w:rsidRPr="00BE06A4" w:rsidRDefault="004116EC" w:rsidP="009A75A1">
            <w:pPr>
              <w:pStyle w:val="Nincstrkz"/>
              <w:rPr>
                <w:lang w:val="hu-HU"/>
              </w:rPr>
            </w:pPr>
            <w:r w:rsidRPr="00BE06A4">
              <w:rPr>
                <w:lang w:val="hu-HU"/>
              </w:rPr>
              <w:t>(11</w:t>
            </w:r>
            <w:r w:rsidR="009A75A1" w:rsidRPr="00BE06A4">
              <w:rPr>
                <w:lang w:val="hu-HU"/>
              </w:rPr>
              <w:t>,</w:t>
            </w:r>
            <w:r w:rsidRPr="00BE06A4">
              <w:rPr>
                <w:lang w:val="hu-HU"/>
              </w:rPr>
              <w:t>7, 17</w:t>
            </w:r>
            <w:r w:rsidR="009A75A1" w:rsidRPr="00BE06A4">
              <w:rPr>
                <w:lang w:val="hu-HU"/>
              </w:rPr>
              <w:t>,</w:t>
            </w:r>
            <w:r w:rsidRPr="00BE06A4">
              <w:rPr>
                <w:lang w:val="hu-HU"/>
              </w:rPr>
              <w:t>1)</w:t>
            </w:r>
          </w:p>
        </w:tc>
        <w:tc>
          <w:tcPr>
            <w:tcW w:w="1811" w:type="dxa"/>
          </w:tcPr>
          <w:p w14:paraId="1AD4DB8E" w14:textId="77777777" w:rsidR="004116EC" w:rsidRPr="00BE06A4" w:rsidRDefault="004116EC" w:rsidP="009A75A1">
            <w:pPr>
              <w:pStyle w:val="Nincstrkz"/>
              <w:rPr>
                <w:lang w:val="hu-HU"/>
              </w:rPr>
            </w:pPr>
            <w:r w:rsidRPr="00BE06A4">
              <w:rPr>
                <w:lang w:val="hu-HU"/>
              </w:rPr>
              <w:t>0</w:t>
            </w:r>
            <w:r w:rsidR="009A75A1" w:rsidRPr="00BE06A4">
              <w:rPr>
                <w:lang w:val="hu-HU"/>
              </w:rPr>
              <w:t>,</w:t>
            </w:r>
            <w:r w:rsidRPr="00BE06A4">
              <w:rPr>
                <w:lang w:val="hu-HU"/>
              </w:rPr>
              <w:t>000007</w:t>
            </w:r>
          </w:p>
        </w:tc>
        <w:tc>
          <w:tcPr>
            <w:tcW w:w="1695" w:type="dxa"/>
          </w:tcPr>
          <w:p w14:paraId="72F7894F" w14:textId="77777777" w:rsidR="004116EC" w:rsidRPr="00BE06A4" w:rsidRDefault="004116EC" w:rsidP="009A75A1">
            <w:pPr>
              <w:pStyle w:val="Nincstrkz"/>
              <w:rPr>
                <w:lang w:val="hu-HU"/>
              </w:rPr>
            </w:pPr>
            <w:r w:rsidRPr="00BE06A4">
              <w:rPr>
                <w:lang w:val="hu-HU"/>
              </w:rPr>
              <w:t>0</w:t>
            </w:r>
            <w:r w:rsidR="009A75A1" w:rsidRPr="00BE06A4">
              <w:rPr>
                <w:lang w:val="hu-HU"/>
              </w:rPr>
              <w:t>,</w:t>
            </w:r>
            <w:r w:rsidRPr="00BE06A4">
              <w:rPr>
                <w:lang w:val="hu-HU"/>
              </w:rPr>
              <w:t>58</w:t>
            </w:r>
          </w:p>
          <w:p w14:paraId="1D5B9AC8" w14:textId="77777777" w:rsidR="004116EC" w:rsidRPr="00BE06A4" w:rsidRDefault="004116EC" w:rsidP="009A75A1">
            <w:pPr>
              <w:pStyle w:val="Nincstrkz"/>
              <w:rPr>
                <w:lang w:val="hu-HU"/>
              </w:rPr>
            </w:pPr>
            <w:r w:rsidRPr="00BE06A4">
              <w:rPr>
                <w:lang w:val="hu-HU"/>
              </w:rPr>
              <w:t>(0</w:t>
            </w:r>
            <w:r w:rsidR="009A75A1" w:rsidRPr="00BE06A4">
              <w:rPr>
                <w:lang w:val="hu-HU"/>
              </w:rPr>
              <w:t>,</w:t>
            </w:r>
            <w:r w:rsidRPr="00BE06A4">
              <w:rPr>
                <w:lang w:val="hu-HU"/>
              </w:rPr>
              <w:t>45, 0</w:t>
            </w:r>
            <w:r w:rsidR="009A75A1" w:rsidRPr="00BE06A4">
              <w:rPr>
                <w:lang w:val="hu-HU"/>
              </w:rPr>
              <w:t>,</w:t>
            </w:r>
            <w:r w:rsidRPr="00BE06A4">
              <w:rPr>
                <w:lang w:val="hu-HU"/>
              </w:rPr>
              <w:t>74)</w:t>
            </w:r>
          </w:p>
        </w:tc>
      </w:tr>
    </w:tbl>
    <w:p w14:paraId="63144BE2" w14:textId="77777777" w:rsidR="009A75A1" w:rsidRPr="00BE06A4" w:rsidRDefault="009A75A1" w:rsidP="009A75A1">
      <w:pPr>
        <w:pStyle w:val="Nincstrkz"/>
      </w:pPr>
      <w:r w:rsidRPr="00BE06A4">
        <w:t xml:space="preserve">CI=konfidencia intervallum, HR=relatív hazárd (szorafenib placebóval szemben) </w:t>
      </w:r>
    </w:p>
    <w:p w14:paraId="1CB00C13" w14:textId="77777777" w:rsidR="009A75A1" w:rsidRPr="00BE06A4" w:rsidRDefault="009A75A1" w:rsidP="004E3B52">
      <w:pPr>
        <w:pStyle w:val="Nincstrkz"/>
        <w:ind w:left="284" w:hanging="284"/>
      </w:pPr>
      <w:r w:rsidRPr="00BE06A4">
        <w:t xml:space="preserve">* statisztikailag szignifikáns ahol a p-érték az előre meghatározott 0,0077 O’Brien Fleming határérték alatt maradt </w:t>
      </w:r>
    </w:p>
    <w:p w14:paraId="28CBE8C1" w14:textId="77777777" w:rsidR="004116EC" w:rsidRPr="00BE06A4" w:rsidRDefault="009A75A1" w:rsidP="009A75A1">
      <w:pPr>
        <w:pStyle w:val="Nincstrkz"/>
      </w:pPr>
      <w:r w:rsidRPr="00BE06A4">
        <w:t xml:space="preserve">** független radiológiai értékelés </w:t>
      </w:r>
    </w:p>
    <w:p w14:paraId="31AD0244" w14:textId="77777777" w:rsidR="00734A95" w:rsidRPr="00BE06A4" w:rsidRDefault="00734A95" w:rsidP="00CE695D">
      <w:pPr>
        <w:pStyle w:val="Nincstrkz"/>
        <w:rPr>
          <w:spacing w:val="2"/>
        </w:rPr>
      </w:pPr>
    </w:p>
    <w:p w14:paraId="553CAF7D" w14:textId="59D696F2" w:rsidR="00CE695D" w:rsidRPr="00CE695D" w:rsidRDefault="00CE695D" w:rsidP="00CE695D">
      <w:pPr>
        <w:pStyle w:val="Nincstrkz"/>
        <w:rPr>
          <w:spacing w:val="2"/>
        </w:rPr>
      </w:pPr>
      <w:r w:rsidRPr="00BE06A4">
        <w:rPr>
          <w:spacing w:val="2"/>
        </w:rPr>
        <w:t>Egy második</w:t>
      </w:r>
      <w:r w:rsidR="00734A95" w:rsidRPr="00BE06A4">
        <w:rPr>
          <w:spacing w:val="2"/>
        </w:rPr>
        <w:t xml:space="preserve">, </w:t>
      </w:r>
      <w:r w:rsidR="003D28DB">
        <w:rPr>
          <w:spacing w:val="2"/>
        </w:rPr>
        <w:t xml:space="preserve">III. </w:t>
      </w:r>
      <w:r w:rsidR="00734A95" w:rsidRPr="00BE06A4">
        <w:rPr>
          <w:spacing w:val="2"/>
        </w:rPr>
        <w:t>fázis</w:t>
      </w:r>
      <w:r w:rsidR="003D28DB">
        <w:rPr>
          <w:spacing w:val="2"/>
        </w:rPr>
        <w:t>ú</w:t>
      </w:r>
      <w:r w:rsidRPr="00BE06A4">
        <w:rPr>
          <w:spacing w:val="2"/>
        </w:rPr>
        <w:t>, nemzetközi, multicentrikus, randomizált, kettős</w:t>
      </w:r>
      <w:r w:rsidR="003D28DB">
        <w:rPr>
          <w:spacing w:val="2"/>
        </w:rPr>
        <w:t xml:space="preserve"> </w:t>
      </w:r>
      <w:r w:rsidRPr="00BE06A4">
        <w:rPr>
          <w:spacing w:val="2"/>
        </w:rPr>
        <w:t>vak, placebokontroll</w:t>
      </w:r>
      <w:r w:rsidR="004E4B10">
        <w:rPr>
          <w:spacing w:val="2"/>
        </w:rPr>
        <w:t>os</w:t>
      </w:r>
      <w:r w:rsidRPr="00BE06A4">
        <w:rPr>
          <w:spacing w:val="2"/>
        </w:rPr>
        <w:t xml:space="preserve"> vizsgálat (a 4-es 11849 sz. vizsgálat) során értékelték a szorafenib klinikai hatékonyságát 226</w:t>
      </w:r>
      <w:r w:rsidR="004E3B52" w:rsidRPr="00BE06A4">
        <w:rPr>
          <w:spacing w:val="2"/>
        </w:rPr>
        <w:t>,</w:t>
      </w:r>
      <w:r w:rsidRPr="00BE06A4">
        <w:rPr>
          <w:spacing w:val="2"/>
        </w:rPr>
        <w:t xml:space="preserve"> előrehaladott májsejt carcinomában szenvedő</w:t>
      </w:r>
      <w:r w:rsidRPr="00CE695D">
        <w:rPr>
          <w:spacing w:val="2"/>
        </w:rPr>
        <w:t xml:space="preserve"> beteg esetében. Ez a vizsgálat – amit Kínában, Koreában és Ta</w:t>
      </w:r>
      <w:r w:rsidR="004E3B52">
        <w:rPr>
          <w:spacing w:val="2"/>
        </w:rPr>
        <w:t>j</w:t>
      </w:r>
      <w:r w:rsidRPr="00CE695D">
        <w:rPr>
          <w:spacing w:val="2"/>
        </w:rPr>
        <w:t xml:space="preserve">vanon végeztek - megerősítette a 3. vizsgálat eredményeit a szorafenib kedvező </w:t>
      </w:r>
      <w:r w:rsidR="004E4B10">
        <w:rPr>
          <w:spacing w:val="2"/>
        </w:rPr>
        <w:t>előny</w:t>
      </w:r>
      <w:r w:rsidRPr="00CE695D">
        <w:rPr>
          <w:spacing w:val="2"/>
        </w:rPr>
        <w:t xml:space="preserve">-kockázat profiljára vonatkozóan (HR (OS) 0,68, p=0,01414). </w:t>
      </w:r>
    </w:p>
    <w:p w14:paraId="14251E83" w14:textId="77777777" w:rsidR="00CE695D" w:rsidRPr="00CE695D" w:rsidRDefault="00CE695D" w:rsidP="00CE695D">
      <w:pPr>
        <w:pStyle w:val="Nincstrkz"/>
        <w:rPr>
          <w:spacing w:val="2"/>
        </w:rPr>
      </w:pPr>
    </w:p>
    <w:p w14:paraId="6F1041BB" w14:textId="116873AF" w:rsidR="00CE695D" w:rsidRPr="00CE695D" w:rsidRDefault="00CE695D" w:rsidP="00CE695D">
      <w:pPr>
        <w:pStyle w:val="Nincstrkz"/>
        <w:rPr>
          <w:spacing w:val="2"/>
        </w:rPr>
      </w:pPr>
      <w:r w:rsidRPr="00CE695D">
        <w:rPr>
          <w:spacing w:val="2"/>
        </w:rPr>
        <w:t>Az előre meghatározott rétegződési faktorok (ECOG status, a makroszkópikus vaszkuláris invázió jelenléte vagy hiánya, és/vagy extrahepatikus tumor terjedés) vonatkozásában a HR a 3. és a 4. vizsgálatban egyaránt következetesen a szorafenib esetében volt kedvezőbb a placebóhoz képest. A fel</w:t>
      </w:r>
      <w:r w:rsidR="004E4B10">
        <w:rPr>
          <w:spacing w:val="2"/>
        </w:rPr>
        <w:t>táró</w:t>
      </w:r>
      <w:r w:rsidRPr="00CE695D">
        <w:rPr>
          <w:spacing w:val="2"/>
        </w:rPr>
        <w:t xml:space="preserve"> alcsoport analízisek azt mutatták, hogy a kiinduláskor távoli metasztázissal rendelkező betegek esetében a kezelés hatékonysága kevésbé volt kifejezett. </w:t>
      </w:r>
    </w:p>
    <w:p w14:paraId="5DB6A156" w14:textId="77777777" w:rsidR="00CE695D" w:rsidRPr="00CE695D" w:rsidRDefault="00CE695D" w:rsidP="00CE695D">
      <w:pPr>
        <w:pStyle w:val="Nincstrkz"/>
        <w:rPr>
          <w:spacing w:val="2"/>
        </w:rPr>
      </w:pPr>
    </w:p>
    <w:p w14:paraId="42584A91" w14:textId="77777777" w:rsidR="00CE695D" w:rsidRPr="004E3B52" w:rsidRDefault="00CE695D" w:rsidP="00CE695D">
      <w:pPr>
        <w:pStyle w:val="Nincstrkz"/>
        <w:rPr>
          <w:spacing w:val="2"/>
          <w:u w:val="single"/>
        </w:rPr>
      </w:pPr>
      <w:r w:rsidRPr="004E3B52">
        <w:rPr>
          <w:spacing w:val="2"/>
          <w:u w:val="single"/>
        </w:rPr>
        <w:t xml:space="preserve">Vesesejtes carcinoma </w:t>
      </w:r>
    </w:p>
    <w:p w14:paraId="50316CD9" w14:textId="77777777" w:rsidR="00CE695D" w:rsidRPr="00CE695D" w:rsidRDefault="00CE695D" w:rsidP="00CE695D">
      <w:pPr>
        <w:pStyle w:val="Nincstrkz"/>
        <w:rPr>
          <w:spacing w:val="2"/>
        </w:rPr>
      </w:pPr>
    </w:p>
    <w:p w14:paraId="1329A850" w14:textId="77777777" w:rsidR="00CE695D" w:rsidRPr="00CE695D" w:rsidRDefault="00CE695D" w:rsidP="00CE695D">
      <w:pPr>
        <w:pStyle w:val="Nincstrkz"/>
        <w:rPr>
          <w:spacing w:val="2"/>
        </w:rPr>
      </w:pPr>
      <w:r w:rsidRPr="00CE695D">
        <w:rPr>
          <w:spacing w:val="2"/>
        </w:rPr>
        <w:t xml:space="preserve">A szorafenib biztonságosságát és hatásosságát előrehaladott stádiumú vesesejtes carcinomában (RCC) szenvedő betegeknél 2 klinikai vizsgálatban vizsgálták. </w:t>
      </w:r>
    </w:p>
    <w:p w14:paraId="402AB29F" w14:textId="77777777" w:rsidR="00CE695D" w:rsidRPr="00CE695D" w:rsidRDefault="00CE695D" w:rsidP="00CE695D">
      <w:pPr>
        <w:pStyle w:val="Nincstrkz"/>
        <w:rPr>
          <w:spacing w:val="2"/>
        </w:rPr>
      </w:pPr>
    </w:p>
    <w:p w14:paraId="41134206" w14:textId="47838CEE" w:rsidR="004E3B52" w:rsidRDefault="00CE695D" w:rsidP="00CE695D">
      <w:pPr>
        <w:pStyle w:val="Nincstrkz"/>
        <w:rPr>
          <w:spacing w:val="2"/>
        </w:rPr>
      </w:pPr>
      <w:r w:rsidRPr="00CE695D">
        <w:rPr>
          <w:spacing w:val="2"/>
        </w:rPr>
        <w:t xml:space="preserve">Az 1. vizsgálat (11213. sz. vizsgálat) egy </w:t>
      </w:r>
      <w:r w:rsidR="003D28DB">
        <w:rPr>
          <w:spacing w:val="2"/>
        </w:rPr>
        <w:t xml:space="preserve">III. </w:t>
      </w:r>
      <w:r w:rsidR="004E3B52">
        <w:rPr>
          <w:spacing w:val="2"/>
        </w:rPr>
        <w:t>fázis</w:t>
      </w:r>
      <w:r w:rsidR="003D28DB">
        <w:rPr>
          <w:spacing w:val="2"/>
        </w:rPr>
        <w:t>ú</w:t>
      </w:r>
      <w:r w:rsidRPr="00CE695D">
        <w:rPr>
          <w:spacing w:val="2"/>
        </w:rPr>
        <w:t>, multicentrikus, randomizált, kettős</w:t>
      </w:r>
      <w:r w:rsidR="003D28DB">
        <w:rPr>
          <w:spacing w:val="2"/>
        </w:rPr>
        <w:t xml:space="preserve"> </w:t>
      </w:r>
      <w:r w:rsidRPr="00CE695D">
        <w:rPr>
          <w:spacing w:val="2"/>
        </w:rPr>
        <w:t>vak, placebokontrollos, 903 beteggel elvégzett vizsgálat volt. Kizárólag olyan betegeket vontak be, akik egyértelműen vesesejtes carcinomában szenvedtek, és akik alacsony vagy közepes MSKCC (Memorial Sloan Kettering rákközpont) prognosztikai csoportba tartoztak. Az elsődleges végpont a</w:t>
      </w:r>
      <w:r w:rsidR="004E3B52">
        <w:rPr>
          <w:spacing w:val="2"/>
        </w:rPr>
        <w:t>z össz</w:t>
      </w:r>
      <w:r w:rsidRPr="00CE695D">
        <w:rPr>
          <w:spacing w:val="2"/>
        </w:rPr>
        <w:t xml:space="preserve">túlélés és a progressziómentes túlélés (PFS) voltak. </w:t>
      </w:r>
    </w:p>
    <w:p w14:paraId="1AD8A5DE" w14:textId="77777777" w:rsidR="004E3B52" w:rsidRDefault="00CE695D" w:rsidP="00CE695D">
      <w:pPr>
        <w:pStyle w:val="Nincstrkz"/>
        <w:rPr>
          <w:spacing w:val="2"/>
        </w:rPr>
      </w:pPr>
      <w:r w:rsidRPr="00CE695D">
        <w:rPr>
          <w:spacing w:val="2"/>
        </w:rPr>
        <w:t xml:space="preserve">A betegeknek körülbelül a felénél az ECOG teljesítmény státusz 0 volt, a másik fele pedig alacsony MSKCC (Memorial Sloan Kettering Cancer Center) prognosztikai csoportba tartozott. </w:t>
      </w:r>
    </w:p>
    <w:p w14:paraId="045FE648" w14:textId="1CC264F3" w:rsidR="00CE695D" w:rsidRPr="00CE695D" w:rsidRDefault="00CE695D" w:rsidP="00CE695D">
      <w:pPr>
        <w:pStyle w:val="Nincstrkz"/>
        <w:rPr>
          <w:spacing w:val="2"/>
        </w:rPr>
      </w:pPr>
      <w:r w:rsidRPr="00CE695D">
        <w:rPr>
          <w:spacing w:val="2"/>
        </w:rPr>
        <w:t>A PFS kiértékelését egy független radiológusokból álló csoport végezte a RECIST (Response Evaluation Criteria in Solid Tumors - Terápiás válasz értékelési kritériumok, szolid tumorok esetén) kritériumok alapján, akik a betegek kezelési módját nem ismerték. A PFS elemzést 769 betegnél 342 alkalommal végezték el. Az átlagos PFS azoknál a betegeknél, akiket a szorafenib-csoportba randomizáltak 167 nap volt, míg a placebocsoportban 84 nap (HR = 0,44; 95% CI: 0,35 - 0,55; p</w:t>
      </w:r>
      <w:r w:rsidR="004E3B52">
        <w:rPr>
          <w:spacing w:val="2"/>
        </w:rPr>
        <w:t> </w:t>
      </w:r>
      <w:r w:rsidRPr="00CE695D">
        <w:rPr>
          <w:spacing w:val="2"/>
        </w:rPr>
        <w:t>&lt;</w:t>
      </w:r>
      <w:r w:rsidR="004E3B52">
        <w:rPr>
          <w:spacing w:val="2"/>
        </w:rPr>
        <w:t> </w:t>
      </w:r>
      <w:r w:rsidRPr="00CE695D">
        <w:rPr>
          <w:spacing w:val="2"/>
        </w:rPr>
        <w:t xml:space="preserve">0,000001). Az életkor, az MSKCC prognosztikai csoport státusz, az ECOG pontszám és a korábbi kezelés nem befolyásolták a kezelés hatásának mértékét. </w:t>
      </w:r>
    </w:p>
    <w:p w14:paraId="6E120735" w14:textId="77777777" w:rsidR="00CE695D" w:rsidRPr="00CE695D" w:rsidRDefault="00CE695D" w:rsidP="00CE695D">
      <w:pPr>
        <w:pStyle w:val="Nincstrkz"/>
        <w:rPr>
          <w:spacing w:val="2"/>
        </w:rPr>
      </w:pPr>
    </w:p>
    <w:p w14:paraId="44AB7F27" w14:textId="0927B1AE" w:rsidR="00CE695D" w:rsidRPr="00CE695D" w:rsidRDefault="00CE695D" w:rsidP="00CE695D">
      <w:pPr>
        <w:pStyle w:val="Nincstrkz"/>
        <w:rPr>
          <w:spacing w:val="2"/>
        </w:rPr>
      </w:pPr>
      <w:r w:rsidRPr="00CE695D">
        <w:rPr>
          <w:spacing w:val="2"/>
        </w:rPr>
        <w:t xml:space="preserve">Az </w:t>
      </w:r>
      <w:r w:rsidR="004E3B52">
        <w:rPr>
          <w:spacing w:val="2"/>
        </w:rPr>
        <w:t>össz</w:t>
      </w:r>
      <w:r w:rsidRPr="00CE695D">
        <w:rPr>
          <w:spacing w:val="2"/>
        </w:rPr>
        <w:t xml:space="preserve">túlélés időközi elemzését (második időközi elemzés) a 903 betegből 367 elhalálozása után végezték el. A névleges alfa-érték ennél az elemzésnél 0,0094 volt. A medián túlélés 19,3 hónap volt a szorafenib-csoportba randomizált betegek körében és 15,9 hónap a placebocsoportban (HR = 0,77; 95%-os CI: 0,63 - 0,95; p = 0,015). Az elemzés idején mintegy 200 beteget helyeztek át a placebocsoportból a szorafenib-csoportba (keresztezett vizsgálat). </w:t>
      </w:r>
    </w:p>
    <w:p w14:paraId="0239E199" w14:textId="77777777" w:rsidR="00CE695D" w:rsidRPr="00CE695D" w:rsidRDefault="00CE695D" w:rsidP="00CE695D">
      <w:pPr>
        <w:pStyle w:val="Nincstrkz"/>
        <w:rPr>
          <w:spacing w:val="2"/>
        </w:rPr>
      </w:pPr>
    </w:p>
    <w:p w14:paraId="019069AD" w14:textId="617E585C" w:rsidR="00CE695D" w:rsidRPr="00CE695D" w:rsidRDefault="00CE695D" w:rsidP="00CE695D">
      <w:pPr>
        <w:pStyle w:val="Nincstrkz"/>
        <w:rPr>
          <w:spacing w:val="2"/>
        </w:rPr>
      </w:pPr>
      <w:r w:rsidRPr="00CE695D">
        <w:rPr>
          <w:spacing w:val="2"/>
        </w:rPr>
        <w:t xml:space="preserve">A 2. vizsgálat egy </w:t>
      </w:r>
      <w:r w:rsidR="003D28DB">
        <w:rPr>
          <w:spacing w:val="2"/>
        </w:rPr>
        <w:t xml:space="preserve">II. </w:t>
      </w:r>
      <w:r w:rsidR="004E3B52">
        <w:rPr>
          <w:spacing w:val="2"/>
        </w:rPr>
        <w:t>fázis</w:t>
      </w:r>
      <w:r w:rsidR="003D28DB">
        <w:rPr>
          <w:spacing w:val="2"/>
        </w:rPr>
        <w:t>ú</w:t>
      </w:r>
      <w:r w:rsidRPr="00CE695D">
        <w:rPr>
          <w:spacing w:val="2"/>
        </w:rPr>
        <w:t xml:space="preserve">, kezelésmegszakításos vizsgálat volt </w:t>
      </w:r>
      <w:r w:rsidR="00BB6AE8">
        <w:rPr>
          <w:spacing w:val="2"/>
        </w:rPr>
        <w:t>metasztázisos</w:t>
      </w:r>
      <w:r w:rsidRPr="00CE695D">
        <w:rPr>
          <w:spacing w:val="2"/>
        </w:rPr>
        <w:t xml:space="preserve"> betegek körében, amelybe a vesesejtes carcinoma (RCC) is beletartozott. Azokat a betegeket, akiknek betegsége stabilnak mutatkozott a szorafenib</w:t>
      </w:r>
      <w:r w:rsidR="00BB6AE8">
        <w:rPr>
          <w:spacing w:val="2"/>
        </w:rPr>
        <w:t>-</w:t>
      </w:r>
      <w:r w:rsidRPr="00CE695D">
        <w:rPr>
          <w:spacing w:val="2"/>
        </w:rPr>
        <w:t>terápia mellett, placebo, illetve további szorafenib-kezelési csoportba randomizálták. Az RCC-s betegek progressziómentes túlélése szignifikánsan hosszabb volt a szorafenib-kezelési csoportban (163 nap), mint a placebocsoportban (41</w:t>
      </w:r>
      <w:r w:rsidR="00B37BDB">
        <w:rPr>
          <w:spacing w:val="2"/>
        </w:rPr>
        <w:t> </w:t>
      </w:r>
      <w:r w:rsidRPr="00CE695D">
        <w:rPr>
          <w:spacing w:val="2"/>
        </w:rPr>
        <w:t xml:space="preserve">nap) (p = 0,0001, HR (relatív hazárd)  = 0,29). </w:t>
      </w:r>
    </w:p>
    <w:p w14:paraId="1C32C315" w14:textId="77777777" w:rsidR="00CE695D" w:rsidRDefault="00CE695D" w:rsidP="00CE695D">
      <w:pPr>
        <w:pStyle w:val="Nincstrkz"/>
        <w:rPr>
          <w:spacing w:val="2"/>
        </w:rPr>
      </w:pPr>
    </w:p>
    <w:p w14:paraId="5508BE56" w14:textId="77777777" w:rsidR="00641D7B" w:rsidRPr="00226383" w:rsidRDefault="00641D7B" w:rsidP="00641D7B">
      <w:pPr>
        <w:pStyle w:val="Nincstrkz"/>
        <w:rPr>
          <w:spacing w:val="2"/>
          <w:u w:val="single"/>
        </w:rPr>
      </w:pPr>
      <w:r w:rsidRPr="00226383">
        <w:rPr>
          <w:spacing w:val="2"/>
          <w:u w:val="single"/>
        </w:rPr>
        <w:t xml:space="preserve">Differenciált pajzsmirigy carcinoma (DTC) </w:t>
      </w:r>
    </w:p>
    <w:p w14:paraId="71190E2A" w14:textId="77777777" w:rsidR="00641D7B" w:rsidRDefault="00641D7B" w:rsidP="00641D7B">
      <w:pPr>
        <w:pStyle w:val="Nincstrkz"/>
        <w:rPr>
          <w:spacing w:val="2"/>
        </w:rPr>
      </w:pPr>
    </w:p>
    <w:p w14:paraId="4B7ADB0F" w14:textId="7F7B39ED" w:rsidR="00641D7B" w:rsidRPr="00641D7B" w:rsidRDefault="00641D7B" w:rsidP="00641D7B">
      <w:pPr>
        <w:pStyle w:val="Nincstrkz"/>
        <w:rPr>
          <w:spacing w:val="2"/>
        </w:rPr>
      </w:pPr>
      <w:r w:rsidRPr="00641D7B">
        <w:rPr>
          <w:spacing w:val="2"/>
        </w:rPr>
        <w:t>Az 5. vizsgálat (14295. sz. vizsgálat) egy III. fázisú, nemzetközi, multicentrikus, randomizált, kettős</w:t>
      </w:r>
      <w:r w:rsidR="002F78A5">
        <w:rPr>
          <w:spacing w:val="2"/>
        </w:rPr>
        <w:t> </w:t>
      </w:r>
      <w:r w:rsidRPr="00641D7B">
        <w:rPr>
          <w:spacing w:val="2"/>
        </w:rPr>
        <w:t xml:space="preserve">vak, placebokontrollos vizsgálat volt, melyet 417 lokálisan előrehaladott vagy áttétes DTC-ben szenvedő, radioaktív jódra refrakter betegen végeztek. A RECIST kritériumok alkalmazásával, titkosított és független radiológiai leletezéssel értékelt progressziómentes túlélés (PFS) volt a vizsgálat elsődleges végpontja. A másodlagos végpontok közé tartozott a teljes túlélés (OS), a daganat válaszaránya és válasz időtartama. Progresszió után a betegek nyílt módon szorafenibet kaphattak. </w:t>
      </w:r>
    </w:p>
    <w:p w14:paraId="4332A4EB" w14:textId="77777777" w:rsidR="00641D7B" w:rsidRPr="00641D7B" w:rsidRDefault="00641D7B" w:rsidP="00641D7B">
      <w:pPr>
        <w:pStyle w:val="Nincstrkz"/>
        <w:rPr>
          <w:spacing w:val="2"/>
        </w:rPr>
      </w:pPr>
      <w:r w:rsidRPr="00641D7B">
        <w:rPr>
          <w:spacing w:val="2"/>
        </w:rPr>
        <w:t xml:space="preserve">A betegeket abban az esetben vonták be a vizsgálatba, ha a bevonás előtti 14 hónapban progressziót észleltek, és a DTC-jük refrakter volt a radioaktív jódra (RAI). A RAI-ra refrakter DTC a meghatározás szerint azt jelentette, hogy a lézió nem mutatott jódfelvételt a RAI-val végzett vizsgálat során, vagy a kumulatív RAI dózisa &gt; 22,2 GBq volt, vagy a RAI-kezelést követően progressziót észleltek a bevonástól számított 16 hónapon belül, vagy két RAI-kezelést követően, az egymástól számított 16 hónapon belül. </w:t>
      </w:r>
    </w:p>
    <w:p w14:paraId="6566441D" w14:textId="77777777" w:rsidR="00641D7B" w:rsidRDefault="00641D7B" w:rsidP="00641D7B">
      <w:pPr>
        <w:pStyle w:val="Nincstrkz"/>
        <w:rPr>
          <w:spacing w:val="2"/>
        </w:rPr>
      </w:pPr>
    </w:p>
    <w:p w14:paraId="08ED9661" w14:textId="189D4B81" w:rsidR="00641D7B" w:rsidRPr="00641D7B" w:rsidRDefault="00641D7B" w:rsidP="00641D7B">
      <w:pPr>
        <w:pStyle w:val="Nincstrkz"/>
        <w:rPr>
          <w:spacing w:val="2"/>
        </w:rPr>
      </w:pPr>
      <w:r w:rsidRPr="00641D7B">
        <w:rPr>
          <w:spacing w:val="2"/>
        </w:rPr>
        <w:t xml:space="preserve">A kiindulási demográfiai adatok és a betegjellemzők megfelelően kiegyensúlyozottak voltak mindkét kezelési csoport vonatkozásában. Áttétek a tüdőben a betegek 86%-ánál, a nyirokcsomókban a betegek 51%-ánál, míg a csontokban a betegek 27%-ánál voltak. A radioaktív jód leadott, kumulatív aktivitásának mediánja a bevonást megelőzően körülbelül 14,8 GBq volt. A betegek többségének papillaris carcinomája (56,8%) volt, amit gyakoriságban a follicularis (25,4%) és a rosszul differenciált carcinoma (9,6%) követett. </w:t>
      </w:r>
    </w:p>
    <w:p w14:paraId="3DCBE3B8" w14:textId="77777777" w:rsidR="00641D7B" w:rsidRDefault="00641D7B" w:rsidP="00641D7B">
      <w:pPr>
        <w:pStyle w:val="Nincstrkz"/>
        <w:rPr>
          <w:spacing w:val="2"/>
        </w:rPr>
      </w:pPr>
    </w:p>
    <w:p w14:paraId="1DAEB3E6" w14:textId="7FA6D5CC" w:rsidR="00641D7B" w:rsidRPr="00641D7B" w:rsidRDefault="00641D7B" w:rsidP="00641D7B">
      <w:pPr>
        <w:pStyle w:val="Nincstrkz"/>
        <w:rPr>
          <w:spacing w:val="2"/>
        </w:rPr>
      </w:pPr>
      <w:r w:rsidRPr="00641D7B">
        <w:rPr>
          <w:spacing w:val="2"/>
        </w:rPr>
        <w:t>A PFS medián időtartama 10,8 hónap volt a szorafenib-csoportban a placebo-csoport 5,8 hónapos értékéhez képest (HR = 0,587, 95% konfidencia-intervallum (CI): 0,454, 0,758; egyoldal</w:t>
      </w:r>
      <w:r w:rsidR="002F78A5">
        <w:rPr>
          <w:spacing w:val="2"/>
        </w:rPr>
        <w:t>i</w:t>
      </w:r>
      <w:r w:rsidRPr="00641D7B">
        <w:rPr>
          <w:spacing w:val="2"/>
        </w:rPr>
        <w:t xml:space="preserve"> p</w:t>
      </w:r>
      <w:r w:rsidR="002F78A5">
        <w:rPr>
          <w:spacing w:val="2"/>
        </w:rPr>
        <w:t> </w:t>
      </w:r>
      <w:r w:rsidRPr="00641D7B">
        <w:rPr>
          <w:spacing w:val="2"/>
        </w:rPr>
        <w:t>&lt;</w:t>
      </w:r>
      <w:r w:rsidR="002F78A5">
        <w:rPr>
          <w:spacing w:val="2"/>
        </w:rPr>
        <w:t> </w:t>
      </w:r>
      <w:r w:rsidRPr="00641D7B">
        <w:rPr>
          <w:spacing w:val="2"/>
        </w:rPr>
        <w:t xml:space="preserve">0,0001). </w:t>
      </w:r>
    </w:p>
    <w:p w14:paraId="10186919" w14:textId="77777777" w:rsidR="00641D7B" w:rsidRDefault="00641D7B" w:rsidP="00641D7B">
      <w:pPr>
        <w:pStyle w:val="Nincstrkz"/>
        <w:rPr>
          <w:spacing w:val="2"/>
        </w:rPr>
      </w:pPr>
    </w:p>
    <w:p w14:paraId="52383BEC" w14:textId="37534204" w:rsidR="00641D7B" w:rsidRPr="00641D7B" w:rsidRDefault="00641D7B" w:rsidP="00641D7B">
      <w:pPr>
        <w:pStyle w:val="Nincstrkz"/>
        <w:rPr>
          <w:spacing w:val="2"/>
        </w:rPr>
      </w:pPr>
      <w:r w:rsidRPr="00641D7B">
        <w:rPr>
          <w:spacing w:val="2"/>
        </w:rPr>
        <w:t xml:space="preserve">A szorafenib PFS-re kifejtett hatása egyenletes és a földrajzi régiótól, 60 év feletti vagy alatti életkortól, nemtől, szövettani altípustól és a csontáttétek jelenlététől vagy hiányától független volt. </w:t>
      </w:r>
    </w:p>
    <w:p w14:paraId="4CE79E8A" w14:textId="77777777" w:rsidR="00641D7B" w:rsidRDefault="00641D7B" w:rsidP="00641D7B">
      <w:pPr>
        <w:pStyle w:val="Nincstrkz"/>
        <w:rPr>
          <w:spacing w:val="2"/>
        </w:rPr>
      </w:pPr>
    </w:p>
    <w:p w14:paraId="525F9D82" w14:textId="3E64DD6F" w:rsidR="00641D7B" w:rsidRPr="00641D7B" w:rsidRDefault="00641D7B" w:rsidP="00641D7B">
      <w:pPr>
        <w:pStyle w:val="Nincstrkz"/>
        <w:rPr>
          <w:spacing w:val="2"/>
        </w:rPr>
      </w:pPr>
      <w:r w:rsidRPr="00641D7B">
        <w:rPr>
          <w:spacing w:val="2"/>
        </w:rPr>
        <w:t>Egy, a végső PFS analízis adatgyűjtését lezáró időpont után 9 hónappal végzett teljes túlélési analízis során nem volt statisztikailag szignifikáns különbség a két kezelési csoport között a teljes túlélés vonatkozásában (a HR 0,884 volt; 95% CI: 0,633, 1,236, egyoldal</w:t>
      </w:r>
      <w:r w:rsidR="002F78A5">
        <w:rPr>
          <w:spacing w:val="2"/>
        </w:rPr>
        <w:t>i</w:t>
      </w:r>
      <w:r w:rsidRPr="00641D7B">
        <w:rPr>
          <w:spacing w:val="2"/>
        </w:rPr>
        <w:t xml:space="preserve"> p-érték: 0,236). A medián OS-t nem érték el a szorafenib karban és az 36,5 hónap volt a placebo karban. A placebo karba randomizált 157 beteg (75%) és a szorafenib karba randomizált 61 beteg (30%) kapott nyílt módon szorafenibet. </w:t>
      </w:r>
    </w:p>
    <w:p w14:paraId="0B9F2D28" w14:textId="77777777" w:rsidR="00641D7B" w:rsidRDefault="00641D7B" w:rsidP="00641D7B">
      <w:pPr>
        <w:pStyle w:val="Nincstrkz"/>
        <w:rPr>
          <w:spacing w:val="2"/>
        </w:rPr>
      </w:pPr>
    </w:p>
    <w:p w14:paraId="392A56B9" w14:textId="3E8FBB93" w:rsidR="00641D7B" w:rsidRPr="00641D7B" w:rsidRDefault="00641D7B" w:rsidP="00641D7B">
      <w:pPr>
        <w:pStyle w:val="Nincstrkz"/>
        <w:rPr>
          <w:spacing w:val="2"/>
        </w:rPr>
      </w:pPr>
      <w:r w:rsidRPr="00641D7B">
        <w:rPr>
          <w:spacing w:val="2"/>
        </w:rPr>
        <w:t>A kettős</w:t>
      </w:r>
      <w:r w:rsidR="002F78A5">
        <w:rPr>
          <w:spacing w:val="2"/>
        </w:rPr>
        <w:t> </w:t>
      </w:r>
      <w:r w:rsidRPr="00641D7B">
        <w:rPr>
          <w:spacing w:val="2"/>
        </w:rPr>
        <w:t xml:space="preserve">vak szakasz során a kezelés medián időtartama 46 hét (tartomány: 0,3 - 135) volt a szorafenibet, míg 28 hét (tartomány: 1,7 - 132) volt a placebót kapott betegek körében. </w:t>
      </w:r>
    </w:p>
    <w:p w14:paraId="6AE1105E" w14:textId="77777777" w:rsidR="00641D7B" w:rsidRDefault="00641D7B" w:rsidP="00641D7B">
      <w:pPr>
        <w:pStyle w:val="Nincstrkz"/>
        <w:rPr>
          <w:spacing w:val="2"/>
        </w:rPr>
      </w:pPr>
    </w:p>
    <w:p w14:paraId="284DD086" w14:textId="2B1BBE7C" w:rsidR="00641D7B" w:rsidRPr="00641D7B" w:rsidRDefault="00641D7B" w:rsidP="00641D7B">
      <w:pPr>
        <w:pStyle w:val="Nincstrkz"/>
        <w:rPr>
          <w:spacing w:val="2"/>
        </w:rPr>
      </w:pPr>
      <w:r w:rsidRPr="00641D7B">
        <w:rPr>
          <w:spacing w:val="2"/>
        </w:rPr>
        <w:t>A RECIST szerinti teljes választ (CR) nem észleltek. A teljes válaszarány (CR</w:t>
      </w:r>
      <w:r w:rsidR="009B1469">
        <w:rPr>
          <w:spacing w:val="2"/>
        </w:rPr>
        <w:t>)</w:t>
      </w:r>
      <w:r w:rsidRPr="00641D7B">
        <w:rPr>
          <w:spacing w:val="2"/>
        </w:rPr>
        <w:t xml:space="preserve"> + részleges válasz (PR) független radiológiai értékelésenként magasabb volt a szorafenib csoportban (24 beteg, 12,2%), mint a placebo csoportban (1 beteg, 0,5%), egyoldal</w:t>
      </w:r>
      <w:r w:rsidR="009B1469">
        <w:rPr>
          <w:spacing w:val="2"/>
        </w:rPr>
        <w:t>i</w:t>
      </w:r>
      <w:r w:rsidRPr="00641D7B">
        <w:rPr>
          <w:spacing w:val="2"/>
        </w:rPr>
        <w:t xml:space="preserve"> p &lt; 0,0001. A válasz medián időtartama 309 nap (95% CI: 226, 505 nap) volt a szorafenibbel kezelt, PR-t észlelő betegeknél. </w:t>
      </w:r>
    </w:p>
    <w:p w14:paraId="64EDC6B5" w14:textId="77777777" w:rsidR="00641D7B" w:rsidRDefault="00641D7B" w:rsidP="00641D7B">
      <w:pPr>
        <w:pStyle w:val="Nincstrkz"/>
        <w:rPr>
          <w:spacing w:val="2"/>
        </w:rPr>
      </w:pPr>
    </w:p>
    <w:p w14:paraId="4C456BF0" w14:textId="41E763D5" w:rsidR="00641D7B" w:rsidRPr="00641D7B" w:rsidRDefault="00641D7B" w:rsidP="00641D7B">
      <w:pPr>
        <w:pStyle w:val="Nincstrkz"/>
        <w:rPr>
          <w:spacing w:val="2"/>
        </w:rPr>
      </w:pPr>
      <w:r w:rsidRPr="00641D7B">
        <w:rPr>
          <w:spacing w:val="2"/>
        </w:rPr>
        <w:t xml:space="preserve">A maximális daganatméret szerint végzett </w:t>
      </w:r>
      <w:r w:rsidRPr="00641D7B">
        <w:rPr>
          <w:i/>
          <w:iCs/>
          <w:spacing w:val="2"/>
        </w:rPr>
        <w:t xml:space="preserve">post hoc </w:t>
      </w:r>
      <w:r w:rsidRPr="00641D7B">
        <w:rPr>
          <w:spacing w:val="2"/>
        </w:rPr>
        <w:t xml:space="preserve">alcsoportelemzés a PFS vonatkozásában a szorafenib számára kedvező kezelési hatást igazolt a placebóval szemben olyan betegeknél, akiknek a maximális daganatmérete 1,5 cm vagy nagyobb volt (HR: 0,54 (95% CI: 0,41 - 0,71)), míg számszerűleg alacsonyabb hatást jelentettek azoknál a betegeknél, akiknél a maximális daganatméret 1,5 cm-nél kisebb volt (HR: 0,87 (95% CI: 0,40 - 1,89)). </w:t>
      </w:r>
    </w:p>
    <w:p w14:paraId="41D1BBE5" w14:textId="77777777" w:rsidR="00D34DA1" w:rsidRDefault="00D34DA1" w:rsidP="00641D7B">
      <w:pPr>
        <w:pStyle w:val="Nincstrkz"/>
        <w:rPr>
          <w:spacing w:val="2"/>
        </w:rPr>
      </w:pPr>
    </w:p>
    <w:p w14:paraId="5AAD6757" w14:textId="347ACB78" w:rsidR="00641D7B" w:rsidRDefault="00641D7B" w:rsidP="00641D7B">
      <w:pPr>
        <w:pStyle w:val="Nincstrkz"/>
        <w:rPr>
          <w:spacing w:val="2"/>
        </w:rPr>
      </w:pPr>
      <w:r w:rsidRPr="00641D7B">
        <w:rPr>
          <w:spacing w:val="2"/>
        </w:rPr>
        <w:t xml:space="preserve">A pajzsmirigy carcinoma kiinduláskori tünetei szerint végzett </w:t>
      </w:r>
      <w:r w:rsidRPr="00641D7B">
        <w:rPr>
          <w:i/>
          <w:iCs/>
          <w:spacing w:val="2"/>
        </w:rPr>
        <w:t xml:space="preserve">post hoc </w:t>
      </w:r>
      <w:r w:rsidRPr="00641D7B">
        <w:rPr>
          <w:spacing w:val="2"/>
        </w:rPr>
        <w:t>alcsoportelemzés a PFS vonatkozásában a szorafenib számára kedvező kezelési hatást igazolt a placebóval szemben, mind a szimptómás, mind az aszimptómás betegek esetén. A progressziómentes túlélés HR értéke 0,39</w:t>
      </w:r>
      <w:r w:rsidR="009B1469">
        <w:rPr>
          <w:spacing w:val="2"/>
        </w:rPr>
        <w:t> </w:t>
      </w:r>
      <w:r w:rsidRPr="00641D7B">
        <w:rPr>
          <w:spacing w:val="2"/>
        </w:rPr>
        <w:t>(95% CI: 0,21 – 0,72) volt azon betegek esetén, akiknek a kiinduláskor tünetei voltak és 0,60</w:t>
      </w:r>
      <w:r w:rsidR="009B1469">
        <w:rPr>
          <w:spacing w:val="2"/>
        </w:rPr>
        <w:t> </w:t>
      </w:r>
      <w:r w:rsidRPr="00641D7B">
        <w:rPr>
          <w:spacing w:val="2"/>
        </w:rPr>
        <w:t>(95% CI: 0,45 – 0,81) azon betegek esetén, akiknek a kiinduláskor nem voltak tüneteik.</w:t>
      </w:r>
    </w:p>
    <w:p w14:paraId="092B4353" w14:textId="77777777" w:rsidR="00D34DA1" w:rsidRPr="00CE695D" w:rsidRDefault="00D34DA1" w:rsidP="00641D7B">
      <w:pPr>
        <w:pStyle w:val="Nincstrkz"/>
        <w:rPr>
          <w:spacing w:val="2"/>
        </w:rPr>
      </w:pPr>
    </w:p>
    <w:p w14:paraId="6272ADB3" w14:textId="77777777" w:rsidR="00CE695D" w:rsidRPr="00BB6AE8" w:rsidRDefault="00CE695D" w:rsidP="00CE695D">
      <w:pPr>
        <w:pStyle w:val="Nincstrkz"/>
        <w:rPr>
          <w:spacing w:val="2"/>
          <w:u w:val="single"/>
        </w:rPr>
      </w:pPr>
      <w:r w:rsidRPr="00BB6AE8">
        <w:rPr>
          <w:spacing w:val="2"/>
          <w:u w:val="single"/>
        </w:rPr>
        <w:t xml:space="preserve">QT-intervallum megnyúlása </w:t>
      </w:r>
    </w:p>
    <w:p w14:paraId="647E981C" w14:textId="77777777" w:rsidR="00CE695D" w:rsidRPr="00CE695D" w:rsidRDefault="00CE695D" w:rsidP="00CE695D">
      <w:pPr>
        <w:pStyle w:val="Nincstrkz"/>
        <w:rPr>
          <w:spacing w:val="2"/>
        </w:rPr>
      </w:pPr>
    </w:p>
    <w:p w14:paraId="679E57DD" w14:textId="4710A30E" w:rsidR="00CE695D" w:rsidRPr="00CE695D" w:rsidRDefault="00CE695D" w:rsidP="00CE695D">
      <w:pPr>
        <w:pStyle w:val="Nincstrkz"/>
        <w:rPr>
          <w:spacing w:val="2"/>
        </w:rPr>
      </w:pPr>
      <w:r w:rsidRPr="00CE695D">
        <w:rPr>
          <w:spacing w:val="2"/>
        </w:rPr>
        <w:t>Egy klinikai farmakológiai vizsgálatban 31 betegnél mérték a kiindulási (vizsgálatot megelőző) és a vizsgálatot követő QT/QTc értékeket. Egyetlen 28</w:t>
      </w:r>
      <w:r w:rsidR="00B37BDB">
        <w:rPr>
          <w:spacing w:val="2"/>
        </w:rPr>
        <w:t> </w:t>
      </w:r>
      <w:r w:rsidRPr="00CE695D">
        <w:rPr>
          <w:spacing w:val="2"/>
        </w:rPr>
        <w:t>napos kezelési ciklust követően, a maximális szorafenib-koncentráció ideje alatt a QTcB meghosszabbodása 4 ± 19</w:t>
      </w:r>
      <w:r w:rsidR="00B37BDB">
        <w:rPr>
          <w:spacing w:val="2"/>
        </w:rPr>
        <w:t> </w:t>
      </w:r>
      <w:r w:rsidRPr="00CE695D">
        <w:rPr>
          <w:spacing w:val="2"/>
        </w:rPr>
        <w:t>msec, és a QTcF meghosszabbodása 9 ± 18</w:t>
      </w:r>
      <w:r w:rsidR="00B37BDB">
        <w:rPr>
          <w:spacing w:val="2"/>
        </w:rPr>
        <w:t> </w:t>
      </w:r>
      <w:r w:rsidRPr="00CE695D">
        <w:rPr>
          <w:spacing w:val="2"/>
        </w:rPr>
        <w:t>msec volt a vizsgálatot megelőző placebokezeléshez viszonyítva. A vizsgálatot követő EKG-monitorozás alatt (lásd 4.4</w:t>
      </w:r>
      <w:r w:rsidR="00B37BDB">
        <w:rPr>
          <w:spacing w:val="2"/>
        </w:rPr>
        <w:t> </w:t>
      </w:r>
      <w:r w:rsidRPr="00CE695D">
        <w:rPr>
          <w:spacing w:val="2"/>
        </w:rPr>
        <w:t>pont) egyik betegnél sem mutatkozott 500</w:t>
      </w:r>
      <w:r w:rsidR="00B37BDB">
        <w:rPr>
          <w:spacing w:val="2"/>
        </w:rPr>
        <w:t> </w:t>
      </w:r>
      <w:r w:rsidRPr="00CE695D">
        <w:rPr>
          <w:spacing w:val="2"/>
        </w:rPr>
        <w:t xml:space="preserve">msec feletti QTcB- vagy QTcF-érték. </w:t>
      </w:r>
    </w:p>
    <w:p w14:paraId="409DB67E" w14:textId="77777777" w:rsidR="00CE695D" w:rsidRPr="00CE695D" w:rsidRDefault="00CE695D" w:rsidP="00CE695D">
      <w:pPr>
        <w:pStyle w:val="Nincstrkz"/>
        <w:rPr>
          <w:spacing w:val="2"/>
        </w:rPr>
      </w:pPr>
    </w:p>
    <w:p w14:paraId="7D6EC740" w14:textId="77777777" w:rsidR="00CE695D" w:rsidRPr="00080348" w:rsidRDefault="00CE695D" w:rsidP="00CE695D">
      <w:pPr>
        <w:pStyle w:val="Nincstrkz"/>
        <w:rPr>
          <w:spacing w:val="2"/>
          <w:u w:val="single"/>
        </w:rPr>
      </w:pPr>
      <w:r w:rsidRPr="00080348">
        <w:rPr>
          <w:spacing w:val="2"/>
          <w:u w:val="single"/>
        </w:rPr>
        <w:t xml:space="preserve">Gyermekek </w:t>
      </w:r>
      <w:r w:rsidR="00BB6AE8" w:rsidRPr="00080348">
        <w:rPr>
          <w:spacing w:val="2"/>
          <w:u w:val="single"/>
        </w:rPr>
        <w:t>és serdülők</w:t>
      </w:r>
    </w:p>
    <w:p w14:paraId="1DDEED65" w14:textId="77777777" w:rsidR="00CE695D" w:rsidRPr="00CE695D" w:rsidRDefault="00CE695D" w:rsidP="00CE695D">
      <w:pPr>
        <w:pStyle w:val="Nincstrkz"/>
        <w:rPr>
          <w:spacing w:val="2"/>
        </w:rPr>
      </w:pPr>
    </w:p>
    <w:p w14:paraId="0C45FB02" w14:textId="6F2AC0A3" w:rsidR="00CE695D" w:rsidRPr="00CE695D" w:rsidRDefault="00CE695D" w:rsidP="00CE695D">
      <w:pPr>
        <w:pStyle w:val="Nincstrkz"/>
        <w:rPr>
          <w:spacing w:val="2"/>
        </w:rPr>
      </w:pPr>
      <w:r w:rsidRPr="00CE695D">
        <w:rPr>
          <w:spacing w:val="2"/>
        </w:rPr>
        <w:t xml:space="preserve">Az Európai Gyógyszerügynökség a gyermekek esetén minden korosztálynál eltekint a </w:t>
      </w:r>
      <w:r w:rsidR="00BB6AE8">
        <w:rPr>
          <w:spacing w:val="2"/>
        </w:rPr>
        <w:t>szorafenib</w:t>
      </w:r>
      <w:r w:rsidRPr="00CE695D">
        <w:rPr>
          <w:spacing w:val="2"/>
        </w:rPr>
        <w:t xml:space="preserve"> vizsgálati eredmények benyújtási kötelezettségétől a vese- és vesemedence carcinoma (kivéve nephroblastoma, nephroblastomatosis, világossejtes sarcoma, mesoblasticus nephroma, renalis medullaris carcinoma és a vese rhabdoid tumora) és a máj- és intrahepaticus epe</w:t>
      </w:r>
      <w:r w:rsidR="004E4B10">
        <w:rPr>
          <w:spacing w:val="2"/>
        </w:rPr>
        <w:t>vezeték</w:t>
      </w:r>
      <w:r w:rsidRPr="00CE695D">
        <w:rPr>
          <w:spacing w:val="2"/>
        </w:rPr>
        <w:t xml:space="preserve"> carcinoma (kivéve hepatoblastoma) és differenciált pajzsmirigy carcinoma indikációkban (lásd 4.2 pont, gyermekgyógyászati alkalmazásra vonatkozó információk). </w:t>
      </w:r>
    </w:p>
    <w:p w14:paraId="73BB41DB" w14:textId="77777777" w:rsidR="00CE695D" w:rsidRPr="00CE695D" w:rsidRDefault="00CE695D" w:rsidP="00CE695D">
      <w:pPr>
        <w:pStyle w:val="Nincstrkz"/>
        <w:rPr>
          <w:spacing w:val="2"/>
        </w:rPr>
      </w:pPr>
    </w:p>
    <w:p w14:paraId="71DA6F5C" w14:textId="644C1D8F" w:rsidR="00CE695D" w:rsidRPr="00487B98" w:rsidRDefault="00CE695D" w:rsidP="00487B98">
      <w:pPr>
        <w:pStyle w:val="Nincstrkz"/>
        <w:tabs>
          <w:tab w:val="left" w:pos="567"/>
        </w:tabs>
        <w:rPr>
          <w:b/>
          <w:spacing w:val="2"/>
        </w:rPr>
      </w:pPr>
      <w:r w:rsidRPr="00487B98">
        <w:rPr>
          <w:b/>
          <w:spacing w:val="2"/>
        </w:rPr>
        <w:t>5.2</w:t>
      </w:r>
      <w:r w:rsidR="00487B98">
        <w:rPr>
          <w:b/>
          <w:spacing w:val="2"/>
        </w:rPr>
        <w:tab/>
      </w:r>
      <w:r w:rsidRPr="00487B98">
        <w:rPr>
          <w:b/>
          <w:spacing w:val="2"/>
        </w:rPr>
        <w:t xml:space="preserve">Farmakokinetikai tulajdonságok </w:t>
      </w:r>
    </w:p>
    <w:p w14:paraId="63EEFF8D" w14:textId="77777777" w:rsidR="00CE695D" w:rsidRPr="00CE695D" w:rsidRDefault="00CE695D" w:rsidP="00CE695D">
      <w:pPr>
        <w:pStyle w:val="Nincstrkz"/>
        <w:rPr>
          <w:spacing w:val="2"/>
        </w:rPr>
      </w:pPr>
    </w:p>
    <w:p w14:paraId="62CEAA0C" w14:textId="77777777" w:rsidR="00CE695D" w:rsidRPr="00487B98" w:rsidRDefault="00CE695D" w:rsidP="00CE695D">
      <w:pPr>
        <w:pStyle w:val="Nincstrkz"/>
        <w:rPr>
          <w:spacing w:val="2"/>
          <w:u w:val="single"/>
        </w:rPr>
      </w:pPr>
      <w:r w:rsidRPr="00487B98">
        <w:rPr>
          <w:spacing w:val="2"/>
          <w:u w:val="single"/>
        </w:rPr>
        <w:t xml:space="preserve">Feszívódás és eloszlás </w:t>
      </w:r>
    </w:p>
    <w:p w14:paraId="2D5E88CB" w14:textId="77777777" w:rsidR="00CE695D" w:rsidRPr="00CE695D" w:rsidRDefault="00CE695D" w:rsidP="00CE695D">
      <w:pPr>
        <w:pStyle w:val="Nincstrkz"/>
        <w:rPr>
          <w:spacing w:val="2"/>
        </w:rPr>
      </w:pPr>
    </w:p>
    <w:p w14:paraId="1EB2A5F2" w14:textId="562D12AB" w:rsidR="00080348" w:rsidRDefault="00CE695D" w:rsidP="00CE695D">
      <w:pPr>
        <w:pStyle w:val="Nincstrkz"/>
        <w:rPr>
          <w:spacing w:val="2"/>
        </w:rPr>
      </w:pPr>
      <w:r w:rsidRPr="00CE695D">
        <w:rPr>
          <w:spacing w:val="2"/>
        </w:rPr>
        <w:t>A szorafenib tabletta beadását követően a</w:t>
      </w:r>
      <w:r w:rsidR="000C7F63">
        <w:rPr>
          <w:spacing w:val="2"/>
        </w:rPr>
        <w:t xml:space="preserve"> belsőleges</w:t>
      </w:r>
      <w:r w:rsidRPr="00CE695D">
        <w:rPr>
          <w:spacing w:val="2"/>
        </w:rPr>
        <w:t xml:space="preserve"> oldatához viszonyított átlagos relatív biohasznosulás 38</w:t>
      </w:r>
      <w:r w:rsidR="00B37BDB">
        <w:rPr>
          <w:spacing w:val="2"/>
        </w:rPr>
        <w:t>-</w:t>
      </w:r>
      <w:r w:rsidRPr="00CE695D">
        <w:rPr>
          <w:spacing w:val="2"/>
        </w:rPr>
        <w:t>49%. Az abszolút biohasznosulás nem ismert. Szájon át történő adást követően körülbelül 3 órán belül alakul ki a szorafenib maximális plazmakoncentrációja. Zsíros ételekkel együtt bevéve felszívódása 30%</w:t>
      </w:r>
      <w:r w:rsidR="00B37BDB">
        <w:rPr>
          <w:spacing w:val="2"/>
        </w:rPr>
        <w:t>-</w:t>
      </w:r>
      <w:r w:rsidRPr="00CE695D">
        <w:rPr>
          <w:spacing w:val="2"/>
        </w:rPr>
        <w:t>kal csökken az éh</w:t>
      </w:r>
      <w:r w:rsidR="00B37BDB">
        <w:rPr>
          <w:spacing w:val="2"/>
        </w:rPr>
        <w:t>omi</w:t>
      </w:r>
      <w:r w:rsidRPr="00CE695D">
        <w:rPr>
          <w:spacing w:val="2"/>
        </w:rPr>
        <w:t xml:space="preserve"> bevételhez képest. </w:t>
      </w:r>
    </w:p>
    <w:p w14:paraId="4694F25B" w14:textId="77777777" w:rsidR="00B37BDB" w:rsidRDefault="00CE695D" w:rsidP="00CE695D">
      <w:pPr>
        <w:pStyle w:val="Nincstrkz"/>
        <w:rPr>
          <w:spacing w:val="2"/>
        </w:rPr>
      </w:pPr>
      <w:r w:rsidRPr="00CE695D">
        <w:rPr>
          <w:spacing w:val="2"/>
        </w:rPr>
        <w:t>Az átlagos C</w:t>
      </w:r>
      <w:r w:rsidRPr="00B37BDB">
        <w:rPr>
          <w:spacing w:val="2"/>
          <w:vertAlign w:val="subscript"/>
        </w:rPr>
        <w:t>max</w:t>
      </w:r>
      <w:r w:rsidRPr="00CE695D">
        <w:rPr>
          <w:spacing w:val="2"/>
        </w:rPr>
        <w:t xml:space="preserve"> és AUC napi 2 x 400 mg adagok felett az arányosnál kisebb mértékben növekszik. A szorafenib humán plazmafehérje kötődése </w:t>
      </w:r>
      <w:r w:rsidRPr="00B37BDB">
        <w:rPr>
          <w:i/>
          <w:spacing w:val="2"/>
        </w:rPr>
        <w:t>in vitro</w:t>
      </w:r>
      <w:r w:rsidRPr="00CE695D">
        <w:rPr>
          <w:spacing w:val="2"/>
        </w:rPr>
        <w:t xml:space="preserve"> 99,5%. </w:t>
      </w:r>
    </w:p>
    <w:p w14:paraId="5B2264CC" w14:textId="0B7E49AA" w:rsidR="00CE695D" w:rsidRPr="00CE695D" w:rsidRDefault="00B37BDB" w:rsidP="00CE695D">
      <w:pPr>
        <w:pStyle w:val="Nincstrkz"/>
        <w:rPr>
          <w:spacing w:val="2"/>
        </w:rPr>
      </w:pPr>
      <w:r>
        <w:rPr>
          <w:spacing w:val="2"/>
        </w:rPr>
        <w:t xml:space="preserve">Hét </w:t>
      </w:r>
      <w:r w:rsidR="00CE695D" w:rsidRPr="00CE695D">
        <w:rPr>
          <w:spacing w:val="2"/>
        </w:rPr>
        <w:t xml:space="preserve">napon át, napi többszöri szorafenib adag beadását követően az akkumuláció 2,5-7-szerese az egyszeri adag beadását követő akkumulációnak. A szorafenib 7 napon belül éri el a </w:t>
      </w:r>
      <w:r>
        <w:rPr>
          <w:spacing w:val="2"/>
        </w:rPr>
        <w:t>dinamikus egyensúlyi állapot</w:t>
      </w:r>
      <w:r w:rsidR="00CE695D" w:rsidRPr="00CE695D">
        <w:rPr>
          <w:spacing w:val="2"/>
        </w:rPr>
        <w:t xml:space="preserve"> plazmakoncentrációt, ahol az átlagos koncentrációk csúcs- és </w:t>
      </w:r>
      <w:r w:rsidR="000C7F63">
        <w:rPr>
          <w:spacing w:val="2"/>
        </w:rPr>
        <w:t>völgy</w:t>
      </w:r>
      <w:r w:rsidR="00CE695D" w:rsidRPr="00CE695D">
        <w:rPr>
          <w:spacing w:val="2"/>
        </w:rPr>
        <w:t xml:space="preserve">koncentráció aránya kevesebb, mint 2. </w:t>
      </w:r>
    </w:p>
    <w:p w14:paraId="5181DAD9" w14:textId="77777777" w:rsidR="00CE695D" w:rsidRPr="00CE695D" w:rsidRDefault="00CE695D" w:rsidP="00CE695D">
      <w:pPr>
        <w:pStyle w:val="Nincstrkz"/>
        <w:rPr>
          <w:spacing w:val="2"/>
        </w:rPr>
      </w:pPr>
    </w:p>
    <w:p w14:paraId="7DB59085" w14:textId="10CC7493" w:rsidR="00CE695D" w:rsidRPr="00CE695D" w:rsidRDefault="00CE695D" w:rsidP="00CE695D">
      <w:pPr>
        <w:pStyle w:val="Nincstrkz"/>
        <w:rPr>
          <w:spacing w:val="2"/>
        </w:rPr>
      </w:pPr>
      <w:r w:rsidRPr="00CE695D">
        <w:rPr>
          <w:spacing w:val="2"/>
        </w:rPr>
        <w:t xml:space="preserve">A napi kétszer 400 mg-os dózisban alkalmazott szorafenib </w:t>
      </w:r>
      <w:r w:rsidR="00B37BDB">
        <w:rPr>
          <w:spacing w:val="2"/>
        </w:rPr>
        <w:t xml:space="preserve">dinamikus </w:t>
      </w:r>
      <w:r w:rsidRPr="00CE695D">
        <w:rPr>
          <w:spacing w:val="2"/>
        </w:rPr>
        <w:t xml:space="preserve">egyensúlyi </w:t>
      </w:r>
      <w:r w:rsidR="000C7F63">
        <w:rPr>
          <w:spacing w:val="2"/>
        </w:rPr>
        <w:t xml:space="preserve">állapot </w:t>
      </w:r>
      <w:r w:rsidRPr="00CE695D">
        <w:rPr>
          <w:spacing w:val="2"/>
        </w:rPr>
        <w:t xml:space="preserve">koncentrációit DTC-s, RCC-s és HCC-s betegeknél értékelték. A DTC-s betegeknél észlelték a legmagasabb átlagos koncentrációt (nagyjából kétszer akkorát, mint az RCC-s és HCC-s betegeknél), bár az összes daganattípus esetén magas volt a variabilitás. A DTC-s betegeknél észlelt magasabb koncentráció magyarázata nem ismert. </w:t>
      </w:r>
    </w:p>
    <w:p w14:paraId="3976286A" w14:textId="77777777" w:rsidR="00CE695D" w:rsidRPr="00CE695D" w:rsidRDefault="00CE695D" w:rsidP="00CE695D">
      <w:pPr>
        <w:pStyle w:val="Nincstrkz"/>
        <w:rPr>
          <w:spacing w:val="2"/>
        </w:rPr>
      </w:pPr>
    </w:p>
    <w:p w14:paraId="04F94C25" w14:textId="77777777" w:rsidR="00CE695D" w:rsidRPr="00B37BDB" w:rsidRDefault="00CE695D" w:rsidP="00CE695D">
      <w:pPr>
        <w:pStyle w:val="Nincstrkz"/>
        <w:rPr>
          <w:spacing w:val="2"/>
          <w:u w:val="single"/>
        </w:rPr>
      </w:pPr>
      <w:r w:rsidRPr="00B37BDB">
        <w:rPr>
          <w:spacing w:val="2"/>
          <w:u w:val="single"/>
        </w:rPr>
        <w:t xml:space="preserve">Biotranszformáció és elimináció </w:t>
      </w:r>
    </w:p>
    <w:p w14:paraId="6AEACE8D" w14:textId="77777777" w:rsidR="00CE695D" w:rsidRPr="00CE695D" w:rsidRDefault="00CE695D" w:rsidP="00CE695D">
      <w:pPr>
        <w:pStyle w:val="Nincstrkz"/>
        <w:rPr>
          <w:spacing w:val="2"/>
        </w:rPr>
      </w:pPr>
    </w:p>
    <w:p w14:paraId="4D02F062" w14:textId="77777777" w:rsidR="00CE695D" w:rsidRPr="00CE695D" w:rsidRDefault="00CE695D" w:rsidP="00CE695D">
      <w:pPr>
        <w:pStyle w:val="Nincstrkz"/>
        <w:rPr>
          <w:spacing w:val="2"/>
        </w:rPr>
      </w:pPr>
      <w:r w:rsidRPr="00CE695D">
        <w:rPr>
          <w:spacing w:val="2"/>
        </w:rPr>
        <w:t>A szorafenib eliminációs felezési ideje körülbelül 25-48</w:t>
      </w:r>
      <w:r w:rsidR="00B37BDB">
        <w:rPr>
          <w:spacing w:val="2"/>
        </w:rPr>
        <w:t> </w:t>
      </w:r>
      <w:r w:rsidRPr="00CE695D">
        <w:rPr>
          <w:spacing w:val="2"/>
        </w:rPr>
        <w:t xml:space="preserve">óra. A szorafenib elsődlegesen a májban metabolizálódik CYP3A4 mediálta oxidációval, illetve UGT1A9 mediálta glükuronidizációval. A szorafenib konjugátumok széthasadhatnak a gastrointestinalis traktusban a bakteriális glükuronidáz aktivitás révén, ami lehetővé teszi a nem konjugált hatóanyag reabszorpcióját. Kimutatták, hogy az egyidejűleg alkalmazott neomicin befolyásolhatja ezt a folyamatot, 54%-kal csökkentve a szorafenib átlagos biohasznosulását. </w:t>
      </w:r>
    </w:p>
    <w:p w14:paraId="04CCAE81" w14:textId="77777777" w:rsidR="00CE695D" w:rsidRPr="00CE695D" w:rsidRDefault="00CE695D" w:rsidP="00CE695D">
      <w:pPr>
        <w:pStyle w:val="Nincstrkz"/>
        <w:rPr>
          <w:spacing w:val="2"/>
        </w:rPr>
      </w:pPr>
    </w:p>
    <w:p w14:paraId="3B4F489B" w14:textId="77777777" w:rsidR="00CE695D" w:rsidRPr="00CE695D" w:rsidRDefault="00CE695D" w:rsidP="00CE695D">
      <w:pPr>
        <w:pStyle w:val="Nincstrkz"/>
        <w:rPr>
          <w:spacing w:val="2"/>
        </w:rPr>
      </w:pPr>
      <w:r w:rsidRPr="00CE695D">
        <w:rPr>
          <w:spacing w:val="2"/>
        </w:rPr>
        <w:t xml:space="preserve">A </w:t>
      </w:r>
      <w:r w:rsidR="00BE30DC">
        <w:rPr>
          <w:spacing w:val="2"/>
        </w:rPr>
        <w:t>dinamikus egyensúlyi</w:t>
      </w:r>
      <w:r w:rsidRPr="00CE695D">
        <w:rPr>
          <w:spacing w:val="2"/>
        </w:rPr>
        <w:t xml:space="preserve"> állapotban a plazmában keringő, kimutatható hatóanyag 70-85%-a változatlan szorafenib. A szorafenibnek nyolc metabolitját azonosították, amelyek közül ötöt a plazmából mutattak ki. A szorafenib keringésben lévő fő metabolitja a piridin-N-oxid, amely </w:t>
      </w:r>
      <w:r w:rsidRPr="00280FB4">
        <w:rPr>
          <w:i/>
          <w:spacing w:val="2"/>
        </w:rPr>
        <w:t>in vitro</w:t>
      </w:r>
      <w:r w:rsidRPr="00CE695D">
        <w:rPr>
          <w:spacing w:val="2"/>
        </w:rPr>
        <w:t xml:space="preserve"> körülmények között a szorafenibnek megfelelő hatékonyságú. </w:t>
      </w:r>
      <w:r w:rsidR="00BE30DC">
        <w:rPr>
          <w:spacing w:val="2"/>
        </w:rPr>
        <w:t>Dinamikus egyensúlyi</w:t>
      </w:r>
      <w:r w:rsidRPr="00CE695D">
        <w:rPr>
          <w:spacing w:val="2"/>
        </w:rPr>
        <w:t xml:space="preserve"> állapotban ez a metabolit teszi ki a keringésből kimutatható hatóanyag 9-16%-át. </w:t>
      </w:r>
    </w:p>
    <w:p w14:paraId="6BA12F8F" w14:textId="77777777" w:rsidR="00CE695D" w:rsidRPr="00CE695D" w:rsidRDefault="00CE695D" w:rsidP="00CE695D">
      <w:pPr>
        <w:pStyle w:val="Nincstrkz"/>
        <w:rPr>
          <w:spacing w:val="2"/>
        </w:rPr>
      </w:pPr>
    </w:p>
    <w:p w14:paraId="21AA6535" w14:textId="77777777" w:rsidR="00CE695D" w:rsidRPr="00CE695D" w:rsidRDefault="00CE695D" w:rsidP="00CE695D">
      <w:pPr>
        <w:pStyle w:val="Nincstrkz"/>
        <w:rPr>
          <w:spacing w:val="2"/>
        </w:rPr>
      </w:pPr>
      <w:r w:rsidRPr="00CE695D">
        <w:rPr>
          <w:spacing w:val="2"/>
        </w:rPr>
        <w:t>100</w:t>
      </w:r>
      <w:r w:rsidR="00BE30DC">
        <w:rPr>
          <w:spacing w:val="2"/>
        </w:rPr>
        <w:t> </w:t>
      </w:r>
      <w:r w:rsidRPr="00CE695D">
        <w:rPr>
          <w:spacing w:val="2"/>
        </w:rPr>
        <w:t>mg szorafenib orális oldat formájában történő bevétele esetén az adag 96%-a 14</w:t>
      </w:r>
      <w:r w:rsidR="00BE30DC">
        <w:rPr>
          <w:spacing w:val="2"/>
        </w:rPr>
        <w:t> </w:t>
      </w:r>
      <w:r w:rsidRPr="00CE695D">
        <w:rPr>
          <w:spacing w:val="2"/>
        </w:rPr>
        <w:t>napon belül visszanyerhető volt, a kiürült mennyiség 77%-a a székletben, 19%-a a vizeletben választódott ki, glükuronid metabolitok formájában. A változatlan formában ürülő szorafenib, amely a bevett adag 51%-a, a székletből volt kimutatható, a vizeletből nem, am</w:t>
      </w:r>
      <w:r w:rsidR="00BE30DC">
        <w:rPr>
          <w:spacing w:val="2"/>
        </w:rPr>
        <w:t>i</w:t>
      </w:r>
      <w:r w:rsidRPr="00CE695D">
        <w:rPr>
          <w:spacing w:val="2"/>
        </w:rPr>
        <w:t xml:space="preserve"> azt jelzi, hogy a változatlan hatóanyag epével történő kiválasztódásának szerepe lehet a szorafenib kiürülésében. </w:t>
      </w:r>
    </w:p>
    <w:p w14:paraId="20F9573B" w14:textId="77777777" w:rsidR="00CE695D" w:rsidRPr="00CE695D" w:rsidRDefault="00CE695D" w:rsidP="00CE695D">
      <w:pPr>
        <w:pStyle w:val="Nincstrkz"/>
        <w:rPr>
          <w:spacing w:val="2"/>
        </w:rPr>
      </w:pPr>
    </w:p>
    <w:p w14:paraId="18943606" w14:textId="5716F01B" w:rsidR="00CE695D" w:rsidRPr="00BE30DC" w:rsidRDefault="00CE695D" w:rsidP="00CE695D">
      <w:pPr>
        <w:pStyle w:val="Nincstrkz"/>
        <w:rPr>
          <w:spacing w:val="2"/>
          <w:u w:val="single"/>
        </w:rPr>
      </w:pPr>
      <w:r w:rsidRPr="00BE30DC">
        <w:rPr>
          <w:spacing w:val="2"/>
          <w:u w:val="single"/>
        </w:rPr>
        <w:t xml:space="preserve">Farmakokinetika </w:t>
      </w:r>
      <w:r w:rsidR="003D28DB">
        <w:rPr>
          <w:spacing w:val="2"/>
          <w:u w:val="single"/>
        </w:rPr>
        <w:t>különleges</w:t>
      </w:r>
      <w:r w:rsidRPr="00BE30DC">
        <w:rPr>
          <w:spacing w:val="2"/>
          <w:u w:val="single"/>
        </w:rPr>
        <w:t xml:space="preserve"> betegcsoportokban </w:t>
      </w:r>
    </w:p>
    <w:p w14:paraId="08E93184" w14:textId="77777777" w:rsidR="00CE695D" w:rsidRPr="00CE695D" w:rsidRDefault="00CE695D" w:rsidP="00CE695D">
      <w:pPr>
        <w:pStyle w:val="Nincstrkz"/>
        <w:rPr>
          <w:spacing w:val="2"/>
        </w:rPr>
      </w:pPr>
    </w:p>
    <w:p w14:paraId="751D444E" w14:textId="77777777" w:rsidR="00CE695D" w:rsidRPr="00CE695D" w:rsidRDefault="00CE695D" w:rsidP="00CE695D">
      <w:pPr>
        <w:pStyle w:val="Nincstrkz"/>
        <w:rPr>
          <w:spacing w:val="2"/>
        </w:rPr>
      </w:pPr>
      <w:r w:rsidRPr="00CE695D">
        <w:rPr>
          <w:spacing w:val="2"/>
        </w:rPr>
        <w:t xml:space="preserve">A demográfiai adatok </w:t>
      </w:r>
      <w:r w:rsidR="00080348">
        <w:rPr>
          <w:spacing w:val="2"/>
        </w:rPr>
        <w:t xml:space="preserve">analízise </w:t>
      </w:r>
      <w:r w:rsidRPr="00CE695D">
        <w:rPr>
          <w:spacing w:val="2"/>
        </w:rPr>
        <w:t>alapján nincs összefüggés a gyógyszer farmakokinetikája, illetve az életkor (65</w:t>
      </w:r>
      <w:r w:rsidR="00BE30DC">
        <w:rPr>
          <w:spacing w:val="2"/>
        </w:rPr>
        <w:t> </w:t>
      </w:r>
      <w:r w:rsidRPr="00CE695D">
        <w:rPr>
          <w:spacing w:val="2"/>
        </w:rPr>
        <w:t>éves korig), a nem, illetve a test</w:t>
      </w:r>
      <w:r w:rsidR="00BE30DC">
        <w:rPr>
          <w:spacing w:val="2"/>
        </w:rPr>
        <w:t>tömeg</w:t>
      </w:r>
      <w:r w:rsidRPr="00CE695D">
        <w:rPr>
          <w:spacing w:val="2"/>
        </w:rPr>
        <w:t xml:space="preserve"> között. </w:t>
      </w:r>
    </w:p>
    <w:p w14:paraId="7ED25CBE" w14:textId="77777777" w:rsidR="00CE695D" w:rsidRPr="00CE695D" w:rsidRDefault="00CE695D" w:rsidP="00CE695D">
      <w:pPr>
        <w:pStyle w:val="Nincstrkz"/>
        <w:rPr>
          <w:spacing w:val="2"/>
        </w:rPr>
      </w:pPr>
    </w:p>
    <w:p w14:paraId="673CE154" w14:textId="77777777" w:rsidR="00CE695D" w:rsidRPr="00BA1687" w:rsidRDefault="00CE695D" w:rsidP="00CE695D">
      <w:pPr>
        <w:pStyle w:val="Nincstrkz"/>
        <w:rPr>
          <w:spacing w:val="2"/>
          <w:u w:val="single"/>
        </w:rPr>
      </w:pPr>
      <w:r w:rsidRPr="00BA1687">
        <w:rPr>
          <w:spacing w:val="2"/>
          <w:u w:val="single"/>
        </w:rPr>
        <w:t>Gyermek</w:t>
      </w:r>
      <w:r w:rsidR="00BE30DC" w:rsidRPr="00BA1687">
        <w:rPr>
          <w:spacing w:val="2"/>
          <w:u w:val="single"/>
        </w:rPr>
        <w:t xml:space="preserve">ek </w:t>
      </w:r>
    </w:p>
    <w:p w14:paraId="259D3A8B" w14:textId="77777777" w:rsidR="00CE695D" w:rsidRPr="00CE695D" w:rsidRDefault="00CE695D" w:rsidP="00CE695D">
      <w:pPr>
        <w:pStyle w:val="Nincstrkz"/>
        <w:rPr>
          <w:spacing w:val="2"/>
        </w:rPr>
      </w:pPr>
    </w:p>
    <w:p w14:paraId="1BDBB6F9" w14:textId="77777777" w:rsidR="00CE695D" w:rsidRPr="00CE695D" w:rsidRDefault="00CE695D" w:rsidP="00CE695D">
      <w:pPr>
        <w:pStyle w:val="Nincstrkz"/>
        <w:rPr>
          <w:spacing w:val="2"/>
        </w:rPr>
      </w:pPr>
      <w:r w:rsidRPr="00CE695D">
        <w:rPr>
          <w:spacing w:val="2"/>
        </w:rPr>
        <w:t xml:space="preserve">Nem végeztek vizsgálatokat a szorafenib farmakokinetikájára vonatkozóan gyermekeknél. </w:t>
      </w:r>
    </w:p>
    <w:p w14:paraId="57072514" w14:textId="77777777" w:rsidR="00CE695D" w:rsidRPr="00CE695D" w:rsidRDefault="00CE695D" w:rsidP="00CE695D">
      <w:pPr>
        <w:pStyle w:val="Nincstrkz"/>
        <w:rPr>
          <w:spacing w:val="2"/>
        </w:rPr>
      </w:pPr>
    </w:p>
    <w:p w14:paraId="48265A10" w14:textId="77777777" w:rsidR="00CE695D" w:rsidRPr="00BE30DC" w:rsidRDefault="00CE695D" w:rsidP="00CE695D">
      <w:pPr>
        <w:pStyle w:val="Nincstrkz"/>
        <w:rPr>
          <w:spacing w:val="2"/>
          <w:u w:val="single"/>
        </w:rPr>
      </w:pPr>
      <w:r w:rsidRPr="00BE30DC">
        <w:rPr>
          <w:spacing w:val="2"/>
          <w:u w:val="single"/>
        </w:rPr>
        <w:t xml:space="preserve">Rassz </w:t>
      </w:r>
    </w:p>
    <w:p w14:paraId="025A03F0" w14:textId="77777777" w:rsidR="00CE695D" w:rsidRPr="00CE695D" w:rsidRDefault="00CE695D" w:rsidP="00CE695D">
      <w:pPr>
        <w:pStyle w:val="Nincstrkz"/>
        <w:rPr>
          <w:spacing w:val="2"/>
        </w:rPr>
      </w:pPr>
    </w:p>
    <w:p w14:paraId="5255C5C9" w14:textId="77777777" w:rsidR="00CE695D" w:rsidRPr="00CE695D" w:rsidRDefault="00CE695D" w:rsidP="00CE695D">
      <w:pPr>
        <w:pStyle w:val="Nincstrkz"/>
        <w:rPr>
          <w:spacing w:val="2"/>
        </w:rPr>
      </w:pPr>
      <w:r w:rsidRPr="00CE695D">
        <w:rPr>
          <w:spacing w:val="2"/>
        </w:rPr>
        <w:t xml:space="preserve">A kaukázusi és az ázsiai betegek farmakokinetikai paraméterei között nem találtak klinikailag jelentős eltéréseket. </w:t>
      </w:r>
    </w:p>
    <w:p w14:paraId="3F918152" w14:textId="77777777" w:rsidR="00CE695D" w:rsidRPr="00CE695D" w:rsidRDefault="00CE695D" w:rsidP="00CE695D">
      <w:pPr>
        <w:pStyle w:val="Nincstrkz"/>
        <w:rPr>
          <w:spacing w:val="2"/>
        </w:rPr>
      </w:pPr>
    </w:p>
    <w:p w14:paraId="4C1AF457" w14:textId="77777777" w:rsidR="00CE695D" w:rsidRPr="00BE30DC" w:rsidRDefault="00CE695D" w:rsidP="00CE695D">
      <w:pPr>
        <w:pStyle w:val="Nincstrkz"/>
        <w:rPr>
          <w:spacing w:val="2"/>
          <w:u w:val="single"/>
        </w:rPr>
      </w:pPr>
      <w:r w:rsidRPr="00BE30DC">
        <w:rPr>
          <w:spacing w:val="2"/>
          <w:u w:val="single"/>
        </w:rPr>
        <w:t xml:space="preserve">Vesekárosodás </w:t>
      </w:r>
    </w:p>
    <w:p w14:paraId="411C875F" w14:textId="77777777" w:rsidR="00CE695D" w:rsidRPr="00CE695D" w:rsidRDefault="00CE695D" w:rsidP="00CE695D">
      <w:pPr>
        <w:pStyle w:val="Nincstrkz"/>
        <w:rPr>
          <w:spacing w:val="2"/>
        </w:rPr>
      </w:pPr>
    </w:p>
    <w:p w14:paraId="7E821236" w14:textId="4DD6144D" w:rsidR="00CE695D" w:rsidRPr="00CE695D" w:rsidRDefault="00CE695D" w:rsidP="00CE695D">
      <w:pPr>
        <w:pStyle w:val="Nincstrkz"/>
        <w:rPr>
          <w:spacing w:val="2"/>
        </w:rPr>
      </w:pPr>
      <w:r w:rsidRPr="00CE695D">
        <w:rPr>
          <w:spacing w:val="2"/>
        </w:rPr>
        <w:t xml:space="preserve">Négy, </w:t>
      </w:r>
      <w:r w:rsidR="003D28DB">
        <w:rPr>
          <w:spacing w:val="2"/>
        </w:rPr>
        <w:t xml:space="preserve">I. </w:t>
      </w:r>
      <w:r w:rsidR="00BE30DC">
        <w:rPr>
          <w:spacing w:val="2"/>
        </w:rPr>
        <w:t>fázis</w:t>
      </w:r>
      <w:r w:rsidR="003D28DB">
        <w:rPr>
          <w:spacing w:val="2"/>
        </w:rPr>
        <w:t>ú</w:t>
      </w:r>
      <w:r w:rsidRPr="00CE695D">
        <w:rPr>
          <w:spacing w:val="2"/>
        </w:rPr>
        <w:t xml:space="preserve"> vizsgálat során a szorafenib </w:t>
      </w:r>
      <w:r w:rsidR="00BE30DC">
        <w:rPr>
          <w:spacing w:val="2"/>
        </w:rPr>
        <w:t>dinamikus egyensúlyi</w:t>
      </w:r>
      <w:r w:rsidRPr="00CE695D">
        <w:rPr>
          <w:spacing w:val="2"/>
        </w:rPr>
        <w:t xml:space="preserve"> koncentrációja hasonló volt az enyhe vagy közepes</w:t>
      </w:r>
      <w:r w:rsidR="00BE30DC">
        <w:rPr>
          <w:spacing w:val="2"/>
        </w:rPr>
        <w:t>en súlyos</w:t>
      </w:r>
      <w:r w:rsidRPr="00CE695D">
        <w:rPr>
          <w:spacing w:val="2"/>
        </w:rPr>
        <w:t xml:space="preserve"> vesekárosodásban szenvedő betegeknél, </w:t>
      </w:r>
      <w:r w:rsidR="002123BA">
        <w:rPr>
          <w:spacing w:val="2"/>
        </w:rPr>
        <w:t>valamint</w:t>
      </w:r>
      <w:r w:rsidRPr="00CE695D">
        <w:rPr>
          <w:spacing w:val="2"/>
        </w:rPr>
        <w:t xml:space="preserve"> a</w:t>
      </w:r>
      <w:r w:rsidR="00310155">
        <w:rPr>
          <w:spacing w:val="2"/>
        </w:rPr>
        <w:t>z ép</w:t>
      </w:r>
      <w:r w:rsidRPr="00CE695D">
        <w:rPr>
          <w:spacing w:val="2"/>
        </w:rPr>
        <w:t xml:space="preserve"> veseműködésű vizsgálati alanyok</w:t>
      </w:r>
      <w:r w:rsidR="002123BA">
        <w:rPr>
          <w:spacing w:val="2"/>
        </w:rPr>
        <w:t>nál</w:t>
      </w:r>
      <w:r w:rsidRPr="00CE695D">
        <w:rPr>
          <w:spacing w:val="2"/>
        </w:rPr>
        <w:t>. Egy klinikai farmakológiai vizsgálat során (napi egyszeri 400</w:t>
      </w:r>
      <w:r w:rsidR="002123BA">
        <w:rPr>
          <w:spacing w:val="2"/>
        </w:rPr>
        <w:t> </w:t>
      </w:r>
      <w:r w:rsidRPr="00CE695D">
        <w:rPr>
          <w:spacing w:val="2"/>
        </w:rPr>
        <w:t>mg szorafenib adagolás mellett) nem találtak összefüggést a szorafenib</w:t>
      </w:r>
      <w:r w:rsidR="003D28DB">
        <w:rPr>
          <w:spacing w:val="2"/>
        </w:rPr>
        <w:t>-</w:t>
      </w:r>
      <w:r w:rsidRPr="00CE695D">
        <w:rPr>
          <w:spacing w:val="2"/>
        </w:rPr>
        <w:t xml:space="preserve">expozíció és a vesefunkció között </w:t>
      </w:r>
      <w:r w:rsidR="00310155">
        <w:rPr>
          <w:spacing w:val="2"/>
        </w:rPr>
        <w:t>ép</w:t>
      </w:r>
      <w:r w:rsidRPr="00CE695D">
        <w:rPr>
          <w:spacing w:val="2"/>
        </w:rPr>
        <w:t xml:space="preserve"> vesefunkciójú betegek, illetve enyhe, köz</w:t>
      </w:r>
      <w:r w:rsidR="002123BA">
        <w:rPr>
          <w:spacing w:val="2"/>
        </w:rPr>
        <w:t xml:space="preserve">epesen </w:t>
      </w:r>
      <w:r w:rsidRPr="00CE695D">
        <w:rPr>
          <w:spacing w:val="2"/>
        </w:rPr>
        <w:t xml:space="preserve">súlyos és súlyos veseelégtelenségben szenvedő betegek között. Dialízisre szoruló betegekről nem állnak rendelkezésre adatok. </w:t>
      </w:r>
    </w:p>
    <w:p w14:paraId="5F01A57D" w14:textId="77777777" w:rsidR="00CE695D" w:rsidRPr="00CE695D" w:rsidRDefault="00CE695D" w:rsidP="00CE695D">
      <w:pPr>
        <w:pStyle w:val="Nincstrkz"/>
        <w:rPr>
          <w:spacing w:val="2"/>
        </w:rPr>
      </w:pPr>
    </w:p>
    <w:p w14:paraId="5D36A09F" w14:textId="77777777" w:rsidR="00CE695D" w:rsidRPr="002123BA" w:rsidRDefault="00CE695D" w:rsidP="00CE695D">
      <w:pPr>
        <w:pStyle w:val="Nincstrkz"/>
        <w:rPr>
          <w:spacing w:val="2"/>
          <w:u w:val="single"/>
        </w:rPr>
      </w:pPr>
      <w:r w:rsidRPr="002123BA">
        <w:rPr>
          <w:spacing w:val="2"/>
          <w:u w:val="single"/>
        </w:rPr>
        <w:t xml:space="preserve">Májkárosodás </w:t>
      </w:r>
    </w:p>
    <w:p w14:paraId="13BCE967" w14:textId="77777777" w:rsidR="00CE695D" w:rsidRPr="00CE695D" w:rsidRDefault="00CE695D" w:rsidP="00CE695D">
      <w:pPr>
        <w:pStyle w:val="Nincstrkz"/>
        <w:rPr>
          <w:spacing w:val="2"/>
        </w:rPr>
      </w:pPr>
    </w:p>
    <w:p w14:paraId="5152CEA3" w14:textId="72E9F633" w:rsidR="00CE695D" w:rsidRPr="00CE695D" w:rsidRDefault="00CE695D" w:rsidP="00CE695D">
      <w:pPr>
        <w:pStyle w:val="Nincstrkz"/>
        <w:rPr>
          <w:spacing w:val="2"/>
        </w:rPr>
      </w:pPr>
      <w:r w:rsidRPr="00CE695D">
        <w:rPr>
          <w:spacing w:val="2"/>
        </w:rPr>
        <w:t xml:space="preserve">Child-Pugh A vagy B (enyhe-közepes) stádiumú májkárosodásban és hepatocellularis carcinomában </w:t>
      </w:r>
      <w:r w:rsidRPr="002123BA">
        <w:rPr>
          <w:i/>
          <w:spacing w:val="2"/>
        </w:rPr>
        <w:t>(HCC)</w:t>
      </w:r>
      <w:r w:rsidRPr="00CE695D">
        <w:rPr>
          <w:spacing w:val="2"/>
        </w:rPr>
        <w:t xml:space="preserve"> szenvedő betegek esetén a kialakult expozíció mértéke összehasonlítható volt és ugyanabba a tartományba esett, mint ami a</w:t>
      </w:r>
      <w:r w:rsidR="00310155">
        <w:rPr>
          <w:spacing w:val="2"/>
        </w:rPr>
        <w:t>z ép</w:t>
      </w:r>
      <w:r w:rsidRPr="00CE695D">
        <w:rPr>
          <w:spacing w:val="2"/>
        </w:rPr>
        <w:t xml:space="preserve"> májfunkciójú betegeknél mérhető. A szorafenib farmakokinetikája (FK) a hepatocellularis carcinomában nem szenvedő Child-Pugh A és B stádiumú betegek esetén hasonló volt az egészséges önkénteseknél tapasztalt farmakokinetikához. A Child</w:t>
      </w:r>
      <w:r w:rsidR="002123BA">
        <w:rPr>
          <w:spacing w:val="2"/>
        </w:rPr>
        <w:noBreakHyphen/>
      </w:r>
      <w:r w:rsidRPr="00CE695D">
        <w:rPr>
          <w:spacing w:val="2"/>
        </w:rPr>
        <w:t xml:space="preserve">Pugh C (súlyos) stádiumú májkárosodásban szenvedő betegekkel kapcsolatban nem állnak rendelkezésre adatok. Mivel a szorafenib főként a májon keresztül ürül ki a szervezetből, ebben a betegpopulációban fokozott gyógyszer-expozíció lehetséges. </w:t>
      </w:r>
    </w:p>
    <w:p w14:paraId="70CE2239" w14:textId="77777777" w:rsidR="00CE695D" w:rsidRPr="00CE695D" w:rsidRDefault="00CE695D" w:rsidP="00CE695D">
      <w:pPr>
        <w:pStyle w:val="Nincstrkz"/>
        <w:rPr>
          <w:spacing w:val="2"/>
        </w:rPr>
      </w:pPr>
    </w:p>
    <w:p w14:paraId="2F03CAD6" w14:textId="28D5B1DB" w:rsidR="00CE695D" w:rsidRPr="002123BA" w:rsidRDefault="00CE695D" w:rsidP="002123BA">
      <w:pPr>
        <w:pStyle w:val="Nincstrkz"/>
        <w:tabs>
          <w:tab w:val="left" w:pos="567"/>
        </w:tabs>
        <w:rPr>
          <w:b/>
          <w:spacing w:val="2"/>
        </w:rPr>
      </w:pPr>
      <w:r w:rsidRPr="002123BA">
        <w:rPr>
          <w:b/>
          <w:spacing w:val="2"/>
        </w:rPr>
        <w:t>5.3</w:t>
      </w:r>
      <w:r w:rsidR="002123BA">
        <w:rPr>
          <w:b/>
          <w:spacing w:val="2"/>
        </w:rPr>
        <w:tab/>
      </w:r>
      <w:r w:rsidRPr="002123BA">
        <w:rPr>
          <w:b/>
          <w:spacing w:val="2"/>
        </w:rPr>
        <w:t xml:space="preserve">A preklinikai biztonságossági vizsgálatok eredményei </w:t>
      </w:r>
    </w:p>
    <w:p w14:paraId="3F893D66" w14:textId="77777777" w:rsidR="00CE695D" w:rsidRPr="00CE695D" w:rsidRDefault="00CE695D" w:rsidP="00CE695D">
      <w:pPr>
        <w:pStyle w:val="Nincstrkz"/>
        <w:rPr>
          <w:spacing w:val="2"/>
        </w:rPr>
      </w:pPr>
    </w:p>
    <w:p w14:paraId="0F053ABD" w14:textId="1F854C8A" w:rsidR="002123BA" w:rsidRDefault="00CE695D" w:rsidP="00CE695D">
      <w:pPr>
        <w:pStyle w:val="Nincstrkz"/>
        <w:rPr>
          <w:spacing w:val="2"/>
        </w:rPr>
      </w:pPr>
      <w:r w:rsidRPr="00CE695D">
        <w:rPr>
          <w:spacing w:val="2"/>
        </w:rPr>
        <w:t>A szorafenib preklinikai biztonságosság</w:t>
      </w:r>
      <w:r w:rsidR="002123BA">
        <w:rPr>
          <w:spacing w:val="2"/>
        </w:rPr>
        <w:t>i profilját</w:t>
      </w:r>
      <w:r w:rsidRPr="00CE695D">
        <w:rPr>
          <w:spacing w:val="2"/>
        </w:rPr>
        <w:t xml:space="preserve"> egerekben, patkányokban, kutyákban és nyulakban vizsgálták. Ismételt</w:t>
      </w:r>
      <w:r w:rsidR="003D28DB">
        <w:rPr>
          <w:spacing w:val="2"/>
        </w:rPr>
        <w:t xml:space="preserve"> </w:t>
      </w:r>
      <w:r w:rsidRPr="00CE695D">
        <w:rPr>
          <w:spacing w:val="2"/>
        </w:rPr>
        <w:t xml:space="preserve">dózistoxicitási vizsgálatokban a várható klinikai expozíció alatti expozíció (AUC összehasonlítás alapján) esetén elváltozásokat (degeneráció és regeneráció) figyeltek meg a különböző szervekben. </w:t>
      </w:r>
    </w:p>
    <w:p w14:paraId="56AB1F7A" w14:textId="77777777" w:rsidR="00CE695D" w:rsidRPr="00CE695D" w:rsidRDefault="00CE695D" w:rsidP="00CE695D">
      <w:pPr>
        <w:pStyle w:val="Nincstrkz"/>
        <w:rPr>
          <w:spacing w:val="2"/>
        </w:rPr>
      </w:pPr>
      <w:r w:rsidRPr="00CE695D">
        <w:rPr>
          <w:spacing w:val="2"/>
        </w:rPr>
        <w:t xml:space="preserve">Fiatal és fejlődésben lévő kutyákban ismételt adagolást követően, a klinikai expozíció alatti expozíció esetén, a csontokra és fogakra gyakorolt hatást figyeltek meg. A megfigyelt változások a következők voltak: a combcsont szabálytalan megvastagodása a növekedési zónában, a megváltozott növekedési zóna melletti csontvelő terület hypocellularitása, és a dentin összetételének elváltozása. Nem alakult ki hasonló hatás felnőtt kutyákban. </w:t>
      </w:r>
    </w:p>
    <w:p w14:paraId="7DE37BB6" w14:textId="77777777" w:rsidR="00CE695D" w:rsidRPr="00CE695D" w:rsidRDefault="00CE695D" w:rsidP="00CE695D">
      <w:pPr>
        <w:pStyle w:val="Nincstrkz"/>
        <w:rPr>
          <w:spacing w:val="2"/>
        </w:rPr>
      </w:pPr>
    </w:p>
    <w:p w14:paraId="1B0DE0A4" w14:textId="77777777" w:rsidR="00446D8A" w:rsidRDefault="00CE695D" w:rsidP="00CE695D">
      <w:pPr>
        <w:pStyle w:val="Nincstrkz"/>
        <w:rPr>
          <w:spacing w:val="2"/>
        </w:rPr>
      </w:pPr>
      <w:r w:rsidRPr="00CE695D">
        <w:rPr>
          <w:spacing w:val="2"/>
        </w:rPr>
        <w:t xml:space="preserve">A standard genotoxicitási vizsgálati programot elvégezték, melyek eredményei pozitívak, mivel az egyik clastogenitási </w:t>
      </w:r>
      <w:r w:rsidRPr="002123BA">
        <w:rPr>
          <w:i/>
          <w:spacing w:val="2"/>
        </w:rPr>
        <w:t>in vitro</w:t>
      </w:r>
      <w:r w:rsidRPr="00CE695D">
        <w:rPr>
          <w:spacing w:val="2"/>
        </w:rPr>
        <w:t xml:space="preserve"> emlőssejt vizsgálatban (kínai hörcsög ovárium) a metabolikus aktiválódás jelenlétében emelkedett strukturális kromoszóma-elváltozási arányt figyeltek meg. A szorafenib nem mutatott genotoxicitást az Ames-teszt és az in vivo egér micronucleus teszt során. A gyártási folyamat egyik, a gyógyszer végső hatóanyagában is jelenlévő (&lt; 0,15%) intermediere pozitív eredményt adott </w:t>
      </w:r>
      <w:r w:rsidRPr="002123BA">
        <w:rPr>
          <w:i/>
          <w:spacing w:val="2"/>
        </w:rPr>
        <w:t>in vitro</w:t>
      </w:r>
      <w:r w:rsidRPr="00CE695D">
        <w:rPr>
          <w:spacing w:val="2"/>
        </w:rPr>
        <w:t xml:space="preserve"> baktérium sejteken elvégzett mutagenitás vizsgálatban (Ames</w:t>
      </w:r>
      <w:r w:rsidR="002123BA">
        <w:rPr>
          <w:spacing w:val="2"/>
        </w:rPr>
        <w:noBreakHyphen/>
      </w:r>
      <w:r w:rsidRPr="00CE695D">
        <w:rPr>
          <w:spacing w:val="2"/>
        </w:rPr>
        <w:t xml:space="preserve">teszt). Mi több, a standard genotoxicitási tesztben vizsgált szorafenib sorozat 0,34%-a PAPE volt. </w:t>
      </w:r>
    </w:p>
    <w:p w14:paraId="7E6FC03A" w14:textId="0BEDC269" w:rsidR="00CE695D" w:rsidRPr="00D3781F" w:rsidRDefault="00794835" w:rsidP="00D3781F">
      <w:pPr>
        <w:pStyle w:val="Default"/>
        <w:rPr>
          <w:rFonts w:ascii="Arial" w:hAnsi="Arial" w:cs="Arial"/>
          <w:sz w:val="16"/>
          <w:szCs w:val="16"/>
        </w:rPr>
      </w:pPr>
      <w:r>
        <w:rPr>
          <w:sz w:val="22"/>
          <w:szCs w:val="22"/>
        </w:rPr>
        <w:t xml:space="preserve">Egy 2 éves, egereken végzett karcinogenitási vizsgálatban súlyos hiperpláziával és gyulladással kísért vastagbél-adenokarcinómás eseteket figyeltek meg, egy 2 éves, patkányokon végzett karcinogenitási vizsgálatban pedig hasnyálmirigy szigetsejtes adenoma esetei fordultak elő. Mindkét karcinogenitási </w:t>
      </w:r>
      <w:r>
        <w:rPr>
          <w:color w:val="auto"/>
          <w:sz w:val="22"/>
          <w:szCs w:val="22"/>
        </w:rPr>
        <w:t>vizsgálatban az elért szisztémás expozíció alacsonyabb volt, mint a javasolt dózis melletti humán klinikai expozíció. A megfigyelt esetek száma kevés volt. Az eredmények klinikai jelentősége nem ismert.</w:t>
      </w:r>
    </w:p>
    <w:p w14:paraId="202E6A4E" w14:textId="77777777" w:rsidR="00CE695D" w:rsidRPr="00CE695D" w:rsidRDefault="00CE695D" w:rsidP="00CE695D">
      <w:pPr>
        <w:pStyle w:val="Nincstrkz"/>
        <w:rPr>
          <w:spacing w:val="2"/>
        </w:rPr>
      </w:pPr>
    </w:p>
    <w:p w14:paraId="2FB10848" w14:textId="77777777" w:rsidR="00CE695D" w:rsidRPr="00CE695D" w:rsidRDefault="00CE695D" w:rsidP="00CE695D">
      <w:pPr>
        <w:pStyle w:val="Nincstrkz"/>
        <w:rPr>
          <w:spacing w:val="2"/>
        </w:rPr>
      </w:pPr>
      <w:r w:rsidRPr="00CE695D">
        <w:rPr>
          <w:spacing w:val="2"/>
        </w:rPr>
        <w:t>Nem végeztek állatkísérleteket a szorafenibbel arra vonatkozóan, hogy a hatóanyag milyen hatással van az állatok szaporod</w:t>
      </w:r>
      <w:r w:rsidR="003607A2">
        <w:rPr>
          <w:spacing w:val="2"/>
        </w:rPr>
        <w:t xml:space="preserve">ási </w:t>
      </w:r>
      <w:r w:rsidRPr="00CE695D">
        <w:rPr>
          <w:spacing w:val="2"/>
        </w:rPr>
        <w:t xml:space="preserve">képességére. Várható azonban, hogy a hatóanyag negatívan befolyásolja a szaporodást, mert ismételt adagok esetén állatkísérletekben a hím és női ivarszervek elváltozását figyelték meg a várható klinikai expozíció (AUC alapján) alatti expozíció esetén. A legjellemzőbb ilyen típusú elváltozások patkányokban a herék, mellékherék, a prosztata és az ivarsejtek jól észlelhető degenerációja és retardációja. A nőstény patkányoknál a sárgatest központi elhalása és a petefészkekben lévő tüszők érésének gátlása volt megfigyelhető. Kutyákban a herecsatornácskák degenerációját és oligospermiát észleltek. </w:t>
      </w:r>
    </w:p>
    <w:p w14:paraId="359772BF" w14:textId="77777777" w:rsidR="00CE695D" w:rsidRPr="00CE695D" w:rsidRDefault="00CE695D" w:rsidP="00CE695D">
      <w:pPr>
        <w:pStyle w:val="Nincstrkz"/>
        <w:rPr>
          <w:spacing w:val="2"/>
        </w:rPr>
      </w:pPr>
    </w:p>
    <w:p w14:paraId="0E19D2E5" w14:textId="77777777" w:rsidR="00CE695D" w:rsidRPr="00CE695D" w:rsidRDefault="00CE695D" w:rsidP="00CE695D">
      <w:pPr>
        <w:pStyle w:val="Nincstrkz"/>
        <w:rPr>
          <w:spacing w:val="2"/>
        </w:rPr>
      </w:pPr>
      <w:r w:rsidRPr="00CE695D">
        <w:rPr>
          <w:spacing w:val="2"/>
        </w:rPr>
        <w:t>A szorafenib patkányoknál és nyulaknál embriotoxikusnak és teratogénnek bizonyult a klinikai expozíció alatti expozíció esetén. A megfigyelt hatások az alábbiak voltak: az anya és a magzat test</w:t>
      </w:r>
      <w:r w:rsidR="00446D8A">
        <w:rPr>
          <w:spacing w:val="2"/>
        </w:rPr>
        <w:t>tömegének</w:t>
      </w:r>
      <w:r w:rsidRPr="00CE695D">
        <w:rPr>
          <w:spacing w:val="2"/>
        </w:rPr>
        <w:t xml:space="preserve"> csökkenése, megnövekedett számú magzatfelszívódás, illetve külső és visceralis malformációk. </w:t>
      </w:r>
    </w:p>
    <w:p w14:paraId="0FBC55F0" w14:textId="77777777" w:rsidR="00CE695D" w:rsidRPr="00CE695D" w:rsidRDefault="00CE695D" w:rsidP="00CE695D">
      <w:pPr>
        <w:pStyle w:val="Nincstrkz"/>
        <w:rPr>
          <w:spacing w:val="2"/>
        </w:rPr>
      </w:pPr>
    </w:p>
    <w:p w14:paraId="47399B40" w14:textId="77777777" w:rsidR="00CE695D" w:rsidRPr="00CE695D" w:rsidRDefault="00CE695D" w:rsidP="00CE695D">
      <w:pPr>
        <w:pStyle w:val="Nincstrkz"/>
        <w:rPr>
          <w:spacing w:val="2"/>
        </w:rPr>
      </w:pPr>
      <w:r w:rsidRPr="00CE695D">
        <w:rPr>
          <w:spacing w:val="2"/>
        </w:rPr>
        <w:t>A környezeti kockázatbecslő vizsgálatok azt mutatták, hogy a szorafenib-tozilát potenciálisan megmarad a környezetben, továbbá biológiailag felhalmozódik és mérgező a környezetre nézve. A környezeti kockázatbecsléssel kapcsolatos információ a jelen gyógyszer EPAR-jában érhető el (lásd 6.6</w:t>
      </w:r>
      <w:r w:rsidR="003607A2">
        <w:rPr>
          <w:spacing w:val="2"/>
        </w:rPr>
        <w:t> </w:t>
      </w:r>
      <w:r w:rsidRPr="00CE695D">
        <w:rPr>
          <w:spacing w:val="2"/>
        </w:rPr>
        <w:t xml:space="preserve">pont) </w:t>
      </w:r>
    </w:p>
    <w:p w14:paraId="0805AF89" w14:textId="77777777" w:rsidR="00CE695D" w:rsidRPr="00CE695D" w:rsidRDefault="00CE695D" w:rsidP="00CE695D">
      <w:pPr>
        <w:pStyle w:val="Nincstrkz"/>
        <w:rPr>
          <w:spacing w:val="2"/>
        </w:rPr>
      </w:pPr>
    </w:p>
    <w:p w14:paraId="5D2BC09B" w14:textId="77777777" w:rsidR="00CE695D" w:rsidRPr="00CE695D" w:rsidRDefault="00CE695D" w:rsidP="00CE695D">
      <w:pPr>
        <w:pStyle w:val="Nincstrkz"/>
        <w:rPr>
          <w:spacing w:val="2"/>
        </w:rPr>
      </w:pPr>
    </w:p>
    <w:p w14:paraId="7288F018" w14:textId="57D5FDD5" w:rsidR="00CE695D" w:rsidRPr="003607A2" w:rsidRDefault="00CE695D" w:rsidP="003607A2">
      <w:pPr>
        <w:pStyle w:val="Nincstrkz"/>
        <w:tabs>
          <w:tab w:val="left" w:pos="567"/>
        </w:tabs>
        <w:rPr>
          <w:b/>
          <w:spacing w:val="2"/>
        </w:rPr>
      </w:pPr>
      <w:r w:rsidRPr="003607A2">
        <w:rPr>
          <w:b/>
          <w:spacing w:val="2"/>
        </w:rPr>
        <w:t>6.</w:t>
      </w:r>
      <w:r w:rsidR="003607A2">
        <w:rPr>
          <w:b/>
          <w:spacing w:val="2"/>
        </w:rPr>
        <w:tab/>
      </w:r>
      <w:r w:rsidRPr="003607A2">
        <w:rPr>
          <w:b/>
          <w:spacing w:val="2"/>
        </w:rPr>
        <w:t xml:space="preserve">GYÓGYSZERÉSZETI JELLEMZŐK </w:t>
      </w:r>
    </w:p>
    <w:p w14:paraId="0A6FB73E" w14:textId="77777777" w:rsidR="00CE695D" w:rsidRPr="003607A2" w:rsidRDefault="00CE695D" w:rsidP="00CE695D">
      <w:pPr>
        <w:pStyle w:val="Nincstrkz"/>
        <w:rPr>
          <w:spacing w:val="2"/>
        </w:rPr>
      </w:pPr>
    </w:p>
    <w:p w14:paraId="7AD57600" w14:textId="4777BAF5" w:rsidR="00CE695D" w:rsidRPr="003607A2" w:rsidRDefault="00CE695D" w:rsidP="003607A2">
      <w:pPr>
        <w:pStyle w:val="Nincstrkz"/>
        <w:tabs>
          <w:tab w:val="left" w:pos="567"/>
        </w:tabs>
        <w:rPr>
          <w:b/>
          <w:spacing w:val="2"/>
        </w:rPr>
      </w:pPr>
      <w:r w:rsidRPr="003607A2">
        <w:rPr>
          <w:b/>
          <w:spacing w:val="2"/>
        </w:rPr>
        <w:t>6.1</w:t>
      </w:r>
      <w:r w:rsidR="003607A2">
        <w:rPr>
          <w:b/>
          <w:spacing w:val="2"/>
        </w:rPr>
        <w:tab/>
      </w:r>
      <w:r w:rsidRPr="003607A2">
        <w:rPr>
          <w:b/>
          <w:spacing w:val="2"/>
        </w:rPr>
        <w:t xml:space="preserve">Segédanyagok felsorolása </w:t>
      </w:r>
    </w:p>
    <w:p w14:paraId="6A1CCBD8" w14:textId="77777777" w:rsidR="00CE695D" w:rsidRPr="00CE695D" w:rsidRDefault="00CE695D" w:rsidP="00CE695D">
      <w:pPr>
        <w:pStyle w:val="Nincstrkz"/>
        <w:rPr>
          <w:spacing w:val="2"/>
        </w:rPr>
      </w:pPr>
    </w:p>
    <w:p w14:paraId="6DC50265" w14:textId="77777777" w:rsidR="003607A2" w:rsidRPr="003607A2" w:rsidRDefault="00CE695D" w:rsidP="00CE695D">
      <w:pPr>
        <w:pStyle w:val="Nincstrkz"/>
        <w:rPr>
          <w:spacing w:val="2"/>
          <w:u w:val="single"/>
        </w:rPr>
      </w:pPr>
      <w:r w:rsidRPr="003607A2">
        <w:rPr>
          <w:spacing w:val="2"/>
          <w:u w:val="single"/>
        </w:rPr>
        <w:t xml:space="preserve">Tablettamag: </w:t>
      </w:r>
    </w:p>
    <w:p w14:paraId="39F9D03B" w14:textId="1496F65F" w:rsidR="003607A2" w:rsidRDefault="00310155" w:rsidP="00CE695D">
      <w:pPr>
        <w:pStyle w:val="Nincstrkz"/>
        <w:rPr>
          <w:spacing w:val="2"/>
        </w:rPr>
      </w:pPr>
      <w:r>
        <w:rPr>
          <w:spacing w:val="2"/>
        </w:rPr>
        <w:t>m</w:t>
      </w:r>
      <w:r w:rsidR="00CE695D" w:rsidRPr="00CE695D">
        <w:rPr>
          <w:spacing w:val="2"/>
        </w:rPr>
        <w:t>ikrokristályos cellulóz</w:t>
      </w:r>
      <w:r w:rsidR="003607A2">
        <w:rPr>
          <w:spacing w:val="2"/>
        </w:rPr>
        <w:t>,</w:t>
      </w:r>
    </w:p>
    <w:p w14:paraId="3FB644DF" w14:textId="7E764717" w:rsidR="003607A2" w:rsidRDefault="00310155" w:rsidP="00CE695D">
      <w:pPr>
        <w:pStyle w:val="Nincstrkz"/>
        <w:rPr>
          <w:spacing w:val="2"/>
        </w:rPr>
      </w:pPr>
      <w:r>
        <w:rPr>
          <w:spacing w:val="2"/>
        </w:rPr>
        <w:t>n</w:t>
      </w:r>
      <w:r w:rsidR="00CE695D" w:rsidRPr="00CE695D">
        <w:rPr>
          <w:spacing w:val="2"/>
        </w:rPr>
        <w:t>átrium-lauril-szulfát</w:t>
      </w:r>
      <w:r w:rsidR="003607A2">
        <w:rPr>
          <w:spacing w:val="2"/>
        </w:rPr>
        <w:t>,</w:t>
      </w:r>
    </w:p>
    <w:p w14:paraId="4E7CE5E5" w14:textId="1A92407C" w:rsidR="003607A2" w:rsidRDefault="00310155" w:rsidP="00CE695D">
      <w:pPr>
        <w:pStyle w:val="Nincstrkz"/>
        <w:rPr>
          <w:spacing w:val="2"/>
        </w:rPr>
      </w:pPr>
      <w:r>
        <w:rPr>
          <w:spacing w:val="2"/>
        </w:rPr>
        <w:t>k</w:t>
      </w:r>
      <w:r w:rsidR="003607A2" w:rsidRPr="00CE695D">
        <w:rPr>
          <w:spacing w:val="2"/>
        </w:rPr>
        <w:t>roszkarmellóz-nátrium</w:t>
      </w:r>
      <w:r w:rsidR="003607A2">
        <w:rPr>
          <w:spacing w:val="2"/>
        </w:rPr>
        <w:t>,</w:t>
      </w:r>
    </w:p>
    <w:p w14:paraId="288C5597" w14:textId="77C083B9" w:rsidR="003607A2" w:rsidRDefault="00310155" w:rsidP="00CE695D">
      <w:pPr>
        <w:pStyle w:val="Nincstrkz"/>
        <w:rPr>
          <w:spacing w:val="2"/>
        </w:rPr>
      </w:pPr>
      <w:r>
        <w:rPr>
          <w:spacing w:val="2"/>
        </w:rPr>
        <w:t>h</w:t>
      </w:r>
      <w:r w:rsidR="003607A2" w:rsidRPr="00CE695D">
        <w:rPr>
          <w:spacing w:val="2"/>
        </w:rPr>
        <w:t>ipromellóz</w:t>
      </w:r>
      <w:r w:rsidR="003607A2">
        <w:rPr>
          <w:spacing w:val="2"/>
        </w:rPr>
        <w:t>,</w:t>
      </w:r>
    </w:p>
    <w:p w14:paraId="2ABC3BB4" w14:textId="2F8A56A1" w:rsidR="00CE695D" w:rsidRPr="00CE695D" w:rsidRDefault="00310155" w:rsidP="00CE695D">
      <w:pPr>
        <w:pStyle w:val="Nincstrkz"/>
        <w:rPr>
          <w:spacing w:val="2"/>
        </w:rPr>
      </w:pPr>
      <w:r>
        <w:rPr>
          <w:spacing w:val="2"/>
        </w:rPr>
        <w:t>m</w:t>
      </w:r>
      <w:r w:rsidR="00CE695D" w:rsidRPr="00CE695D">
        <w:rPr>
          <w:spacing w:val="2"/>
        </w:rPr>
        <w:t xml:space="preserve">agnézium-sztearát </w:t>
      </w:r>
      <w:r w:rsidR="003607A2">
        <w:rPr>
          <w:spacing w:val="2"/>
        </w:rPr>
        <w:t>(növényi eredetű)</w:t>
      </w:r>
    </w:p>
    <w:p w14:paraId="124B2490" w14:textId="77777777" w:rsidR="00CE695D" w:rsidRPr="00CE695D" w:rsidRDefault="00CE695D" w:rsidP="00CE695D">
      <w:pPr>
        <w:pStyle w:val="Nincstrkz"/>
        <w:rPr>
          <w:spacing w:val="2"/>
        </w:rPr>
      </w:pPr>
    </w:p>
    <w:p w14:paraId="67C65651" w14:textId="77777777" w:rsidR="003607A2" w:rsidRPr="003607A2" w:rsidRDefault="00CE695D" w:rsidP="00CE695D">
      <w:pPr>
        <w:pStyle w:val="Nincstrkz"/>
        <w:rPr>
          <w:spacing w:val="2"/>
          <w:u w:val="single"/>
        </w:rPr>
      </w:pPr>
      <w:r w:rsidRPr="003607A2">
        <w:rPr>
          <w:spacing w:val="2"/>
          <w:u w:val="single"/>
        </w:rPr>
        <w:t xml:space="preserve">Tabletta bevonat: </w:t>
      </w:r>
    </w:p>
    <w:p w14:paraId="3EEA4F7F" w14:textId="692A333B" w:rsidR="003607A2" w:rsidRDefault="00310155" w:rsidP="00CE695D">
      <w:pPr>
        <w:pStyle w:val="Nincstrkz"/>
        <w:rPr>
          <w:spacing w:val="2"/>
        </w:rPr>
      </w:pPr>
      <w:r>
        <w:rPr>
          <w:spacing w:val="2"/>
        </w:rPr>
        <w:t>h</w:t>
      </w:r>
      <w:r w:rsidR="00CE695D" w:rsidRPr="00CE695D">
        <w:rPr>
          <w:spacing w:val="2"/>
        </w:rPr>
        <w:t>ipromellóz</w:t>
      </w:r>
      <w:r w:rsidR="003607A2">
        <w:rPr>
          <w:spacing w:val="2"/>
        </w:rPr>
        <w:t>,</w:t>
      </w:r>
    </w:p>
    <w:p w14:paraId="3DF88E75" w14:textId="12FC48FC" w:rsidR="003607A2" w:rsidRDefault="00310155" w:rsidP="00CE695D">
      <w:pPr>
        <w:pStyle w:val="Nincstrkz"/>
        <w:rPr>
          <w:spacing w:val="2"/>
        </w:rPr>
      </w:pPr>
      <w:r>
        <w:rPr>
          <w:spacing w:val="2"/>
        </w:rPr>
        <w:t>m</w:t>
      </w:r>
      <w:r w:rsidR="00CE695D" w:rsidRPr="00CE695D">
        <w:rPr>
          <w:spacing w:val="2"/>
        </w:rPr>
        <w:t>akrogol</w:t>
      </w:r>
      <w:r w:rsidR="003607A2">
        <w:rPr>
          <w:spacing w:val="2"/>
        </w:rPr>
        <w:t>,</w:t>
      </w:r>
    </w:p>
    <w:p w14:paraId="037DF7BF" w14:textId="7388AA42" w:rsidR="003607A2" w:rsidRDefault="00310155" w:rsidP="00CE695D">
      <w:pPr>
        <w:pStyle w:val="Nincstrkz"/>
        <w:rPr>
          <w:spacing w:val="2"/>
        </w:rPr>
      </w:pPr>
      <w:r>
        <w:rPr>
          <w:spacing w:val="2"/>
        </w:rPr>
        <w:t>t</w:t>
      </w:r>
      <w:r w:rsidR="00CE695D" w:rsidRPr="00CE695D">
        <w:rPr>
          <w:spacing w:val="2"/>
        </w:rPr>
        <w:t>itán-dioxid (E 171)</w:t>
      </w:r>
      <w:r w:rsidR="003607A2">
        <w:rPr>
          <w:spacing w:val="2"/>
        </w:rPr>
        <w:t>,</w:t>
      </w:r>
    </w:p>
    <w:p w14:paraId="12961AAE" w14:textId="5CF8A774" w:rsidR="00CE695D" w:rsidRPr="00CE695D" w:rsidRDefault="00310155" w:rsidP="00CE695D">
      <w:pPr>
        <w:pStyle w:val="Nincstrkz"/>
        <w:rPr>
          <w:spacing w:val="2"/>
        </w:rPr>
      </w:pPr>
      <w:r>
        <w:rPr>
          <w:spacing w:val="2"/>
        </w:rPr>
        <w:t>v</w:t>
      </w:r>
      <w:r w:rsidR="00CE695D" w:rsidRPr="00CE695D">
        <w:rPr>
          <w:spacing w:val="2"/>
        </w:rPr>
        <w:t xml:space="preserve">örös vas-oxid (E 172) </w:t>
      </w:r>
    </w:p>
    <w:p w14:paraId="238A32D8" w14:textId="77777777" w:rsidR="00CE695D" w:rsidRPr="00CE695D" w:rsidRDefault="00CE695D" w:rsidP="00CE695D">
      <w:pPr>
        <w:pStyle w:val="Nincstrkz"/>
        <w:rPr>
          <w:spacing w:val="2"/>
        </w:rPr>
      </w:pPr>
    </w:p>
    <w:p w14:paraId="07CD53B3" w14:textId="574C1607" w:rsidR="00CE695D" w:rsidRPr="003607A2" w:rsidRDefault="00CE695D" w:rsidP="003607A2">
      <w:pPr>
        <w:pStyle w:val="Nincstrkz"/>
        <w:tabs>
          <w:tab w:val="left" w:pos="567"/>
        </w:tabs>
        <w:rPr>
          <w:b/>
          <w:spacing w:val="2"/>
        </w:rPr>
      </w:pPr>
      <w:r w:rsidRPr="003607A2">
        <w:rPr>
          <w:b/>
          <w:spacing w:val="2"/>
        </w:rPr>
        <w:t>6.2</w:t>
      </w:r>
      <w:r w:rsidR="003607A2">
        <w:rPr>
          <w:b/>
          <w:spacing w:val="2"/>
        </w:rPr>
        <w:tab/>
      </w:r>
      <w:r w:rsidRPr="003607A2">
        <w:rPr>
          <w:b/>
          <w:spacing w:val="2"/>
        </w:rPr>
        <w:t xml:space="preserve">Inkompatibilitások </w:t>
      </w:r>
    </w:p>
    <w:p w14:paraId="6B10BB96" w14:textId="77777777" w:rsidR="00CE695D" w:rsidRPr="00CE695D" w:rsidRDefault="00CE695D" w:rsidP="00CE695D">
      <w:pPr>
        <w:pStyle w:val="Nincstrkz"/>
        <w:rPr>
          <w:spacing w:val="2"/>
        </w:rPr>
      </w:pPr>
    </w:p>
    <w:p w14:paraId="7BF96738" w14:textId="77777777" w:rsidR="00CE695D" w:rsidRPr="00CE695D" w:rsidRDefault="00CE695D" w:rsidP="00CE695D">
      <w:pPr>
        <w:pStyle w:val="Nincstrkz"/>
        <w:rPr>
          <w:spacing w:val="2"/>
        </w:rPr>
      </w:pPr>
      <w:r w:rsidRPr="00CE695D">
        <w:rPr>
          <w:spacing w:val="2"/>
        </w:rPr>
        <w:t xml:space="preserve">Nem értelmezhető. </w:t>
      </w:r>
    </w:p>
    <w:p w14:paraId="29F9C7C1" w14:textId="77777777" w:rsidR="00CE695D" w:rsidRPr="00CE695D" w:rsidRDefault="00CE695D" w:rsidP="00CE695D">
      <w:pPr>
        <w:pStyle w:val="Nincstrkz"/>
        <w:rPr>
          <w:spacing w:val="2"/>
        </w:rPr>
      </w:pPr>
    </w:p>
    <w:p w14:paraId="6E710D0E" w14:textId="1CF60042" w:rsidR="00CE695D" w:rsidRPr="003607A2" w:rsidRDefault="00CE695D" w:rsidP="003607A2">
      <w:pPr>
        <w:pStyle w:val="Nincstrkz"/>
        <w:keepNext/>
        <w:tabs>
          <w:tab w:val="left" w:pos="567"/>
        </w:tabs>
        <w:rPr>
          <w:b/>
          <w:spacing w:val="2"/>
        </w:rPr>
      </w:pPr>
      <w:r w:rsidRPr="003607A2">
        <w:rPr>
          <w:b/>
          <w:spacing w:val="2"/>
        </w:rPr>
        <w:t>6.3</w:t>
      </w:r>
      <w:r w:rsidR="003607A2" w:rsidRPr="003607A2">
        <w:rPr>
          <w:b/>
          <w:spacing w:val="2"/>
        </w:rPr>
        <w:tab/>
      </w:r>
      <w:r w:rsidRPr="003607A2">
        <w:rPr>
          <w:b/>
          <w:spacing w:val="2"/>
        </w:rPr>
        <w:t xml:space="preserve">Felhasználhatósági időtartam </w:t>
      </w:r>
    </w:p>
    <w:p w14:paraId="020EB90B" w14:textId="77777777" w:rsidR="00CE695D" w:rsidRPr="00CE695D" w:rsidRDefault="00CE695D" w:rsidP="003607A2">
      <w:pPr>
        <w:pStyle w:val="Nincstrkz"/>
        <w:keepNext/>
        <w:rPr>
          <w:spacing w:val="2"/>
        </w:rPr>
      </w:pPr>
    </w:p>
    <w:p w14:paraId="09DD7E4A" w14:textId="2474A52B" w:rsidR="00CE695D" w:rsidRPr="00CE695D" w:rsidRDefault="006347B3" w:rsidP="003607A2">
      <w:pPr>
        <w:pStyle w:val="Nincstrkz"/>
        <w:keepNext/>
        <w:rPr>
          <w:spacing w:val="2"/>
        </w:rPr>
      </w:pPr>
      <w:r>
        <w:rPr>
          <w:spacing w:val="2"/>
        </w:rPr>
        <w:t>3</w:t>
      </w:r>
      <w:r w:rsidR="003607A2">
        <w:rPr>
          <w:spacing w:val="2"/>
        </w:rPr>
        <w:t> </w:t>
      </w:r>
      <w:r w:rsidR="00CE695D" w:rsidRPr="00CE695D">
        <w:rPr>
          <w:spacing w:val="2"/>
        </w:rPr>
        <w:t xml:space="preserve">év </w:t>
      </w:r>
    </w:p>
    <w:p w14:paraId="1142A592" w14:textId="77777777" w:rsidR="00CE695D" w:rsidRPr="00CE695D" w:rsidRDefault="00CE695D" w:rsidP="00CE695D">
      <w:pPr>
        <w:pStyle w:val="Nincstrkz"/>
        <w:rPr>
          <w:spacing w:val="2"/>
        </w:rPr>
      </w:pPr>
    </w:p>
    <w:p w14:paraId="44D67D7D" w14:textId="29F11726" w:rsidR="00CE695D" w:rsidRPr="003607A2" w:rsidRDefault="00CE695D" w:rsidP="003607A2">
      <w:pPr>
        <w:pStyle w:val="Nincstrkz"/>
        <w:tabs>
          <w:tab w:val="left" w:pos="567"/>
        </w:tabs>
        <w:rPr>
          <w:b/>
          <w:spacing w:val="2"/>
        </w:rPr>
      </w:pPr>
      <w:r w:rsidRPr="003607A2">
        <w:rPr>
          <w:b/>
          <w:spacing w:val="2"/>
        </w:rPr>
        <w:t>6.4</w:t>
      </w:r>
      <w:r w:rsidR="003607A2">
        <w:rPr>
          <w:b/>
          <w:spacing w:val="2"/>
        </w:rPr>
        <w:tab/>
      </w:r>
      <w:r w:rsidRPr="003607A2">
        <w:rPr>
          <w:b/>
          <w:spacing w:val="2"/>
        </w:rPr>
        <w:t xml:space="preserve">Különleges tárolási előírások </w:t>
      </w:r>
    </w:p>
    <w:p w14:paraId="7398FC7C" w14:textId="77777777" w:rsidR="00CE695D" w:rsidRPr="00CE695D" w:rsidRDefault="00CE695D" w:rsidP="00647BAF">
      <w:pPr>
        <w:pStyle w:val="Nincstrkz"/>
      </w:pPr>
    </w:p>
    <w:p w14:paraId="4F1B21EC" w14:textId="77777777" w:rsidR="00F66B6F" w:rsidRDefault="00647BAF" w:rsidP="00F66B6F">
      <w:pPr>
        <w:pStyle w:val="Nincstrkz"/>
        <w:rPr>
          <w:noProof/>
        </w:rPr>
      </w:pPr>
      <w:r>
        <w:rPr>
          <w:noProof/>
        </w:rPr>
        <w:t xml:space="preserve">Ez a gyógyszer különleges tárolási hőmérsékletet nem igényel. </w:t>
      </w:r>
      <w:bookmarkStart w:id="4" w:name="_Hlk534700779"/>
      <w:r w:rsidR="00F66B6F">
        <w:rPr>
          <w:noProof/>
        </w:rPr>
        <w:t>A nedvességtől való védelem érdekében az eredeti csomagolásban tárolandó.</w:t>
      </w:r>
    </w:p>
    <w:bookmarkEnd w:id="4"/>
    <w:p w14:paraId="5EF144C2" w14:textId="77777777" w:rsidR="00647BAF" w:rsidRPr="00647BAF" w:rsidRDefault="00647BAF" w:rsidP="00647BAF">
      <w:pPr>
        <w:pStyle w:val="Nincstrkz"/>
        <w:rPr>
          <w:lang w:val="es-ES_tradnl"/>
        </w:rPr>
      </w:pPr>
    </w:p>
    <w:p w14:paraId="68E7A123" w14:textId="2111CCF2" w:rsidR="00CE695D" w:rsidRPr="00647BAF" w:rsidRDefault="00CE695D" w:rsidP="00647BAF">
      <w:pPr>
        <w:pStyle w:val="Nincstrkz"/>
        <w:tabs>
          <w:tab w:val="left" w:pos="567"/>
        </w:tabs>
        <w:rPr>
          <w:b/>
          <w:spacing w:val="2"/>
        </w:rPr>
      </w:pPr>
      <w:r w:rsidRPr="00647BAF">
        <w:rPr>
          <w:b/>
          <w:spacing w:val="2"/>
        </w:rPr>
        <w:t>6.5</w:t>
      </w:r>
      <w:r w:rsidR="00647BAF">
        <w:rPr>
          <w:b/>
          <w:spacing w:val="2"/>
        </w:rPr>
        <w:tab/>
      </w:r>
      <w:r w:rsidRPr="00647BAF">
        <w:rPr>
          <w:b/>
          <w:spacing w:val="2"/>
        </w:rPr>
        <w:t xml:space="preserve">Csomagolás típusa és kiszerelése </w:t>
      </w:r>
    </w:p>
    <w:p w14:paraId="191DB3AE" w14:textId="78DAD8E9" w:rsidR="00CE695D" w:rsidRPr="00310155" w:rsidRDefault="00CE695D" w:rsidP="00310155">
      <w:pPr>
        <w:pStyle w:val="Nincstrkz"/>
        <w:rPr>
          <w:rFonts w:cs="Times New Roman"/>
          <w:spacing w:val="2"/>
        </w:rPr>
      </w:pPr>
    </w:p>
    <w:p w14:paraId="2FAB3414" w14:textId="399B97FB" w:rsidR="00310155" w:rsidRPr="00F2452F" w:rsidRDefault="00310155" w:rsidP="00F2452F">
      <w:pPr>
        <w:spacing w:after="0" w:line="240" w:lineRule="auto"/>
        <w:rPr>
          <w:rFonts w:ascii="Times New Roman" w:hAnsi="Times New Roman" w:cs="Times New Roman"/>
          <w:lang w:val="nl-NL"/>
        </w:rPr>
      </w:pPr>
      <w:r w:rsidRPr="00F2452F">
        <w:rPr>
          <w:rFonts w:ascii="Times New Roman" w:hAnsi="Times New Roman" w:cs="Times New Roman"/>
          <w:lang w:val="nl-NL"/>
        </w:rPr>
        <w:t>PVC/Aclar/PVC-Al buborékcsomagolás és OPA/Al/PVC</w:t>
      </w:r>
      <w:r w:rsidR="00FD02F4" w:rsidRPr="00FD02F4">
        <w:rPr>
          <w:rFonts w:ascii="Times New Roman" w:hAnsi="Times New Roman" w:cs="Times New Roman"/>
          <w:lang w:val="nl-NL"/>
        </w:rPr>
        <w:t>-Al buborékcsomagolás.</w:t>
      </w:r>
    </w:p>
    <w:p w14:paraId="0A696BAB" w14:textId="188EA380" w:rsidR="00310155" w:rsidRPr="00CE695D" w:rsidRDefault="00310155" w:rsidP="00310155">
      <w:pPr>
        <w:pStyle w:val="Nincstrkz"/>
        <w:rPr>
          <w:spacing w:val="2"/>
        </w:rPr>
      </w:pPr>
    </w:p>
    <w:p w14:paraId="2382C645" w14:textId="77777777" w:rsidR="00CE695D" w:rsidRPr="00CE695D" w:rsidRDefault="00647BAF">
      <w:pPr>
        <w:pStyle w:val="Nincstrkz"/>
        <w:rPr>
          <w:spacing w:val="2"/>
        </w:rPr>
      </w:pPr>
      <w:r>
        <w:rPr>
          <w:spacing w:val="2"/>
        </w:rPr>
        <w:t xml:space="preserve">Kiszerelések: </w:t>
      </w:r>
      <w:r w:rsidRPr="00360326">
        <w:t>28, 30</w:t>
      </w:r>
      <w:r>
        <w:t>, 56</w:t>
      </w:r>
      <w:r w:rsidRPr="00360326">
        <w:t xml:space="preserve"> </w:t>
      </w:r>
      <w:r>
        <w:t>és</w:t>
      </w:r>
      <w:r w:rsidRPr="00360326">
        <w:t xml:space="preserve"> 112 </w:t>
      </w:r>
      <w:r>
        <w:t xml:space="preserve">db </w:t>
      </w:r>
      <w:r w:rsidRPr="00360326">
        <w:t>film</w:t>
      </w:r>
      <w:r>
        <w:t xml:space="preserve">tabletta buborékcsomagolásban vagy </w:t>
      </w:r>
      <w:r w:rsidRPr="00360326">
        <w:t>112</w:t>
      </w:r>
      <w:r>
        <w:t> </w:t>
      </w:r>
      <w:r w:rsidRPr="00360326">
        <w:t>x</w:t>
      </w:r>
      <w:r>
        <w:t> </w:t>
      </w:r>
      <w:r w:rsidRPr="00360326">
        <w:t>1 film</w:t>
      </w:r>
      <w:r>
        <w:t>tabletta</w:t>
      </w:r>
      <w:r w:rsidR="008F182E">
        <w:t xml:space="preserve"> adagonként perforált buborékcsomagolásban. </w:t>
      </w:r>
    </w:p>
    <w:p w14:paraId="6AFD1769" w14:textId="77777777" w:rsidR="00CE695D" w:rsidRDefault="00CE695D" w:rsidP="00CE695D">
      <w:pPr>
        <w:pStyle w:val="Nincstrkz"/>
        <w:rPr>
          <w:spacing w:val="2"/>
        </w:rPr>
      </w:pPr>
    </w:p>
    <w:p w14:paraId="0A7808E4" w14:textId="77777777" w:rsidR="00AD12A0" w:rsidRDefault="00AD12A0" w:rsidP="00CE695D">
      <w:pPr>
        <w:pStyle w:val="Nincstrkz"/>
      </w:pPr>
      <w:bookmarkStart w:id="5" w:name="_Hlk534698717"/>
      <w:r w:rsidRPr="00AD12A0">
        <w:t>Nem feltétlenül mindegyik kiszerelés kerül kereskedelmi forgalomba.</w:t>
      </w:r>
    </w:p>
    <w:bookmarkEnd w:id="5"/>
    <w:p w14:paraId="39F9BC1D" w14:textId="77777777" w:rsidR="00AD12A0" w:rsidRPr="00CE695D" w:rsidRDefault="00AD12A0" w:rsidP="00CE695D">
      <w:pPr>
        <w:pStyle w:val="Nincstrkz"/>
        <w:rPr>
          <w:spacing w:val="2"/>
        </w:rPr>
      </w:pPr>
    </w:p>
    <w:p w14:paraId="3CB28199" w14:textId="52C81496" w:rsidR="00CE695D" w:rsidRPr="00F2452F" w:rsidRDefault="00CE695D" w:rsidP="00F2452F">
      <w:pPr>
        <w:spacing w:after="0" w:line="240" w:lineRule="auto"/>
        <w:ind w:left="567" w:hanging="567"/>
        <w:outlineLvl w:val="0"/>
        <w:rPr>
          <w:rFonts w:eastAsia="Times New Roman" w:cs="Times New Roman"/>
          <w:b/>
          <w:noProof/>
        </w:rPr>
      </w:pPr>
      <w:r w:rsidRPr="00280FB4">
        <w:rPr>
          <w:rFonts w:ascii="Times New Roman" w:hAnsi="Times New Roman" w:cs="Times New Roman"/>
          <w:b/>
          <w:spacing w:val="2"/>
        </w:rPr>
        <w:t>6.6</w:t>
      </w:r>
      <w:r w:rsidR="008F182E">
        <w:rPr>
          <w:b/>
          <w:spacing w:val="2"/>
        </w:rPr>
        <w:tab/>
      </w:r>
      <w:r w:rsidRPr="00F2452F">
        <w:rPr>
          <w:rFonts w:ascii="Times New Roman" w:hAnsi="Times New Roman" w:cs="Times New Roman"/>
          <w:b/>
          <w:spacing w:val="2"/>
        </w:rPr>
        <w:t xml:space="preserve">A megsemmisítésre vonatkozó különleges óvintézkedések </w:t>
      </w:r>
      <w:r w:rsidR="00310155" w:rsidRPr="00F2452F">
        <w:rPr>
          <w:rFonts w:ascii="Times New Roman" w:eastAsia="Times New Roman" w:hAnsi="Times New Roman" w:cs="Times New Roman"/>
          <w:b/>
          <w:noProof/>
        </w:rPr>
        <w:t>és egyéb, a készítmény kezelésével kapcsolatos információk</w:t>
      </w:r>
      <w:r w:rsidR="007455E1">
        <w:rPr>
          <w:rFonts w:ascii="Times New Roman" w:eastAsia="Times New Roman" w:hAnsi="Times New Roman" w:cs="Times New Roman"/>
          <w:b/>
          <w:noProof/>
        </w:rPr>
        <w:fldChar w:fldCharType="begin"/>
      </w:r>
      <w:r w:rsidR="007455E1">
        <w:rPr>
          <w:rFonts w:ascii="Times New Roman" w:eastAsia="Times New Roman" w:hAnsi="Times New Roman" w:cs="Times New Roman"/>
          <w:b/>
          <w:noProof/>
        </w:rPr>
        <w:instrText xml:space="preserve"> DOCVARIABLE vault_nd_7a69407c-4ebd-4579-9e44-782a7cc9f8fe \* MERGEFORMAT </w:instrText>
      </w:r>
      <w:r w:rsidR="007455E1">
        <w:rPr>
          <w:rFonts w:ascii="Times New Roman" w:eastAsia="Times New Roman" w:hAnsi="Times New Roman" w:cs="Times New Roman"/>
          <w:b/>
          <w:noProof/>
        </w:rPr>
        <w:fldChar w:fldCharType="separate"/>
      </w:r>
      <w:r w:rsidR="007455E1">
        <w:rPr>
          <w:rFonts w:ascii="Times New Roman" w:eastAsia="Times New Roman" w:hAnsi="Times New Roman" w:cs="Times New Roman"/>
          <w:b/>
          <w:noProof/>
        </w:rPr>
        <w:t xml:space="preserve"> </w:t>
      </w:r>
      <w:r w:rsidR="007455E1">
        <w:rPr>
          <w:rFonts w:ascii="Times New Roman" w:eastAsia="Times New Roman" w:hAnsi="Times New Roman" w:cs="Times New Roman"/>
          <w:b/>
          <w:noProof/>
        </w:rPr>
        <w:fldChar w:fldCharType="end"/>
      </w:r>
    </w:p>
    <w:p w14:paraId="272294FD" w14:textId="77777777" w:rsidR="00CE695D" w:rsidRPr="00310155" w:rsidRDefault="00CE695D" w:rsidP="00310155">
      <w:pPr>
        <w:pStyle w:val="Nincstrkz"/>
        <w:rPr>
          <w:rFonts w:cs="Times New Roman"/>
          <w:spacing w:val="2"/>
        </w:rPr>
      </w:pPr>
    </w:p>
    <w:p w14:paraId="74BA6F8B" w14:textId="77777777" w:rsidR="00CE695D" w:rsidRPr="00CE695D" w:rsidRDefault="00CE695D" w:rsidP="00CE695D">
      <w:pPr>
        <w:pStyle w:val="Nincstrkz"/>
        <w:rPr>
          <w:spacing w:val="2"/>
        </w:rPr>
      </w:pPr>
      <w:r w:rsidRPr="00CE695D">
        <w:rPr>
          <w:spacing w:val="2"/>
        </w:rPr>
        <w:t xml:space="preserve">Ez a gyógyszer potenciális kockázatot jelenthet a környezetre nézve. Bármilyen fel nem használt gyógyszer, illetve hulladékanyag megsemmisítését a gyógyszerekre vonatkozó helyi előírások szerint kell végrehajtani. </w:t>
      </w:r>
    </w:p>
    <w:p w14:paraId="530A344B" w14:textId="77777777" w:rsidR="0012155E" w:rsidRPr="0012155E" w:rsidRDefault="0012155E" w:rsidP="0012155E">
      <w:pPr>
        <w:spacing w:after="0" w:line="240" w:lineRule="auto"/>
        <w:rPr>
          <w:rFonts w:ascii="Times New Roman" w:hAnsi="Times New Roman" w:cs="Times New Roman"/>
        </w:rPr>
      </w:pPr>
    </w:p>
    <w:p w14:paraId="49850E0B" w14:textId="77777777" w:rsidR="0012155E" w:rsidRPr="00C37316" w:rsidRDefault="0012155E" w:rsidP="0012155E">
      <w:pPr>
        <w:tabs>
          <w:tab w:val="left" w:pos="567"/>
        </w:tabs>
        <w:spacing w:after="0" w:line="260" w:lineRule="exact"/>
        <w:rPr>
          <w:rFonts w:ascii="Times New Roman" w:eastAsia="Times New Roman" w:hAnsi="Times New Roman" w:cs="Times New Roman"/>
        </w:rPr>
      </w:pPr>
      <w:r w:rsidRPr="00C37316">
        <w:rPr>
          <w:rFonts w:ascii="Times New Roman" w:eastAsia="Times New Roman" w:hAnsi="Times New Roman" w:cs="Times New Roman"/>
          <w:b/>
        </w:rPr>
        <w:t xml:space="preserve">Megjegyzés: </w:t>
      </w:r>
      <w:r w:rsidRPr="00C37316">
        <w:rPr>
          <w:rFonts w:ascii="Wingdings" w:eastAsia="Times New Roman" w:hAnsi="Wingdings" w:cs="Times New Roman"/>
        </w:rPr>
        <w:t></w:t>
      </w:r>
      <w:r w:rsidRPr="00C37316">
        <w:rPr>
          <w:rFonts w:ascii="Times New Roman" w:eastAsia="Times New Roman" w:hAnsi="Times New Roman" w:cs="Times New Roman"/>
        </w:rPr>
        <w:t xml:space="preserve"> </w:t>
      </w:r>
      <w:r w:rsidRPr="00C37316">
        <w:rPr>
          <w:rFonts w:ascii="Wingdings" w:eastAsia="Times New Roman" w:hAnsi="Wingdings" w:cs="Times New Roman"/>
        </w:rPr>
        <w:t></w:t>
      </w:r>
      <w:r w:rsidRPr="00C37316">
        <w:rPr>
          <w:rFonts w:ascii="Times New Roman" w:eastAsia="Times New Roman" w:hAnsi="Times New Roman" w:cs="Times New Roman"/>
        </w:rPr>
        <w:t xml:space="preserve"> (két keresztes)</w:t>
      </w:r>
    </w:p>
    <w:p w14:paraId="10788BF3" w14:textId="40852BDD" w:rsidR="0012155E" w:rsidRPr="003C4EEE" w:rsidRDefault="0012155E" w:rsidP="0012155E">
      <w:pPr>
        <w:keepNext/>
        <w:keepLines/>
        <w:tabs>
          <w:tab w:val="left" w:pos="567"/>
        </w:tabs>
        <w:spacing w:before="40" w:after="0" w:line="260" w:lineRule="exact"/>
        <w:outlineLvl w:val="1"/>
        <w:rPr>
          <w:rFonts w:ascii="Times New Roman" w:eastAsiaTheme="majorEastAsia" w:hAnsi="Times New Roman" w:cstheme="majorBidi"/>
          <w:b/>
        </w:rPr>
      </w:pPr>
      <w:r w:rsidRPr="003C4EEE">
        <w:rPr>
          <w:rFonts w:ascii="Times New Roman" w:eastAsiaTheme="majorEastAsia" w:hAnsi="Times New Roman" w:cstheme="majorBidi"/>
        </w:rPr>
        <w:t xml:space="preserve">Osztályozás: </w:t>
      </w:r>
      <w:proofErr w:type="gramStart"/>
      <w:r w:rsidRPr="003C4EEE">
        <w:rPr>
          <w:rFonts w:ascii="Times New Roman" w:eastAsiaTheme="majorEastAsia" w:hAnsi="Times New Roman" w:cstheme="majorBidi"/>
          <w:b/>
        </w:rPr>
        <w:t>II./</w:t>
      </w:r>
      <w:proofErr w:type="gramEnd"/>
      <w:r w:rsidRPr="003C4EEE">
        <w:rPr>
          <w:rFonts w:ascii="Times New Roman" w:eastAsiaTheme="majorEastAsia" w:hAnsi="Times New Roman" w:cstheme="majorBidi"/>
          <w:b/>
        </w:rPr>
        <w:t>2 csoport</w:t>
      </w:r>
      <w:r w:rsidR="007455E1">
        <w:rPr>
          <w:rFonts w:ascii="Times New Roman" w:eastAsiaTheme="majorEastAsia" w:hAnsi="Times New Roman" w:cstheme="majorBidi"/>
          <w:b/>
        </w:rPr>
        <w:fldChar w:fldCharType="begin"/>
      </w:r>
      <w:r w:rsidR="007455E1">
        <w:rPr>
          <w:rFonts w:ascii="Times New Roman" w:eastAsiaTheme="majorEastAsia" w:hAnsi="Times New Roman" w:cstheme="majorBidi"/>
          <w:b/>
        </w:rPr>
        <w:instrText xml:space="preserve"> DOCVARIABLE vault_nd_db2e1aed-143d-4765-9563-dbea1e006c6c \* MERGEFORMAT </w:instrText>
      </w:r>
      <w:r w:rsidR="007455E1">
        <w:rPr>
          <w:rFonts w:ascii="Times New Roman" w:eastAsiaTheme="majorEastAsia" w:hAnsi="Times New Roman" w:cstheme="majorBidi"/>
          <w:b/>
        </w:rPr>
        <w:fldChar w:fldCharType="separate"/>
      </w:r>
      <w:r w:rsidR="007455E1">
        <w:rPr>
          <w:rFonts w:ascii="Times New Roman" w:eastAsiaTheme="majorEastAsia" w:hAnsi="Times New Roman" w:cstheme="majorBidi"/>
          <w:b/>
        </w:rPr>
        <w:t xml:space="preserve"> </w:t>
      </w:r>
      <w:r w:rsidR="007455E1">
        <w:rPr>
          <w:rFonts w:ascii="Times New Roman" w:eastAsiaTheme="majorEastAsia" w:hAnsi="Times New Roman" w:cstheme="majorBidi"/>
          <w:b/>
        </w:rPr>
        <w:fldChar w:fldCharType="end"/>
      </w:r>
    </w:p>
    <w:p w14:paraId="7B9D957B" w14:textId="77777777" w:rsidR="0012155E" w:rsidRPr="00C37316" w:rsidRDefault="0012155E" w:rsidP="0012155E">
      <w:pPr>
        <w:tabs>
          <w:tab w:val="left" w:pos="567"/>
        </w:tabs>
        <w:autoSpaceDE w:val="0"/>
        <w:autoSpaceDN w:val="0"/>
        <w:adjustRightInd w:val="0"/>
        <w:spacing w:after="0" w:line="260" w:lineRule="exact"/>
        <w:rPr>
          <w:rFonts w:ascii="Times New Roman" w:eastAsia="Times New Roman" w:hAnsi="Times New Roman" w:cs="Times New Roman"/>
        </w:rPr>
      </w:pPr>
      <w:r w:rsidRPr="00C37316">
        <w:rPr>
          <w:rFonts w:ascii="Times New Roman" w:eastAsia="Times New Roman" w:hAnsi="Times New Roman" w:cs="Times New Roman"/>
        </w:rPr>
        <w:t>Korlátozott érvényű orvosi rendelvényhez kötött, szakorvosi kórházi diagnózist követően folyamatos szakorvosi ellenőrzés mellett alkalmazható gyógyszer (Sz).</w:t>
      </w:r>
    </w:p>
    <w:p w14:paraId="4ACCB64C" w14:textId="08CEDCEC" w:rsidR="00310155" w:rsidRPr="003C4EEE" w:rsidRDefault="00310155" w:rsidP="00CE695D">
      <w:pPr>
        <w:pStyle w:val="Nincstrkz"/>
        <w:rPr>
          <w:spacing w:val="2"/>
        </w:rPr>
      </w:pPr>
    </w:p>
    <w:p w14:paraId="0CEBA764" w14:textId="0E55F91D" w:rsidR="00310155" w:rsidRPr="00CE695D" w:rsidRDefault="00310155" w:rsidP="00CE695D">
      <w:pPr>
        <w:pStyle w:val="Nincstrkz"/>
        <w:rPr>
          <w:spacing w:val="2"/>
        </w:rPr>
      </w:pPr>
    </w:p>
    <w:p w14:paraId="11D990BB" w14:textId="11ED94EE" w:rsidR="00CE695D" w:rsidRPr="008F182E" w:rsidRDefault="00CE695D" w:rsidP="008F182E">
      <w:pPr>
        <w:pStyle w:val="Nincstrkz"/>
        <w:tabs>
          <w:tab w:val="left" w:pos="567"/>
        </w:tabs>
        <w:rPr>
          <w:b/>
          <w:spacing w:val="2"/>
        </w:rPr>
      </w:pPr>
      <w:r w:rsidRPr="008F182E">
        <w:rPr>
          <w:b/>
          <w:spacing w:val="2"/>
        </w:rPr>
        <w:t>7.</w:t>
      </w:r>
      <w:r w:rsidR="008F182E">
        <w:rPr>
          <w:b/>
          <w:spacing w:val="2"/>
        </w:rPr>
        <w:tab/>
      </w:r>
      <w:r w:rsidRPr="008F182E">
        <w:rPr>
          <w:b/>
          <w:spacing w:val="2"/>
        </w:rPr>
        <w:t xml:space="preserve">A FORGALOMBA HOZATALI ENGEDÉLY JOGOSULTJA </w:t>
      </w:r>
    </w:p>
    <w:p w14:paraId="62921027" w14:textId="77777777" w:rsidR="00CE695D" w:rsidRPr="008F182E" w:rsidRDefault="00CE695D" w:rsidP="00CE695D">
      <w:pPr>
        <w:pStyle w:val="Nincstrkz"/>
        <w:rPr>
          <w:spacing w:val="2"/>
        </w:rPr>
      </w:pPr>
    </w:p>
    <w:p w14:paraId="1882872E" w14:textId="77777777" w:rsidR="008F182E" w:rsidRDefault="008F182E" w:rsidP="00CE695D">
      <w:pPr>
        <w:pStyle w:val="Nincstrkz"/>
        <w:rPr>
          <w:lang w:eastAsia="hu-HU"/>
        </w:rPr>
      </w:pPr>
      <w:bookmarkStart w:id="6" w:name="_Hlk534698774"/>
      <w:bookmarkStart w:id="7" w:name="_Hlk534700798"/>
      <w:r w:rsidRPr="008F182E">
        <w:rPr>
          <w:lang w:eastAsia="hu-HU"/>
        </w:rPr>
        <w:t xml:space="preserve">Teva B.V., </w:t>
      </w:r>
    </w:p>
    <w:p w14:paraId="6288AF79" w14:textId="676CBD41" w:rsidR="008F182E" w:rsidRDefault="000405AF" w:rsidP="00CE695D">
      <w:pPr>
        <w:pStyle w:val="Nincstrkz"/>
        <w:rPr>
          <w:lang w:eastAsia="hu-HU"/>
        </w:rPr>
      </w:pPr>
      <w:r>
        <w:rPr>
          <w:lang w:eastAsia="hu-HU"/>
        </w:rPr>
        <w:t>Swensweg 5,</w:t>
      </w:r>
    </w:p>
    <w:p w14:paraId="30C0A4E7" w14:textId="2185504B" w:rsidR="008F182E" w:rsidRDefault="000405AF" w:rsidP="00CE695D">
      <w:pPr>
        <w:pStyle w:val="Nincstrkz"/>
        <w:rPr>
          <w:lang w:eastAsia="hu-HU"/>
        </w:rPr>
      </w:pPr>
      <w:r>
        <w:rPr>
          <w:lang w:eastAsia="hu-HU"/>
        </w:rPr>
        <w:t>Haarlem</w:t>
      </w:r>
      <w:r w:rsidR="008F182E" w:rsidRPr="008F182E">
        <w:rPr>
          <w:lang w:eastAsia="hu-HU"/>
        </w:rPr>
        <w:t xml:space="preserve"> </w:t>
      </w:r>
      <w:r w:rsidR="000B7F8D">
        <w:rPr>
          <w:lang w:eastAsia="hu-HU"/>
        </w:rPr>
        <w:t>2031</w:t>
      </w:r>
      <w:r>
        <w:rPr>
          <w:lang w:eastAsia="hu-HU"/>
        </w:rPr>
        <w:t>GA,</w:t>
      </w:r>
    </w:p>
    <w:p w14:paraId="6982F3A1" w14:textId="77777777" w:rsidR="00CE695D" w:rsidRPr="008F182E" w:rsidRDefault="008F182E" w:rsidP="00CE695D">
      <w:pPr>
        <w:pStyle w:val="Nincstrkz"/>
        <w:rPr>
          <w:spacing w:val="2"/>
        </w:rPr>
      </w:pPr>
      <w:r w:rsidRPr="008F182E">
        <w:rPr>
          <w:lang w:eastAsia="hu-HU"/>
        </w:rPr>
        <w:t>Hollandia</w:t>
      </w:r>
      <w:r w:rsidR="00CE695D" w:rsidRPr="008F182E">
        <w:rPr>
          <w:spacing w:val="2"/>
        </w:rPr>
        <w:t xml:space="preserve"> </w:t>
      </w:r>
      <w:bookmarkEnd w:id="6"/>
    </w:p>
    <w:bookmarkEnd w:id="7"/>
    <w:p w14:paraId="5FC94CCA" w14:textId="77777777" w:rsidR="00CE695D" w:rsidRPr="008F182E" w:rsidRDefault="00CE695D" w:rsidP="00CE695D">
      <w:pPr>
        <w:pStyle w:val="Nincstrkz"/>
        <w:rPr>
          <w:spacing w:val="2"/>
        </w:rPr>
      </w:pPr>
    </w:p>
    <w:p w14:paraId="4893D167" w14:textId="77777777" w:rsidR="008F182E" w:rsidRPr="00CE695D" w:rsidRDefault="008F182E" w:rsidP="00CE695D">
      <w:pPr>
        <w:pStyle w:val="Nincstrkz"/>
        <w:rPr>
          <w:spacing w:val="2"/>
        </w:rPr>
      </w:pPr>
    </w:p>
    <w:p w14:paraId="69D52519" w14:textId="62772F46" w:rsidR="00CE695D" w:rsidRPr="008F182E" w:rsidRDefault="00CE695D" w:rsidP="008F182E">
      <w:pPr>
        <w:pStyle w:val="Nincstrkz"/>
        <w:tabs>
          <w:tab w:val="left" w:pos="567"/>
        </w:tabs>
        <w:rPr>
          <w:b/>
          <w:spacing w:val="2"/>
        </w:rPr>
      </w:pPr>
      <w:r w:rsidRPr="008F182E">
        <w:rPr>
          <w:b/>
          <w:spacing w:val="2"/>
        </w:rPr>
        <w:t>8.</w:t>
      </w:r>
      <w:r w:rsidR="008F182E" w:rsidRPr="008F182E">
        <w:rPr>
          <w:b/>
          <w:spacing w:val="2"/>
        </w:rPr>
        <w:tab/>
      </w:r>
      <w:r w:rsidRPr="008F182E">
        <w:rPr>
          <w:b/>
          <w:spacing w:val="2"/>
        </w:rPr>
        <w:t>A FORGALOMBA HOZATALI ENGEDÉLY SZÁMA</w:t>
      </w:r>
      <w:r w:rsidR="00956594">
        <w:rPr>
          <w:b/>
          <w:spacing w:val="2"/>
        </w:rPr>
        <w:t>I</w:t>
      </w:r>
      <w:r w:rsidRPr="008F182E">
        <w:rPr>
          <w:b/>
          <w:spacing w:val="2"/>
        </w:rPr>
        <w:t xml:space="preserve"> </w:t>
      </w:r>
    </w:p>
    <w:p w14:paraId="30FD1144" w14:textId="77777777" w:rsidR="00CE695D" w:rsidRPr="00CE695D" w:rsidRDefault="00CE695D" w:rsidP="00CE695D">
      <w:pPr>
        <w:pStyle w:val="Nincstrkz"/>
        <w:rPr>
          <w:spacing w:val="2"/>
        </w:rPr>
      </w:pPr>
    </w:p>
    <w:p w14:paraId="1B8E21D0" w14:textId="3F2E9D89" w:rsidR="00B0226C" w:rsidRPr="00B0226C" w:rsidRDefault="00B0226C" w:rsidP="004E5718">
      <w:pPr>
        <w:pStyle w:val="NormlWeb"/>
        <w:tabs>
          <w:tab w:val="left" w:pos="2127"/>
          <w:tab w:val="left" w:pos="3119"/>
        </w:tabs>
        <w:rPr>
          <w:color w:val="212121"/>
          <w:sz w:val="22"/>
          <w:szCs w:val="22"/>
          <w:shd w:val="clear" w:color="auto" w:fill="FFFFFF"/>
        </w:rPr>
      </w:pPr>
      <w:r w:rsidRPr="00B0226C">
        <w:rPr>
          <w:sz w:val="22"/>
          <w:szCs w:val="22"/>
        </w:rPr>
        <w:t>OGYI-T-23493/01</w:t>
      </w:r>
      <w:r w:rsidR="004E5718">
        <w:rPr>
          <w:sz w:val="22"/>
          <w:szCs w:val="22"/>
        </w:rPr>
        <w:tab/>
      </w:r>
      <w:r w:rsidRPr="00B0226C">
        <w:rPr>
          <w:sz w:val="22"/>
          <w:szCs w:val="22"/>
        </w:rPr>
        <w:t>112</w:t>
      </w:r>
      <w:r w:rsidR="004E5718">
        <w:rPr>
          <w:sz w:val="22"/>
          <w:szCs w:val="22"/>
        </w:rPr>
        <w:t>×</w:t>
      </w:r>
      <w:r w:rsidRPr="00B0226C">
        <w:rPr>
          <w:sz w:val="22"/>
          <w:szCs w:val="22"/>
        </w:rPr>
        <w:t>1</w:t>
      </w:r>
      <w:r w:rsidR="004E5718">
        <w:rPr>
          <w:sz w:val="22"/>
          <w:szCs w:val="22"/>
        </w:rPr>
        <w:tab/>
      </w:r>
      <w:r w:rsidRPr="00B0226C">
        <w:rPr>
          <w:spacing w:val="-3"/>
          <w:sz w:val="22"/>
          <w:szCs w:val="22"/>
        </w:rPr>
        <w:t xml:space="preserve">PVC/Aclar/PVC-Al </w:t>
      </w:r>
      <w:r w:rsidRPr="00B0226C">
        <w:rPr>
          <w:color w:val="212121"/>
          <w:sz w:val="22"/>
          <w:szCs w:val="22"/>
          <w:shd w:val="clear" w:color="auto" w:fill="FFFFFF"/>
        </w:rPr>
        <w:t>adagonként perforált buborékcsomagolás</w:t>
      </w:r>
    </w:p>
    <w:p w14:paraId="36B3D7C5" w14:textId="4CDB0721" w:rsidR="00B0226C" w:rsidRPr="007052A6" w:rsidRDefault="00B0226C" w:rsidP="004E5718">
      <w:pPr>
        <w:pStyle w:val="NormlWeb"/>
        <w:tabs>
          <w:tab w:val="left" w:pos="2127"/>
          <w:tab w:val="left" w:pos="3119"/>
        </w:tabs>
        <w:rPr>
          <w:sz w:val="22"/>
          <w:szCs w:val="22"/>
        </w:rPr>
      </w:pPr>
      <w:r w:rsidRPr="00B0226C">
        <w:rPr>
          <w:sz w:val="22"/>
          <w:szCs w:val="22"/>
        </w:rPr>
        <w:t>OGYI-T-23493/02</w:t>
      </w:r>
      <w:r w:rsidR="004E5718">
        <w:rPr>
          <w:sz w:val="22"/>
          <w:szCs w:val="22"/>
        </w:rPr>
        <w:tab/>
      </w:r>
      <w:r w:rsidRPr="00B0226C">
        <w:rPr>
          <w:sz w:val="22"/>
          <w:szCs w:val="22"/>
        </w:rPr>
        <w:t>112</w:t>
      </w:r>
      <w:r w:rsidR="004E5718">
        <w:rPr>
          <w:sz w:val="22"/>
          <w:szCs w:val="22"/>
        </w:rPr>
        <w:t>×</w:t>
      </w:r>
      <w:r w:rsidRPr="00B0226C">
        <w:rPr>
          <w:sz w:val="22"/>
          <w:szCs w:val="22"/>
        </w:rPr>
        <w:t>1</w:t>
      </w:r>
      <w:r w:rsidR="004E5718">
        <w:rPr>
          <w:sz w:val="22"/>
          <w:szCs w:val="22"/>
        </w:rPr>
        <w:tab/>
      </w:r>
      <w:r w:rsidRPr="00B0226C">
        <w:rPr>
          <w:spacing w:val="-3"/>
          <w:sz w:val="22"/>
          <w:szCs w:val="22"/>
        </w:rPr>
        <w:t>OPA/Al/PVC-Al</w:t>
      </w:r>
      <w:r w:rsidRPr="00B0226C">
        <w:rPr>
          <w:color w:val="212121"/>
          <w:sz w:val="22"/>
          <w:szCs w:val="22"/>
          <w:shd w:val="clear" w:color="auto" w:fill="FFFFFF"/>
        </w:rPr>
        <w:t xml:space="preserve"> adagonként perforált buborékcsomagolás</w:t>
      </w:r>
    </w:p>
    <w:p w14:paraId="778C27BB" w14:textId="76221FA3" w:rsidR="00CE695D" w:rsidRDefault="00CE695D" w:rsidP="00CE695D">
      <w:pPr>
        <w:pStyle w:val="Nincstrkz"/>
        <w:rPr>
          <w:spacing w:val="2"/>
        </w:rPr>
      </w:pPr>
    </w:p>
    <w:p w14:paraId="1624A747" w14:textId="77777777" w:rsidR="00B0226C" w:rsidRPr="00CE695D" w:rsidRDefault="00B0226C" w:rsidP="00CE695D">
      <w:pPr>
        <w:pStyle w:val="Nincstrkz"/>
        <w:rPr>
          <w:spacing w:val="2"/>
        </w:rPr>
      </w:pPr>
    </w:p>
    <w:p w14:paraId="56DD1C74" w14:textId="115D6ED8" w:rsidR="00CE695D" w:rsidRPr="008F182E" w:rsidRDefault="00CE695D" w:rsidP="008F182E">
      <w:pPr>
        <w:pStyle w:val="Nincstrkz"/>
        <w:tabs>
          <w:tab w:val="left" w:pos="567"/>
        </w:tabs>
        <w:ind w:left="567" w:hanging="567"/>
        <w:rPr>
          <w:b/>
          <w:spacing w:val="2"/>
        </w:rPr>
      </w:pPr>
      <w:r w:rsidRPr="008F182E">
        <w:rPr>
          <w:b/>
          <w:spacing w:val="2"/>
        </w:rPr>
        <w:t>9.</w:t>
      </w:r>
      <w:r w:rsidR="008F182E" w:rsidRPr="008F182E">
        <w:rPr>
          <w:b/>
          <w:spacing w:val="2"/>
        </w:rPr>
        <w:tab/>
      </w:r>
      <w:r w:rsidRPr="008F182E">
        <w:rPr>
          <w:b/>
          <w:spacing w:val="2"/>
        </w:rPr>
        <w:t xml:space="preserve">A FORGALOMBA HOZATALI ENGEDÉLY ELSŐ KIADÁSÁNAK/ MEGÚJÍTÁSÁNAK DÁTUMA </w:t>
      </w:r>
    </w:p>
    <w:p w14:paraId="4AFCAE67" w14:textId="68AA6495" w:rsidR="00CE695D" w:rsidRDefault="00CE695D" w:rsidP="00CE695D">
      <w:pPr>
        <w:pStyle w:val="Nincstrkz"/>
        <w:rPr>
          <w:spacing w:val="2"/>
        </w:rPr>
      </w:pPr>
    </w:p>
    <w:p w14:paraId="64C509FD" w14:textId="561B8CDA" w:rsidR="00B0226C" w:rsidRDefault="000949FE" w:rsidP="00CE695D">
      <w:pPr>
        <w:pStyle w:val="Nincstrkz"/>
        <w:rPr>
          <w:spacing w:val="2"/>
        </w:rPr>
      </w:pPr>
      <w:r w:rsidRPr="00AD72A5">
        <w:rPr>
          <w:rFonts w:eastAsia="Times New Roman"/>
          <w:noProof/>
        </w:rPr>
        <w:t xml:space="preserve">A forgalomba hozatali engedély első kiadásának dátuma: </w:t>
      </w:r>
      <w:r w:rsidR="00B0226C">
        <w:rPr>
          <w:spacing w:val="2"/>
        </w:rPr>
        <w:t>2019. február 25.</w:t>
      </w:r>
    </w:p>
    <w:p w14:paraId="7BAF5D2C" w14:textId="2CFA6977" w:rsidR="00B0226C" w:rsidRDefault="00A933C0" w:rsidP="00CE695D">
      <w:pPr>
        <w:pStyle w:val="Nincstrkz"/>
        <w:rPr>
          <w:spacing w:val="2"/>
        </w:rPr>
      </w:pPr>
      <w:r w:rsidRPr="00A933C0">
        <w:rPr>
          <w:spacing w:val="2"/>
        </w:rPr>
        <w:t>A forgalomba hozatali engedély legutóbbi megújításának dátuma:</w:t>
      </w:r>
      <w:r>
        <w:rPr>
          <w:spacing w:val="2"/>
        </w:rPr>
        <w:t xml:space="preserve"> 2023. november 22.</w:t>
      </w:r>
    </w:p>
    <w:p w14:paraId="2CCE7E00" w14:textId="77777777" w:rsidR="00B0226C" w:rsidRPr="00CE695D" w:rsidRDefault="00B0226C" w:rsidP="00CE695D">
      <w:pPr>
        <w:pStyle w:val="Nincstrkz"/>
        <w:rPr>
          <w:spacing w:val="2"/>
        </w:rPr>
      </w:pPr>
    </w:p>
    <w:p w14:paraId="5ABB7B5C" w14:textId="77777777" w:rsidR="00CE695D" w:rsidRPr="008F182E" w:rsidRDefault="00CE695D" w:rsidP="008F182E">
      <w:pPr>
        <w:pStyle w:val="Nincstrkz"/>
        <w:tabs>
          <w:tab w:val="left" w:pos="567"/>
        </w:tabs>
        <w:rPr>
          <w:b/>
          <w:spacing w:val="2"/>
        </w:rPr>
      </w:pPr>
      <w:r w:rsidRPr="008F182E">
        <w:rPr>
          <w:b/>
          <w:spacing w:val="2"/>
        </w:rPr>
        <w:t xml:space="preserve">10. </w:t>
      </w:r>
      <w:r w:rsidR="008F182E">
        <w:rPr>
          <w:b/>
          <w:spacing w:val="2"/>
        </w:rPr>
        <w:tab/>
      </w:r>
      <w:r w:rsidRPr="008F182E">
        <w:rPr>
          <w:b/>
          <w:spacing w:val="2"/>
        </w:rPr>
        <w:t xml:space="preserve">A SZÖVEG ELLENŐRZÉSÉNEK DÁTUMA </w:t>
      </w:r>
    </w:p>
    <w:p w14:paraId="65785F5F" w14:textId="77777777" w:rsidR="00CE695D" w:rsidRPr="00CE695D" w:rsidRDefault="00CE695D" w:rsidP="00CE695D">
      <w:pPr>
        <w:pStyle w:val="Nincstrkz"/>
        <w:rPr>
          <w:spacing w:val="2"/>
        </w:rPr>
      </w:pPr>
    </w:p>
    <w:p w14:paraId="720C642B" w14:textId="055B283A" w:rsidR="00967FA5" w:rsidRPr="00A61E29" w:rsidRDefault="00956594" w:rsidP="009A75A1">
      <w:pPr>
        <w:pStyle w:val="Nincstrkz"/>
        <w:rPr>
          <w:spacing w:val="2"/>
        </w:rPr>
      </w:pPr>
      <w:r>
        <w:rPr>
          <w:spacing w:val="2"/>
        </w:rPr>
        <w:t>202</w:t>
      </w:r>
      <w:r w:rsidR="00967FA5">
        <w:rPr>
          <w:spacing w:val="2"/>
        </w:rPr>
        <w:t xml:space="preserve">5. </w:t>
      </w:r>
      <w:r w:rsidR="00D13DD9">
        <w:rPr>
          <w:spacing w:val="2"/>
        </w:rPr>
        <w:t>november 2</w:t>
      </w:r>
      <w:r w:rsidR="003E72ED">
        <w:rPr>
          <w:spacing w:val="2"/>
        </w:rPr>
        <w:t>8</w:t>
      </w:r>
      <w:r w:rsidR="00D13DD9">
        <w:rPr>
          <w:spacing w:val="2"/>
        </w:rPr>
        <w:t>.</w:t>
      </w:r>
    </w:p>
    <w:sectPr w:rsidR="00967FA5" w:rsidRPr="00A61E29" w:rsidSect="00F2452F">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4D7E7" w14:textId="77777777" w:rsidR="00692469" w:rsidRDefault="00692469" w:rsidP="009D5BEB">
      <w:pPr>
        <w:spacing w:after="0" w:line="240" w:lineRule="auto"/>
      </w:pPr>
      <w:r>
        <w:separator/>
      </w:r>
    </w:p>
  </w:endnote>
  <w:endnote w:type="continuationSeparator" w:id="0">
    <w:p w14:paraId="243EC5B0" w14:textId="77777777" w:rsidR="00692469" w:rsidRDefault="00692469" w:rsidP="009D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959C" w14:textId="1522E727" w:rsidR="00692469" w:rsidRPr="00F2452F" w:rsidRDefault="00D13DD9">
    <w:pPr>
      <w:pStyle w:val="llb"/>
      <w:rPr>
        <w:sz w:val="18"/>
        <w:szCs w:val="18"/>
      </w:rPr>
    </w:pPr>
    <w:r w:rsidRPr="00D13DD9">
      <w:rPr>
        <w:sz w:val="18"/>
        <w:szCs w:val="18"/>
      </w:rPr>
      <w:t>NNGYK/ETGY/549/2026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1B044" w14:textId="77777777" w:rsidR="00692469" w:rsidRDefault="00692469" w:rsidP="009D5BEB">
      <w:pPr>
        <w:spacing w:after="0" w:line="240" w:lineRule="auto"/>
      </w:pPr>
      <w:r>
        <w:separator/>
      </w:r>
    </w:p>
  </w:footnote>
  <w:footnote w:type="continuationSeparator" w:id="0">
    <w:p w14:paraId="33E3FED7" w14:textId="77777777" w:rsidR="00692469" w:rsidRDefault="00692469" w:rsidP="009D5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681539"/>
      <w:docPartObj>
        <w:docPartGallery w:val="Page Numbers (Top of Page)"/>
        <w:docPartUnique/>
      </w:docPartObj>
    </w:sdtPr>
    <w:sdtEndPr>
      <w:rPr>
        <w:sz w:val="18"/>
        <w:szCs w:val="18"/>
      </w:rPr>
    </w:sdtEndPr>
    <w:sdtContent>
      <w:p w14:paraId="2F415EC1" w14:textId="7E7DCB2E" w:rsidR="00692469" w:rsidRPr="00280FB4" w:rsidRDefault="00692469" w:rsidP="00F2452F">
        <w:pPr>
          <w:pStyle w:val="lfej"/>
          <w:jc w:val="center"/>
          <w:rPr>
            <w:sz w:val="18"/>
            <w:szCs w:val="18"/>
          </w:rPr>
        </w:pPr>
        <w:r w:rsidRPr="00280FB4">
          <w:rPr>
            <w:sz w:val="18"/>
            <w:szCs w:val="18"/>
          </w:rPr>
          <w:fldChar w:fldCharType="begin"/>
        </w:r>
        <w:r w:rsidRPr="00280FB4">
          <w:rPr>
            <w:sz w:val="18"/>
            <w:szCs w:val="18"/>
          </w:rPr>
          <w:instrText>PAGE   \* MERGEFORMAT</w:instrText>
        </w:r>
        <w:r w:rsidRPr="00280FB4">
          <w:rPr>
            <w:sz w:val="18"/>
            <w:szCs w:val="18"/>
          </w:rPr>
          <w:fldChar w:fldCharType="separate"/>
        </w:r>
        <w:r w:rsidRPr="00245B7E">
          <w:rPr>
            <w:noProof/>
            <w:sz w:val="18"/>
            <w:szCs w:val="18"/>
            <w:lang w:val="hu-HU"/>
          </w:rPr>
          <w:t>17</w:t>
        </w:r>
        <w:r w:rsidRPr="00280FB4">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1948"/>
    <w:multiLevelType w:val="hybridMultilevel"/>
    <w:tmpl w:val="F9921F4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FE4B45"/>
    <w:multiLevelType w:val="hybridMultilevel"/>
    <w:tmpl w:val="3E0CCC34"/>
    <w:lvl w:ilvl="0" w:tplc="0932375C">
      <w:numFmt w:val="bullet"/>
      <w:lvlText w:val="•"/>
      <w:lvlJc w:val="left"/>
      <w:pPr>
        <w:ind w:left="930" w:hanging="57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22001C5"/>
    <w:multiLevelType w:val="hybridMultilevel"/>
    <w:tmpl w:val="015A2E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2F64BEE"/>
    <w:multiLevelType w:val="hybridMultilevel"/>
    <w:tmpl w:val="150CCCAC"/>
    <w:lvl w:ilvl="0" w:tplc="632E3CBC">
      <w:start w:val="1"/>
      <w:numFmt w:val="decimal"/>
      <w:lvlText w:val="%1."/>
      <w:lvlJc w:val="left"/>
      <w:pPr>
        <w:ind w:left="720" w:hanging="360"/>
      </w:pPr>
      <w:rPr>
        <w:rFonts w:hint="default"/>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7C8C48A9"/>
    <w:multiLevelType w:val="hybridMultilevel"/>
    <w:tmpl w:val="AD1CADC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008564132">
    <w:abstractNumId w:val="0"/>
  </w:num>
  <w:num w:numId="2" w16cid:durableId="2064064094">
    <w:abstractNumId w:val="2"/>
  </w:num>
  <w:num w:numId="3" w16cid:durableId="791286189">
    <w:abstractNumId w:val="1"/>
  </w:num>
  <w:num w:numId="4" w16cid:durableId="1877348328">
    <w:abstractNumId w:val="3"/>
  </w:num>
  <w:num w:numId="5" w16cid:durableId="438332000">
    <w:abstractNumId w:val="5"/>
  </w:num>
  <w:num w:numId="6" w16cid:durableId="1659966084">
    <w:abstractNumId w:val="4"/>
  </w:num>
  <w:num w:numId="7" w16cid:durableId="2306974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ult_nd_7a69407c-4ebd-4579-9e44-782a7cc9f8fe" w:val=" "/>
    <w:docVar w:name="vault_nd_db2e1aed-143d-4765-9563-dbea1e006c6c" w:val=" "/>
  </w:docVars>
  <w:rsids>
    <w:rsidRoot w:val="00525AD5"/>
    <w:rsid w:val="000040FA"/>
    <w:rsid w:val="000123EE"/>
    <w:rsid w:val="000405AF"/>
    <w:rsid w:val="000456B1"/>
    <w:rsid w:val="00052BDB"/>
    <w:rsid w:val="00055E89"/>
    <w:rsid w:val="00057382"/>
    <w:rsid w:val="000628BF"/>
    <w:rsid w:val="00073E16"/>
    <w:rsid w:val="0007713F"/>
    <w:rsid w:val="00080348"/>
    <w:rsid w:val="00083A97"/>
    <w:rsid w:val="00084008"/>
    <w:rsid w:val="000949FE"/>
    <w:rsid w:val="000B7F8D"/>
    <w:rsid w:val="000C7F63"/>
    <w:rsid w:val="000E30E5"/>
    <w:rsid w:val="000F5792"/>
    <w:rsid w:val="00104C1A"/>
    <w:rsid w:val="001073F6"/>
    <w:rsid w:val="0011152B"/>
    <w:rsid w:val="001116E6"/>
    <w:rsid w:val="00116D58"/>
    <w:rsid w:val="0012155E"/>
    <w:rsid w:val="0012392D"/>
    <w:rsid w:val="00135B42"/>
    <w:rsid w:val="0014020E"/>
    <w:rsid w:val="001533DA"/>
    <w:rsid w:val="0017498B"/>
    <w:rsid w:val="00197748"/>
    <w:rsid w:val="001C562E"/>
    <w:rsid w:val="001D094F"/>
    <w:rsid w:val="001D2B88"/>
    <w:rsid w:val="001D7E28"/>
    <w:rsid w:val="001E0A51"/>
    <w:rsid w:val="001E1423"/>
    <w:rsid w:val="001E2419"/>
    <w:rsid w:val="001E59F1"/>
    <w:rsid w:val="001F1835"/>
    <w:rsid w:val="001F664D"/>
    <w:rsid w:val="002049F5"/>
    <w:rsid w:val="002102CA"/>
    <w:rsid w:val="002123BA"/>
    <w:rsid w:val="0021328B"/>
    <w:rsid w:val="00226383"/>
    <w:rsid w:val="00245B7E"/>
    <w:rsid w:val="002541F8"/>
    <w:rsid w:val="0026485A"/>
    <w:rsid w:val="00280FB4"/>
    <w:rsid w:val="002D3BCB"/>
    <w:rsid w:val="002E14C0"/>
    <w:rsid w:val="002F43A2"/>
    <w:rsid w:val="002F78A5"/>
    <w:rsid w:val="0030307B"/>
    <w:rsid w:val="00310155"/>
    <w:rsid w:val="00312693"/>
    <w:rsid w:val="00327A71"/>
    <w:rsid w:val="00335F81"/>
    <w:rsid w:val="003607A2"/>
    <w:rsid w:val="00365801"/>
    <w:rsid w:val="0037337B"/>
    <w:rsid w:val="003751AF"/>
    <w:rsid w:val="00390D2B"/>
    <w:rsid w:val="003A3070"/>
    <w:rsid w:val="003A4605"/>
    <w:rsid w:val="003C0BF5"/>
    <w:rsid w:val="003C4EEE"/>
    <w:rsid w:val="003C6A25"/>
    <w:rsid w:val="003D28DB"/>
    <w:rsid w:val="003E72ED"/>
    <w:rsid w:val="003E7A3D"/>
    <w:rsid w:val="003F578A"/>
    <w:rsid w:val="004116EC"/>
    <w:rsid w:val="00414173"/>
    <w:rsid w:val="004151C0"/>
    <w:rsid w:val="00422D12"/>
    <w:rsid w:val="00427B8F"/>
    <w:rsid w:val="004335AB"/>
    <w:rsid w:val="00433CF3"/>
    <w:rsid w:val="00446D8A"/>
    <w:rsid w:val="00466256"/>
    <w:rsid w:val="00473473"/>
    <w:rsid w:val="00474455"/>
    <w:rsid w:val="00487B98"/>
    <w:rsid w:val="004A0AD6"/>
    <w:rsid w:val="004A328E"/>
    <w:rsid w:val="004C26FA"/>
    <w:rsid w:val="004C42AF"/>
    <w:rsid w:val="004E3B52"/>
    <w:rsid w:val="004E4B10"/>
    <w:rsid w:val="004E5718"/>
    <w:rsid w:val="004E5D72"/>
    <w:rsid w:val="004F469E"/>
    <w:rsid w:val="00525372"/>
    <w:rsid w:val="00525AD5"/>
    <w:rsid w:val="00532422"/>
    <w:rsid w:val="00543664"/>
    <w:rsid w:val="00551CA7"/>
    <w:rsid w:val="00560C91"/>
    <w:rsid w:val="005779BE"/>
    <w:rsid w:val="005B212F"/>
    <w:rsid w:val="005C4129"/>
    <w:rsid w:val="005D0AB0"/>
    <w:rsid w:val="005F44AB"/>
    <w:rsid w:val="006138DB"/>
    <w:rsid w:val="00615E8E"/>
    <w:rsid w:val="0062581E"/>
    <w:rsid w:val="00633C4C"/>
    <w:rsid w:val="006347B3"/>
    <w:rsid w:val="00641D7B"/>
    <w:rsid w:val="00642A8B"/>
    <w:rsid w:val="00647BAF"/>
    <w:rsid w:val="006625D1"/>
    <w:rsid w:val="00663400"/>
    <w:rsid w:val="00675C63"/>
    <w:rsid w:val="00676D19"/>
    <w:rsid w:val="00690726"/>
    <w:rsid w:val="00692469"/>
    <w:rsid w:val="006A3480"/>
    <w:rsid w:val="006A37E5"/>
    <w:rsid w:val="006A4029"/>
    <w:rsid w:val="006E4B03"/>
    <w:rsid w:val="007052A6"/>
    <w:rsid w:val="00724584"/>
    <w:rsid w:val="007249F6"/>
    <w:rsid w:val="00734A95"/>
    <w:rsid w:val="00741668"/>
    <w:rsid w:val="007455E1"/>
    <w:rsid w:val="007845B1"/>
    <w:rsid w:val="00793103"/>
    <w:rsid w:val="00794835"/>
    <w:rsid w:val="007A3E47"/>
    <w:rsid w:val="007A75EF"/>
    <w:rsid w:val="007B0707"/>
    <w:rsid w:val="007C78C3"/>
    <w:rsid w:val="007E294F"/>
    <w:rsid w:val="007F21C5"/>
    <w:rsid w:val="008353FA"/>
    <w:rsid w:val="008633DA"/>
    <w:rsid w:val="008707D7"/>
    <w:rsid w:val="00887B79"/>
    <w:rsid w:val="008B32A8"/>
    <w:rsid w:val="008C1E1B"/>
    <w:rsid w:val="008F182E"/>
    <w:rsid w:val="00906BB5"/>
    <w:rsid w:val="0091196E"/>
    <w:rsid w:val="0093655D"/>
    <w:rsid w:val="00956594"/>
    <w:rsid w:val="009570A6"/>
    <w:rsid w:val="00961827"/>
    <w:rsid w:val="00966D8C"/>
    <w:rsid w:val="00967FA5"/>
    <w:rsid w:val="00982219"/>
    <w:rsid w:val="009825BB"/>
    <w:rsid w:val="00997959"/>
    <w:rsid w:val="009A0985"/>
    <w:rsid w:val="009A75A1"/>
    <w:rsid w:val="009B1469"/>
    <w:rsid w:val="009C19E3"/>
    <w:rsid w:val="009D47DD"/>
    <w:rsid w:val="009D5BEB"/>
    <w:rsid w:val="00A044D5"/>
    <w:rsid w:val="00A328B4"/>
    <w:rsid w:val="00A34F60"/>
    <w:rsid w:val="00A61E29"/>
    <w:rsid w:val="00A747F7"/>
    <w:rsid w:val="00A770A5"/>
    <w:rsid w:val="00A933C0"/>
    <w:rsid w:val="00A979EA"/>
    <w:rsid w:val="00AC61DF"/>
    <w:rsid w:val="00AD12A0"/>
    <w:rsid w:val="00AE1D02"/>
    <w:rsid w:val="00B0226C"/>
    <w:rsid w:val="00B06CA5"/>
    <w:rsid w:val="00B37BDB"/>
    <w:rsid w:val="00B422E3"/>
    <w:rsid w:val="00B43699"/>
    <w:rsid w:val="00B50C29"/>
    <w:rsid w:val="00B610F3"/>
    <w:rsid w:val="00B83287"/>
    <w:rsid w:val="00B97DE9"/>
    <w:rsid w:val="00BA1687"/>
    <w:rsid w:val="00BA1F0E"/>
    <w:rsid w:val="00BA26D6"/>
    <w:rsid w:val="00BB6AE8"/>
    <w:rsid w:val="00BE06A4"/>
    <w:rsid w:val="00BE30DC"/>
    <w:rsid w:val="00C14361"/>
    <w:rsid w:val="00C33123"/>
    <w:rsid w:val="00C37316"/>
    <w:rsid w:val="00C47C88"/>
    <w:rsid w:val="00C76072"/>
    <w:rsid w:val="00C77152"/>
    <w:rsid w:val="00C91253"/>
    <w:rsid w:val="00CC2D62"/>
    <w:rsid w:val="00CD0D5D"/>
    <w:rsid w:val="00CD20BA"/>
    <w:rsid w:val="00CD3027"/>
    <w:rsid w:val="00CD65D2"/>
    <w:rsid w:val="00CE695D"/>
    <w:rsid w:val="00D0061C"/>
    <w:rsid w:val="00D01570"/>
    <w:rsid w:val="00D07132"/>
    <w:rsid w:val="00D13DD9"/>
    <w:rsid w:val="00D16BAE"/>
    <w:rsid w:val="00D27305"/>
    <w:rsid w:val="00D27503"/>
    <w:rsid w:val="00D34DA1"/>
    <w:rsid w:val="00D36C39"/>
    <w:rsid w:val="00D36F56"/>
    <w:rsid w:val="00D3781F"/>
    <w:rsid w:val="00D5062F"/>
    <w:rsid w:val="00D53A85"/>
    <w:rsid w:val="00D639E1"/>
    <w:rsid w:val="00D67FA1"/>
    <w:rsid w:val="00D862C2"/>
    <w:rsid w:val="00DA69CC"/>
    <w:rsid w:val="00DA6DAD"/>
    <w:rsid w:val="00DC0223"/>
    <w:rsid w:val="00DC442E"/>
    <w:rsid w:val="00DF2138"/>
    <w:rsid w:val="00DF3662"/>
    <w:rsid w:val="00DF3F3F"/>
    <w:rsid w:val="00E0103B"/>
    <w:rsid w:val="00E02894"/>
    <w:rsid w:val="00E20914"/>
    <w:rsid w:val="00E211B4"/>
    <w:rsid w:val="00E444D3"/>
    <w:rsid w:val="00E62FCB"/>
    <w:rsid w:val="00E851E8"/>
    <w:rsid w:val="00E9481E"/>
    <w:rsid w:val="00ED1E46"/>
    <w:rsid w:val="00ED43CA"/>
    <w:rsid w:val="00EE0471"/>
    <w:rsid w:val="00EF57A6"/>
    <w:rsid w:val="00F0268E"/>
    <w:rsid w:val="00F17EF2"/>
    <w:rsid w:val="00F2452F"/>
    <w:rsid w:val="00F270EB"/>
    <w:rsid w:val="00F3348E"/>
    <w:rsid w:val="00F643BE"/>
    <w:rsid w:val="00F669FE"/>
    <w:rsid w:val="00F66B6F"/>
    <w:rsid w:val="00F7326B"/>
    <w:rsid w:val="00FD02F4"/>
    <w:rsid w:val="00FE0C4E"/>
    <w:rsid w:val="00FE63A5"/>
    <w:rsid w:val="00FE6830"/>
    <w:rsid w:val="00FF0FDA"/>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589263"/>
  <w15:docId w15:val="{A9877D44-4AE0-4EE0-A9A9-B68FB627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525AD5"/>
    <w:pPr>
      <w:spacing w:after="0" w:line="240" w:lineRule="auto"/>
    </w:pPr>
    <w:rPr>
      <w:rFonts w:ascii="Times New Roman" w:hAnsi="Times New Roman"/>
    </w:rPr>
  </w:style>
  <w:style w:type="paragraph" w:customStyle="1" w:styleId="EMEAEnBodyText">
    <w:name w:val="EMEA En Body Text"/>
    <w:basedOn w:val="Norml"/>
    <w:rsid w:val="00E62FCB"/>
    <w:pPr>
      <w:spacing w:before="120" w:after="120" w:line="240" w:lineRule="auto"/>
      <w:jc w:val="both"/>
    </w:pPr>
    <w:rPr>
      <w:rFonts w:ascii="Times New Roman" w:eastAsia="Times New Roman" w:hAnsi="Times New Roman" w:cs="Times New Roman"/>
      <w:szCs w:val="20"/>
      <w:lang w:val="en-US"/>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E62FCB"/>
    <w:rPr>
      <w:color w:val="0000FF"/>
      <w:u w:val="single"/>
    </w:rPr>
  </w:style>
  <w:style w:type="paragraph" w:customStyle="1" w:styleId="Default">
    <w:name w:val="Default"/>
    <w:rsid w:val="00E62FCB"/>
    <w:pPr>
      <w:autoSpaceDE w:val="0"/>
      <w:autoSpaceDN w:val="0"/>
      <w:adjustRightInd w:val="0"/>
      <w:spacing w:after="0" w:line="240" w:lineRule="auto"/>
    </w:pPr>
    <w:rPr>
      <w:rFonts w:ascii="Times New Roman" w:hAnsi="Times New Roman" w:cs="Times New Roman"/>
      <w:color w:val="000000"/>
      <w:sz w:val="24"/>
      <w:szCs w:val="24"/>
      <w:lang w:val="is-IS"/>
    </w:rPr>
  </w:style>
  <w:style w:type="table" w:styleId="Rcsostblzat">
    <w:name w:val="Table Grid"/>
    <w:basedOn w:val="Normltblzat"/>
    <w:uiPriority w:val="59"/>
    <w:rsid w:val="00E62FCB"/>
    <w:pPr>
      <w:spacing w:after="0" w:line="240" w:lineRule="auto"/>
    </w:pPr>
    <w:rPr>
      <w:lang w:val="is-I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E62FCB"/>
    <w:pPr>
      <w:tabs>
        <w:tab w:val="left" w:pos="567"/>
      </w:tabs>
      <w:spacing w:after="0" w:line="240" w:lineRule="auto"/>
    </w:pPr>
    <w:rPr>
      <w:rFonts w:ascii="Tahoma" w:eastAsia="Times New Roman" w:hAnsi="Tahoma" w:cs="Tahoma"/>
      <w:sz w:val="16"/>
      <w:szCs w:val="16"/>
      <w:lang w:val="en-GB"/>
    </w:rPr>
  </w:style>
  <w:style w:type="character" w:customStyle="1" w:styleId="BuborkszvegChar">
    <w:name w:val="Buborékszöveg Char"/>
    <w:basedOn w:val="Bekezdsalapbettpusa"/>
    <w:link w:val="Buborkszveg"/>
    <w:uiPriority w:val="99"/>
    <w:semiHidden/>
    <w:rsid w:val="00E62FCB"/>
    <w:rPr>
      <w:rFonts w:ascii="Tahoma" w:eastAsia="Times New Roman" w:hAnsi="Tahoma" w:cs="Tahoma"/>
      <w:sz w:val="16"/>
      <w:szCs w:val="16"/>
      <w:lang w:val="en-GB"/>
    </w:rPr>
  </w:style>
  <w:style w:type="paragraph" w:styleId="Szvegtrzs">
    <w:name w:val="Body Text"/>
    <w:basedOn w:val="Norml"/>
    <w:link w:val="SzvegtrzsChar"/>
    <w:rsid w:val="00E62FCB"/>
    <w:pPr>
      <w:spacing w:after="240" w:line="240" w:lineRule="auto"/>
    </w:pPr>
    <w:rPr>
      <w:rFonts w:ascii="Times New Roman" w:eastAsia="Times New Roman" w:hAnsi="Times New Roman" w:cs="Times New Roman"/>
      <w:sz w:val="24"/>
      <w:lang w:val="en-US"/>
    </w:rPr>
  </w:style>
  <w:style w:type="character" w:customStyle="1" w:styleId="SzvegtrzsChar">
    <w:name w:val="Szövegtörzs Char"/>
    <w:basedOn w:val="Bekezdsalapbettpusa"/>
    <w:link w:val="Szvegtrzs"/>
    <w:rsid w:val="00E62FCB"/>
    <w:rPr>
      <w:rFonts w:ascii="Times New Roman" w:eastAsia="Times New Roman" w:hAnsi="Times New Roman" w:cs="Times New Roman"/>
      <w:sz w:val="24"/>
      <w:lang w:val="en-US"/>
    </w:rPr>
  </w:style>
  <w:style w:type="paragraph" w:styleId="lfej">
    <w:name w:val="header"/>
    <w:basedOn w:val="Norml"/>
    <w:link w:val="lfejChar"/>
    <w:uiPriority w:val="99"/>
    <w:unhideWhenUsed/>
    <w:rsid w:val="00E62FCB"/>
    <w:pPr>
      <w:tabs>
        <w:tab w:val="center" w:pos="4513"/>
        <w:tab w:val="right" w:pos="9026"/>
      </w:tabs>
      <w:spacing w:after="0" w:line="240" w:lineRule="auto"/>
    </w:pPr>
    <w:rPr>
      <w:rFonts w:ascii="Times New Roman" w:eastAsia="Times New Roman" w:hAnsi="Times New Roman" w:cs="Times New Roman"/>
      <w:szCs w:val="20"/>
      <w:lang w:val="en-GB"/>
    </w:rPr>
  </w:style>
  <w:style w:type="character" w:customStyle="1" w:styleId="lfejChar">
    <w:name w:val="Élőfej Char"/>
    <w:basedOn w:val="Bekezdsalapbettpusa"/>
    <w:link w:val="lfej"/>
    <w:uiPriority w:val="99"/>
    <w:rsid w:val="00E62FCB"/>
    <w:rPr>
      <w:rFonts w:ascii="Times New Roman" w:eastAsia="Times New Roman" w:hAnsi="Times New Roman" w:cs="Times New Roman"/>
      <w:szCs w:val="20"/>
      <w:lang w:val="en-GB"/>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E62FCB"/>
    <w:pPr>
      <w:tabs>
        <w:tab w:val="center" w:pos="4513"/>
        <w:tab w:val="right" w:pos="9026"/>
      </w:tabs>
      <w:spacing w:after="0" w:line="240" w:lineRule="auto"/>
    </w:pPr>
    <w:rPr>
      <w:rFonts w:ascii="Times New Roman" w:eastAsia="Times New Roman" w:hAnsi="Times New Roman" w:cs="Times New Roman"/>
      <w:szCs w:val="20"/>
      <w:lang w:val="en-GB"/>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E62FCB"/>
    <w:rPr>
      <w:rFonts w:ascii="Times New Roman" w:eastAsia="Times New Roman" w:hAnsi="Times New Roman" w:cs="Times New Roman"/>
      <w:szCs w:val="20"/>
      <w:lang w:val="en-GB"/>
    </w:rPr>
  </w:style>
  <w:style w:type="character" w:styleId="Jegyzethivatkozs">
    <w:name w:val="annotation reference"/>
    <w:basedOn w:val="Bekezdsalapbettpusa"/>
    <w:uiPriority w:val="99"/>
    <w:semiHidden/>
    <w:unhideWhenUsed/>
    <w:rsid w:val="009825BB"/>
    <w:rPr>
      <w:sz w:val="16"/>
      <w:szCs w:val="16"/>
    </w:rPr>
  </w:style>
  <w:style w:type="paragraph" w:styleId="Jegyzetszveg">
    <w:name w:val="annotation text"/>
    <w:basedOn w:val="Norml"/>
    <w:link w:val="JegyzetszvegChar"/>
    <w:uiPriority w:val="99"/>
    <w:semiHidden/>
    <w:unhideWhenUsed/>
    <w:rsid w:val="009825BB"/>
    <w:pPr>
      <w:spacing w:line="240" w:lineRule="auto"/>
    </w:pPr>
    <w:rPr>
      <w:sz w:val="20"/>
      <w:szCs w:val="20"/>
    </w:rPr>
  </w:style>
  <w:style w:type="character" w:customStyle="1" w:styleId="JegyzetszvegChar">
    <w:name w:val="Jegyzetszöveg Char"/>
    <w:basedOn w:val="Bekezdsalapbettpusa"/>
    <w:link w:val="Jegyzetszveg"/>
    <w:uiPriority w:val="99"/>
    <w:semiHidden/>
    <w:rsid w:val="009825BB"/>
    <w:rPr>
      <w:sz w:val="20"/>
      <w:szCs w:val="20"/>
    </w:rPr>
  </w:style>
  <w:style w:type="paragraph" w:styleId="Megjegyzstrgya">
    <w:name w:val="annotation subject"/>
    <w:basedOn w:val="Jegyzetszveg"/>
    <w:next w:val="Jegyzetszveg"/>
    <w:link w:val="MegjegyzstrgyaChar"/>
    <w:uiPriority w:val="99"/>
    <w:semiHidden/>
    <w:unhideWhenUsed/>
    <w:rsid w:val="009825BB"/>
    <w:rPr>
      <w:b/>
      <w:bCs/>
    </w:rPr>
  </w:style>
  <w:style w:type="character" w:customStyle="1" w:styleId="MegjegyzstrgyaChar">
    <w:name w:val="Megjegyzés tárgya Char"/>
    <w:basedOn w:val="JegyzetszvegChar"/>
    <w:link w:val="Megjegyzstrgya"/>
    <w:uiPriority w:val="99"/>
    <w:semiHidden/>
    <w:rsid w:val="009825BB"/>
    <w:rPr>
      <w:b/>
      <w:bCs/>
      <w:sz w:val="20"/>
      <w:szCs w:val="20"/>
    </w:rPr>
  </w:style>
  <w:style w:type="paragraph" w:styleId="NormlWeb">
    <w:name w:val="Normal (Web)"/>
    <w:basedOn w:val="Norml"/>
    <w:uiPriority w:val="99"/>
    <w:semiHidden/>
    <w:unhideWhenUsed/>
    <w:rsid w:val="00B0226C"/>
    <w:pPr>
      <w:spacing w:after="0" w:line="240" w:lineRule="auto"/>
    </w:pPr>
    <w:rPr>
      <w:rFonts w:ascii="Times New Roman" w:hAnsi="Times New Roman" w:cs="Times New Roman"/>
      <w:sz w:val="24"/>
      <w:szCs w:val="24"/>
      <w:lang w:eastAsia="hu-HU"/>
    </w:rPr>
  </w:style>
  <w:style w:type="paragraph" w:styleId="Vltozat">
    <w:name w:val="Revision"/>
    <w:hidden/>
    <w:uiPriority w:val="99"/>
    <w:semiHidden/>
    <w:rsid w:val="002102CA"/>
    <w:pPr>
      <w:spacing w:after="0" w:line="240" w:lineRule="auto"/>
    </w:pPr>
  </w:style>
  <w:style w:type="paragraph" w:styleId="Cm">
    <w:name w:val="Title"/>
    <w:basedOn w:val="Norml"/>
    <w:next w:val="Norml"/>
    <w:link w:val="CmChar"/>
    <w:uiPriority w:val="10"/>
    <w:qFormat/>
    <w:rsid w:val="007455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7455E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37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6692</Words>
  <Characters>48230</Characters>
  <Application>Microsoft Office Word</Application>
  <DocSecurity>0</DocSecurity>
  <Lines>401</Lines>
  <Paragraphs>109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TEVA</Company>
  <LinksUpToDate>false</LinksUpToDate>
  <CharactersWithSpaces>54813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V022</dc:creator>
  <cp:lastModifiedBy>HU OGYI 8.2</cp:lastModifiedBy>
  <cp:revision>3</cp:revision>
  <dcterms:created xsi:type="dcterms:W3CDTF">2026-01-20T16:18:00Z</dcterms:created>
  <dcterms:modified xsi:type="dcterms:W3CDTF">2026-01-21T07:39:00Z</dcterms:modified>
</cp:coreProperties>
</file>