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57B6" w14:textId="220F8026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1.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507C22" w:rsidRPr="00071884">
        <w:rPr>
          <w:rFonts w:ascii="Times New Roman" w:eastAsia="TimesNewRoman,Bold" w:hAnsi="Times New Roman"/>
          <w:b/>
          <w:bCs/>
          <w:lang w:val="hu-HU"/>
        </w:rPr>
        <w:t>A GYÓGYSZER NEVE</w:t>
      </w:r>
    </w:p>
    <w:p w14:paraId="76BD89F3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0622F41" w14:textId="6D92DE42" w:rsidR="00B76076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Azurvig </w:t>
      </w:r>
      <w:r w:rsidR="008E36C0">
        <w:rPr>
          <w:rFonts w:ascii="Times New Roman" w:hAnsi="Times New Roman"/>
          <w:lang w:val="hu-HU"/>
        </w:rPr>
        <w:t>1</w:t>
      </w:r>
      <w:r w:rsidRPr="00071884">
        <w:rPr>
          <w:rFonts w:ascii="Times New Roman" w:hAnsi="Times New Roman"/>
          <w:lang w:val="hu-HU"/>
        </w:rPr>
        <w:t>2</w:t>
      </w:r>
      <w:r w:rsidR="008E36C0">
        <w:rPr>
          <w:rFonts w:ascii="Times New Roman" w:hAnsi="Times New Roman"/>
          <w:lang w:val="hu-HU"/>
        </w:rPr>
        <w:t>,</w:t>
      </w:r>
      <w:r w:rsidRPr="00071884">
        <w:rPr>
          <w:rFonts w:ascii="Times New Roman" w:hAnsi="Times New Roman"/>
          <w:lang w:val="hu-HU"/>
        </w:rPr>
        <w:t>5 mg/</w:t>
      </w:r>
      <w:r w:rsidR="008E36C0">
        <w:rPr>
          <w:rFonts w:ascii="Times New Roman" w:hAnsi="Times New Roman"/>
          <w:lang w:val="hu-HU"/>
        </w:rPr>
        <w:t>pumpálásonként</w:t>
      </w:r>
      <w:r w:rsidRPr="00071884">
        <w:rPr>
          <w:rFonts w:ascii="Times New Roman" w:hAnsi="Times New Roman"/>
          <w:lang w:val="hu-HU"/>
        </w:rPr>
        <w:t xml:space="preserve"> belsőleges szuszpenzió</w:t>
      </w:r>
    </w:p>
    <w:p w14:paraId="31BBB3BF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08EB65C8" w14:textId="77777777" w:rsidR="00B6780E" w:rsidRPr="00071884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49AC5065" w14:textId="47B3FF0E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2.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D5729A" w:rsidRPr="00071884">
        <w:rPr>
          <w:rFonts w:ascii="Times New Roman" w:eastAsia="TimesNewRoman,Bold" w:hAnsi="Times New Roman"/>
          <w:b/>
          <w:bCs/>
          <w:lang w:val="hu-HU"/>
        </w:rPr>
        <w:t>MINŐSÉGI ÉS MENNYISÉGI ÖSSZETÉTEL</w:t>
      </w:r>
    </w:p>
    <w:p w14:paraId="72950902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63FAA82" w14:textId="7FE1770E" w:rsidR="00071884" w:rsidRPr="00071884" w:rsidRDefault="006D0C4B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0" w:name="_Hlk494709845"/>
      <w:r>
        <w:rPr>
          <w:rFonts w:ascii="Times New Roman" w:hAnsi="Times New Roman"/>
          <w:lang w:val="hu-HU"/>
        </w:rPr>
        <w:t xml:space="preserve">A szuszpenzió </w:t>
      </w:r>
      <w:r w:rsidR="00071884" w:rsidRPr="00071884">
        <w:rPr>
          <w:rFonts w:ascii="Times New Roman" w:hAnsi="Times New Roman"/>
          <w:lang w:val="hu-HU"/>
        </w:rPr>
        <w:t xml:space="preserve">25 mg </w:t>
      </w:r>
      <w:proofErr w:type="spellStart"/>
      <w:r w:rsidR="00071884" w:rsidRPr="00071884">
        <w:rPr>
          <w:rFonts w:ascii="Times New Roman" w:hAnsi="Times New Roman"/>
          <w:lang w:val="hu-HU"/>
        </w:rPr>
        <w:t>szildenafil</w:t>
      </w:r>
      <w:r w:rsidR="00491B27">
        <w:rPr>
          <w:rFonts w:ascii="Times New Roman" w:hAnsi="Times New Roman"/>
          <w:lang w:val="hu-HU"/>
        </w:rPr>
        <w:t>t</w:t>
      </w:r>
      <w:proofErr w:type="spellEnd"/>
      <w:r w:rsidR="00491B27">
        <w:rPr>
          <w:rFonts w:ascii="Times New Roman" w:hAnsi="Times New Roman"/>
          <w:lang w:val="hu-HU"/>
        </w:rPr>
        <w:t xml:space="preserve"> tartalmaz</w:t>
      </w:r>
      <w:r w:rsidR="00071884" w:rsidRPr="00071884">
        <w:rPr>
          <w:rFonts w:ascii="Times New Roman" w:hAnsi="Times New Roman"/>
          <w:lang w:val="hu-HU"/>
        </w:rPr>
        <w:t xml:space="preserve"> </w:t>
      </w:r>
      <w:r w:rsidR="00491B27">
        <w:rPr>
          <w:rFonts w:ascii="Times New Roman" w:hAnsi="Times New Roman"/>
          <w:lang w:val="hu-HU"/>
        </w:rPr>
        <w:t>(</w:t>
      </w:r>
      <w:r w:rsidR="00491B27" w:rsidRPr="00071884">
        <w:rPr>
          <w:rFonts w:ascii="Times New Roman" w:hAnsi="Times New Roman"/>
          <w:lang w:val="hu-HU"/>
        </w:rPr>
        <w:t xml:space="preserve">35,1 mg </w:t>
      </w:r>
      <w:proofErr w:type="spellStart"/>
      <w:r w:rsidR="00071884" w:rsidRPr="00071884">
        <w:rPr>
          <w:rFonts w:ascii="Times New Roman" w:hAnsi="Times New Roman"/>
          <w:lang w:val="hu-HU"/>
        </w:rPr>
        <w:t>szildenafil-citrát</w:t>
      </w:r>
      <w:proofErr w:type="spellEnd"/>
      <w:r w:rsidR="00491B27">
        <w:rPr>
          <w:rFonts w:ascii="Times New Roman" w:hAnsi="Times New Roman"/>
          <w:lang w:val="hu-HU"/>
        </w:rPr>
        <w:t xml:space="preserve"> formájában) milliliter</w:t>
      </w:r>
      <w:r w:rsidR="0045595A">
        <w:rPr>
          <w:rFonts w:ascii="Times New Roman" w:hAnsi="Times New Roman"/>
          <w:lang w:val="hu-HU"/>
        </w:rPr>
        <w:t>e</w:t>
      </w:r>
      <w:r w:rsidR="00491B27">
        <w:rPr>
          <w:rFonts w:ascii="Times New Roman" w:hAnsi="Times New Roman"/>
          <w:lang w:val="hu-HU"/>
        </w:rPr>
        <w:t>nként</w:t>
      </w:r>
      <w:r w:rsidR="00071884" w:rsidRPr="00071884">
        <w:rPr>
          <w:rFonts w:ascii="Times New Roman" w:hAnsi="Times New Roman"/>
          <w:lang w:val="hu-HU"/>
        </w:rPr>
        <w:t xml:space="preserve">. </w:t>
      </w:r>
    </w:p>
    <w:p w14:paraId="137D0529" w14:textId="43A2007A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1" w:name="_Hlk494709858"/>
      <w:bookmarkEnd w:id="0"/>
      <w:r w:rsidRPr="00071884">
        <w:rPr>
          <w:rFonts w:ascii="Times New Roman" w:hAnsi="Times New Roman"/>
          <w:lang w:val="hu-HU"/>
        </w:rPr>
        <w:t xml:space="preserve">12,5 mg szildenafilt tartalmaz </w:t>
      </w:r>
      <w:r w:rsidRPr="00067256">
        <w:rPr>
          <w:rFonts w:ascii="Times New Roman" w:hAnsi="Times New Roman"/>
          <w:lang w:val="hu-HU"/>
        </w:rPr>
        <w:t>(</w:t>
      </w:r>
      <w:r w:rsidR="0045595A" w:rsidRPr="00067256">
        <w:rPr>
          <w:rFonts w:ascii="Times New Roman" w:hAnsi="Times New Roman"/>
          <w:lang w:val="hu-HU"/>
        </w:rPr>
        <w:t>szildenafil-</w:t>
      </w:r>
      <w:r w:rsidRPr="00067256">
        <w:rPr>
          <w:rFonts w:ascii="Times New Roman" w:hAnsi="Times New Roman"/>
          <w:lang w:val="hu-HU"/>
        </w:rPr>
        <w:t>citrát formájában)</w:t>
      </w:r>
      <w:r w:rsidR="0045595A" w:rsidRPr="0045595A">
        <w:rPr>
          <w:rFonts w:ascii="Times New Roman" w:hAnsi="Times New Roman"/>
          <w:lang w:val="hu-HU"/>
        </w:rPr>
        <w:t xml:space="preserve"> pumpálásonként (0,5 ml)</w:t>
      </w:r>
      <w:r w:rsidRPr="00071884">
        <w:rPr>
          <w:rFonts w:ascii="Times New Roman" w:hAnsi="Times New Roman"/>
          <w:lang w:val="hu-HU"/>
        </w:rPr>
        <w:t>.</w:t>
      </w:r>
    </w:p>
    <w:bookmarkEnd w:id="1"/>
    <w:p w14:paraId="3E3BB7C2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4055A5B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hAnsi="Times New Roman"/>
          <w:u w:val="single"/>
          <w:lang w:val="hu-HU"/>
        </w:rPr>
        <w:t>Ismert hatású segédanyag(ok)</w:t>
      </w:r>
    </w:p>
    <w:p w14:paraId="2C681679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1 mg nátrium-benzoátot tartalmaz milliliterenként.</w:t>
      </w:r>
    </w:p>
    <w:p w14:paraId="3032E963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B827683" w14:textId="2C30551B" w:rsidR="00B76076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A segédanyagok teljes listáját lásd a 6.1 pontban.</w:t>
      </w:r>
    </w:p>
    <w:p w14:paraId="470951A3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4B8DB015" w14:textId="77777777" w:rsidR="00B6780E" w:rsidRPr="00071884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15A8F59D" w14:textId="7C374D5E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3.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D5729A" w:rsidRPr="00071884">
        <w:rPr>
          <w:rFonts w:ascii="Times New Roman" w:eastAsia="TimesNewRoman,Bold" w:hAnsi="Times New Roman"/>
          <w:b/>
          <w:bCs/>
          <w:lang w:val="hu-HU"/>
        </w:rPr>
        <w:t>GYÓGYSZERFORMA</w:t>
      </w:r>
    </w:p>
    <w:p w14:paraId="0DE355AA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55A1520" w14:textId="5366900E" w:rsidR="00B76076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Az Azurvig, fehér vagy </w:t>
      </w:r>
      <w:r w:rsidR="006430A1">
        <w:rPr>
          <w:rFonts w:ascii="Times New Roman" w:hAnsi="Times New Roman"/>
          <w:lang w:val="hu-HU"/>
        </w:rPr>
        <w:t>csaknem fehér</w:t>
      </w:r>
      <w:r w:rsidRPr="00071884">
        <w:rPr>
          <w:rFonts w:ascii="Times New Roman" w:hAnsi="Times New Roman"/>
          <w:lang w:val="hu-HU"/>
        </w:rPr>
        <w:t>, idegen anyagoktól mentes, jellegzetes menta illatú szuszpenzió.</w:t>
      </w:r>
    </w:p>
    <w:p w14:paraId="4BE95992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521E13EC" w14:textId="77777777" w:rsidR="00B6780E" w:rsidRPr="00071884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6EF356D" w14:textId="70A015A4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D5729A" w:rsidRPr="00071884">
        <w:rPr>
          <w:rFonts w:ascii="Times New Roman" w:eastAsia="Times New Roman" w:hAnsi="Times New Roman"/>
          <w:b/>
          <w:lang w:val="hu-HU"/>
        </w:rPr>
        <w:t>KLINIKAI</w:t>
      </w:r>
      <w:r w:rsidR="00D5729A" w:rsidRPr="00071884">
        <w:rPr>
          <w:rFonts w:ascii="Times New Roman" w:eastAsia="Times New Roman" w:hAnsi="Times New Roman"/>
          <w:b/>
          <w:spacing w:val="-1"/>
          <w:lang w:val="hu-HU"/>
        </w:rPr>
        <w:t xml:space="preserve"> </w:t>
      </w:r>
      <w:r w:rsidR="00D5729A" w:rsidRPr="00071884">
        <w:rPr>
          <w:rFonts w:ascii="Times New Roman" w:eastAsia="Times New Roman" w:hAnsi="Times New Roman"/>
          <w:b/>
          <w:lang w:val="hu-HU"/>
        </w:rPr>
        <w:t>JELLEMZŐK</w:t>
      </w:r>
    </w:p>
    <w:p w14:paraId="41B73DF2" w14:textId="77777777" w:rsidR="00A32057" w:rsidRPr="00071884" w:rsidRDefault="00A32057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2DD03A52" w14:textId="486B3694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4.1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A66F9B" w:rsidRPr="00071884">
        <w:rPr>
          <w:rFonts w:ascii="Times New Roman" w:eastAsia="TimesNewRoman,Bold" w:hAnsi="Times New Roman"/>
          <w:b/>
          <w:bCs/>
          <w:lang w:val="hu-HU"/>
        </w:rPr>
        <w:t>Terápiás javallatok</w:t>
      </w:r>
    </w:p>
    <w:p w14:paraId="285A1842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AB7148E" w14:textId="45AA7D07" w:rsidR="00A66F9B" w:rsidRPr="00071884" w:rsidRDefault="00A66F9B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felnőtt férfiak számára javallott az erectilis dysfunctio kezelésére, amely a kielégítő szexuális teljesítéshez szükséges penis erectio elérésének, illetve fenntartásának képtelensége.</w:t>
      </w:r>
    </w:p>
    <w:p w14:paraId="2C9C364C" w14:textId="77777777" w:rsidR="00A66F9B" w:rsidRPr="00071884" w:rsidRDefault="00A66F9B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CAE4043" w14:textId="388B3F46" w:rsidR="00B76076" w:rsidRPr="00071884" w:rsidRDefault="00A66F9B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hatásának eléréséhez szexuális ingerlés szükséges.</w:t>
      </w:r>
    </w:p>
    <w:p w14:paraId="701963BA" w14:textId="77777777" w:rsidR="00A32057" w:rsidRPr="00071884" w:rsidRDefault="00A32057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1913D86C" w14:textId="5419AB4C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4.2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A66F9B" w:rsidRPr="00071884">
        <w:rPr>
          <w:rFonts w:ascii="Times New Roman" w:eastAsia="TimesNewRoman,Bold" w:hAnsi="Times New Roman"/>
          <w:b/>
          <w:bCs/>
          <w:lang w:val="hu-HU"/>
        </w:rPr>
        <w:t>Adagolás és alkalmazás</w:t>
      </w:r>
    </w:p>
    <w:p w14:paraId="296278D5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41C255CD" w14:textId="6F160263" w:rsidR="00B76076" w:rsidRPr="00071884" w:rsidRDefault="00A66F9B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highlight w:val="yellow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Adagolás</w:t>
      </w:r>
    </w:p>
    <w:p w14:paraId="57626BD1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highlight w:val="yellow"/>
          <w:lang w:val="hu-HU"/>
        </w:rPr>
      </w:pPr>
    </w:p>
    <w:p w14:paraId="75CF22AA" w14:textId="5E5280E7" w:rsidR="00B76076" w:rsidRPr="00071884" w:rsidRDefault="00A1220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highlight w:val="yellow"/>
          <w:lang w:val="hu-HU"/>
        </w:rPr>
      </w:pPr>
      <w:r>
        <w:rPr>
          <w:rFonts w:ascii="Times New Roman" w:eastAsia="TimesNewRoman,Bold" w:hAnsi="Times New Roman"/>
          <w:i/>
          <w:iCs/>
          <w:lang w:val="hu-HU"/>
        </w:rPr>
        <w:t>F</w:t>
      </w:r>
      <w:r w:rsidR="00A66F9B" w:rsidRPr="00071884">
        <w:rPr>
          <w:rFonts w:ascii="Times New Roman" w:eastAsia="TimesNewRoman,Bold" w:hAnsi="Times New Roman"/>
          <w:i/>
          <w:iCs/>
          <w:lang w:val="hu-HU"/>
        </w:rPr>
        <w:t>elnőttek</w:t>
      </w:r>
    </w:p>
    <w:p w14:paraId="67A2C47D" w14:textId="77777777" w:rsidR="002B0729" w:rsidRPr="00071884" w:rsidRDefault="002B0729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highlight w:val="yellow"/>
          <w:lang w:val="hu-HU"/>
        </w:rPr>
      </w:pPr>
    </w:p>
    <w:p w14:paraId="23128738" w14:textId="7CA63821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2" w:name="_Hlk494710186"/>
      <w:r w:rsidRPr="00071884">
        <w:rPr>
          <w:rFonts w:ascii="Times New Roman" w:hAnsi="Times New Roman"/>
          <w:lang w:val="hu-HU"/>
        </w:rPr>
        <w:t xml:space="preserve">Az </w:t>
      </w:r>
      <w:proofErr w:type="spellStart"/>
      <w:r w:rsidRPr="00071884">
        <w:rPr>
          <w:rFonts w:ascii="Times New Roman" w:hAnsi="Times New Roman"/>
          <w:lang w:val="hu-HU"/>
        </w:rPr>
        <w:t>Azurvig</w:t>
      </w:r>
      <w:proofErr w:type="spellEnd"/>
      <w:r w:rsidRPr="00071884">
        <w:rPr>
          <w:rFonts w:ascii="Times New Roman" w:hAnsi="Times New Roman"/>
          <w:lang w:val="hu-HU"/>
        </w:rPr>
        <w:t xml:space="preserve"> </w:t>
      </w:r>
      <w:r w:rsidR="006D0C4B">
        <w:rPr>
          <w:rFonts w:ascii="Times New Roman" w:hAnsi="Times New Roman"/>
          <w:lang w:val="hu-HU"/>
        </w:rPr>
        <w:t>vény</w:t>
      </w:r>
      <w:r w:rsidR="006D0C4B" w:rsidRPr="00071884">
        <w:rPr>
          <w:rFonts w:ascii="Times New Roman" w:hAnsi="Times New Roman"/>
          <w:lang w:val="hu-HU"/>
        </w:rPr>
        <w:t xml:space="preserve">köteles </w:t>
      </w:r>
      <w:r w:rsidRPr="00071884">
        <w:rPr>
          <w:rFonts w:ascii="Times New Roman" w:hAnsi="Times New Roman"/>
          <w:lang w:val="hu-HU"/>
        </w:rPr>
        <w:t xml:space="preserve">gyógyszer, ezért az egyes betegeknek az adott beteg </w:t>
      </w:r>
      <w:r w:rsidR="008B1D13">
        <w:rPr>
          <w:rFonts w:ascii="Times New Roman" w:hAnsi="Times New Roman"/>
          <w:lang w:val="hu-HU"/>
        </w:rPr>
        <w:t>egyéni</w:t>
      </w:r>
      <w:r w:rsidR="008B1D13" w:rsidRPr="00071884">
        <w:rPr>
          <w:rFonts w:ascii="Times New Roman" w:hAnsi="Times New Roman"/>
          <w:lang w:val="hu-HU"/>
        </w:rPr>
        <w:t xml:space="preserve"> </w:t>
      </w:r>
      <w:r w:rsidRPr="00071884">
        <w:rPr>
          <w:rFonts w:ascii="Times New Roman" w:hAnsi="Times New Roman"/>
          <w:lang w:val="hu-HU"/>
        </w:rPr>
        <w:t>jellemzőit</w:t>
      </w:r>
      <w:r w:rsidR="00A1220F" w:rsidRPr="00A1220F">
        <w:rPr>
          <w:rFonts w:ascii="Times New Roman" w:hAnsi="Times New Roman"/>
          <w:lang w:val="hu-HU"/>
        </w:rPr>
        <w:t xml:space="preserve"> </w:t>
      </w:r>
      <w:r w:rsidR="00A1220F" w:rsidRPr="00071884">
        <w:rPr>
          <w:rFonts w:ascii="Times New Roman" w:hAnsi="Times New Roman"/>
          <w:lang w:val="hu-HU"/>
        </w:rPr>
        <w:t>figyelembe véve</w:t>
      </w:r>
      <w:r w:rsidR="00A1220F">
        <w:rPr>
          <w:rFonts w:ascii="Times New Roman" w:hAnsi="Times New Roman"/>
          <w:lang w:val="hu-HU"/>
        </w:rPr>
        <w:t xml:space="preserve"> kell felírni a legmegfelelőbb adagot</w:t>
      </w:r>
      <w:r w:rsidRPr="00071884">
        <w:rPr>
          <w:rFonts w:ascii="Times New Roman" w:hAnsi="Times New Roman"/>
          <w:lang w:val="hu-HU"/>
        </w:rPr>
        <w:t xml:space="preserve">. Az </w:t>
      </w:r>
      <w:proofErr w:type="spellStart"/>
      <w:r w:rsidRPr="00071884">
        <w:rPr>
          <w:rFonts w:ascii="Times New Roman" w:hAnsi="Times New Roman"/>
          <w:lang w:val="hu-HU"/>
        </w:rPr>
        <w:t>Azurvig</w:t>
      </w:r>
      <w:proofErr w:type="spellEnd"/>
      <w:r w:rsidRPr="00071884">
        <w:rPr>
          <w:rFonts w:ascii="Times New Roman" w:hAnsi="Times New Roman"/>
          <w:lang w:val="hu-HU"/>
        </w:rPr>
        <w:t xml:space="preserve"> </w:t>
      </w:r>
      <w:r w:rsidR="006D0C4B">
        <w:rPr>
          <w:rFonts w:ascii="Times New Roman" w:hAnsi="Times New Roman"/>
          <w:lang w:val="hu-HU"/>
        </w:rPr>
        <w:t>adagját</w:t>
      </w:r>
      <w:r w:rsidRPr="00071884">
        <w:rPr>
          <w:rFonts w:ascii="Times New Roman" w:hAnsi="Times New Roman"/>
          <w:lang w:val="hu-HU"/>
        </w:rPr>
        <w:t xml:space="preserve"> a lehető legalacsonyabb </w:t>
      </w:r>
      <w:r w:rsidR="00310D9A">
        <w:rPr>
          <w:rFonts w:ascii="Times New Roman" w:hAnsi="Times New Roman"/>
          <w:lang w:val="hu-HU"/>
        </w:rPr>
        <w:t>hatásos</w:t>
      </w:r>
      <w:r w:rsidR="00310D9A" w:rsidRPr="00071884">
        <w:rPr>
          <w:rFonts w:ascii="Times New Roman" w:hAnsi="Times New Roman"/>
          <w:lang w:val="hu-HU"/>
        </w:rPr>
        <w:t xml:space="preserve"> </w:t>
      </w:r>
      <w:r w:rsidRPr="00071884">
        <w:rPr>
          <w:rFonts w:ascii="Times New Roman" w:hAnsi="Times New Roman"/>
          <w:lang w:val="hu-HU"/>
        </w:rPr>
        <w:t>adag</w:t>
      </w:r>
      <w:r w:rsidR="00A1220F">
        <w:rPr>
          <w:rFonts w:ascii="Times New Roman" w:hAnsi="Times New Roman"/>
          <w:lang w:val="hu-HU"/>
        </w:rPr>
        <w:t>ra</w:t>
      </w:r>
      <w:r w:rsidRPr="00071884">
        <w:rPr>
          <w:rFonts w:ascii="Times New Roman" w:hAnsi="Times New Roman"/>
          <w:lang w:val="hu-HU"/>
        </w:rPr>
        <w:t xml:space="preserve"> </w:t>
      </w:r>
      <w:r w:rsidR="00A1220F">
        <w:rPr>
          <w:rFonts w:ascii="Times New Roman" w:hAnsi="Times New Roman"/>
          <w:lang w:val="hu-HU"/>
        </w:rPr>
        <w:t>kell beállítani</w:t>
      </w:r>
      <w:r w:rsidRPr="00071884">
        <w:rPr>
          <w:rFonts w:ascii="Times New Roman" w:hAnsi="Times New Roman"/>
          <w:lang w:val="hu-HU"/>
        </w:rPr>
        <w:t xml:space="preserve"> ugyanazon készítmény felírásával</w:t>
      </w:r>
      <w:r w:rsidR="00D7268A">
        <w:rPr>
          <w:rFonts w:ascii="Times New Roman" w:hAnsi="Times New Roman"/>
          <w:lang w:val="hu-HU"/>
        </w:rPr>
        <w:t>;</w:t>
      </w:r>
      <w:r w:rsidRPr="00071884">
        <w:rPr>
          <w:rFonts w:ascii="Times New Roman" w:hAnsi="Times New Roman"/>
          <w:lang w:val="hu-HU"/>
        </w:rPr>
        <w:t xml:space="preserve"> </w:t>
      </w:r>
      <w:r w:rsidR="00D7268A">
        <w:rPr>
          <w:rFonts w:ascii="Times New Roman" w:hAnsi="Times New Roman"/>
          <w:lang w:val="hu-HU"/>
        </w:rPr>
        <w:t>és</w:t>
      </w:r>
      <w:r w:rsidR="00D7268A" w:rsidRPr="00071884">
        <w:rPr>
          <w:rFonts w:ascii="Times New Roman" w:hAnsi="Times New Roman"/>
          <w:lang w:val="hu-HU"/>
        </w:rPr>
        <w:t xml:space="preserve"> </w:t>
      </w:r>
      <w:r w:rsidRPr="00071884">
        <w:rPr>
          <w:rFonts w:ascii="Times New Roman" w:hAnsi="Times New Roman"/>
          <w:lang w:val="hu-HU"/>
        </w:rPr>
        <w:t xml:space="preserve">elősegíti az adag titrálását, amennyiben a beteg és a </w:t>
      </w:r>
      <w:r w:rsidR="00A1220F">
        <w:rPr>
          <w:rFonts w:ascii="Times New Roman" w:hAnsi="Times New Roman"/>
          <w:lang w:val="hu-HU"/>
        </w:rPr>
        <w:t>klinikai értékelés</w:t>
      </w:r>
      <w:r w:rsidRPr="00071884">
        <w:rPr>
          <w:rFonts w:ascii="Times New Roman" w:hAnsi="Times New Roman"/>
          <w:lang w:val="hu-HU"/>
        </w:rPr>
        <w:t xml:space="preserve"> ezt </w:t>
      </w:r>
      <w:r w:rsidR="00A1220F">
        <w:rPr>
          <w:rFonts w:ascii="Times New Roman" w:hAnsi="Times New Roman"/>
          <w:lang w:val="hu-HU"/>
        </w:rPr>
        <w:t>szükségessé teszik</w:t>
      </w:r>
      <w:r w:rsidRPr="00071884">
        <w:rPr>
          <w:rFonts w:ascii="Times New Roman" w:hAnsi="Times New Roman"/>
          <w:lang w:val="hu-HU"/>
        </w:rPr>
        <w:t>. Így minimálisra csökkenthető a nemkívánatos események száma (lásd 5.1 pont).</w:t>
      </w:r>
    </w:p>
    <w:p w14:paraId="18DA4657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8C926AA" w14:textId="1760614B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A javasolt adag </w:t>
      </w:r>
      <w:r w:rsidR="00CB1A7B">
        <w:rPr>
          <w:rFonts w:ascii="Times New Roman" w:hAnsi="Times New Roman"/>
          <w:lang w:val="hu-HU"/>
        </w:rPr>
        <w:t>4</w:t>
      </w:r>
      <w:r w:rsidR="008E36C0">
        <w:rPr>
          <w:rFonts w:ascii="Times New Roman" w:hAnsi="Times New Roman"/>
          <w:lang w:val="hu-HU"/>
        </w:rPr>
        <w:t xml:space="preserve"> pumpálás</w:t>
      </w:r>
      <w:r w:rsidRPr="00071884">
        <w:rPr>
          <w:rFonts w:ascii="Times New Roman" w:hAnsi="Times New Roman"/>
          <w:lang w:val="hu-HU"/>
        </w:rPr>
        <w:t xml:space="preserve">, amely 50 mg szildenafilnak felel meg, szükség szerint körülbelül egy órával a szexuális tevékenység előtt bevéve. A hatásosság és tolerálhatóság alapján az adag </w:t>
      </w:r>
      <w:r w:rsidR="008E36C0">
        <w:rPr>
          <w:rFonts w:ascii="Times New Roman" w:hAnsi="Times New Roman"/>
          <w:lang w:val="hu-HU"/>
        </w:rPr>
        <w:t>2</w:t>
      </w:r>
      <w:r w:rsidR="00D7268A">
        <w:rPr>
          <w:rFonts w:ascii="Times New Roman" w:hAnsi="Times New Roman"/>
          <w:lang w:val="hu-HU"/>
        </w:rPr>
        <w:t> </w:t>
      </w:r>
      <w:r w:rsidR="008E36C0">
        <w:rPr>
          <w:rFonts w:ascii="Times New Roman" w:hAnsi="Times New Roman"/>
          <w:lang w:val="hu-HU"/>
        </w:rPr>
        <w:t>pumpálásra</w:t>
      </w:r>
      <w:r w:rsidRPr="00071884">
        <w:rPr>
          <w:rFonts w:ascii="Times New Roman" w:hAnsi="Times New Roman"/>
          <w:lang w:val="hu-HU"/>
        </w:rPr>
        <w:t xml:space="preserve"> (25 mg </w:t>
      </w:r>
      <w:proofErr w:type="spellStart"/>
      <w:r w:rsidRPr="00071884">
        <w:rPr>
          <w:rFonts w:ascii="Times New Roman" w:hAnsi="Times New Roman"/>
          <w:lang w:val="hu-HU"/>
        </w:rPr>
        <w:t>szildenafil</w:t>
      </w:r>
      <w:proofErr w:type="spellEnd"/>
      <w:r w:rsidRPr="00071884">
        <w:rPr>
          <w:rFonts w:ascii="Times New Roman" w:hAnsi="Times New Roman"/>
          <w:lang w:val="hu-HU"/>
        </w:rPr>
        <w:t>) csökkenthető</w:t>
      </w:r>
      <w:r w:rsidR="00A1220F">
        <w:rPr>
          <w:rFonts w:ascii="Times New Roman" w:hAnsi="Times New Roman"/>
          <w:lang w:val="hu-HU"/>
        </w:rPr>
        <w:t xml:space="preserve"> vagy 8 pumpálásra (100 mg </w:t>
      </w:r>
      <w:proofErr w:type="spellStart"/>
      <w:r w:rsidR="00A1220F">
        <w:rPr>
          <w:rFonts w:ascii="Times New Roman" w:hAnsi="Times New Roman"/>
          <w:lang w:val="hu-HU"/>
        </w:rPr>
        <w:t>szildenafil</w:t>
      </w:r>
      <w:proofErr w:type="spellEnd"/>
      <w:r w:rsidR="00A1220F">
        <w:rPr>
          <w:rFonts w:ascii="Times New Roman" w:hAnsi="Times New Roman"/>
          <w:lang w:val="hu-HU"/>
        </w:rPr>
        <w:t>) növelhető</w:t>
      </w:r>
      <w:r w:rsidRPr="00071884">
        <w:rPr>
          <w:rFonts w:ascii="Times New Roman" w:hAnsi="Times New Roman"/>
          <w:lang w:val="hu-HU"/>
        </w:rPr>
        <w:t xml:space="preserve">. Az </w:t>
      </w:r>
      <w:proofErr w:type="spellStart"/>
      <w:r w:rsidRPr="00071884">
        <w:rPr>
          <w:rFonts w:ascii="Times New Roman" w:hAnsi="Times New Roman"/>
          <w:lang w:val="hu-HU"/>
        </w:rPr>
        <w:t>Azurvig</w:t>
      </w:r>
      <w:proofErr w:type="spellEnd"/>
      <w:r w:rsidRPr="00071884">
        <w:rPr>
          <w:rFonts w:ascii="Times New Roman" w:hAnsi="Times New Roman"/>
          <w:lang w:val="hu-HU"/>
        </w:rPr>
        <w:t xml:space="preserve"> maximális napi adagja </w:t>
      </w:r>
      <w:r w:rsidR="00A1220F">
        <w:rPr>
          <w:rFonts w:ascii="Times New Roman" w:hAnsi="Times New Roman"/>
          <w:lang w:val="hu-HU"/>
        </w:rPr>
        <w:t>8</w:t>
      </w:r>
      <w:r w:rsidR="008E36C0">
        <w:rPr>
          <w:rFonts w:ascii="Times New Roman" w:hAnsi="Times New Roman"/>
          <w:lang w:val="hu-HU"/>
        </w:rPr>
        <w:t xml:space="preserve"> pumpálás</w:t>
      </w:r>
      <w:r w:rsidRPr="00071884">
        <w:rPr>
          <w:rFonts w:ascii="Times New Roman" w:hAnsi="Times New Roman"/>
          <w:lang w:val="hu-HU"/>
        </w:rPr>
        <w:t xml:space="preserve">, amely </w:t>
      </w:r>
      <w:r w:rsidR="00A1220F">
        <w:rPr>
          <w:rFonts w:ascii="Times New Roman" w:hAnsi="Times New Roman"/>
          <w:lang w:val="hu-HU"/>
        </w:rPr>
        <w:t>100</w:t>
      </w:r>
      <w:r w:rsidRPr="00071884">
        <w:rPr>
          <w:rFonts w:ascii="Times New Roman" w:hAnsi="Times New Roman"/>
          <w:lang w:val="hu-HU"/>
        </w:rPr>
        <w:t xml:space="preserve"> mg </w:t>
      </w:r>
      <w:proofErr w:type="spellStart"/>
      <w:r w:rsidRPr="00071884">
        <w:rPr>
          <w:rFonts w:ascii="Times New Roman" w:hAnsi="Times New Roman"/>
          <w:lang w:val="hu-HU"/>
        </w:rPr>
        <w:t>szildenafilnak</w:t>
      </w:r>
      <w:proofErr w:type="spellEnd"/>
      <w:r w:rsidRPr="00071884">
        <w:rPr>
          <w:rFonts w:ascii="Times New Roman" w:hAnsi="Times New Roman"/>
          <w:lang w:val="hu-HU"/>
        </w:rPr>
        <w:t xml:space="preserve"> felel meg. A maximális javasolt adagolási gyakoriság naponta egyszer</w:t>
      </w:r>
      <w:r w:rsidR="00D7268A">
        <w:rPr>
          <w:rFonts w:ascii="Times New Roman" w:hAnsi="Times New Roman"/>
          <w:lang w:val="hu-HU"/>
        </w:rPr>
        <w:t>i</w:t>
      </w:r>
      <w:r w:rsidRPr="00071884">
        <w:rPr>
          <w:rFonts w:ascii="Times New Roman" w:hAnsi="Times New Roman"/>
          <w:lang w:val="hu-HU"/>
        </w:rPr>
        <w:t xml:space="preserve">. Ha az Azurvig szuszpenziót étellel veszik be, akkor </w:t>
      </w:r>
      <w:r w:rsidR="00D7268A">
        <w:rPr>
          <w:rFonts w:ascii="Times New Roman" w:hAnsi="Times New Roman"/>
          <w:lang w:val="hu-HU"/>
        </w:rPr>
        <w:t xml:space="preserve">lehetséges, hogy </w:t>
      </w:r>
      <w:r w:rsidRPr="00071884">
        <w:rPr>
          <w:rFonts w:ascii="Times New Roman" w:hAnsi="Times New Roman"/>
          <w:lang w:val="hu-HU"/>
        </w:rPr>
        <w:t>a hatása később kezdődik, mint éhgyomri állapotban bevéve (lásd 5.2 pont).</w:t>
      </w:r>
    </w:p>
    <w:p w14:paraId="27DCFDEF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40679D0" w14:textId="10513815" w:rsidR="00071884" w:rsidRDefault="008E36C0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bookmarkStart w:id="3" w:name="_Hlk494709913"/>
      <w:r>
        <w:rPr>
          <w:rFonts w:ascii="Times New Roman" w:hAnsi="Times New Roman"/>
          <w:lang w:val="hu-HU"/>
        </w:rPr>
        <w:t>Pumpálásonként</w:t>
      </w:r>
      <w:r w:rsidR="00071884" w:rsidRPr="00071884">
        <w:rPr>
          <w:rFonts w:ascii="Times New Roman" w:hAnsi="Times New Roman"/>
          <w:lang w:val="hu-HU"/>
        </w:rPr>
        <w:t xml:space="preserve"> 12,5 mg szildenafilt tartalmaz.</w:t>
      </w:r>
    </w:p>
    <w:p w14:paraId="560AE55E" w14:textId="77777777" w:rsidR="00F153C1" w:rsidRPr="00071884" w:rsidRDefault="00F153C1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bookmarkEnd w:id="3"/>
    <w:p w14:paraId="677BFF0C" w14:textId="329F3170" w:rsidR="00071884" w:rsidRPr="00071884" w:rsidRDefault="00F153C1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>
        <w:rPr>
          <w:rFonts w:ascii="Times New Roman" w:hAnsi="Times New Roman"/>
          <w:u w:val="single"/>
          <w:lang w:val="hu-HU"/>
        </w:rPr>
        <w:t>Különleges betegcsoportok</w:t>
      </w:r>
    </w:p>
    <w:p w14:paraId="1AF44B13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</w:p>
    <w:p w14:paraId="28F0D7F8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u w:val="single"/>
          <w:lang w:val="hu-HU"/>
        </w:rPr>
      </w:pPr>
      <w:r w:rsidRPr="00071884">
        <w:rPr>
          <w:rFonts w:ascii="Times New Roman" w:hAnsi="Times New Roman"/>
          <w:i/>
          <w:u w:val="single"/>
          <w:lang w:val="hu-HU"/>
        </w:rPr>
        <w:t>Idősebb betegek</w:t>
      </w:r>
    </w:p>
    <w:p w14:paraId="3A9A042F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Idős korban (≥ 65 év) az adag módosítása nem szükséges. </w:t>
      </w:r>
    </w:p>
    <w:p w14:paraId="419F56AA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8CC9E90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</w:p>
    <w:p w14:paraId="7CEBB5E1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u w:val="single"/>
          <w:lang w:val="hu-HU"/>
        </w:rPr>
      </w:pPr>
      <w:r w:rsidRPr="00071884">
        <w:rPr>
          <w:rFonts w:ascii="Times New Roman" w:hAnsi="Times New Roman"/>
          <w:i/>
          <w:u w:val="single"/>
          <w:lang w:val="hu-HU"/>
        </w:rPr>
        <w:t>Vesekárosodásban szenvedő betegek</w:t>
      </w:r>
    </w:p>
    <w:p w14:paraId="79AD6216" w14:textId="229BC48D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Enyhe vagy közepesen súlyos vesekárosodásban (kreatinin-clearance = 30–80 ml/perc) szenvedő betegek esetében a „</w:t>
      </w:r>
      <w:r w:rsidR="00D7268A">
        <w:rPr>
          <w:rFonts w:ascii="Times New Roman" w:hAnsi="Times New Roman"/>
          <w:lang w:val="hu-HU"/>
        </w:rPr>
        <w:t>F</w:t>
      </w:r>
      <w:r w:rsidRPr="00071884">
        <w:rPr>
          <w:rFonts w:ascii="Times New Roman" w:hAnsi="Times New Roman"/>
          <w:lang w:val="hu-HU"/>
        </w:rPr>
        <w:t>elnőttek” c. részben leírt adagolási ajánlások érvényesek.</w:t>
      </w:r>
    </w:p>
    <w:p w14:paraId="0B98CED2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0430644" w14:textId="74B37A69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Mivel súlyos vesekárosodásban szenvedő betegeknél (kreatinin-clearance &lt;30 ml/perc) a </w:t>
      </w:r>
      <w:proofErr w:type="spellStart"/>
      <w:r w:rsidRPr="00071884">
        <w:rPr>
          <w:rFonts w:ascii="Times New Roman" w:hAnsi="Times New Roman"/>
          <w:lang w:val="hu-HU"/>
        </w:rPr>
        <w:t>szildenafil</w:t>
      </w:r>
      <w:proofErr w:type="spellEnd"/>
      <w:r w:rsidRPr="00071884">
        <w:rPr>
          <w:rFonts w:ascii="Times New Roman" w:hAnsi="Times New Roman"/>
          <w:lang w:val="hu-HU"/>
        </w:rPr>
        <w:t xml:space="preserve"> </w:t>
      </w:r>
      <w:proofErr w:type="spellStart"/>
      <w:r w:rsidRPr="00071884">
        <w:rPr>
          <w:rFonts w:ascii="Times New Roman" w:hAnsi="Times New Roman"/>
          <w:lang w:val="hu-HU"/>
        </w:rPr>
        <w:t>clearance</w:t>
      </w:r>
      <w:proofErr w:type="spellEnd"/>
      <w:r w:rsidRPr="00071884">
        <w:rPr>
          <w:rFonts w:ascii="Times New Roman" w:hAnsi="Times New Roman"/>
          <w:lang w:val="hu-HU"/>
        </w:rPr>
        <w:t xml:space="preserve">-e csökken, a </w:t>
      </w:r>
      <w:r w:rsidR="008E36C0">
        <w:rPr>
          <w:rFonts w:ascii="Times New Roman" w:hAnsi="Times New Roman"/>
          <w:lang w:val="hu-HU"/>
        </w:rPr>
        <w:t>2 pumpálásnyi</w:t>
      </w:r>
      <w:r w:rsidRPr="00071884">
        <w:rPr>
          <w:rFonts w:ascii="Times New Roman" w:hAnsi="Times New Roman"/>
          <w:lang w:val="hu-HU"/>
        </w:rPr>
        <w:t xml:space="preserve"> adag (25 mg szildenafil) alkalmazása mérlegelendő. A hatásosság és tolerálhatóság alapján az adag</w:t>
      </w:r>
      <w:r w:rsidR="002315D6">
        <w:rPr>
          <w:rFonts w:ascii="Times New Roman" w:hAnsi="Times New Roman"/>
          <w:lang w:val="hu-HU"/>
        </w:rPr>
        <w:t>, szükség esetén</w:t>
      </w:r>
      <w:r w:rsidRPr="00071884">
        <w:rPr>
          <w:rFonts w:ascii="Times New Roman" w:hAnsi="Times New Roman"/>
          <w:lang w:val="hu-HU"/>
        </w:rPr>
        <w:t xml:space="preserve"> fokozatosan </w:t>
      </w:r>
      <w:r w:rsidR="008E36C0">
        <w:rPr>
          <w:rFonts w:ascii="Times New Roman" w:hAnsi="Times New Roman"/>
          <w:lang w:val="hu-HU"/>
        </w:rPr>
        <w:t>4 pumpálásnyira</w:t>
      </w:r>
      <w:r w:rsidRPr="00071884">
        <w:rPr>
          <w:rFonts w:ascii="Times New Roman" w:hAnsi="Times New Roman"/>
          <w:lang w:val="hu-HU"/>
        </w:rPr>
        <w:t xml:space="preserve"> (50 mg szildenafil) növelhető.</w:t>
      </w:r>
    </w:p>
    <w:p w14:paraId="2654061E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u w:val="single"/>
          <w:lang w:val="hu-HU"/>
        </w:rPr>
      </w:pPr>
    </w:p>
    <w:p w14:paraId="007B7536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u w:val="single"/>
          <w:lang w:val="hu-HU"/>
        </w:rPr>
      </w:pPr>
      <w:r w:rsidRPr="00071884">
        <w:rPr>
          <w:rFonts w:ascii="Times New Roman" w:hAnsi="Times New Roman"/>
          <w:i/>
          <w:u w:val="single"/>
          <w:lang w:val="hu-HU"/>
        </w:rPr>
        <w:t>Májkárosodásban szenvedő betegek</w:t>
      </w:r>
    </w:p>
    <w:p w14:paraId="1B4C3EFC" w14:textId="30C055C9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Mivel májkárosodásban (pl. cirrhosisban) szenvedő betegeknél a szildenafil clearance-e csökken, a 25</w:t>
      </w:r>
      <w:r w:rsidR="008B1D13">
        <w:rPr>
          <w:rFonts w:ascii="Times New Roman" w:hAnsi="Times New Roman"/>
          <w:lang w:val="hu-HU"/>
        </w:rPr>
        <w:t> </w:t>
      </w:r>
      <w:r w:rsidRPr="00071884">
        <w:rPr>
          <w:rFonts w:ascii="Times New Roman" w:hAnsi="Times New Roman"/>
          <w:lang w:val="hu-HU"/>
        </w:rPr>
        <w:t xml:space="preserve">mg szildenafilnak megfelelő </w:t>
      </w:r>
      <w:r w:rsidR="008E36C0">
        <w:rPr>
          <w:rFonts w:ascii="Times New Roman" w:hAnsi="Times New Roman"/>
          <w:lang w:val="hu-HU"/>
        </w:rPr>
        <w:t>2 pumpálásnyi</w:t>
      </w:r>
      <w:r w:rsidRPr="00071884">
        <w:rPr>
          <w:rFonts w:ascii="Times New Roman" w:hAnsi="Times New Roman"/>
          <w:lang w:val="hu-HU"/>
        </w:rPr>
        <w:t xml:space="preserve"> adag alkalmazása mérlegelendő. A hatásosság és tolerálhatóság alapján az adag fokozatosan </w:t>
      </w:r>
      <w:r w:rsidR="008E36C0">
        <w:rPr>
          <w:rFonts w:ascii="Times New Roman" w:hAnsi="Times New Roman"/>
          <w:lang w:val="hu-HU"/>
        </w:rPr>
        <w:t>4 pumpálásnyira</w:t>
      </w:r>
      <w:r w:rsidRPr="00071884">
        <w:rPr>
          <w:rFonts w:ascii="Times New Roman" w:hAnsi="Times New Roman"/>
          <w:lang w:val="hu-HU"/>
        </w:rPr>
        <w:t xml:space="preserve"> (50 mg szildenafil) növelhető.</w:t>
      </w:r>
    </w:p>
    <w:p w14:paraId="5718FD06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u w:val="single"/>
          <w:lang w:val="hu-HU"/>
        </w:rPr>
      </w:pPr>
    </w:p>
    <w:p w14:paraId="74AFAC5A" w14:textId="77777777" w:rsidR="00071884" w:rsidRPr="00DD01E8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  <w:r w:rsidRPr="00DD01E8">
        <w:rPr>
          <w:rFonts w:ascii="Times New Roman" w:hAnsi="Times New Roman"/>
          <w:i/>
          <w:lang w:val="hu-HU"/>
        </w:rPr>
        <w:t>Gyermekek és serdülők</w:t>
      </w:r>
    </w:p>
    <w:p w14:paraId="1273E0B3" w14:textId="2CECB01C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Az </w:t>
      </w:r>
      <w:proofErr w:type="spellStart"/>
      <w:r w:rsidRPr="00071884">
        <w:rPr>
          <w:rFonts w:ascii="Times New Roman" w:hAnsi="Times New Roman"/>
          <w:lang w:val="hu-HU"/>
        </w:rPr>
        <w:t>Azurvig</w:t>
      </w:r>
      <w:proofErr w:type="spellEnd"/>
      <w:r w:rsidRPr="00071884">
        <w:rPr>
          <w:rFonts w:ascii="Times New Roman" w:hAnsi="Times New Roman"/>
          <w:lang w:val="hu-HU"/>
        </w:rPr>
        <w:t xml:space="preserve"> alkalmazás</w:t>
      </w:r>
      <w:r w:rsidR="00E85364">
        <w:rPr>
          <w:rFonts w:ascii="Times New Roman" w:hAnsi="Times New Roman"/>
          <w:lang w:val="hu-HU"/>
        </w:rPr>
        <w:t xml:space="preserve">a </w:t>
      </w:r>
      <w:r w:rsidR="008E08DF">
        <w:rPr>
          <w:rFonts w:ascii="Times New Roman" w:hAnsi="Times New Roman"/>
          <w:lang w:val="hu-HU"/>
        </w:rPr>
        <w:t xml:space="preserve">nem </w:t>
      </w:r>
      <w:proofErr w:type="spellStart"/>
      <w:r w:rsidR="008E08DF">
        <w:rPr>
          <w:rFonts w:ascii="Times New Roman" w:hAnsi="Times New Roman"/>
          <w:lang w:val="hu-HU"/>
        </w:rPr>
        <w:t>javallt</w:t>
      </w:r>
      <w:proofErr w:type="spellEnd"/>
      <w:r w:rsidRPr="00071884">
        <w:rPr>
          <w:rFonts w:ascii="Times New Roman" w:hAnsi="Times New Roman"/>
          <w:lang w:val="hu-HU"/>
        </w:rPr>
        <w:t xml:space="preserve"> 18 év</w:t>
      </w:r>
      <w:r w:rsidR="00E85364">
        <w:rPr>
          <w:rFonts w:ascii="Times New Roman" w:hAnsi="Times New Roman"/>
          <w:lang w:val="hu-HU"/>
        </w:rPr>
        <w:t xml:space="preserve">nél </w:t>
      </w:r>
      <w:r w:rsidR="00D8480B">
        <w:rPr>
          <w:rFonts w:ascii="Times New Roman" w:hAnsi="Times New Roman"/>
          <w:lang w:val="hu-HU"/>
        </w:rPr>
        <w:t>fiatalabbaknál</w:t>
      </w:r>
      <w:r w:rsidRPr="00071884">
        <w:rPr>
          <w:rFonts w:ascii="Times New Roman" w:hAnsi="Times New Roman"/>
          <w:lang w:val="hu-HU"/>
        </w:rPr>
        <w:t>.</w:t>
      </w:r>
    </w:p>
    <w:p w14:paraId="027FEB01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</w:p>
    <w:p w14:paraId="00672CC8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u w:val="single"/>
          <w:lang w:val="hu-HU"/>
        </w:rPr>
      </w:pPr>
      <w:r w:rsidRPr="00071884">
        <w:rPr>
          <w:rFonts w:ascii="Times New Roman" w:hAnsi="Times New Roman"/>
          <w:i/>
          <w:u w:val="single"/>
          <w:lang w:val="hu-HU"/>
        </w:rPr>
        <w:t>Alkalmazás más gyógyszereket szedő betegek esetében</w:t>
      </w:r>
    </w:p>
    <w:p w14:paraId="112D969B" w14:textId="0C54D37A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A ritonavir kivételével, amellyel a szildenafil egyidejű alkalmazása nem javasolt (lásd 4.4 pont) 25 mg szildenafilnak megfelelő </w:t>
      </w:r>
      <w:r w:rsidR="008E36C0">
        <w:rPr>
          <w:rFonts w:ascii="Times New Roman" w:hAnsi="Times New Roman"/>
          <w:lang w:val="hu-HU"/>
        </w:rPr>
        <w:t>2 pumpálás</w:t>
      </w:r>
      <w:r w:rsidRPr="00071884">
        <w:rPr>
          <w:rFonts w:ascii="Times New Roman" w:hAnsi="Times New Roman"/>
          <w:lang w:val="hu-HU"/>
        </w:rPr>
        <w:t xml:space="preserve"> kezdő adag alkalmazása mérlegelendő olyan betegek esetében, akik egyidejűleg CYP3A4</w:t>
      </w:r>
      <w:r w:rsidR="008B1D13">
        <w:rPr>
          <w:rFonts w:ascii="Times New Roman" w:hAnsi="Times New Roman"/>
          <w:lang w:val="hu-HU"/>
        </w:rPr>
        <w:t>-</w:t>
      </w:r>
      <w:r w:rsidRPr="00071884">
        <w:rPr>
          <w:rFonts w:ascii="Times New Roman" w:hAnsi="Times New Roman"/>
          <w:lang w:val="hu-HU"/>
        </w:rPr>
        <w:t>gátlókkal való kezelésben részesülnek (lásd 4.5 pont).</w:t>
      </w:r>
    </w:p>
    <w:p w14:paraId="1CF76749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A4220D4" w14:textId="0F2CEDA1" w:rsid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Alfa-blokkolókat kapó betegek esetében, a </w:t>
      </w:r>
      <w:proofErr w:type="spellStart"/>
      <w:r w:rsidRPr="00071884">
        <w:rPr>
          <w:rFonts w:ascii="Times New Roman" w:hAnsi="Times New Roman"/>
          <w:lang w:val="hu-HU"/>
        </w:rPr>
        <w:t>posturalis</w:t>
      </w:r>
      <w:proofErr w:type="spellEnd"/>
      <w:r w:rsidRPr="00071884">
        <w:rPr>
          <w:rFonts w:ascii="Times New Roman" w:hAnsi="Times New Roman"/>
          <w:lang w:val="hu-HU"/>
        </w:rPr>
        <w:t xml:space="preserve"> </w:t>
      </w:r>
      <w:proofErr w:type="spellStart"/>
      <w:r w:rsidRPr="00071884">
        <w:rPr>
          <w:rFonts w:ascii="Times New Roman" w:hAnsi="Times New Roman"/>
          <w:lang w:val="hu-HU"/>
        </w:rPr>
        <w:t>hypotonia</w:t>
      </w:r>
      <w:proofErr w:type="spellEnd"/>
      <w:r w:rsidRPr="00071884">
        <w:rPr>
          <w:rFonts w:ascii="Times New Roman" w:hAnsi="Times New Roman"/>
          <w:lang w:val="hu-HU"/>
        </w:rPr>
        <w:t xml:space="preserve"> kockázatának minimalizálása érdekében a szildenafil-kezelés megkezdése előtt a betegeket az alfa-blokkoló terápián stabilizálni kell. Ezenkívül, a 25 mg szildenafilnak megfelelő </w:t>
      </w:r>
      <w:r w:rsidR="008E36C0">
        <w:rPr>
          <w:rFonts w:ascii="Times New Roman" w:hAnsi="Times New Roman"/>
          <w:lang w:val="hu-HU"/>
        </w:rPr>
        <w:t>2 pumpálásnyi</w:t>
      </w:r>
      <w:r w:rsidRPr="00071884">
        <w:rPr>
          <w:rFonts w:ascii="Times New Roman" w:hAnsi="Times New Roman"/>
          <w:lang w:val="hu-HU"/>
        </w:rPr>
        <w:t xml:space="preserve"> kezdő adag alkalmazása mérlegelendő (lásd 4.4 és 4.5 pont). </w:t>
      </w:r>
    </w:p>
    <w:p w14:paraId="717D2AF8" w14:textId="69E661F4" w:rsidR="008E36C0" w:rsidRDefault="008E36C0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tbl>
      <w:tblPr>
        <w:tblStyle w:val="Tablaconcuadrcula1"/>
        <w:tblW w:w="0" w:type="auto"/>
        <w:tblInd w:w="-5" w:type="dxa"/>
        <w:tblLook w:val="04A0" w:firstRow="1" w:lastRow="0" w:firstColumn="1" w:lastColumn="0" w:noHBand="0" w:noVBand="1"/>
      </w:tblPr>
      <w:tblGrid>
        <w:gridCol w:w="3256"/>
        <w:gridCol w:w="3258"/>
        <w:gridCol w:w="2551"/>
      </w:tblGrid>
      <w:tr w:rsidR="008E36C0" w14:paraId="52E0ADE2" w14:textId="77777777" w:rsidTr="008E36C0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54F8D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</w:pPr>
            <w:proofErr w:type="spellStart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>Pumpálások</w:t>
            </w:r>
            <w:proofErr w:type="spellEnd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>száma</w:t>
            </w:r>
            <w:proofErr w:type="spellEnd"/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9A00D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</w:pPr>
            <w:proofErr w:type="spellStart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>Beadott</w:t>
            </w:r>
            <w:proofErr w:type="spellEnd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>szuszpenzió</w:t>
            </w:r>
            <w:proofErr w:type="spellEnd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>mennyisége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DE5AC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</w:pPr>
            <w:proofErr w:type="spellStart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>Szildenafil</w:t>
            </w:r>
            <w:proofErr w:type="spellEnd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NewRoman,Bold" w:hAnsi="Times New Roman"/>
                <w:b/>
                <w:bCs/>
                <w:iCs/>
                <w:lang w:val="en-US"/>
              </w:rPr>
              <w:t>mennyisége</w:t>
            </w:r>
            <w:proofErr w:type="spellEnd"/>
          </w:p>
        </w:tc>
      </w:tr>
      <w:tr w:rsidR="008E36C0" w14:paraId="1AC9AB01" w14:textId="77777777" w:rsidTr="008E36C0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B8C00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2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687C1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1 ml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2FA4F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25 mg</w:t>
            </w:r>
          </w:p>
        </w:tc>
      </w:tr>
      <w:tr w:rsidR="008E36C0" w14:paraId="173002D3" w14:textId="77777777" w:rsidTr="008E36C0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1F40B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4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C2A0E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2 ml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62FAE" w14:textId="77777777" w:rsidR="008E36C0" w:rsidRDefault="008E36C0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50 mg</w:t>
            </w:r>
          </w:p>
        </w:tc>
      </w:tr>
      <w:tr w:rsidR="00347D9F" w14:paraId="71461ABC" w14:textId="77777777" w:rsidTr="008E36C0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80A3A" w14:textId="0BCA8973" w:rsidR="00347D9F" w:rsidRDefault="00347D9F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8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0D70" w14:textId="23605226" w:rsidR="00347D9F" w:rsidRDefault="00347D9F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4 ml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96EA3" w14:textId="28EC4215" w:rsidR="00347D9F" w:rsidRDefault="00347D9F" w:rsidP="00746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en-US"/>
              </w:rPr>
            </w:pPr>
            <w:r>
              <w:rPr>
                <w:rFonts w:ascii="Times New Roman" w:eastAsia="TimesNewRoman,Bold" w:hAnsi="Times New Roman"/>
                <w:bCs/>
                <w:iCs/>
                <w:lang w:val="en-US"/>
              </w:rPr>
              <w:t>100 mg</w:t>
            </w:r>
          </w:p>
        </w:tc>
      </w:tr>
    </w:tbl>
    <w:p w14:paraId="4648C334" w14:textId="65409D4F" w:rsidR="008E36C0" w:rsidRPr="00071884" w:rsidRDefault="008E36C0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 maximális napi adag </w:t>
      </w:r>
      <w:r w:rsidR="00347D9F">
        <w:rPr>
          <w:rFonts w:ascii="Times New Roman" w:hAnsi="Times New Roman"/>
          <w:lang w:val="hu-HU"/>
        </w:rPr>
        <w:t>100</w:t>
      </w:r>
      <w:r>
        <w:rPr>
          <w:rFonts w:ascii="Times New Roman" w:hAnsi="Times New Roman"/>
          <w:lang w:val="hu-HU"/>
        </w:rPr>
        <w:t> </w:t>
      </w:r>
      <w:r w:rsidRPr="00BF483D">
        <w:rPr>
          <w:rFonts w:ascii="Times New Roman" w:hAnsi="Times New Roman"/>
          <w:lang w:val="hu-HU"/>
        </w:rPr>
        <w:t xml:space="preserve">mg </w:t>
      </w:r>
      <w:proofErr w:type="spellStart"/>
      <w:r w:rsidRPr="00BF483D">
        <w:rPr>
          <w:rFonts w:ascii="Times New Roman" w:hAnsi="Times New Roman"/>
          <w:lang w:val="hu-HU"/>
        </w:rPr>
        <w:t>szildenafilnak</w:t>
      </w:r>
      <w:proofErr w:type="spellEnd"/>
      <w:r w:rsidRPr="00BF483D">
        <w:rPr>
          <w:rFonts w:ascii="Times New Roman" w:hAnsi="Times New Roman"/>
          <w:lang w:val="hu-HU"/>
        </w:rPr>
        <w:t xml:space="preserve"> megfelelő </w:t>
      </w:r>
      <w:r w:rsidR="00347D9F">
        <w:rPr>
          <w:rFonts w:ascii="Times New Roman" w:eastAsia="TimesNewRoman" w:hAnsi="Times New Roman"/>
          <w:lang w:val="hu-HU"/>
        </w:rPr>
        <w:t>8</w:t>
      </w:r>
      <w:r>
        <w:rPr>
          <w:rFonts w:ascii="Times New Roman" w:eastAsia="TimesNewRoman" w:hAnsi="Times New Roman"/>
          <w:lang w:val="hu-HU"/>
        </w:rPr>
        <w:t> pumpálásnyi szuszpenzió.</w:t>
      </w:r>
    </w:p>
    <w:p w14:paraId="35F23F88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97C0811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hAnsi="Times New Roman"/>
          <w:u w:val="single"/>
          <w:lang w:val="hu-HU"/>
        </w:rPr>
        <w:t>Az alkalmazás módja</w:t>
      </w:r>
    </w:p>
    <w:p w14:paraId="164E4ED8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55335FB4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Szájon át történő alkalmazásra. </w:t>
      </w:r>
    </w:p>
    <w:p w14:paraId="2EEB4ED0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430EDD06" w14:textId="5D28103C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A készítmény </w:t>
      </w:r>
      <w:r w:rsidR="008B1D13">
        <w:rPr>
          <w:rFonts w:ascii="Times New Roman" w:hAnsi="Times New Roman"/>
          <w:lang w:val="hu-HU"/>
        </w:rPr>
        <w:t xml:space="preserve">nem </w:t>
      </w:r>
      <w:r w:rsidRPr="00071884">
        <w:rPr>
          <w:rFonts w:ascii="Times New Roman" w:hAnsi="Times New Roman"/>
          <w:lang w:val="hu-HU"/>
        </w:rPr>
        <w:t xml:space="preserve">alkalmazható az orrban vagy bőrön (lokálisan).  </w:t>
      </w:r>
    </w:p>
    <w:p w14:paraId="2C41FEAE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bookmarkEnd w:id="2"/>
    <w:p w14:paraId="055CCECC" w14:textId="6DC10EF1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4.3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E84ABF" w:rsidRPr="00071884">
        <w:rPr>
          <w:rFonts w:ascii="Times New Roman" w:eastAsia="TimesNewRoman,Bold" w:hAnsi="Times New Roman"/>
          <w:b/>
          <w:bCs/>
          <w:lang w:val="hu-HU"/>
        </w:rPr>
        <w:t>Ellenjavallatok</w:t>
      </w:r>
    </w:p>
    <w:p w14:paraId="547608B4" w14:textId="40044236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192D434" w14:textId="77777777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készítmény hatóanyagával vagy a 6.1 pontban felsorolt bármely segédanyagával szembeni túlérzékenység.</w:t>
      </w:r>
    </w:p>
    <w:p w14:paraId="18E3A596" w14:textId="77777777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0542509" w14:textId="77777777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nitrogén-monoxid/ciklikus guanozin-monofoszfát (cGMP) anyagcsereútra kifejtett ismert hatásai következtében (lásd 5.1 pont) a szildenafil potencírozza a nitrátkészítmények vérnyomáscsökkentő hatását, ezért együttadása nitrogén-monoxid-képző vegyületek (pl. amil-nitrit) vagy nitrátkészítmények minden gyógyszerformájával ellenjavallt.</w:t>
      </w:r>
    </w:p>
    <w:p w14:paraId="671DB74A" w14:textId="77777777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ECE75BD" w14:textId="7ADFC167" w:rsidR="003A3561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Nem adható erectilis dysfunctio kezelésére szolgáló gyógyszer, ideértve a </w:t>
      </w:r>
      <w:proofErr w:type="spellStart"/>
      <w:r w:rsidRPr="00071884">
        <w:rPr>
          <w:rFonts w:ascii="Times New Roman" w:eastAsia="TimesNewRoman" w:hAnsi="Times New Roman"/>
          <w:lang w:val="hu-HU"/>
        </w:rPr>
        <w:t>szildenafilt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 is, azoknak a férfiaknak, akik számára a szexuális aktivitás nem ajánlatos (pl. súlyos cardiovascularis betegségben szenvedők, mint pl. instabil angina vagy súlyos szívelégtelenség).</w:t>
      </w:r>
    </w:p>
    <w:p w14:paraId="4092F115" w14:textId="77777777" w:rsidR="003A3561" w:rsidRPr="00071884" w:rsidRDefault="003A3561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193D6BC" w14:textId="6111F2AE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ellenjavallt azon betegeknek, akiknek a féloldali látásvesztését nem</w:t>
      </w:r>
      <w:r w:rsidR="00D605E2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lang w:val="hu-HU"/>
        </w:rPr>
        <w:t>arteritiszes elülső ischaemiás optikus neuropátia (NAION) okozta, függetlenül attól, hogy ez az esemény összefüggésben volt-e PDE-5-gátló korábbi szedésével vagy sem (lásd 4.4 pont).</w:t>
      </w:r>
    </w:p>
    <w:p w14:paraId="4FA1EE18" w14:textId="77777777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237FC0B" w14:textId="750B8739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következő betegcsoportokban a szildenafil kezelés biztonságosságát nem vizsgálták, ezért az alkalmazása ellenjavallt a következő alcsoportokban: súlyos májkárosodás, alacsony vérnyomás (&lt;90/50 Hgmm), a közelmúltban történt stroke vagy myocardialis infarctus és a retina ismert örökletes degeneratív betegségei, mint például a retinitis pigmentosa (ezen betegek kisebb részében a </w:t>
      </w:r>
      <w:proofErr w:type="spellStart"/>
      <w:r w:rsidRPr="00071884">
        <w:rPr>
          <w:rFonts w:ascii="Times New Roman" w:eastAsia="TimesNewRoman" w:hAnsi="Times New Roman"/>
          <w:lang w:val="hu-HU"/>
        </w:rPr>
        <w:t>retinalis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Pr="00071884">
        <w:rPr>
          <w:rFonts w:ascii="Times New Roman" w:eastAsia="TimesNewRoman" w:hAnsi="Times New Roman"/>
          <w:lang w:val="hu-HU"/>
        </w:rPr>
        <w:t>foszfo</w:t>
      </w:r>
      <w:r w:rsidR="00D7268A">
        <w:rPr>
          <w:rFonts w:ascii="Times New Roman" w:eastAsia="TimesNewRoman" w:hAnsi="Times New Roman"/>
          <w:lang w:val="hu-HU"/>
        </w:rPr>
        <w:t>diész</w:t>
      </w:r>
      <w:r w:rsidRPr="00071884">
        <w:rPr>
          <w:rFonts w:ascii="Times New Roman" w:eastAsia="TimesNewRoman" w:hAnsi="Times New Roman"/>
          <w:lang w:val="hu-HU"/>
        </w:rPr>
        <w:t>teráz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 örökletes elváltozása áll fenn). </w:t>
      </w:r>
    </w:p>
    <w:p w14:paraId="08CCE600" w14:textId="77777777" w:rsidR="00E84ABF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812156E" w14:textId="0897F420" w:rsidR="007C27B0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Cs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PDE-5-gátlók (beleértve a szildenafilt is) együttes alkalmazása guanilát-cikláz</w:t>
      </w:r>
      <w:r w:rsidR="00D605E2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stimulátorokkal (mint a riociguát) ellenjavallt, mivel ez potenciálisan symptomatikus hypotoniához vezethet (lásd 4.5 pont).</w:t>
      </w:r>
    </w:p>
    <w:p w14:paraId="1F1645D3" w14:textId="77777777" w:rsidR="00A32057" w:rsidRPr="00071884" w:rsidRDefault="00A32057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</w:p>
    <w:p w14:paraId="348160E2" w14:textId="22671842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4.4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E84ABF" w:rsidRPr="00071884">
        <w:rPr>
          <w:rFonts w:ascii="Times New Roman" w:eastAsia="TimesNewRoman,Bold" w:hAnsi="Times New Roman"/>
          <w:b/>
          <w:bCs/>
          <w:lang w:val="hu-HU"/>
        </w:rPr>
        <w:t>Különleges figyelmeztetések és az alkalmazással kapcsolatos óvintézkedések</w:t>
      </w:r>
    </w:p>
    <w:p w14:paraId="626E7E8A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3F95610" w14:textId="74229D45" w:rsidR="00B76076" w:rsidRPr="00071884" w:rsidRDefault="00E84ABF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gyógyszeres kezelés javallata előtt az erectilis dysfunctio kórismézése és lehetséges kiváltó okainak feltárása céljából részletes kórelőzményt kell felvenni és fizikális vizsgálatot kell végezni.</w:t>
      </w:r>
    </w:p>
    <w:p w14:paraId="644583EA" w14:textId="77777777" w:rsidR="006B138E" w:rsidRPr="00071884" w:rsidRDefault="006B138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9E28332" w14:textId="64A2B329" w:rsidR="006B138E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Kizárólag szájon át történő alkalmazásra. Más módon nem alkalmazható.</w:t>
      </w:r>
      <w:r w:rsidR="006B138E" w:rsidRPr="00071884">
        <w:rPr>
          <w:rFonts w:ascii="Times New Roman" w:hAnsi="Times New Roman"/>
          <w:lang w:val="hu-HU"/>
        </w:rPr>
        <w:t xml:space="preserve"> </w:t>
      </w:r>
    </w:p>
    <w:p w14:paraId="653F231B" w14:textId="77777777" w:rsidR="00F0146C" w:rsidRPr="00071884" w:rsidRDefault="00F0146C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529F4692" w14:textId="55F61693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Cardiovascularis kockázati tényezők</w:t>
      </w:r>
    </w:p>
    <w:p w14:paraId="43631F5D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D2FA6E6" w14:textId="0FDC7BEE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Az erectilis dysfunctio bármilyen jellegű kezelésének megkezdése előtt szükséges a beteg cardiovascularis állapotának felmérése, mivel a nemi aktivitás bizonyos fokú cardiovascularis kockázattal jár. A szildenafil értágító hatású, ami enyhe és átmeneti vérnyomáscsökkenést idéz elő (lásd 5.1 pont). Az orvosnak a gyógyszer felírása előtt alaposan meg kell fontolnia, hogy egyes alapbetegségek esetén ez az értágító hatás hátrányosan érintheti a betegeket, főleg</w:t>
      </w:r>
      <w:r w:rsidR="00347D9F">
        <w:rPr>
          <w:rFonts w:ascii="Times New Roman" w:eastAsia="TimesNewRoman" w:hAnsi="Times New Roman"/>
          <w:lang w:val="hu-HU"/>
        </w:rPr>
        <w:t>,</w:t>
      </w:r>
      <w:r w:rsidRPr="00071884">
        <w:rPr>
          <w:rFonts w:ascii="Times New Roman" w:eastAsia="TimesNewRoman" w:hAnsi="Times New Roman"/>
          <w:lang w:val="hu-HU"/>
        </w:rPr>
        <w:t xml:space="preserve"> ha egyidejűleg szexuális aktivitást is kifejtenek. A vasodilatátorokkal szemben fokozott érzékenységet mutató betegek közé azok tartoznak, akik bal kamrai kiáramlási obstrukcióban (pl. aorta stenosis, hypertrophiás obstructiv cardiomyopathia) szenvednek, vagy a multisystemás atrophiás szindróma ritka eseteiben, ami a vérnyomás vegetatív szabályozásának súlyos elégtelenségében nyilvánul meg.</w:t>
      </w:r>
    </w:p>
    <w:p w14:paraId="5822A743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47789C9" w14:textId="40C838C4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</w:t>
      </w:r>
      <w:r w:rsidR="00756EF8" w:rsidRPr="00071884">
        <w:rPr>
          <w:rFonts w:ascii="Times New Roman" w:eastAsia="TimesNewRoman" w:hAnsi="Times New Roman"/>
          <w:lang w:val="hu-HU"/>
        </w:rPr>
        <w:t xml:space="preserve">szildenafil </w:t>
      </w:r>
      <w:r w:rsidRPr="00071884">
        <w:rPr>
          <w:rFonts w:ascii="Times New Roman" w:eastAsia="TimesNewRoman" w:hAnsi="Times New Roman"/>
          <w:lang w:val="hu-HU"/>
        </w:rPr>
        <w:t>fokozza a nitrátok vérnyomáscsökkentő hatását (lásd 4.3 pont).</w:t>
      </w:r>
    </w:p>
    <w:p w14:paraId="38EDB2B2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1ED25DE" w14:textId="7D60FF45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Súlyos cardiovascularis eseményeket, beleértve a myocardialis infarctust, instabil anginát, hirtelen szívhalált, ventricularis arrhythmiát, cerebrovascularis vérzést, transiens ischaemiás attackot, hypertensiót és hypotensiót jelentettek a </w:t>
      </w:r>
      <w:r w:rsidR="00756EF8" w:rsidRPr="00071884">
        <w:rPr>
          <w:rFonts w:ascii="Times New Roman" w:eastAsia="TimesNewRoman" w:hAnsi="Times New Roman"/>
          <w:lang w:val="hu-HU"/>
        </w:rPr>
        <w:t xml:space="preserve">szildenafil </w:t>
      </w:r>
      <w:r w:rsidRPr="00071884">
        <w:rPr>
          <w:rFonts w:ascii="Times New Roman" w:eastAsia="TimesNewRoman" w:hAnsi="Times New Roman"/>
          <w:lang w:val="hu-HU"/>
        </w:rPr>
        <w:t xml:space="preserve">bevételével időbeni összefüggésben, a forgalomba kerülése óta eltelt időszakban. A betegek többségének már meglévő cardiovascularis kockázati tényezője volt, de nem minden esetben. Az esemény többször szexuális aktus közben, vagy közvetlenül utána fordult elő, néhány esetben pedig röviddel a </w:t>
      </w:r>
      <w:r w:rsidR="00756EF8" w:rsidRPr="00071884">
        <w:rPr>
          <w:rFonts w:ascii="Times New Roman" w:eastAsia="TimesNewRoman" w:hAnsi="Times New Roman"/>
          <w:lang w:val="hu-HU"/>
        </w:rPr>
        <w:t xml:space="preserve">szildenafil </w:t>
      </w:r>
      <w:r w:rsidRPr="00071884">
        <w:rPr>
          <w:rFonts w:ascii="Times New Roman" w:eastAsia="TimesNewRoman" w:hAnsi="Times New Roman"/>
          <w:lang w:val="hu-HU"/>
        </w:rPr>
        <w:t>bevétele után, szexuális aktivitás kifejtése nélkül. Nem lehet meghatározni, hogy ezek az események a fenti, vagy egyéb más faktorokkal közvetlen összefüggésben fordulnak-e elő.</w:t>
      </w:r>
    </w:p>
    <w:p w14:paraId="51D268E6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00F22B0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Priapismus</w:t>
      </w:r>
    </w:p>
    <w:p w14:paraId="2FB27954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CE5589D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Az erectilis dysfunctio kezelésére ajánlott gyógyszerek, a szildenafilt is beleértve, a hímvessző anatómiai rendellenességei (pl. angulatio, corpus cavernosum fibrosisa vagy Peyronie-betegség) esetén, továbbá priapismusra hajlamosító kórképekben (pl. sarlósejtes anaemia, myeloma multiplex vagy leukaemia) csak fokozott óvatossággal alkalmazhatók.</w:t>
      </w:r>
    </w:p>
    <w:p w14:paraId="35857BB7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CE7FEE9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szildenafillal kapcsolatban a forgalomba hozatalt követően tartós erekcióról és priapismusról számoltak be. Négy óránál hosszabb ideig tartó erekció esetén a betegnek azonnali orvosi segítséget kell kérnie. Ha a priapismust nem kezelik haladéktalanul, az a hímvessző szöveteinek károsodását és a potencia maradandó elvesztését eredményezheti.</w:t>
      </w:r>
    </w:p>
    <w:p w14:paraId="4B2B0BE8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D74A643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Egyidejű alkalmazás más PDE-5-gátlókkal vagy az erectilis dysfunctio kezelésére alkalmazott más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u w:val="single"/>
          <w:lang w:val="hu-HU"/>
        </w:rPr>
        <w:t>gyógyszerekkel</w:t>
      </w:r>
    </w:p>
    <w:p w14:paraId="0F1B3029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11343E0" w14:textId="7B9787EE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lastRenderedPageBreak/>
        <w:t>A szildenafil és más PDE-5-gátlók vagy más pulmonalis arteriás hypertonia elleni, szildenafilt tartalmazó gyógyszerek vagy az erectilis dysfunctio más kezelési módjainak kombinációját hatásosság és biztonságosság tekintetében még nem vizsgálták, ezért ezek a kombinációk nem javasoltak.</w:t>
      </w:r>
    </w:p>
    <w:p w14:paraId="7B1FBDF1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BC6B107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A látásra gyakorolt hatások</w:t>
      </w:r>
    </w:p>
    <w:p w14:paraId="6082115D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8E102FC" w14:textId="487D2D3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Látászavarok eseteiről érkeztek spontán jelentések a szildenafil és egyéb PDE-5-gátlók szedésével kapcsolatban (lásd 4.8 pont). Egy ritka állapotnak, a nem</w:t>
      </w:r>
      <w:r w:rsidR="00006970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lang w:val="hu-HU"/>
        </w:rPr>
        <w:t>arteritiszes elülső ischaemiás optikus neuropátiának (NAION) az eseteiről érkeztek spontán és egy megfigyeléses vizsgálatból származó jelentések a szildenafil és egyéb PDE-5-gátlók szedésével kapcsolatban (lásd 4.8 pont). A betegek figyelmét fel kell hívni arra, hogy bármilyen hirtelen fellépő látászavar esetén hagyják abba 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szedését, és azonnal forduljanak orvoshoz (lásd 4.3 pont).</w:t>
      </w:r>
    </w:p>
    <w:p w14:paraId="6B3C7475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94C9089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Egyidejű alkalmazás ritonavirral</w:t>
      </w:r>
    </w:p>
    <w:p w14:paraId="59519E20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491D468" w14:textId="21217F7E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együttadása ritonavirral nem javallt (lásd 4.5 pont).</w:t>
      </w:r>
    </w:p>
    <w:p w14:paraId="1D24B987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98E4D8E" w14:textId="09443767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Egyidejű alkalmazás alfa-blokkolókkal</w:t>
      </w:r>
    </w:p>
    <w:p w14:paraId="13422E22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CF09741" w14:textId="7EE0884A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Körültekintően kell eljárni alfa-blokkolókat szedő betegek körében történő szildenafil alkalmazásakor, mivel az egyidejű alkalmazáskor néhány arra hajlamos betegben tünetekkel járó hypotensio jelentkezhet (lásd 4.5 pont). Ez legnagyobb valószínűséggel a szildenafil alkalmazását követő 4 órán belül fordul elő. Az orthostaticus hypotensio kialakulás lehetőségének csökkentése érdekében a szildenafil terápia megkezdése előtt az alfa-blokkoló terápiában részesülő betegnek hemodinamikailag stabilnak kell lennie.</w:t>
      </w:r>
      <w:r w:rsidR="00B76076" w:rsidRPr="00071884">
        <w:rPr>
          <w:rFonts w:ascii="Times New Roman" w:eastAsia="TimesNewRoman" w:hAnsi="Times New Roman"/>
          <w:lang w:val="hu-HU"/>
        </w:rPr>
        <w:t xml:space="preserve"> </w:t>
      </w:r>
      <w:r w:rsidR="00071884" w:rsidRPr="00071884">
        <w:rPr>
          <w:rFonts w:ascii="Times New Roman" w:hAnsi="Times New Roman"/>
          <w:lang w:val="hu-HU"/>
        </w:rPr>
        <w:t xml:space="preserve">A 25 mg szildenafilnak megfelelő </w:t>
      </w:r>
      <w:r w:rsidR="004A7D09">
        <w:rPr>
          <w:rFonts w:ascii="Times New Roman" w:hAnsi="Times New Roman"/>
          <w:lang w:val="hu-HU"/>
        </w:rPr>
        <w:t>2 pumpálásnyi</w:t>
      </w:r>
      <w:r w:rsidR="00071884" w:rsidRPr="00071884">
        <w:rPr>
          <w:rFonts w:ascii="Times New Roman" w:hAnsi="Times New Roman"/>
          <w:lang w:val="hu-HU"/>
        </w:rPr>
        <w:t xml:space="preserve"> kezdő adag alkalmazása mérlegelendő (lásd 4.2 pont).</w:t>
      </w:r>
      <w:r w:rsidR="00B76076" w:rsidRPr="00071884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lang w:val="hu-HU"/>
        </w:rPr>
        <w:t>Továbbá a kezelőorvosnak tanácsot kell adnia arra vonatkozóan, hogy mit tegyenek a betegek az orthostaticus hypotensio tüneteinek megjelenése esetén.</w:t>
      </w:r>
    </w:p>
    <w:p w14:paraId="64E78EB3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25A4D0F" w14:textId="647C86E3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A vérzésre gyakorolt hatás</w:t>
      </w:r>
    </w:p>
    <w:p w14:paraId="7D4AFEBB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F31AA2F" w14:textId="7C872586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Humán thrombocytákon végzett kísérletek azt mutatják, hogy a szildenafil </w:t>
      </w:r>
      <w:r w:rsidRPr="00071884">
        <w:rPr>
          <w:rFonts w:ascii="Times New Roman" w:eastAsia="TimesNewRoman" w:hAnsi="Times New Roman"/>
          <w:i/>
          <w:lang w:val="hu-HU"/>
        </w:rPr>
        <w:t xml:space="preserve">in vitro </w:t>
      </w:r>
      <w:r w:rsidRPr="00071884">
        <w:rPr>
          <w:rFonts w:ascii="Times New Roman" w:eastAsia="TimesNewRoman" w:hAnsi="Times New Roman"/>
          <w:lang w:val="hu-HU"/>
        </w:rPr>
        <w:t>fokozza a nitroprusszid-nátrium thrombocytaaggregatio</w:t>
      </w:r>
      <w:r w:rsidR="007F3750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gátló hatását. Nem ismert, hogy vérzékenységben vagy aktív peptikus fekélyben szenvedőknél biztonságosan alkalmazható-e a szildenafil. Ezekben az állapotokban a szildenafil csak az előny/kockázat körültekintő mérlegelése után alkalmazható.</w:t>
      </w:r>
    </w:p>
    <w:p w14:paraId="4BB29596" w14:textId="0193FA7A" w:rsidR="00B76076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7253EE0" w14:textId="77777777" w:rsidR="00885771" w:rsidRDefault="00885771" w:rsidP="00885771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>
        <w:rPr>
          <w:rFonts w:ascii="Times New Roman" w:eastAsia="TimesNewRoman" w:hAnsi="Times New Roman"/>
          <w:u w:val="single"/>
          <w:lang w:val="hu-HU"/>
        </w:rPr>
        <w:t>Segédanyagok</w:t>
      </w:r>
    </w:p>
    <w:p w14:paraId="4AE9FF9A" w14:textId="77777777" w:rsidR="00885771" w:rsidRDefault="00885771" w:rsidP="00885771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24FCBDC3" w14:textId="1B407EB4" w:rsidR="00885771" w:rsidRDefault="00885771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Ez a gyógyszer 0,5 mg nátrium-benzoátot tartalmaz a szuszpenzió 0,5 ml-ében, ami 1 mg/ml-nek felel meg.</w:t>
      </w:r>
    </w:p>
    <w:p w14:paraId="6B2F8D82" w14:textId="77777777" w:rsidR="00885771" w:rsidRPr="00071884" w:rsidRDefault="00885771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BBE7B72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Nők</w:t>
      </w:r>
    </w:p>
    <w:p w14:paraId="2984D9B2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8A05522" w14:textId="0798FCEC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nők kezelésére nem javallt.</w:t>
      </w:r>
    </w:p>
    <w:p w14:paraId="11936F9D" w14:textId="77777777" w:rsidR="00A93E90" w:rsidRPr="00071884" w:rsidRDefault="00A93E90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C287975" w14:textId="681A543F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4.5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2A5513" w:rsidRPr="00071884">
        <w:rPr>
          <w:rFonts w:ascii="Times New Roman" w:eastAsia="TimesNewRoman,Bold" w:hAnsi="Times New Roman"/>
          <w:b/>
          <w:bCs/>
          <w:lang w:val="hu-HU"/>
        </w:rPr>
        <w:t>Gyógyszerkölcsönhatások és egyéb interakciók</w:t>
      </w:r>
    </w:p>
    <w:p w14:paraId="07C82BE3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5BD3062" w14:textId="6FD76F44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 xml:space="preserve">Más gyógyszerek hatása a </w:t>
      </w:r>
      <w:proofErr w:type="spellStart"/>
      <w:r w:rsidRPr="00071884">
        <w:rPr>
          <w:rFonts w:ascii="Times New Roman" w:eastAsia="TimesNewRoman" w:hAnsi="Times New Roman"/>
          <w:u w:val="single"/>
          <w:lang w:val="hu-HU"/>
        </w:rPr>
        <w:t>szildenafilra</w:t>
      </w:r>
      <w:proofErr w:type="spellEnd"/>
    </w:p>
    <w:p w14:paraId="25F5FAB7" w14:textId="0D4588B5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  <w:r w:rsidRPr="00071884">
        <w:rPr>
          <w:rFonts w:ascii="Times New Roman" w:eastAsia="TimesNewRoman,Bold" w:hAnsi="Times New Roman"/>
          <w:i/>
          <w:iCs/>
          <w:lang w:val="hu-HU"/>
        </w:rPr>
        <w:t>In vitro vizsgálatok</w:t>
      </w:r>
    </w:p>
    <w:p w14:paraId="7C57A1AA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a cytochrom P450 (CYP) enzimrendszerben, elsősorban a 3A4 izoenzimek és kisebb mértékben a 2C9 izoenzimek hatására metabolizálódik. Ennek megfelelően, ezeknek az izoenzimeknek a működését gátló vegyületek csökkenthetik, és ezeknek az izoenzimeknek a működését serkentők pedig növelhetik a szildenafil clearance-ét.</w:t>
      </w:r>
    </w:p>
    <w:p w14:paraId="6019DBBC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B0FB641" w14:textId="5EC2E8B4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i/>
          <w:iCs/>
          <w:lang w:val="hu-HU"/>
        </w:rPr>
      </w:pPr>
      <w:r w:rsidRPr="00071884">
        <w:rPr>
          <w:rFonts w:ascii="Times New Roman" w:eastAsia="TimesNewRoman,Bold" w:hAnsi="Times New Roman"/>
          <w:i/>
          <w:iCs/>
          <w:lang w:val="hu-HU"/>
        </w:rPr>
        <w:t>In vivo vizsgálatok</w:t>
      </w:r>
    </w:p>
    <w:p w14:paraId="04CFB83B" w14:textId="08A8789F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klinikai vizsgálatok során összegyűjtött adatok populációs farmakokinetikai elemzésével megállapították, hogy az egyidejűleg adott CYP3A4-inhibitorok (pl. ketokonazol, eritromicin vagy cimetidin) csökkentik a szildenafil eliminációját. Bár a nemkívánatos események előfordulási </w:t>
      </w:r>
      <w:r w:rsidRPr="00071884">
        <w:rPr>
          <w:rFonts w:ascii="Times New Roman" w:eastAsia="TimesNewRoman" w:hAnsi="Times New Roman"/>
          <w:lang w:val="hu-HU"/>
        </w:rPr>
        <w:lastRenderedPageBreak/>
        <w:t>gyakorisága nem emelkedett azon betegekben, akik a szildenafillal egyidejűleg adott CYP3A4-inhibitor medikációban részesültek, ilyen esetben mégis a 25 mg-os kezdő adag fontolandó meg.</w:t>
      </w:r>
    </w:p>
    <w:p w14:paraId="2FDB5007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1C78FA1" w14:textId="5A9B60E5" w:rsidR="00AC4E6B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HIV-proteáz</w:t>
      </w:r>
      <w:r w:rsidR="0075463A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gátló ritonavir, amely nagyon erős P450-gátló szer, dinamikus egyensúlyi állapotban (500 mg napi kétszer) történő együttadása szildenafillal (100 mg napi egyszer) 300%-os (4-szeres) szildenafil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-emelkedést, valamint a szildenafil AUC-értékének 1000%-os (11-szeres) növekedését idézte elő. A szildenafil plazmaszintje 24 óra múlva még mindig kb. 200 ng/ml volt, szemben a szildenafil önmagában történő adásakor tapasztalható kb. 5 ng/ml-rel.</w:t>
      </w:r>
      <w:r w:rsidR="00B76076" w:rsidRPr="00071884">
        <w:rPr>
          <w:rFonts w:ascii="Times New Roman" w:eastAsia="TimesNewRoman" w:hAnsi="Times New Roman"/>
          <w:lang w:val="hu-HU"/>
        </w:rPr>
        <w:t xml:space="preserve"> </w:t>
      </w:r>
    </w:p>
    <w:p w14:paraId="0B99F6E9" w14:textId="67B7867B" w:rsidR="00B76076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Ez egybevág a ritonavirnek a P450-szubsztrátok széles körében kimutatott jelentős hatásával. A szildenafil nincs hatással a ritonavir farmakokinetikájára. </w:t>
      </w:r>
      <w:r w:rsidR="00071884" w:rsidRPr="00071884">
        <w:rPr>
          <w:rFonts w:ascii="Times New Roman" w:hAnsi="Times New Roman"/>
          <w:lang w:val="hu-HU"/>
        </w:rPr>
        <w:t>Ezen farmakokinetikai eredmények alapján a szildenafil és a ritonavir egyidejű alkalmazása nem javasolt (lásd 4.4 pont), és ritonavir alkalmazása után 48 órán belül a szildenafil maximális adagja semmilyen körülmények között nem haladhatja meg a 25 mg szildenafilnak megfelelő 1 ml-t.</w:t>
      </w:r>
    </w:p>
    <w:p w14:paraId="2CA1FE5F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7942B07" w14:textId="2659B8D5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HIV-proteáz</w:t>
      </w:r>
      <w:r w:rsidR="009866C7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gátló s</w:t>
      </w:r>
      <w:r w:rsidR="00A427C8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>a</w:t>
      </w:r>
      <w:r w:rsidR="00A427C8">
        <w:rPr>
          <w:rFonts w:ascii="Times New Roman" w:eastAsia="TimesNewRoman" w:hAnsi="Times New Roman"/>
          <w:lang w:val="hu-HU"/>
        </w:rPr>
        <w:t>kv</w:t>
      </w:r>
      <w:r w:rsidRPr="00071884">
        <w:rPr>
          <w:rFonts w:ascii="Times New Roman" w:eastAsia="TimesNewRoman" w:hAnsi="Times New Roman"/>
          <w:lang w:val="hu-HU"/>
        </w:rPr>
        <w:t>inavir, mely a CYP3A4 inhibitora, dinamikus egyensúlyi állapotban (1200 mg naponta háromszor) történő együttadása szildenafillal (100 mg naponta egyszer) 140%-os szildenafil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-emelkedést, valamint a szildenafil AUC értékének 210%-os növekedését idézte elő. A szildenafil nincs hatással a s</w:t>
      </w:r>
      <w:r w:rsidR="00A427C8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>a</w:t>
      </w:r>
      <w:r w:rsidR="00A427C8">
        <w:rPr>
          <w:rFonts w:ascii="Times New Roman" w:eastAsia="TimesNewRoman" w:hAnsi="Times New Roman"/>
          <w:lang w:val="hu-HU"/>
        </w:rPr>
        <w:t>kv</w:t>
      </w:r>
      <w:r w:rsidRPr="00071884">
        <w:rPr>
          <w:rFonts w:ascii="Times New Roman" w:eastAsia="TimesNewRoman" w:hAnsi="Times New Roman"/>
          <w:lang w:val="hu-HU"/>
        </w:rPr>
        <w:t>inavir farmakokinetikájára (lásd 4.2 pont). Erősebb CYP3A4-gátlók esetén, mint amilyen a ketokonazol és az itrakonazol, nagyobb hatás várható.</w:t>
      </w:r>
    </w:p>
    <w:p w14:paraId="4A43793E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98F273A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Az eritromicin, egy közepesen erős CYP3A4-inhibitor, (5 napon keresztül tartó, napi 2-szer 500 mg-os) fenntartó adagolása mellett, egyszeri 100 mg szildenafil alkalmazásakor 182%-os emelkedést észleltek a szisztémás szildenafil-expozícióban (AUC). Egészséges férfi önkéntesekben nem volt jele, hogy az azitromicin (500 mg-os napi adag három napon át) hatással lett volna a szildenafil, vagy fő keringő metabolitjainak AUC-,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 , t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 értékeire, az eliminációs rátára vagy következményesen a felezési idejükre. Egészséges önkéntesekben a cytochrom P450-inhibitor és nem specifikus CYP3A4-inhibitor cimetidin (800 mg) 50 mg szildenafillal történő együttadása a plazma- szildenafil koncentráció 56%-os növekedését okozta.</w:t>
      </w:r>
    </w:p>
    <w:p w14:paraId="23E09E89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B2EA5AA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grapefruit, mivel gyenge inhibitora a bélfal CYP3A4 metabolizmusának, mérsékelten megemelheti a szildenafil plazmaszintjét.</w:t>
      </w:r>
    </w:p>
    <w:p w14:paraId="479657EE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DB811F6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Antacidumok (magnézium-hidroxid, alumínium-hidroxid) egyszeri adagja nem befolyásolta a szildenafil biohasznosulását.</w:t>
      </w:r>
    </w:p>
    <w:p w14:paraId="4995F5AA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8FE58CC" w14:textId="57478B7C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Bár minden gyógyszerre vonatkozó, specifikus interakciós vizsgálatot nem végeztek, a populációs farmakokinetikai elemzés gyógyszercsoportonkénti eredményei szerint az egyidejűleg adott CYP2C9-inhibitorok (pl. tolbutamid, warfarin, fenitoin), CYP2D6-gátlók (pl. a szelektív szerotonin</w:t>
      </w:r>
      <w:r w:rsidR="009478C0">
        <w:rPr>
          <w:rFonts w:ascii="Times New Roman" w:eastAsia="TimesNewRoman" w:hAnsi="Times New Roman"/>
          <w:lang w:val="hu-HU"/>
        </w:rPr>
        <w:t>visszavétel-</w:t>
      </w:r>
      <w:r w:rsidRPr="00071884">
        <w:rPr>
          <w:rFonts w:ascii="Times New Roman" w:eastAsia="TimesNewRoman" w:hAnsi="Times New Roman"/>
          <w:lang w:val="hu-HU"/>
        </w:rPr>
        <w:t>gátló</w:t>
      </w:r>
      <w:r w:rsidR="009478C0">
        <w:rPr>
          <w:rFonts w:ascii="Times New Roman" w:eastAsia="TimesNewRoman" w:hAnsi="Times New Roman"/>
          <w:lang w:val="hu-HU"/>
        </w:rPr>
        <w:t>k</w:t>
      </w:r>
      <w:r w:rsidRPr="00071884">
        <w:rPr>
          <w:rFonts w:ascii="Times New Roman" w:eastAsia="TimesNewRoman" w:hAnsi="Times New Roman"/>
          <w:lang w:val="hu-HU"/>
        </w:rPr>
        <w:t>, triciklus</w:t>
      </w:r>
      <w:r w:rsidR="009478C0">
        <w:rPr>
          <w:rFonts w:ascii="Times New Roman" w:eastAsia="TimesNewRoman" w:hAnsi="Times New Roman"/>
          <w:lang w:val="hu-HU"/>
        </w:rPr>
        <w:t>os</w:t>
      </w:r>
      <w:r w:rsidRPr="00071884">
        <w:rPr>
          <w:rFonts w:ascii="Times New Roman" w:eastAsia="TimesNewRoman" w:hAnsi="Times New Roman"/>
          <w:lang w:val="hu-HU"/>
        </w:rPr>
        <w:t xml:space="preserve"> antidepresszánsok), továbbá a tiazid- és rokon diuretikumok, a kacs-, valamint káliummegtakarító diuretikumok, az angiotenzinkonvertálóenzim</w:t>
      </w:r>
      <w:r w:rsidR="009478C0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gátlók, a kalciumcsatorna-blokkolók, a béta-receptor</w:t>
      </w:r>
      <w:r w:rsidR="009478C0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antagonisták, ill. a CYP450-anyagcsere induktorai (pl. rifampicin és barbiturátok) nem módosítják a szildenafil farmakokinetikai jellemzőit. Egy egészséges férfi önkéntesekkel végzett vizsgálatban az endothelinantagonista boszentán (ami egy CYP3A4- (közepesen erős), CYP2C9- és esetleg CYP2C19-induktor) dinamikus egyensúlyi állapotban (napi kétszer 125 mg) és dinamikus egyensúlyi állapot mellett (napi háromszor 80 mg) a szildenafil együttes alkalmazása a szildenafil AUC-értékét 62,6%-kal és a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 xml:space="preserve">-értékét 55,4%-kal csökkentette. Következésképpen, erős CYP3A4-induktorokkal </w:t>
      </w:r>
      <w:r w:rsidR="009478C0">
        <w:rPr>
          <w:rFonts w:ascii="Times New Roman" w:eastAsia="TimesNewRoman" w:hAnsi="Times New Roman"/>
          <w:lang w:val="hu-HU"/>
        </w:rPr>
        <w:t>–</w:t>
      </w:r>
      <w:r w:rsidRPr="00071884">
        <w:rPr>
          <w:rFonts w:ascii="Times New Roman" w:eastAsia="TimesNewRoman" w:hAnsi="Times New Roman"/>
          <w:lang w:val="hu-HU"/>
        </w:rPr>
        <w:t xml:space="preserve"> mint a rifampicin </w:t>
      </w:r>
      <w:r w:rsidR="009478C0">
        <w:rPr>
          <w:rFonts w:ascii="Times New Roman" w:eastAsia="TimesNewRoman" w:hAnsi="Times New Roman"/>
          <w:lang w:val="hu-HU"/>
        </w:rPr>
        <w:t>–</w:t>
      </w:r>
      <w:r w:rsidRPr="00071884">
        <w:rPr>
          <w:rFonts w:ascii="Times New Roman" w:eastAsia="TimesNewRoman" w:hAnsi="Times New Roman"/>
          <w:lang w:val="hu-HU"/>
        </w:rPr>
        <w:t xml:space="preserve"> történő együttes alkalmazása várhatóan nagyobb mértékben csökkenti a szildenafil plazmakoncentrációját.</w:t>
      </w:r>
    </w:p>
    <w:p w14:paraId="70A13C02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48817E1" w14:textId="6EBEE5CB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nikorandil egy káliumcsatorna</w:t>
      </w:r>
      <w:r w:rsidR="009478C0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aktivátor és nitrát hibridje. Nitrát összetevője miatt súlyos gyógyszerkölcsönhatásba léphet a szildenafillal.</w:t>
      </w:r>
    </w:p>
    <w:p w14:paraId="2408F605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06D2EB39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A szildenafil hatása más gyógyszerekre</w:t>
      </w:r>
    </w:p>
    <w:p w14:paraId="64968F2B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EFF5DED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>In vitro vizsgálatok</w:t>
      </w:r>
    </w:p>
    <w:p w14:paraId="25C35039" w14:textId="25063F11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szildenafil kis mértékben gátolja a cytochrom P450 enzimrendszer 1A2, 2C9, 2C19, 2D6, 2E1 és 3A4 izoenzimeinek aktivitását (IC50&gt;150 </w:t>
      </w:r>
      <w:r w:rsidR="001A334F">
        <w:rPr>
          <w:rFonts w:ascii="Times New Roman" w:eastAsia="TimesNewRoman" w:hAnsi="Times New Roman"/>
          <w:lang w:val="hu-HU"/>
        </w:rPr>
        <w:t>mikromol/dm</w:t>
      </w:r>
      <w:r w:rsidR="001A334F">
        <w:rPr>
          <w:rFonts w:ascii="Times New Roman" w:eastAsia="TimesNewRoman" w:hAnsi="Times New Roman"/>
          <w:vertAlign w:val="superscript"/>
          <w:lang w:val="hu-HU"/>
        </w:rPr>
        <w:t>3</w:t>
      </w:r>
      <w:r w:rsidRPr="00071884">
        <w:rPr>
          <w:rFonts w:ascii="Times New Roman" w:eastAsia="TimesNewRoman" w:hAnsi="Times New Roman"/>
          <w:lang w:val="hu-HU"/>
        </w:rPr>
        <w:t xml:space="preserve">). A javasolt dózisok alkalmazása után </w:t>
      </w:r>
      <w:r w:rsidRPr="00071884">
        <w:rPr>
          <w:rFonts w:ascii="Times New Roman" w:eastAsia="TimesNewRoman" w:hAnsi="Times New Roman"/>
          <w:lang w:val="hu-HU"/>
        </w:rPr>
        <w:lastRenderedPageBreak/>
        <w:t xml:space="preserve">várható, kb. 1 </w:t>
      </w:r>
      <w:r w:rsidR="001A334F">
        <w:rPr>
          <w:rFonts w:ascii="Times New Roman" w:eastAsia="TimesNewRoman" w:hAnsi="Times New Roman"/>
          <w:lang w:val="hu-HU"/>
        </w:rPr>
        <w:t>mikromol/dm</w:t>
      </w:r>
      <w:r w:rsidR="001A334F">
        <w:rPr>
          <w:rFonts w:ascii="Times New Roman" w:eastAsia="TimesNewRoman" w:hAnsi="Times New Roman"/>
          <w:vertAlign w:val="superscript"/>
          <w:lang w:val="hu-HU"/>
        </w:rPr>
        <w:t>3</w:t>
      </w:r>
      <w:r w:rsidR="001A334F" w:rsidRPr="00071884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lang w:val="hu-HU"/>
        </w:rPr>
        <w:t>maximális plazmakoncentráció esetén nem valószínű, hogy 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módosítja a felsorolt izoenzimek szubsztrátjainak eliminációját.</w:t>
      </w:r>
    </w:p>
    <w:p w14:paraId="50E96FC0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670F8CF" w14:textId="564F8AD2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Nincs adat a szildenafil és nem specifikus </w:t>
      </w:r>
      <w:proofErr w:type="spellStart"/>
      <w:r w:rsidRPr="00071884">
        <w:rPr>
          <w:rFonts w:ascii="Times New Roman" w:eastAsia="TimesNewRoman" w:hAnsi="Times New Roman"/>
          <w:lang w:val="hu-HU"/>
        </w:rPr>
        <w:t>foszfo</w:t>
      </w:r>
      <w:r w:rsidR="00D7268A">
        <w:rPr>
          <w:rFonts w:ascii="Times New Roman" w:eastAsia="TimesNewRoman" w:hAnsi="Times New Roman"/>
          <w:lang w:val="hu-HU"/>
        </w:rPr>
        <w:t>diész</w:t>
      </w:r>
      <w:r w:rsidRPr="00071884">
        <w:rPr>
          <w:rFonts w:ascii="Times New Roman" w:eastAsia="TimesNewRoman" w:hAnsi="Times New Roman"/>
          <w:lang w:val="hu-HU"/>
        </w:rPr>
        <w:t>terázgátlók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 (pl. teofillin, dipiridamol) közötti gyógyszerkölcsönhatásokról.</w:t>
      </w:r>
    </w:p>
    <w:p w14:paraId="5705F1CB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A19D55C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>In vivo vizsgálatok</w:t>
      </w:r>
    </w:p>
    <w:p w14:paraId="6C1AF160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nitrogén-monoxid/cGMP anyagcsereútra kifejtett ismert hatásaival összefüggésben (lásd 5.1 pont) a szildenafilról kimutatták, hogy fokozza a nitrátkészítmények vérnyomáscsökkentő hatását, ezért együttadása nitrogén-monoxid-képző vegyületekkel vagy bármely gyógyszerformájú nitrátkészítményekkel ellenjavallt (lásd 4.3 pont).</w:t>
      </w:r>
    </w:p>
    <w:p w14:paraId="18DD202F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628758D" w14:textId="2D84AC6E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alfa-blokkolót szedő betegeknél történő alkalmazásakor néhány arra hajlamos egyénben tünetekkel járó hypotensio jelentkezhet. Ez legnagyobb valószínűséggel a szildenafil alkalmazását követő 4 órán belül fordul elő (lásd 4.2 és 4.4 pont). Három specifikus gyógyszer-gyógyszer kölcsönhatás vizsgálatban alfa-blokkoló doxazozint (4 mg és 8 mg) és szildenafilt (25 mg, 50 mg vagy 100 mg) adtak egyidejűleg doxazozin terápiára stabilan beállított benignus prostata hyperplasiás (BPH) betegeknek. Ezekben a vizsgálati csoportokban a fekvő helyzetben mért vérnyomás további csökkenésének átlagértéke 7/7 Hgmm, 9/5 Hgmm</w:t>
      </w:r>
      <w:r w:rsidR="00DE54DC">
        <w:rPr>
          <w:rFonts w:ascii="Times New Roman" w:eastAsia="TimesNewRoman" w:hAnsi="Times New Roman"/>
          <w:lang w:val="hu-HU"/>
        </w:rPr>
        <w:t>,</w:t>
      </w:r>
      <w:r w:rsidRPr="00071884">
        <w:rPr>
          <w:rFonts w:ascii="Times New Roman" w:eastAsia="TimesNewRoman" w:hAnsi="Times New Roman"/>
          <w:lang w:val="hu-HU"/>
        </w:rPr>
        <w:t xml:space="preserve"> ill. 8/4 Hgmm volt, míg az álló helyzetben mért vérnyomás további csökkenésének átlagértéke 6/6 Hgmm, 11/4 Hgmm ill. 4/5 Hgmm. Amikor doxazozin terápiára stabilan beállított betegeknek adtak egyidejűleg doxazozint és szildenafilt, tünetekkel járó orthostaticus hypotensióról nem gyakran számoltak be. Ezek a jelentések szédülésről, ájulásérzésről számoltak be, syncopéről azonban nem.</w:t>
      </w:r>
    </w:p>
    <w:p w14:paraId="09329132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3F8DF16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Nem mutatkozott jelentős interakció a CYP2C9 által metabolizált tolbutamid (250 mg), illetve warfarin (40 mg) szildenafillal (50 mg) történő együttadásakor.</w:t>
      </w:r>
    </w:p>
    <w:p w14:paraId="2D934A7A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69CEAFD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(50 mg-os adagban) nem fokozta a vérzési időnek az acetilszalicilsav (150 mg) okozta megnyúlását.</w:t>
      </w:r>
    </w:p>
    <w:p w14:paraId="4CEF9605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E5B1ACE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maximum 80 mg/dl átlagos véralkoholszintű egészséges önkéntesekben a szildenafil (50 mg-os adagban) nem fokozta az alkohol vérnyomáscsökkentő hatását.</w:t>
      </w:r>
    </w:p>
    <w:p w14:paraId="28201446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1B6872F" w14:textId="3933315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Az alábbi antihypertensiv gyógyszeres kezeléseket egy csoportba összevonva, nem mutatkozott eltérés a mellékhatás-profilban az antihypertensiv szert szildenafillal, és az antihypertensiv szert placebóval szedő betegek adatai között: diuretikumok, béta-blokkolók, ACE-gátlók, angiotenzin-II antagonisták, vérnyomáscsökkentők, (értágítók és centrális hatásúak), adrenerg neuron blokkolók, kalciumcsatorna- blokkolók, valamint alfa-adrenerg receptor-blokkolók. Egy specifikus interakciós vizsgálatban, mely során magasvérnyomás</w:t>
      </w:r>
      <w:r w:rsidR="0043195B">
        <w:rPr>
          <w:rFonts w:ascii="Times New Roman" w:eastAsia="TimesNewRoman" w:hAnsi="Times New Roman"/>
          <w:lang w:val="hu-HU"/>
        </w:rPr>
        <w:t>-betegség</w:t>
      </w:r>
      <w:r w:rsidRPr="00071884">
        <w:rPr>
          <w:rFonts w:ascii="Times New Roman" w:eastAsia="TimesNewRoman" w:hAnsi="Times New Roman"/>
          <w:lang w:val="hu-HU"/>
        </w:rPr>
        <w:t>b</w:t>
      </w:r>
      <w:r w:rsidR="0043195B">
        <w:rPr>
          <w:rFonts w:ascii="Times New Roman" w:eastAsia="TimesNewRoman" w:hAnsi="Times New Roman"/>
          <w:lang w:val="hu-HU"/>
        </w:rPr>
        <w:t>e</w:t>
      </w:r>
      <w:r w:rsidRPr="00071884">
        <w:rPr>
          <w:rFonts w:ascii="Times New Roman" w:eastAsia="TimesNewRoman" w:hAnsi="Times New Roman"/>
          <w:lang w:val="hu-HU"/>
        </w:rPr>
        <w:t xml:space="preserve">n szenvedő betegeknek 100 mg szildenafilt adtak amlodipinnel együtt, 8 Hgmm-es átlagos additív systolés vérnyomáscsökkenést, ill. 7 Hgmm-es átlagos additív diastolés vérnyomáscsökkenést mértek fekvő helyzetben. </w:t>
      </w:r>
      <w:r w:rsidR="00FB162D">
        <w:rPr>
          <w:rFonts w:ascii="Times New Roman" w:eastAsia="TimesNewRoman" w:hAnsi="Times New Roman"/>
          <w:lang w:val="hu-HU"/>
        </w:rPr>
        <w:t>Ezek az additív vé</w:t>
      </w:r>
      <w:r w:rsidR="004D429C" w:rsidRPr="004D429C">
        <w:rPr>
          <w:rFonts w:ascii="Times New Roman" w:eastAsia="TimesNewRoman" w:hAnsi="Times New Roman"/>
          <w:lang w:val="hu-HU"/>
        </w:rPr>
        <w:t>rnyomáscsökken</w:t>
      </w:r>
      <w:r w:rsidR="004D429C">
        <w:rPr>
          <w:rFonts w:ascii="Times New Roman" w:eastAsia="TimesNewRoman" w:hAnsi="Times New Roman"/>
          <w:lang w:val="hu-HU"/>
        </w:rPr>
        <w:t>tő hatások</w:t>
      </w:r>
      <w:r w:rsidR="004D429C" w:rsidRPr="004D429C">
        <w:rPr>
          <w:rFonts w:ascii="Times New Roman" w:eastAsia="TimesNewRoman" w:hAnsi="Times New Roman"/>
          <w:lang w:val="hu-HU"/>
        </w:rPr>
        <w:t xml:space="preserve"> hasonló nagyságúak voltak, mint a szildenafilt önmagában alkalmazó egészséges önkénteseknél</w:t>
      </w:r>
      <w:r w:rsidR="004D429C" w:rsidRPr="00DC365F" w:rsidDel="004D429C">
        <w:rPr>
          <w:rFonts w:ascii="Times New Roman" w:eastAsia="TimesNewRoman" w:hAnsi="Times New Roman"/>
          <w:lang w:val="hu-HU"/>
        </w:rPr>
        <w:t xml:space="preserve"> </w:t>
      </w:r>
      <w:r w:rsidRPr="00FB162D">
        <w:rPr>
          <w:rFonts w:ascii="Times New Roman" w:eastAsia="TimesNewRoman" w:hAnsi="Times New Roman"/>
          <w:lang w:val="hu-HU"/>
        </w:rPr>
        <w:t>(</w:t>
      </w:r>
      <w:r w:rsidRPr="00071884">
        <w:rPr>
          <w:rFonts w:ascii="Times New Roman" w:eastAsia="TimesNewRoman" w:hAnsi="Times New Roman"/>
          <w:lang w:val="hu-HU"/>
        </w:rPr>
        <w:t>lásd 5.1 pont).</w:t>
      </w:r>
    </w:p>
    <w:p w14:paraId="026D1A67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E9A8C81" w14:textId="3FA40D3E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szildenafilnak (100 mg) nem volt hatása a HIV-proteáz</w:t>
      </w:r>
      <w:r w:rsidR="009866C7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inhibitor s</w:t>
      </w:r>
      <w:r w:rsidR="00A427C8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>a</w:t>
      </w:r>
      <w:r w:rsidR="00A427C8">
        <w:rPr>
          <w:rFonts w:ascii="Times New Roman" w:eastAsia="TimesNewRoman" w:hAnsi="Times New Roman"/>
          <w:lang w:val="hu-HU"/>
        </w:rPr>
        <w:t>kv</w:t>
      </w:r>
      <w:r w:rsidRPr="00071884">
        <w:rPr>
          <w:rFonts w:ascii="Times New Roman" w:eastAsia="TimesNewRoman" w:hAnsi="Times New Roman"/>
          <w:lang w:val="hu-HU"/>
        </w:rPr>
        <w:t>inavir és ritonavir (mindkettő CYP3A4-szubsztrát) dinamikus egyensúlyi farmakokinetikájára.</w:t>
      </w:r>
    </w:p>
    <w:p w14:paraId="7A0CF559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E2D48EC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Egészséges férfi önkénteseknél, dinamikus egyensúlyi állapotban a szildenafil (napi háromszor 80 mg)</w:t>
      </w:r>
    </w:p>
    <w:p w14:paraId="0A536DAA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boszentán (napi kétszer 125 mg) AUC-értékét 49,8%-kal és a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-értékét 42%-kal növelte.</w:t>
      </w:r>
    </w:p>
    <w:p w14:paraId="3DA2C3C3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83CE1BD" w14:textId="77777777" w:rsidR="002A5513" w:rsidRPr="00071884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>Riociguát</w:t>
      </w:r>
    </w:p>
    <w:p w14:paraId="6C9C3896" w14:textId="288328EF" w:rsidR="007C27B0" w:rsidRDefault="002A5513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preklinikai vizsgálatok additív szisztémás vérnyomáscsökkentő hatást igazoltak PDE5 inhibitorok és riociguát kombinációja esetén. A klinikai vizsgálatok során a riociguát fokozta a PDE5 inhibitorok vérnyomáscsökkentő hatását. Az együttes alkalmazás esetében nem észleltek kedvező klinikai hatást a vizsgált populációban. Riociguát együttes adása PDE5 inhibitorokkal (beleértve a szildenafilt is) ellenjavallt (lásd 4.3 pont).</w:t>
      </w:r>
    </w:p>
    <w:p w14:paraId="4AC62F4B" w14:textId="031365D1" w:rsidR="00212CDC" w:rsidRDefault="00212CDC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A35AC70" w14:textId="3209D401" w:rsidR="00212CDC" w:rsidRPr="00071884" w:rsidRDefault="00212CDC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227C95">
        <w:rPr>
          <w:rFonts w:ascii="Times New Roman" w:eastAsia="TimesNewRoman" w:hAnsi="Times New Roman"/>
          <w:lang w:val="hu-HU"/>
        </w:rPr>
        <w:lastRenderedPageBreak/>
        <w:t>Beállított szakubitril/valzartán-kezelést kapó hypertoniás betegeknél egyszeri adag szildenafil</w:t>
      </w:r>
      <w:r>
        <w:rPr>
          <w:rFonts w:ascii="Times New Roman" w:eastAsia="TimesNewRoman" w:hAnsi="Times New Roman"/>
          <w:lang w:val="hu-HU"/>
        </w:rPr>
        <w:t xml:space="preserve"> </w:t>
      </w:r>
      <w:r w:rsidRPr="00227C95">
        <w:rPr>
          <w:rFonts w:ascii="Times New Roman" w:eastAsia="TimesNewRoman" w:hAnsi="Times New Roman"/>
          <w:lang w:val="hu-HU"/>
        </w:rPr>
        <w:t>alkalmazása lényegesen nagyobb vérnyomáscsökkenéssel járt, mint a szakubitril/valzartán önmagában</w:t>
      </w:r>
      <w:r>
        <w:rPr>
          <w:rFonts w:ascii="Times New Roman" w:eastAsia="TimesNewRoman" w:hAnsi="Times New Roman"/>
          <w:lang w:val="hu-HU"/>
        </w:rPr>
        <w:t xml:space="preserve"> </w:t>
      </w:r>
      <w:r w:rsidRPr="00227C95">
        <w:rPr>
          <w:rFonts w:ascii="Times New Roman" w:eastAsia="TimesNewRoman" w:hAnsi="Times New Roman"/>
          <w:lang w:val="hu-HU"/>
        </w:rPr>
        <w:t>történő adása esetén. Ezért elővigyázatosság szükséges, amikor a szakubitril/valzartánnal kezelt</w:t>
      </w:r>
      <w:r>
        <w:rPr>
          <w:rFonts w:ascii="Times New Roman" w:eastAsia="TimesNewRoman" w:hAnsi="Times New Roman"/>
          <w:lang w:val="hu-HU"/>
        </w:rPr>
        <w:t xml:space="preserve"> </w:t>
      </w:r>
      <w:r w:rsidRPr="00227C95">
        <w:rPr>
          <w:rFonts w:ascii="Times New Roman" w:eastAsia="TimesNewRoman" w:hAnsi="Times New Roman"/>
          <w:lang w:val="hu-HU"/>
        </w:rPr>
        <w:t>betegeknél szildenafil adását kezdik.</w:t>
      </w:r>
    </w:p>
    <w:p w14:paraId="7B2C03CE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29AF3A4" w14:textId="551EDE89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4.6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756EF8" w:rsidRPr="00071884">
        <w:rPr>
          <w:rFonts w:ascii="Times New Roman" w:eastAsia="TimesNewRoman,Bold" w:hAnsi="Times New Roman"/>
          <w:b/>
          <w:bCs/>
          <w:lang w:val="hu-HU"/>
        </w:rPr>
        <w:t>Termékenység, terhesség és szoptatás</w:t>
      </w:r>
    </w:p>
    <w:p w14:paraId="6D81B384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4FEB26C" w14:textId="0D5A39DA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nők kezelésére nem javallt.</w:t>
      </w:r>
    </w:p>
    <w:p w14:paraId="7A0FA7FB" w14:textId="77777777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5AC44B7" w14:textId="1005C689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Nem végeztek megfelelő és kellően kontroll</w:t>
      </w:r>
      <w:r w:rsidR="00DF7726">
        <w:rPr>
          <w:rFonts w:ascii="Times New Roman" w:eastAsia="TimesNewRoman" w:hAnsi="Times New Roman"/>
          <w:lang w:val="hu-HU"/>
        </w:rPr>
        <w:t>os</w:t>
      </w:r>
      <w:r w:rsidRPr="00071884">
        <w:rPr>
          <w:rFonts w:ascii="Times New Roman" w:eastAsia="TimesNewRoman" w:hAnsi="Times New Roman"/>
          <w:lang w:val="hu-HU"/>
        </w:rPr>
        <w:t xml:space="preserve"> vizsgálatokat terhes vagy szoptató nők esetében.</w:t>
      </w:r>
    </w:p>
    <w:p w14:paraId="7CD4F61F" w14:textId="77777777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0F2F4B5" w14:textId="77777777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patkányokon és nyulakon, orálisan adott szildenafillal végzett reprodukciós vizsgálatok során nem észleltek releváns nemkívánatos hatást.</w:t>
      </w:r>
    </w:p>
    <w:p w14:paraId="53A27787" w14:textId="77777777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7F44395" w14:textId="1AD06397" w:rsidR="00B76076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egyszeri 100 mg-os orális adagjai után egészséges önkénteseknél a spermiumok motilitására és morfológiájára gyakorolt hatást nem észleltek (lásd 5.1 pont).</w:t>
      </w:r>
    </w:p>
    <w:p w14:paraId="40D169FE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CDC1E53" w14:textId="1C4C0BF5" w:rsidR="00B76076" w:rsidRPr="00071884" w:rsidRDefault="00B76076" w:rsidP="002E63B1">
      <w:pPr>
        <w:autoSpaceDE w:val="0"/>
        <w:autoSpaceDN w:val="0"/>
        <w:adjustRightInd w:val="0"/>
        <w:spacing w:line="240" w:lineRule="auto"/>
        <w:ind w:left="709" w:hanging="709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4.7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756EF8" w:rsidRPr="00071884">
        <w:rPr>
          <w:rFonts w:ascii="Times New Roman" w:eastAsia="TimesNewRoman,Bold" w:hAnsi="Times New Roman"/>
          <w:b/>
          <w:bCs/>
          <w:lang w:val="hu-HU"/>
        </w:rPr>
        <w:t>A készítmény hatásai a gépjárművezetéshez és a gépek kezeléséhez szükséges képességekre</w:t>
      </w:r>
    </w:p>
    <w:p w14:paraId="638422F4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A7DFD65" w14:textId="77777777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készítménynek a gépjárművezetéshez és a gépek kezeléséhez szükséges képességeket befolyásoló hatásait nem vizsgálták.</w:t>
      </w:r>
    </w:p>
    <w:p w14:paraId="5E6EEFA5" w14:textId="77777777" w:rsidR="00756EF8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5BC1848" w14:textId="596A079B" w:rsidR="00B76076" w:rsidRPr="00071884" w:rsidRDefault="00756EF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Mivel a szildenafil-vizsgálatok során szédülésről és látászavarról is beszámoltak, vezetés, illetve gépek használata előtt a betegnek tudnia kell azt, hogyan reagál 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>-ra.</w:t>
      </w:r>
    </w:p>
    <w:p w14:paraId="5BFC4CDC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791D716E" w14:textId="2C7375D8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4.8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937B0E" w:rsidRPr="00071884">
        <w:rPr>
          <w:rFonts w:ascii="Times New Roman" w:eastAsia="TimesNewRoman,Bold" w:hAnsi="Times New Roman"/>
          <w:b/>
          <w:bCs/>
          <w:lang w:val="hu-HU"/>
        </w:rPr>
        <w:t>Nemkívánatos hatások, mellékhatások</w:t>
      </w:r>
    </w:p>
    <w:p w14:paraId="79957D2C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6EFF6B2" w14:textId="5941D610" w:rsidR="00B76076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A biztonságossági profil összefoglalása</w:t>
      </w:r>
    </w:p>
    <w:p w14:paraId="6ED7F24A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75B23EA2" w14:textId="489E3289" w:rsidR="00937B0E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</w:t>
      </w:r>
      <w:r w:rsidR="009C6D7A" w:rsidRPr="00071884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>ildenafil biztonságossági profilja 9570 betegnél szerzett tapasztalaton alapul, akiket 74 kettős</w:t>
      </w:r>
      <w:r w:rsidR="00473B92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lang w:val="hu-HU"/>
        </w:rPr>
        <w:t>vak, placebo-kontrollos klinikai vizsgálatban kezeltek. A klinikai vizsgálatokban a szildenafillal kezelt betegeknél leggyakrabban jelentett mellékhatások a fejfájás, kipirulás, dyspepsia, orrdugulás, szédülés, hányinger, hőhullámok, látászavar, cyanopsia és homályos látás voltak.</w:t>
      </w:r>
    </w:p>
    <w:p w14:paraId="5219D4EC" w14:textId="77777777" w:rsidR="00937B0E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40A362E" w14:textId="77777777" w:rsidR="00937B0E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forgalomba hozatalt követő megfigyelésekből származó mellékhatásokat becslések szerint 10 évnél hosszabb időszakot átfogva gyűjtötték össze. Mivel nem minden mellékhatást jelentetenek a forgalomba hozatali engedély jogosultjának, és nem mindegyik kerül bele a biztonságossági adatbázisba, ezeknek a reakcióknak a gyakorisága nem határozható meg megbízhatóan.</w:t>
      </w:r>
    </w:p>
    <w:p w14:paraId="56CD5162" w14:textId="77777777" w:rsidR="00937B0E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DB8122B" w14:textId="77777777" w:rsidR="00937B0E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A mellékhatások táblázatos felsorolása</w:t>
      </w:r>
    </w:p>
    <w:p w14:paraId="399DAEDF" w14:textId="77777777" w:rsidR="00937B0E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809DF45" w14:textId="448D7088" w:rsidR="00B76076" w:rsidRPr="00071884" w:rsidRDefault="00937B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Az alábbi táblázatban minden, orvosi szempontból fontos mellékhatás, mely a klinikai vizsgálatokban a placebónál magasabb incidenciával jelentkezett, szervrendszerek és gyakoriság szerint van felsorolva (nagyon gyakori: </w:t>
      </w:r>
      <w:r w:rsidRPr="00071884">
        <w:rPr>
          <w:rFonts w:ascii="Times New Roman" w:eastAsia="TimesNewRoman" w:hAnsi="Times New Roman"/>
          <w:u w:val="single"/>
          <w:lang w:val="hu-HU"/>
        </w:rPr>
        <w:t>≥</w:t>
      </w:r>
      <w:r w:rsidRPr="00071884">
        <w:rPr>
          <w:rFonts w:ascii="Times New Roman" w:eastAsia="TimesNewRoman" w:hAnsi="Times New Roman"/>
          <w:lang w:val="hu-HU"/>
        </w:rPr>
        <w:t xml:space="preserve">1/10, gyakori: </w:t>
      </w:r>
      <w:r w:rsidRPr="00071884">
        <w:rPr>
          <w:rFonts w:ascii="Times New Roman" w:eastAsia="TimesNewRoman" w:hAnsi="Times New Roman"/>
          <w:u w:val="single"/>
          <w:lang w:val="hu-HU"/>
        </w:rPr>
        <w:t>≥</w:t>
      </w:r>
      <w:r w:rsidR="002F3589">
        <w:rPr>
          <w:rFonts w:ascii="Times New Roman" w:eastAsia="TimesNewRoman" w:hAnsi="Times New Roman"/>
          <w:lang w:val="hu-HU"/>
        </w:rPr>
        <w:t xml:space="preserve">1/100 – </w:t>
      </w:r>
      <w:r w:rsidRPr="00071884">
        <w:rPr>
          <w:rFonts w:ascii="Times New Roman" w:eastAsia="TimesNewRoman" w:hAnsi="Times New Roman"/>
          <w:lang w:val="hu-HU"/>
        </w:rPr>
        <w:t xml:space="preserve">1/10, nem gyakori: </w:t>
      </w:r>
      <w:r w:rsidRPr="00071884">
        <w:rPr>
          <w:rFonts w:ascii="Times New Roman" w:eastAsia="TimesNewRoman" w:hAnsi="Times New Roman"/>
          <w:u w:val="single"/>
          <w:lang w:val="hu-HU"/>
        </w:rPr>
        <w:t>≥</w:t>
      </w:r>
      <w:r w:rsidRPr="00071884">
        <w:rPr>
          <w:rFonts w:ascii="Times New Roman" w:eastAsia="TimesNewRoman" w:hAnsi="Times New Roman"/>
          <w:lang w:val="hu-HU"/>
        </w:rPr>
        <w:t xml:space="preserve">1/1000 – 1/100, ritka: </w:t>
      </w:r>
      <w:r w:rsidRPr="00071884">
        <w:rPr>
          <w:rFonts w:ascii="Times New Roman" w:eastAsia="TimesNewRoman" w:hAnsi="Times New Roman"/>
          <w:u w:val="single"/>
          <w:lang w:val="hu-HU"/>
        </w:rPr>
        <w:t>≥</w:t>
      </w:r>
      <w:r w:rsidRPr="00071884">
        <w:rPr>
          <w:rFonts w:ascii="Times New Roman" w:eastAsia="TimesNewRoman" w:hAnsi="Times New Roman"/>
          <w:lang w:val="hu-HU"/>
        </w:rPr>
        <w:t>1/10</w:t>
      </w:r>
      <w:r w:rsidR="00564E54">
        <w:rPr>
          <w:rFonts w:ascii="Times New Roman" w:eastAsia="TimesNewRoman" w:hAnsi="Times New Roman"/>
          <w:lang w:val="hu-HU"/>
        </w:rPr>
        <w:t> </w:t>
      </w:r>
      <w:r w:rsidRPr="00071884">
        <w:rPr>
          <w:rFonts w:ascii="Times New Roman" w:eastAsia="TimesNewRoman" w:hAnsi="Times New Roman"/>
          <w:lang w:val="hu-HU"/>
        </w:rPr>
        <w:t>000 – 1/1000</w:t>
      </w:r>
      <w:r w:rsidR="00C40D5C">
        <w:rPr>
          <w:rFonts w:ascii="Times New Roman" w:eastAsia="TimesNewRoman" w:hAnsi="Times New Roman"/>
          <w:lang w:val="hu-HU"/>
        </w:rPr>
        <w:t>)</w:t>
      </w:r>
      <w:r w:rsidRPr="00071884">
        <w:rPr>
          <w:rFonts w:ascii="Times New Roman" w:eastAsia="TimesNewRoman" w:hAnsi="Times New Roman"/>
          <w:lang w:val="hu-HU"/>
        </w:rPr>
        <w:t xml:space="preserve">. </w:t>
      </w:r>
    </w:p>
    <w:p w14:paraId="6DC72C56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CFCCA05" w14:textId="3A4D56FF" w:rsidR="00B76076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Ezenkívül, a forgalomba hozatalt követően jelentett, orvosilag jelentős mellékhatások gyakoriságát nem ismertként tüntetjük fel.</w:t>
      </w:r>
    </w:p>
    <w:p w14:paraId="4CA98819" w14:textId="77777777" w:rsidR="004D1C05" w:rsidRPr="00071884" w:rsidRDefault="004D1C05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Az egyes gyakorisági kategóriákon belül a mellékhatások csökkenő súlyosság szerint kerülnek megadásra.</w:t>
      </w:r>
    </w:p>
    <w:p w14:paraId="362878E2" w14:textId="77777777" w:rsidR="004D1C05" w:rsidRPr="00071884" w:rsidRDefault="004D1C05" w:rsidP="00491B27">
      <w:pPr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B894D83" w14:textId="3847D0F8" w:rsidR="00B76076" w:rsidRPr="00071884" w:rsidRDefault="004D1C05" w:rsidP="00491B27">
      <w:pPr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1. táblázat: Kontrollos klinikai vizsgálatokból származó, a placebónál magasabb előfordulási gyakorisággal jelentett, orvosi szempontból fontos mellékhatások, és a forgalomba hozatalt követő megfigyelések során jelentett, orvosi szempontból fontos mellékhatások</w:t>
      </w:r>
    </w:p>
    <w:p w14:paraId="0D6F818B" w14:textId="68CD1E9F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BBDEFC8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29"/>
        <w:gridCol w:w="1451"/>
        <w:gridCol w:w="1593"/>
        <w:gridCol w:w="1717"/>
        <w:gridCol w:w="2370"/>
      </w:tblGrid>
      <w:tr w:rsidR="00F9016D" w:rsidRPr="002F3589" w14:paraId="6FE0112D" w14:textId="77777777" w:rsidTr="00F9016D">
        <w:trPr>
          <w:tblHeader/>
        </w:trPr>
        <w:tc>
          <w:tcPr>
            <w:tcW w:w="1930" w:type="dxa"/>
          </w:tcPr>
          <w:p w14:paraId="09C97B27" w14:textId="2BAC6CEA" w:rsidR="00F9016D" w:rsidRPr="002F3589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,Bold" w:hAnsi="Times New Roman"/>
                <w:b/>
                <w:bCs/>
                <w:lang w:val="hu-HU"/>
              </w:rPr>
            </w:pPr>
            <w:r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>Szervrendszer</w:t>
            </w:r>
          </w:p>
        </w:tc>
        <w:tc>
          <w:tcPr>
            <w:tcW w:w="1451" w:type="dxa"/>
          </w:tcPr>
          <w:p w14:paraId="68B21903" w14:textId="6ABF682C" w:rsidR="00F9016D" w:rsidRPr="002F3589" w:rsidRDefault="00F9016D" w:rsidP="00491B27">
            <w:pPr>
              <w:spacing w:line="240" w:lineRule="exact"/>
              <w:jc w:val="left"/>
              <w:rPr>
                <w:rFonts w:ascii="Times New Roman" w:eastAsia="TimesNewRoman,Bold" w:hAnsi="Times New Roman"/>
                <w:b/>
                <w:bCs/>
                <w:lang w:val="hu-HU"/>
              </w:rPr>
            </w:pPr>
            <w:r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 xml:space="preserve">Nagyon gyakori 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(</w:t>
            </w:r>
            <w:r w:rsidR="002F3589" w:rsidRPr="00DD01E8">
              <w:rPr>
                <w:rFonts w:ascii="Times New Roman" w:eastAsia="TimesNewRoman" w:hAnsi="Times New Roman"/>
                <w:b/>
                <w:i/>
                <w:iCs/>
                <w:u w:val="single"/>
                <w:lang w:val="hu-HU"/>
              </w:rPr>
              <w:t>≥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1/10)</w:t>
            </w:r>
          </w:p>
        </w:tc>
        <w:tc>
          <w:tcPr>
            <w:tcW w:w="1593" w:type="dxa"/>
          </w:tcPr>
          <w:p w14:paraId="42F8F235" w14:textId="51BE29D9" w:rsidR="00F9016D" w:rsidRPr="002F3589" w:rsidRDefault="00F9016D" w:rsidP="00491B27">
            <w:pPr>
              <w:spacing w:line="240" w:lineRule="exact"/>
              <w:jc w:val="left"/>
              <w:rPr>
                <w:rFonts w:ascii="Times New Roman" w:eastAsia="TimesNewRoman,Bold" w:hAnsi="Times New Roman"/>
                <w:b/>
                <w:bCs/>
                <w:lang w:val="hu-HU"/>
              </w:rPr>
            </w:pPr>
            <w:r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 xml:space="preserve">Gyakori 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(</w:t>
            </w:r>
            <w:r w:rsidR="002F3589"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≥1/100 – 1/10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)</w:t>
            </w:r>
          </w:p>
        </w:tc>
        <w:tc>
          <w:tcPr>
            <w:tcW w:w="1717" w:type="dxa"/>
          </w:tcPr>
          <w:p w14:paraId="73E36247" w14:textId="314434E0" w:rsidR="00F9016D" w:rsidRPr="002F3589" w:rsidRDefault="00F9016D" w:rsidP="002F3589">
            <w:pPr>
              <w:spacing w:line="240" w:lineRule="exact"/>
              <w:jc w:val="left"/>
              <w:rPr>
                <w:rFonts w:ascii="Times New Roman" w:eastAsia="TimesNewRoman,Bold" w:hAnsi="Times New Roman"/>
                <w:b/>
                <w:bCs/>
                <w:lang w:val="hu-HU"/>
              </w:rPr>
            </w:pPr>
            <w:r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>Nem gyakori</w:t>
            </w:r>
            <w:r w:rsidR="00071884"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 xml:space="preserve"> 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(</w:t>
            </w:r>
            <w:r w:rsidR="002F3589" w:rsidRPr="00DD01E8">
              <w:rPr>
                <w:rFonts w:ascii="Times New Roman" w:eastAsia="TimesNewRoman" w:hAnsi="Times New Roman"/>
                <w:b/>
                <w:i/>
                <w:iCs/>
                <w:u w:val="single"/>
                <w:lang w:val="hu-HU"/>
              </w:rPr>
              <w:t>≥</w:t>
            </w:r>
            <w:r w:rsidR="002F3589" w:rsidRPr="00DD01E8">
              <w:rPr>
                <w:rFonts w:ascii="Times New Roman" w:eastAsia="TimesNewRoman" w:hAnsi="Times New Roman"/>
                <w:b/>
                <w:i/>
                <w:iCs/>
                <w:lang w:val="hu-HU"/>
              </w:rPr>
              <w:t>1/1000 – 1/100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)</w:t>
            </w:r>
          </w:p>
        </w:tc>
        <w:tc>
          <w:tcPr>
            <w:tcW w:w="2370" w:type="dxa"/>
          </w:tcPr>
          <w:p w14:paraId="753E3E11" w14:textId="49607B50" w:rsidR="00F9016D" w:rsidRPr="002F3589" w:rsidRDefault="00F9016D" w:rsidP="00491B27">
            <w:pPr>
              <w:spacing w:line="260" w:lineRule="exact"/>
              <w:jc w:val="left"/>
              <w:rPr>
                <w:rFonts w:ascii="Times New Roman" w:eastAsia="TimesNewRoman,Bold" w:hAnsi="Times New Roman"/>
                <w:b/>
                <w:bCs/>
                <w:lang w:val="hu-HU"/>
              </w:rPr>
            </w:pPr>
            <w:r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>Rit</w:t>
            </w:r>
            <w:r w:rsidR="002F3589"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>k</w:t>
            </w:r>
            <w:r w:rsidRPr="002F3589">
              <w:rPr>
                <w:rFonts w:ascii="Times New Roman" w:eastAsia="TimesNewRoman,Bold" w:hAnsi="Times New Roman"/>
                <w:b/>
                <w:bCs/>
                <w:lang w:val="hu-HU"/>
              </w:rPr>
              <w:t xml:space="preserve">a 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(</w:t>
            </w:r>
            <w:r w:rsidR="002F3589" w:rsidRPr="00DD01E8">
              <w:rPr>
                <w:rFonts w:ascii="Times New Roman" w:eastAsia="TimesNewRoman" w:hAnsi="Times New Roman"/>
                <w:b/>
                <w:i/>
                <w:iCs/>
                <w:u w:val="single"/>
                <w:lang w:val="hu-HU"/>
              </w:rPr>
              <w:t>≥</w:t>
            </w:r>
            <w:r w:rsidR="002F3589" w:rsidRPr="00DD01E8">
              <w:rPr>
                <w:rFonts w:ascii="Times New Roman" w:eastAsia="TimesNewRoman" w:hAnsi="Times New Roman"/>
                <w:b/>
                <w:i/>
                <w:iCs/>
                <w:lang w:val="hu-HU"/>
              </w:rPr>
              <w:t>1/10 000 – 1/1000</w:t>
            </w:r>
            <w:r w:rsidRPr="00DD01E8">
              <w:rPr>
                <w:rFonts w:ascii="Times New Roman" w:eastAsia="TimesNewRoman,Bold" w:hAnsi="Times New Roman"/>
                <w:b/>
                <w:bCs/>
                <w:i/>
                <w:iCs/>
                <w:lang w:val="hu-HU"/>
              </w:rPr>
              <w:t>)</w:t>
            </w:r>
          </w:p>
        </w:tc>
      </w:tr>
      <w:tr w:rsidR="00F9016D" w:rsidRPr="00071884" w14:paraId="5C34B7F4" w14:textId="77777777" w:rsidTr="00F9016D">
        <w:tc>
          <w:tcPr>
            <w:tcW w:w="1930" w:type="dxa"/>
          </w:tcPr>
          <w:p w14:paraId="01FFE70F" w14:textId="5BF5EBEF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Fertőző betegségek és parazitafertőzések</w:t>
            </w:r>
          </w:p>
        </w:tc>
        <w:tc>
          <w:tcPr>
            <w:tcW w:w="1451" w:type="dxa"/>
          </w:tcPr>
          <w:p w14:paraId="514FD9BA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7F60A603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39CDB215" w14:textId="4D5108AB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rhinitis</w:t>
            </w:r>
          </w:p>
        </w:tc>
        <w:tc>
          <w:tcPr>
            <w:tcW w:w="2370" w:type="dxa"/>
          </w:tcPr>
          <w:p w14:paraId="2335A62C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</w:tr>
      <w:tr w:rsidR="00F9016D" w:rsidRPr="00071884" w14:paraId="59F72360" w14:textId="77777777" w:rsidTr="00F9016D">
        <w:tc>
          <w:tcPr>
            <w:tcW w:w="1930" w:type="dxa"/>
          </w:tcPr>
          <w:p w14:paraId="6D8200E7" w14:textId="30C80816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Immunrendszeri betegségek és tünetek</w:t>
            </w:r>
          </w:p>
        </w:tc>
        <w:tc>
          <w:tcPr>
            <w:tcW w:w="1451" w:type="dxa"/>
          </w:tcPr>
          <w:p w14:paraId="2F698206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7DADED6D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147A7938" w14:textId="49366DC6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túlérzékenység</w:t>
            </w:r>
          </w:p>
        </w:tc>
        <w:tc>
          <w:tcPr>
            <w:tcW w:w="2370" w:type="dxa"/>
          </w:tcPr>
          <w:p w14:paraId="39890E52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</w:tr>
      <w:tr w:rsidR="00F9016D" w:rsidRPr="00156042" w14:paraId="54374B05" w14:textId="77777777" w:rsidTr="00F9016D">
        <w:tc>
          <w:tcPr>
            <w:tcW w:w="1930" w:type="dxa"/>
          </w:tcPr>
          <w:p w14:paraId="7914ED91" w14:textId="4735F5B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Idegrendszeri betegségek és tünetek</w:t>
            </w:r>
          </w:p>
        </w:tc>
        <w:tc>
          <w:tcPr>
            <w:tcW w:w="1451" w:type="dxa"/>
          </w:tcPr>
          <w:p w14:paraId="32EACFC2" w14:textId="1E76E936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fejfájás</w:t>
            </w:r>
          </w:p>
        </w:tc>
        <w:tc>
          <w:tcPr>
            <w:tcW w:w="1593" w:type="dxa"/>
          </w:tcPr>
          <w:p w14:paraId="75311785" w14:textId="15EE05B4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szédülés</w:t>
            </w:r>
          </w:p>
        </w:tc>
        <w:tc>
          <w:tcPr>
            <w:tcW w:w="1717" w:type="dxa"/>
          </w:tcPr>
          <w:p w14:paraId="078D4C84" w14:textId="77777777" w:rsidR="00F9016D" w:rsidRPr="00071884" w:rsidRDefault="00F9016D" w:rsidP="00491B27">
            <w:pPr>
              <w:spacing w:line="240" w:lineRule="exact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aluszékonyság,</w:t>
            </w:r>
          </w:p>
          <w:p w14:paraId="4358EBFE" w14:textId="52BD1554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hypesthesia</w:t>
            </w:r>
          </w:p>
        </w:tc>
        <w:tc>
          <w:tcPr>
            <w:tcW w:w="2370" w:type="dxa"/>
          </w:tcPr>
          <w:p w14:paraId="66E0AC1A" w14:textId="1C902B6D" w:rsidR="00F9016D" w:rsidRPr="00071884" w:rsidRDefault="00071884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C</w:t>
            </w:r>
            <w:r w:rsidR="00F9016D" w:rsidRPr="00071884">
              <w:rPr>
                <w:rFonts w:ascii="Times New Roman" w:eastAsia="TimesNewRoman" w:hAnsi="Times New Roman"/>
                <w:lang w:val="hu-HU"/>
              </w:rPr>
              <w:t>erebrovascularis</w:t>
            </w:r>
            <w:r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="00F9016D" w:rsidRPr="00071884">
              <w:rPr>
                <w:rFonts w:ascii="Times New Roman" w:eastAsia="TimesNewRoman" w:hAnsi="Times New Roman"/>
                <w:lang w:val="hu-HU"/>
              </w:rPr>
              <w:t>történés, tranziens ischaemiás attack (TIA), görcsroham*,</w:t>
            </w:r>
            <w:r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="00F9016D" w:rsidRPr="00071884">
              <w:rPr>
                <w:rFonts w:ascii="Times New Roman" w:eastAsia="TimesNewRoman" w:hAnsi="Times New Roman"/>
                <w:lang w:val="hu-HU"/>
              </w:rPr>
              <w:t>görcsroham kiújulása*, syncope</w:t>
            </w:r>
          </w:p>
        </w:tc>
      </w:tr>
      <w:tr w:rsidR="00F9016D" w:rsidRPr="00156042" w14:paraId="3555C2D0" w14:textId="77777777" w:rsidTr="00F9016D">
        <w:tc>
          <w:tcPr>
            <w:tcW w:w="1930" w:type="dxa"/>
          </w:tcPr>
          <w:p w14:paraId="6845D608" w14:textId="4134ADD0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Szembetegségek és szemészeti tünetek</w:t>
            </w:r>
          </w:p>
        </w:tc>
        <w:tc>
          <w:tcPr>
            <w:tcW w:w="1451" w:type="dxa"/>
          </w:tcPr>
          <w:p w14:paraId="5A30DB3A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1F57369C" w14:textId="139CD5DF" w:rsidR="00F9016D" w:rsidRPr="00071884" w:rsidRDefault="00F9016D" w:rsidP="002B116F">
            <w:pPr>
              <w:spacing w:line="260" w:lineRule="exact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a színlátás</w:t>
            </w:r>
            <w:r w:rsidR="0067432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zavara**, látászavar, homályos látás</w:t>
            </w:r>
          </w:p>
        </w:tc>
        <w:tc>
          <w:tcPr>
            <w:tcW w:w="1717" w:type="dxa"/>
          </w:tcPr>
          <w:p w14:paraId="3322212E" w14:textId="77777777" w:rsidR="00F9016D" w:rsidRPr="00071884" w:rsidRDefault="00F9016D" w:rsidP="00491B27">
            <w:pPr>
              <w:spacing w:line="260" w:lineRule="exact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könnytermelési</w:t>
            </w:r>
          </w:p>
          <w:p w14:paraId="6FD6BFC8" w14:textId="78059785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zavarok***, szemfájdalom, photophobia, photopsia, hyperaemia a szemben, szemkáprázás, kötőhártya-gyulladás</w:t>
            </w:r>
          </w:p>
        </w:tc>
        <w:tc>
          <w:tcPr>
            <w:tcW w:w="2370" w:type="dxa"/>
          </w:tcPr>
          <w:p w14:paraId="1C8855F1" w14:textId="75324FF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 xml:space="preserve">nem </w:t>
            </w:r>
            <w:proofErr w:type="spellStart"/>
            <w:r w:rsidRPr="00071884">
              <w:rPr>
                <w:rFonts w:ascii="Times New Roman" w:eastAsia="TimesNewRoman" w:hAnsi="Times New Roman"/>
                <w:lang w:val="hu-HU"/>
              </w:rPr>
              <w:t>arteritises</w:t>
            </w:r>
            <w:proofErr w:type="spellEnd"/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proofErr w:type="spellStart"/>
            <w:r w:rsidRPr="00071884">
              <w:rPr>
                <w:rFonts w:ascii="Times New Roman" w:eastAsia="TimesNewRoman" w:hAnsi="Times New Roman"/>
                <w:lang w:val="hu-HU"/>
              </w:rPr>
              <w:t>anterior</w:t>
            </w:r>
            <w:proofErr w:type="spellEnd"/>
            <w:r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proofErr w:type="spellStart"/>
            <w:r w:rsidRPr="00071884">
              <w:rPr>
                <w:rFonts w:ascii="Times New Roman" w:eastAsia="TimesNewRoman" w:hAnsi="Times New Roman"/>
                <w:lang w:val="hu-HU"/>
              </w:rPr>
              <w:t>i</w:t>
            </w:r>
            <w:r w:rsidR="00C52B54">
              <w:rPr>
                <w:rFonts w:ascii="Times New Roman" w:eastAsia="TimesNewRoman" w:hAnsi="Times New Roman"/>
                <w:lang w:val="hu-HU"/>
              </w:rPr>
              <w:t>s</w:t>
            </w:r>
            <w:r w:rsidRPr="00071884">
              <w:rPr>
                <w:rFonts w:ascii="Times New Roman" w:eastAsia="TimesNewRoman" w:hAnsi="Times New Roman"/>
                <w:lang w:val="hu-HU"/>
              </w:rPr>
              <w:t>chaemiás</w:t>
            </w:r>
            <w:proofErr w:type="spellEnd"/>
            <w:r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proofErr w:type="spellStart"/>
            <w:r w:rsidRPr="00071884">
              <w:rPr>
                <w:rFonts w:ascii="Times New Roman" w:eastAsia="TimesNewRoman" w:hAnsi="Times New Roman"/>
                <w:lang w:val="hu-HU"/>
              </w:rPr>
              <w:t>opticus</w:t>
            </w:r>
            <w:proofErr w:type="spellEnd"/>
            <w:r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proofErr w:type="spellStart"/>
            <w:r w:rsidRPr="00071884">
              <w:rPr>
                <w:rFonts w:ascii="Times New Roman" w:eastAsia="TimesNewRoman" w:hAnsi="Times New Roman"/>
                <w:lang w:val="hu-HU"/>
              </w:rPr>
              <w:t>neuropathia</w:t>
            </w:r>
            <w:proofErr w:type="spellEnd"/>
            <w:r w:rsidRPr="00071884">
              <w:rPr>
                <w:rFonts w:ascii="Times New Roman" w:eastAsia="TimesNewRoman" w:hAnsi="Times New Roman"/>
                <w:lang w:val="hu-HU"/>
              </w:rPr>
              <w:t xml:space="preserve"> (NAION)*, </w:t>
            </w:r>
            <w:proofErr w:type="spellStart"/>
            <w:r w:rsidRPr="00071884">
              <w:rPr>
                <w:rFonts w:ascii="Times New Roman" w:eastAsia="TimesNewRoman" w:hAnsi="Times New Roman"/>
                <w:lang w:val="hu-HU"/>
              </w:rPr>
              <w:t>retinalis</w:t>
            </w:r>
            <w:proofErr w:type="spellEnd"/>
            <w:r w:rsidRPr="00071884">
              <w:rPr>
                <w:rFonts w:ascii="Times New Roman" w:eastAsia="TimesNewRoman" w:hAnsi="Times New Roman"/>
                <w:lang w:val="hu-HU"/>
              </w:rPr>
              <w:t xml:space="preserve"> érelzáródás*, retinalis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vérzés, arterioscleroticus retinopathia, retinalis rendellenesség, glaucoma, látótérkiesés, kettős látás, csökkent látásélesség, myopia, asthenopia, üvegtesti homályok, irisbetegség, mydriasis, gyűrűk látása a fényforrások körül, szem oedema, szemduzzanat, szembetegség, kötőhártya hyperaemia, szemirritáció, kóros érzés a szemben, szemhéjoedema, sclera-elszíneződés</w:t>
            </w:r>
          </w:p>
        </w:tc>
      </w:tr>
      <w:tr w:rsidR="00F9016D" w:rsidRPr="00071884" w14:paraId="17A090CF" w14:textId="77777777" w:rsidTr="00F9016D">
        <w:tc>
          <w:tcPr>
            <w:tcW w:w="1930" w:type="dxa"/>
          </w:tcPr>
          <w:p w14:paraId="16DEB5F5" w14:textId="7A01509C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lastRenderedPageBreak/>
              <w:t>A fül és az egyensúly-érzékelő szerv betegségei és tünetei</w:t>
            </w:r>
          </w:p>
        </w:tc>
        <w:tc>
          <w:tcPr>
            <w:tcW w:w="1451" w:type="dxa"/>
          </w:tcPr>
          <w:p w14:paraId="78F73451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3E9F1018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77394E8B" w14:textId="4D30BBF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vertigo, tinnitus</w:t>
            </w:r>
          </w:p>
        </w:tc>
        <w:tc>
          <w:tcPr>
            <w:tcW w:w="2370" w:type="dxa"/>
          </w:tcPr>
          <w:p w14:paraId="6C8724ED" w14:textId="2087D9CB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süketség</w:t>
            </w:r>
          </w:p>
        </w:tc>
      </w:tr>
      <w:tr w:rsidR="00F9016D" w:rsidRPr="00156042" w14:paraId="29FEC783" w14:textId="77777777" w:rsidTr="00F9016D">
        <w:tc>
          <w:tcPr>
            <w:tcW w:w="1930" w:type="dxa"/>
          </w:tcPr>
          <w:p w14:paraId="05E020A8" w14:textId="7A7CF09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Szívbetegségek és a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szívvel kapcsolatos tünetek</w:t>
            </w:r>
          </w:p>
        </w:tc>
        <w:tc>
          <w:tcPr>
            <w:tcW w:w="1451" w:type="dxa"/>
          </w:tcPr>
          <w:p w14:paraId="02517D24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0B3A72B9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0210C630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tachycardia,</w:t>
            </w:r>
          </w:p>
          <w:p w14:paraId="5C4FCFDE" w14:textId="588FD17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palpitatiók</w:t>
            </w:r>
          </w:p>
        </w:tc>
        <w:tc>
          <w:tcPr>
            <w:tcW w:w="2370" w:type="dxa"/>
          </w:tcPr>
          <w:p w14:paraId="7CE64C01" w14:textId="5982D560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hirtelen szívhalál*, myocardialis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infarctus, kamrai arrhythmia*, pitvarfibrillatio, instabil angina</w:t>
            </w:r>
          </w:p>
        </w:tc>
      </w:tr>
      <w:tr w:rsidR="00F9016D" w:rsidRPr="00071884" w14:paraId="68DEA581" w14:textId="77777777" w:rsidTr="00F9016D">
        <w:tc>
          <w:tcPr>
            <w:tcW w:w="1930" w:type="dxa"/>
          </w:tcPr>
          <w:p w14:paraId="535F46AA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Érbetegségek és</w:t>
            </w:r>
          </w:p>
          <w:p w14:paraId="2E38BDE3" w14:textId="0926CFE9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tünetek</w:t>
            </w:r>
          </w:p>
        </w:tc>
        <w:tc>
          <w:tcPr>
            <w:tcW w:w="1451" w:type="dxa"/>
          </w:tcPr>
          <w:p w14:paraId="51D98A60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219E67B5" w14:textId="2922883B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kipirulás,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hőhullámok</w:t>
            </w:r>
          </w:p>
        </w:tc>
        <w:tc>
          <w:tcPr>
            <w:tcW w:w="1717" w:type="dxa"/>
          </w:tcPr>
          <w:p w14:paraId="3FB376EE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hypertonia,</w:t>
            </w:r>
          </w:p>
          <w:p w14:paraId="54FD54A2" w14:textId="62E65D81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hypotonia</w:t>
            </w:r>
          </w:p>
        </w:tc>
        <w:tc>
          <w:tcPr>
            <w:tcW w:w="2370" w:type="dxa"/>
          </w:tcPr>
          <w:p w14:paraId="15A4A871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</w:tr>
      <w:tr w:rsidR="00F9016D" w:rsidRPr="00071884" w14:paraId="49D41515" w14:textId="77777777" w:rsidTr="00F9016D">
        <w:tc>
          <w:tcPr>
            <w:tcW w:w="1930" w:type="dxa"/>
          </w:tcPr>
          <w:p w14:paraId="40803761" w14:textId="5A231B54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Légzőrendszeri, mellkasi és mediastinalis betegségek és tünetek</w:t>
            </w:r>
          </w:p>
        </w:tc>
        <w:tc>
          <w:tcPr>
            <w:tcW w:w="1451" w:type="dxa"/>
          </w:tcPr>
          <w:p w14:paraId="11D96533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5C0C0AA6" w14:textId="0FE1B2F3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orrdugulás</w:t>
            </w:r>
          </w:p>
        </w:tc>
        <w:tc>
          <w:tcPr>
            <w:tcW w:w="1717" w:type="dxa"/>
          </w:tcPr>
          <w:p w14:paraId="2D0227E2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epistaxis, sinus</w:t>
            </w:r>
          </w:p>
          <w:p w14:paraId="55017A30" w14:textId="46C0C5A5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pangás</w:t>
            </w:r>
          </w:p>
        </w:tc>
        <w:tc>
          <w:tcPr>
            <w:tcW w:w="2370" w:type="dxa"/>
          </w:tcPr>
          <w:p w14:paraId="34B97541" w14:textId="5EEBAD5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szorító érzés a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torokban, nasalis oedema, nasalis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szárazság</w:t>
            </w:r>
          </w:p>
        </w:tc>
      </w:tr>
      <w:tr w:rsidR="00F9016D" w:rsidRPr="00071884" w14:paraId="370BA45E" w14:textId="77777777" w:rsidTr="00F9016D">
        <w:tc>
          <w:tcPr>
            <w:tcW w:w="1930" w:type="dxa"/>
          </w:tcPr>
          <w:p w14:paraId="683991A1" w14:textId="4A2925CB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Emésztőrendszeri betegségek és tünetek</w:t>
            </w:r>
          </w:p>
        </w:tc>
        <w:tc>
          <w:tcPr>
            <w:tcW w:w="1451" w:type="dxa"/>
          </w:tcPr>
          <w:p w14:paraId="0394C6E0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1C8760DB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hányinger,</w:t>
            </w:r>
          </w:p>
          <w:p w14:paraId="7D9E3CBD" w14:textId="109B6EC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dyspepsia</w:t>
            </w:r>
          </w:p>
        </w:tc>
        <w:tc>
          <w:tcPr>
            <w:tcW w:w="1717" w:type="dxa"/>
          </w:tcPr>
          <w:p w14:paraId="3A8D15CC" w14:textId="5D611B0C" w:rsidR="00F9016D" w:rsidRPr="00071884" w:rsidRDefault="00F9016D" w:rsidP="00473B92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gastro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oesophagealis reflux betegség,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 xml:space="preserve">hányás, </w:t>
            </w:r>
            <w:r w:rsidR="00473B92">
              <w:rPr>
                <w:rFonts w:ascii="Times New Roman" w:eastAsia="TimesNewRoman" w:hAnsi="Times New Roman"/>
                <w:lang w:val="hu-HU"/>
              </w:rPr>
              <w:t>gyomortáji</w:t>
            </w:r>
            <w:r w:rsidR="00473B92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fájdalom, szájszárazság</w:t>
            </w:r>
          </w:p>
        </w:tc>
        <w:tc>
          <w:tcPr>
            <w:tcW w:w="2370" w:type="dxa"/>
          </w:tcPr>
          <w:p w14:paraId="518A05C1" w14:textId="2C99780A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oralis hypaesthesia</w:t>
            </w:r>
          </w:p>
        </w:tc>
      </w:tr>
      <w:tr w:rsidR="00F9016D" w:rsidRPr="00156042" w14:paraId="7B6EC4A8" w14:textId="77777777" w:rsidTr="00F9016D">
        <w:tc>
          <w:tcPr>
            <w:tcW w:w="1930" w:type="dxa"/>
          </w:tcPr>
          <w:p w14:paraId="54AD692A" w14:textId="695DAF3E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A bőr és a bőr alatti szövet betegségei és tünetei</w:t>
            </w:r>
          </w:p>
        </w:tc>
        <w:tc>
          <w:tcPr>
            <w:tcW w:w="1451" w:type="dxa"/>
          </w:tcPr>
          <w:p w14:paraId="1BA840E2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20CDE2AA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157D4EF4" w14:textId="31FA140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kiütés</w:t>
            </w:r>
          </w:p>
        </w:tc>
        <w:tc>
          <w:tcPr>
            <w:tcW w:w="2370" w:type="dxa"/>
          </w:tcPr>
          <w:p w14:paraId="62E161B8" w14:textId="02C59765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Stevens</w:t>
            </w:r>
            <w:r w:rsidR="00473B92">
              <w:rPr>
                <w:rFonts w:ascii="Times New Roman" w:eastAsia="TimesNewRoman" w:hAnsi="Times New Roman"/>
                <w:lang w:val="hu-HU"/>
              </w:rPr>
              <w:t>–</w:t>
            </w:r>
            <w:r w:rsidRPr="00071884">
              <w:rPr>
                <w:rFonts w:ascii="Times New Roman" w:eastAsia="TimesNewRoman" w:hAnsi="Times New Roman"/>
                <w:lang w:val="hu-HU"/>
              </w:rPr>
              <w:t>Johnson-szindróma (SJS)*, toxicus epidermalis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necrolysis (TEN)*</w:t>
            </w:r>
          </w:p>
        </w:tc>
      </w:tr>
      <w:tr w:rsidR="00F9016D" w:rsidRPr="00071884" w14:paraId="2DDC1596" w14:textId="77777777" w:rsidTr="00F9016D">
        <w:tc>
          <w:tcPr>
            <w:tcW w:w="1930" w:type="dxa"/>
          </w:tcPr>
          <w:p w14:paraId="3D12FF05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A csont- és</w:t>
            </w:r>
          </w:p>
          <w:p w14:paraId="637B58B1" w14:textId="1CCE4A5F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izomrendszer, valamint a kötőszövet betegségei és tünetei</w:t>
            </w:r>
          </w:p>
        </w:tc>
        <w:tc>
          <w:tcPr>
            <w:tcW w:w="1451" w:type="dxa"/>
          </w:tcPr>
          <w:p w14:paraId="0E065B4A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24E8E952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1437E6C6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myalgia,</w:t>
            </w:r>
          </w:p>
          <w:p w14:paraId="164BB48D" w14:textId="3F9CFFF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végtagfájdalom</w:t>
            </w:r>
          </w:p>
        </w:tc>
        <w:tc>
          <w:tcPr>
            <w:tcW w:w="2370" w:type="dxa"/>
          </w:tcPr>
          <w:p w14:paraId="715A3CD1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</w:tr>
      <w:tr w:rsidR="00F9016D" w:rsidRPr="00071884" w14:paraId="6B1A7AC4" w14:textId="77777777" w:rsidTr="00F9016D">
        <w:tc>
          <w:tcPr>
            <w:tcW w:w="1930" w:type="dxa"/>
          </w:tcPr>
          <w:p w14:paraId="201F506B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Vese- és húgyúti</w:t>
            </w:r>
          </w:p>
          <w:p w14:paraId="6F34F87A" w14:textId="6C5CD0EA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betegségek és tünetek</w:t>
            </w:r>
          </w:p>
        </w:tc>
        <w:tc>
          <w:tcPr>
            <w:tcW w:w="1451" w:type="dxa"/>
          </w:tcPr>
          <w:p w14:paraId="5E2D4A1E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0A814D06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1D7496C7" w14:textId="67BCEF28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haematuria</w:t>
            </w:r>
          </w:p>
        </w:tc>
        <w:tc>
          <w:tcPr>
            <w:tcW w:w="2370" w:type="dxa"/>
          </w:tcPr>
          <w:p w14:paraId="1CC92198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</w:tr>
      <w:tr w:rsidR="00F9016D" w:rsidRPr="00156042" w14:paraId="6A634688" w14:textId="77777777" w:rsidTr="00F9016D">
        <w:trPr>
          <w:trHeight w:val="1574"/>
        </w:trPr>
        <w:tc>
          <w:tcPr>
            <w:tcW w:w="1930" w:type="dxa"/>
          </w:tcPr>
          <w:p w14:paraId="71E49408" w14:textId="0088ADC3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lastRenderedPageBreak/>
              <w:t>A nemi szervekkel és az emlőkkel kapcsolatos betegségek és tünetek</w:t>
            </w:r>
          </w:p>
        </w:tc>
        <w:tc>
          <w:tcPr>
            <w:tcW w:w="1451" w:type="dxa"/>
          </w:tcPr>
          <w:p w14:paraId="690FE739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22265A56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34646CE9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2370" w:type="dxa"/>
          </w:tcPr>
          <w:p w14:paraId="0BB2EE0E" w14:textId="17BAEDBB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penis haemorrhagia, priapismus*, haematospermia, fokozott erekció</w:t>
            </w:r>
          </w:p>
        </w:tc>
      </w:tr>
      <w:tr w:rsidR="00F9016D" w:rsidRPr="00071884" w14:paraId="135C6D67" w14:textId="77777777" w:rsidTr="00F9016D">
        <w:tc>
          <w:tcPr>
            <w:tcW w:w="1930" w:type="dxa"/>
          </w:tcPr>
          <w:p w14:paraId="7D95B920" w14:textId="7DB41E5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Általános tünetek, az alkalmazás helyén fellépő reakciók</w:t>
            </w:r>
          </w:p>
        </w:tc>
        <w:tc>
          <w:tcPr>
            <w:tcW w:w="1451" w:type="dxa"/>
          </w:tcPr>
          <w:p w14:paraId="73EC0C23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419AA34F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7A945ACA" w14:textId="51A806E4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mellkasi fájdalom,</w:t>
            </w:r>
            <w:r w:rsidR="00071884" w:rsidRPr="00071884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fáradtság, melegségérzés</w:t>
            </w:r>
          </w:p>
        </w:tc>
        <w:tc>
          <w:tcPr>
            <w:tcW w:w="2370" w:type="dxa"/>
          </w:tcPr>
          <w:p w14:paraId="4D5A1174" w14:textId="2EB075E5" w:rsidR="00F9016D" w:rsidRPr="00071884" w:rsidRDefault="00F9016D" w:rsidP="00491B27">
            <w:pPr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ingerlékenység</w:t>
            </w:r>
          </w:p>
        </w:tc>
      </w:tr>
      <w:tr w:rsidR="00F9016D" w:rsidRPr="00071884" w14:paraId="4E93ED64" w14:textId="77777777" w:rsidTr="00F9016D">
        <w:tc>
          <w:tcPr>
            <w:tcW w:w="1930" w:type="dxa"/>
          </w:tcPr>
          <w:p w14:paraId="5BDDCF39" w14:textId="32A2538D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Laboratóriumi és egyéb vizsgálatok eredményei</w:t>
            </w:r>
          </w:p>
        </w:tc>
        <w:tc>
          <w:tcPr>
            <w:tcW w:w="1451" w:type="dxa"/>
          </w:tcPr>
          <w:p w14:paraId="6763B07F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593" w:type="dxa"/>
          </w:tcPr>
          <w:p w14:paraId="7676DC76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  <w:tc>
          <w:tcPr>
            <w:tcW w:w="1717" w:type="dxa"/>
          </w:tcPr>
          <w:p w14:paraId="6C2CE501" w14:textId="45B33A9E" w:rsidR="00F9016D" w:rsidRPr="00071884" w:rsidRDefault="00F9016D" w:rsidP="00DC365F">
            <w:pPr>
              <w:spacing w:line="240" w:lineRule="exact"/>
              <w:jc w:val="left"/>
              <w:rPr>
                <w:rFonts w:ascii="Times New Roman" w:eastAsia="TimesNewRoman" w:hAnsi="Times New Roman"/>
                <w:lang w:val="hu-HU"/>
              </w:rPr>
            </w:pPr>
            <w:r w:rsidRPr="00071884">
              <w:rPr>
                <w:rFonts w:ascii="Times New Roman" w:eastAsia="TimesNewRoman" w:hAnsi="Times New Roman"/>
                <w:lang w:val="hu-HU"/>
              </w:rPr>
              <w:t>megnövekedett</w:t>
            </w:r>
            <w:r w:rsidR="00473B92">
              <w:rPr>
                <w:rFonts w:ascii="Times New Roman" w:eastAsia="TimesNewRoman" w:hAnsi="Times New Roman"/>
                <w:lang w:val="hu-HU"/>
              </w:rPr>
              <w:t xml:space="preserve"> </w:t>
            </w:r>
            <w:r w:rsidRPr="00071884">
              <w:rPr>
                <w:rFonts w:ascii="Times New Roman" w:eastAsia="TimesNewRoman" w:hAnsi="Times New Roman"/>
                <w:lang w:val="hu-HU"/>
              </w:rPr>
              <w:t>szívfrekvencia</w:t>
            </w:r>
          </w:p>
        </w:tc>
        <w:tc>
          <w:tcPr>
            <w:tcW w:w="2370" w:type="dxa"/>
          </w:tcPr>
          <w:p w14:paraId="115A419D" w14:textId="77777777" w:rsidR="00F9016D" w:rsidRPr="00071884" w:rsidRDefault="00F9016D" w:rsidP="00491B27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" w:hAnsi="Times New Roman"/>
                <w:lang w:val="hu-HU"/>
              </w:rPr>
            </w:pPr>
          </w:p>
        </w:tc>
      </w:tr>
    </w:tbl>
    <w:p w14:paraId="598DA373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  <w:r w:rsidRPr="00071884">
        <w:rPr>
          <w:rFonts w:ascii="Times New Roman" w:eastAsia="TimesNewRoman,Bold" w:hAnsi="Times New Roman"/>
          <w:bCs/>
          <w:lang w:val="hu-HU"/>
        </w:rPr>
        <w:t>*Csak a forgalomba hozatalt követő megfigyelések során jelentették</w:t>
      </w:r>
    </w:p>
    <w:p w14:paraId="29C46100" w14:textId="714DA6D3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  <w:r w:rsidRPr="00071884">
        <w:rPr>
          <w:rFonts w:ascii="Times New Roman" w:eastAsia="TimesNewRoman,Bold" w:hAnsi="Times New Roman"/>
          <w:bCs/>
          <w:lang w:val="hu-HU"/>
        </w:rPr>
        <w:t>**A színlátás zavara: chloropsia, kóros színlátás, cyanopsia, erythropia és xanthopsia</w:t>
      </w:r>
    </w:p>
    <w:p w14:paraId="6DC9F7E4" w14:textId="4B05E224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  <w:r w:rsidRPr="00071884">
        <w:rPr>
          <w:rFonts w:ascii="Times New Roman" w:eastAsia="TimesNewRoman,Bold" w:hAnsi="Times New Roman"/>
          <w:bCs/>
          <w:lang w:val="hu-HU"/>
        </w:rPr>
        <w:t>***Könnytermelési zavarok: száraz szem, könnyezési zavar és fokozott könnytermelés</w:t>
      </w:r>
    </w:p>
    <w:p w14:paraId="4C129D65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b/>
          <w:u w:val="single"/>
          <w:lang w:val="hu-HU"/>
        </w:rPr>
      </w:pPr>
    </w:p>
    <w:p w14:paraId="35863082" w14:textId="77777777" w:rsidR="00F9016D" w:rsidRPr="00DD01E8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bCs/>
          <w:u w:val="single"/>
          <w:lang w:val="hu-HU"/>
        </w:rPr>
      </w:pPr>
      <w:r w:rsidRPr="00DD01E8">
        <w:rPr>
          <w:rFonts w:ascii="Times New Roman" w:eastAsia="TimesNewRoman" w:hAnsi="Times New Roman"/>
          <w:bCs/>
          <w:u w:val="single"/>
          <w:lang w:val="hu-HU"/>
        </w:rPr>
        <w:t>Feltételezett mellékhatások bejelentése</w:t>
      </w:r>
    </w:p>
    <w:p w14:paraId="77FFCBF5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b/>
          <w:u w:val="single"/>
          <w:lang w:val="hu-HU"/>
        </w:rPr>
      </w:pPr>
    </w:p>
    <w:p w14:paraId="51BA1838" w14:textId="77777777" w:rsidR="0066387B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617B124" w14:textId="5700B8B0" w:rsidR="00B76076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DC365F">
          <w:rPr>
            <w:rStyle w:val="Hiperhivatkozs"/>
            <w:rFonts w:ascii="Times New Roman" w:eastAsia="TimesNewRoman" w:hAnsi="Times New Roman"/>
            <w:lang w:val="hu-HU"/>
          </w:rPr>
          <w:t>V. függelékben</w:t>
        </w:r>
      </w:hyperlink>
      <w:r w:rsidRPr="00DC365F">
        <w:rPr>
          <w:rFonts w:ascii="Times New Roman" w:eastAsia="TimesNewRoman" w:hAnsi="Times New Roman"/>
          <w:lang w:val="hu-HU"/>
        </w:rPr>
        <w:t xml:space="preserve"> található elérhetőségek valamelyikén keresztül.</w:t>
      </w:r>
    </w:p>
    <w:p w14:paraId="45F385B3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2A5CFE3E" w14:textId="647CB004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4.9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F9016D" w:rsidRPr="00071884">
        <w:rPr>
          <w:rFonts w:ascii="Times New Roman" w:eastAsia="TimesNewRoman,Bold" w:hAnsi="Times New Roman"/>
          <w:b/>
          <w:bCs/>
          <w:lang w:val="hu-HU"/>
        </w:rPr>
        <w:t>Túladagolás</w:t>
      </w:r>
    </w:p>
    <w:p w14:paraId="4C925EAC" w14:textId="77777777" w:rsidR="00B6780E" w:rsidRPr="00071884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8EB1C5E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Egészséges önkéntesekkel végzett vizsgálatok során, legfeljebb 800 mg-os egyszeri adagok alkalmazását követően az alacsonyabb dózisszinteken már észleltekhez hasonló mellékhatások jelentkeztek, azonban gyakoriságuk és súlyosságuk fokozódott. A 200 mg-os adagok mellett a hatásosság nem, ellenben a mellékhatások (fejfájás, kipirulás, szédülés, dyspepsia, orrdugulás, látászavar) előfordulási gyakorisága növekedett.</w:t>
      </w:r>
    </w:p>
    <w:p w14:paraId="3EABEDAF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C4817C9" w14:textId="64CA1A81" w:rsidR="00B76076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Túladagolás esetén a szükségletnek megfelelő, szokásos tüneti kezelést kell alkalmazni. Hemodialízis várhatóan nem gyorsítja meg a kiürülést, mivel a szildenafil nagymértékben kötődik a plazmafehérjékhez, és nem ürül a vizelettel.</w:t>
      </w:r>
    </w:p>
    <w:p w14:paraId="10E9F3B3" w14:textId="77777777" w:rsidR="00B6780E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3B52032" w14:textId="77777777" w:rsidR="003A25FA" w:rsidRPr="00071884" w:rsidRDefault="003A25FA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A36E33B" w14:textId="1E796D69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5.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F9016D" w:rsidRPr="00071884">
        <w:rPr>
          <w:rFonts w:ascii="Times New Roman" w:eastAsia="TimesNewRoman,Bold" w:hAnsi="Times New Roman"/>
          <w:b/>
          <w:bCs/>
          <w:lang w:val="hu-HU"/>
        </w:rPr>
        <w:t>FARMAKOLÓGIAI TULAJDONSÁGOK</w:t>
      </w:r>
    </w:p>
    <w:p w14:paraId="26B83A08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04971875" w14:textId="33671476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5.1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F9016D" w:rsidRPr="00071884">
        <w:rPr>
          <w:rFonts w:ascii="Times New Roman" w:eastAsia="TimesNewRoman,Bold" w:hAnsi="Times New Roman"/>
          <w:b/>
          <w:bCs/>
          <w:lang w:val="hu-HU"/>
        </w:rPr>
        <w:t>Farmakodinámiás tulajdonságok</w:t>
      </w:r>
    </w:p>
    <w:p w14:paraId="3391E1EC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C2213AB" w14:textId="174EFB2E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Farmakoterápiás csoport: Urológiai gyógyszerek; Az erectilis dysfunctio kezelésére használatos szerek. ATC kód: G04B E03</w:t>
      </w:r>
    </w:p>
    <w:p w14:paraId="12594F48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7432D90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Hatásmechanizmus</w:t>
      </w:r>
    </w:p>
    <w:p w14:paraId="3737ADD4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E14608D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az erectilis dysfunctio kezelésére szolgáló, orálisan alkalmazható gyógyszer. Természetes körülmények között (azaz szexuális ingerre) a penisbe irányuló véráramlás fokozásával állítja helyre a károsodott erectilis funkciót.</w:t>
      </w:r>
    </w:p>
    <w:p w14:paraId="1EC8E674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C3DB2E7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hímvessző merevedéséért felelős élettani folyamatok során a szexuális ingerlésre nitrogén-monoxid (NO) szabadul fel a corpus cavernosumban. A nitrogén-monoxid a guanil-cikláz enzim aktiválása révén növeli a ciklikus guanozin-monofoszfát (cGMP)-szintet, ami a corpus cavernosum simaizomzatának ellazulását és a vér beáramlását eredményezi.</w:t>
      </w:r>
    </w:p>
    <w:p w14:paraId="06051BB1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D040BA1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hatékony és szelektív inhibitora a barlangos testekben található cGMP-specifikus 5-ös típusú foszfodiészteráznak (PDE5), ahol az a cGMP lebontásáért felelős. A szildenafil erekcióra kifejtett hatásának támadáspontja perifériás. Izolált corpus cavernosumon a szildenafil nem fejt ki közvetlen simaizom ellazító hatást, ellenben ezen szövetben hatékonyan fokozza a nitrogén-monoxid izomrelaxáló hatását. A NO-/cGMP anyagcsereút aktivált állapotában, miként szexuális ingerlés esetében is, a PDE5 szildenafillal való gátlása emelkedett cGMP-szintet eredményez a corpus cavernosumban. A szildenafil kívánt farmakológiai hatásának létrehozásához tehát szükség van szexuális ingerlésre.</w:t>
      </w:r>
    </w:p>
    <w:p w14:paraId="6F3EC70C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66713F7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Farmakodinámiás hatások</w:t>
      </w:r>
    </w:p>
    <w:p w14:paraId="4B75C744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06A620F" w14:textId="0122EDDF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 xml:space="preserve">In vitro </w:t>
      </w:r>
      <w:r w:rsidRPr="00071884">
        <w:rPr>
          <w:rFonts w:ascii="Times New Roman" w:eastAsia="TimesNewRoman" w:hAnsi="Times New Roman"/>
          <w:lang w:val="hu-HU"/>
        </w:rPr>
        <w:t xml:space="preserve">vizsgálatok során megállapították, hogy a szildenafil szelektíven kötődik az erekció folyamatában részt vevő PDE5-höz. Jóval hatékonyabban kötődik a PDE5-höz, mint más ismert </w:t>
      </w:r>
      <w:proofErr w:type="spellStart"/>
      <w:r w:rsidRPr="00071884">
        <w:rPr>
          <w:rFonts w:ascii="Times New Roman" w:eastAsia="TimesNewRoman" w:hAnsi="Times New Roman"/>
          <w:lang w:val="hu-HU"/>
        </w:rPr>
        <w:t>foszfo</w:t>
      </w:r>
      <w:r w:rsidR="00D7268A">
        <w:rPr>
          <w:rFonts w:ascii="Times New Roman" w:eastAsia="TimesNewRoman" w:hAnsi="Times New Roman"/>
          <w:lang w:val="hu-HU"/>
        </w:rPr>
        <w:t>diész</w:t>
      </w:r>
      <w:r w:rsidRPr="00071884">
        <w:rPr>
          <w:rFonts w:ascii="Times New Roman" w:eastAsia="TimesNewRoman" w:hAnsi="Times New Roman"/>
          <w:lang w:val="hu-HU"/>
        </w:rPr>
        <w:t>terázokhoz</w:t>
      </w:r>
      <w:proofErr w:type="spellEnd"/>
      <w:r w:rsidRPr="00071884">
        <w:rPr>
          <w:rFonts w:ascii="Times New Roman" w:eastAsia="TimesNewRoman" w:hAnsi="Times New Roman"/>
          <w:lang w:val="hu-HU"/>
        </w:rPr>
        <w:t>. Szelektivitása tízszer kisebb a PDE6-hoz, ami a retina fototransductiós anyagcsereútjában vesz részt. Maximális ajánlott adagolásnál 80-szor szelektívebben kötődik</w:t>
      </w:r>
      <w:r w:rsidR="004411D1">
        <w:rPr>
          <w:rFonts w:ascii="Times New Roman" w:eastAsia="TimesNewRoman" w:hAnsi="Times New Roman"/>
          <w:lang w:val="hu-HU"/>
        </w:rPr>
        <w:t>,</w:t>
      </w:r>
      <w:r w:rsidRPr="00071884">
        <w:rPr>
          <w:rFonts w:ascii="Times New Roman" w:eastAsia="TimesNewRoman" w:hAnsi="Times New Roman"/>
          <w:lang w:val="hu-HU"/>
        </w:rPr>
        <w:t xml:space="preserve"> mint a PDE1-hez, ill. több mint 700-szor szelektívebben, mint a PDE2, -3, -4, -7, -8, -9, -10 és -11 izoenzimekhez. Kiemelendő, hogy a szildenafil 4000-szer szelektívebben kötődik a PDE5-höz, mint a szívizomzat kontraktilitásának szabályozásában részt vevő cAMP-specifikus PDE3-hoz.</w:t>
      </w:r>
    </w:p>
    <w:p w14:paraId="0C409193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0A5D3EC" w14:textId="241D69C1" w:rsidR="00B76076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Klinikai hatásosság és biztonságosság</w:t>
      </w:r>
    </w:p>
    <w:p w14:paraId="14BFBBCF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797A6BE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Klinikai szempontból a férfiak valamennyi korcsoportját érintő, különböző pszichogén és organikus eredetű merevedési zavar nagy prevalenciája miatt a kezelés kiválasztásának személyre szabottan kell történnie, és ismert tény, hogy a szildenafil esetében a dózis-hatás összefüggés betegenként eltérő. Ez az oka annak, hogy az adag módosításának lehetősége az egyes betegek egyidejű betegségei, a tolerálhatóság és a hatásosság alapján fontos tulajdonság </w:t>
      </w:r>
      <w:bookmarkStart w:id="4" w:name="_Hlk521494947"/>
      <w:r w:rsidRPr="00071884">
        <w:rPr>
          <w:rFonts w:ascii="Times New Roman" w:hAnsi="Times New Roman"/>
          <w:lang w:val="hu-HU"/>
        </w:rPr>
        <w:t>egy szildenafil-tartalmú gyógyszerkészítménynél.</w:t>
      </w:r>
    </w:p>
    <w:bookmarkEnd w:id="4"/>
    <w:p w14:paraId="6FE4ADBF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6CBD58F" w14:textId="32EA79B7" w:rsidR="00E9099E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Az orvos célja. hogy a megfelelő farmakológiai hatás eléréséhez elegendő, legalacsonyabb ideális adagot határozza meg, amely elegendően alacsony ahhoz, hogy a mellékhatások minimálisak legyenek.</w:t>
      </w:r>
    </w:p>
    <w:p w14:paraId="466493F3" w14:textId="77777777" w:rsidR="00E9099E" w:rsidRPr="00071884" w:rsidRDefault="00E9099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2DC5E3B" w14:textId="2D16D4FD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Két klinikai vizsgálatot terveztek annak vizsgálatára, hogy bevétele után mettől-meddig képes erekciót okozni szexuális ingerlésre adott válaszként a szildenafil. Éhomi állapotú betegek</w:t>
      </w:r>
      <w:r w:rsidR="00B16E79">
        <w:rPr>
          <w:rFonts w:ascii="Times New Roman" w:eastAsia="TimesNewRoman" w:hAnsi="Times New Roman"/>
          <w:lang w:val="hu-HU"/>
        </w:rPr>
        <w:t>kel</w:t>
      </w:r>
      <w:r w:rsidRPr="00071884">
        <w:rPr>
          <w:rFonts w:ascii="Times New Roman" w:eastAsia="TimesNewRoman" w:hAnsi="Times New Roman"/>
          <w:lang w:val="hu-HU"/>
        </w:rPr>
        <w:t xml:space="preserve"> végzett penis- plesthysmographos (RigiScan) vizsgálat során azok esetében, akik elérték a 60%-os merevedést (ami elégséges a közösüléshez), átlagosan 25 perc (12-37 perc) telt el a fenti állapot eléréséig a szildenafil bevételét követően. Egy másik RigiScan vizsgálat során a szildenafil a bevételt követően 4-5 órával is képes volt erekciót okozni a szexuális ingerlésre adott válaszként.</w:t>
      </w:r>
    </w:p>
    <w:p w14:paraId="4B17C690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C5025E7" w14:textId="77777777" w:rsidR="003E5C8C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szildenafil enyhe és átmeneti vérnyomáscsökkenést okoz, ami az esetek többségében nem jár klinikai következménnyel. A szildenafil 100 mg-os orális adagolása után a fekvő helyzetben mért systolés vérnyomáscsökkenés maximumának átlaga 8,4 Hgmm volt. Ugyanez a változás a fekvő diastolés vérnyomás értékében 5,5 Hgmm volt. A vérnyomáscsökkenés a szildenafil értágító hatásának következménye, mely minden bizonnyal az érfali simaizomzat cGMP szintjének növekedéséből ered. </w:t>
      </w:r>
    </w:p>
    <w:p w14:paraId="0E724590" w14:textId="77777777" w:rsidR="003E5C8C" w:rsidRDefault="003E5C8C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A2966F0" w14:textId="105455F5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Egészséges </w:t>
      </w:r>
      <w:r w:rsidR="00B16E79">
        <w:rPr>
          <w:rFonts w:ascii="Times New Roman" w:eastAsia="TimesNewRoman" w:hAnsi="Times New Roman"/>
          <w:lang w:val="hu-HU"/>
        </w:rPr>
        <w:t>önkénteseknél</w:t>
      </w:r>
      <w:r w:rsidRPr="00071884">
        <w:rPr>
          <w:rFonts w:ascii="Times New Roman" w:eastAsia="TimesNewRoman" w:hAnsi="Times New Roman"/>
          <w:lang w:val="hu-HU"/>
        </w:rPr>
        <w:t xml:space="preserve"> a </w:t>
      </w:r>
      <w:proofErr w:type="spellStart"/>
      <w:r w:rsidRPr="00071884">
        <w:rPr>
          <w:rFonts w:ascii="Times New Roman" w:eastAsia="TimesNewRoman" w:hAnsi="Times New Roman"/>
          <w:lang w:val="hu-HU"/>
        </w:rPr>
        <w:t>szildenafil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 legfeljebb 100 mg-os, egyszeri adagjai nem idéztek elő klinikailag számottevő EKG-eltérést.</w:t>
      </w:r>
    </w:p>
    <w:p w14:paraId="515F0337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50B42C0" w14:textId="0AE94D98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14 súlyos koszorúér-betegségben szenvedő beteg esetén (akiknél legalább egy coronaria több mint 70%-os stenosisa állt fenn) a szildenafil egyszeri 100 mg-os dózisa haemodinamikai hatásának vizsgálata során az átlagos nyugalmi systolés és diastolés vérnyomás az alapértékhez képest 7%-kal, </w:t>
      </w:r>
      <w:r w:rsidRPr="00071884">
        <w:rPr>
          <w:rFonts w:ascii="Times New Roman" w:eastAsia="TimesNewRoman" w:hAnsi="Times New Roman"/>
          <w:lang w:val="hu-HU"/>
        </w:rPr>
        <w:lastRenderedPageBreak/>
        <w:t>illetve 6%-kal csökkent. Az átlagos pulmonális systolés vérnyomás 9%-kal csökkent. A szildenafil perctérfogatot befolyásoló hatást nem mutatott, és nem károsította a stenotisalt koszorúerekben a vér átáramlást.</w:t>
      </w:r>
    </w:p>
    <w:p w14:paraId="5C0C9D8F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B0560AC" w14:textId="7DA908A3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Egy kettős</w:t>
      </w:r>
      <w:r w:rsidR="00473B92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lang w:val="hu-HU"/>
        </w:rPr>
        <w:t>vak, placebokontrollos, terheléses vizsgálat során 144, erectilis dysfunctióban és krónikus stabil anginában szenvedő beteget vizsgáltak, akik rendszeresen antianginás gyógyszereket kaptak (nitrátokat kivéve). Az eredmények nem mutattak klinikailag jelentős eltérést a szildenafil és a placebo között a terhelés megszakítását szükségessé tevő angina jelentkezéséig eltelt időtartamban.</w:t>
      </w:r>
    </w:p>
    <w:p w14:paraId="485A8BA3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4ABCE72" w14:textId="745FE626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100 mg-os egyszeri dózis adását követően 1 óra múlva ritkán a színmegkülönböztetés (kék/zöld színlátás) kismértékű és átmeneti zavarát mutatták ki Farnsworth</w:t>
      </w:r>
      <w:r w:rsidR="00DF6C1C">
        <w:rPr>
          <w:rFonts w:ascii="Times New Roman" w:eastAsia="TimesNewRoman" w:hAnsi="Times New Roman"/>
          <w:lang w:val="hu-HU"/>
        </w:rPr>
        <w:t>–</w:t>
      </w:r>
      <w:r w:rsidRPr="00071884">
        <w:rPr>
          <w:rFonts w:ascii="Times New Roman" w:eastAsia="TimesNewRoman" w:hAnsi="Times New Roman"/>
          <w:lang w:val="hu-HU"/>
        </w:rPr>
        <w:t>Munsel 100 színárnyalat teszttel; 2 órával a gyógyszeradag bevétele után azonban ez már nem volt észlelhető. A színlátás zavara feltehetően a retina fototransductiós kaszkádjának működéséhez szükséges PDE6-enzim gátlásából ered. A szildenafil nem befolyásolja a látásélességet vagy a fénykontraszt-érzékelést. Egy kis betegszámú, placebo-kontrollos vizsgálatban dokumentált korai öregkori macula degenerációban szenvedő betegekben (n=9) a szildenafil (100 mg egyszeri adagja) nem okozott lényeges változásokat a látásvizsgálatok értékeiben (látásélesség, Amsler-rács, szimulált közlekedési fények színmegkülönböztetése, Humphrey-féle látótér és fotostressz vizsgálat).</w:t>
      </w:r>
    </w:p>
    <w:p w14:paraId="5E1BCA46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B2BB79E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egyszeri 100 mg-os orális adagolása után egészséges önkéntesekben a spermiumok motilitásában és morfológiájában semmiféle változást nem észleltek (lásd 4.6 pont).</w:t>
      </w:r>
    </w:p>
    <w:p w14:paraId="07302096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C5EDB74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>A klinikai vizsgálatok további adatai</w:t>
      </w:r>
    </w:p>
    <w:p w14:paraId="3E15DD7D" w14:textId="1E0D269C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Klinikai vizsgálatok során több mint 8000, 19-87 éves korú beteg részesült szildenafil kezelésben. Az alábbi betegcsoportok képviseltettek: idős korú (19,9%), magasvérnyomás</w:t>
      </w:r>
      <w:r w:rsidR="00DF7726">
        <w:rPr>
          <w:rFonts w:ascii="Times New Roman" w:eastAsia="TimesNewRoman" w:hAnsi="Times New Roman"/>
          <w:lang w:val="hu-HU"/>
        </w:rPr>
        <w:t>-betegség</w:t>
      </w:r>
      <w:r w:rsidRPr="00071884">
        <w:rPr>
          <w:rFonts w:ascii="Times New Roman" w:eastAsia="TimesNewRoman" w:hAnsi="Times New Roman"/>
          <w:lang w:val="hu-HU"/>
        </w:rPr>
        <w:t>b</w:t>
      </w:r>
      <w:r w:rsidR="00DF7726">
        <w:rPr>
          <w:rFonts w:ascii="Times New Roman" w:eastAsia="TimesNewRoman" w:hAnsi="Times New Roman"/>
          <w:lang w:val="hu-HU"/>
        </w:rPr>
        <w:t>e</w:t>
      </w:r>
      <w:r w:rsidRPr="00071884">
        <w:rPr>
          <w:rFonts w:ascii="Times New Roman" w:eastAsia="TimesNewRoman" w:hAnsi="Times New Roman"/>
          <w:lang w:val="hu-HU"/>
        </w:rPr>
        <w:t>n (30,9%), diabetes mellitusban (20,3%), ischaemiás szívbetegségben (5,8%), hyperlipidaemiában szenvedők (19,8%), gerincvelősérültek (0,6%), depressziósok (5,2%), transurethralis prostataresectio (TURP) utáni (3,7%), radikális prostatectomia utáni betegek (3,3%). Az alábbi csoportok nem voltak megfelelően reprezentálva, illetve ki voltak zárva: kismedencei sebészeti beavatkozás, ill. sugárkezelés után levő, súlyos vese-, ill. májkárosodásban, valamint bizonyos cardiovascularis megbetegedésben szenvedő betegek (lásd 4.3 pont).</w:t>
      </w:r>
    </w:p>
    <w:p w14:paraId="67DED0E9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A0165F1" w14:textId="798EEA3D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fix dózisú vizsgálatokban a 25 mg-os dózissal kezelt betegek 62%-a, az 50 mg-mal kezeltek 74%-a, illetve a 100 mg-mal kezeltek 82%-a jelzett javulást az erekcióban, szemben a placebóval kezelt csoport 25%-ával. A kontroll</w:t>
      </w:r>
      <w:r w:rsidR="00DF7726">
        <w:rPr>
          <w:rFonts w:ascii="Times New Roman" w:eastAsia="TimesNewRoman" w:hAnsi="Times New Roman"/>
          <w:lang w:val="hu-HU"/>
        </w:rPr>
        <w:t>os</w:t>
      </w:r>
      <w:r w:rsidRPr="00071884">
        <w:rPr>
          <w:rFonts w:ascii="Times New Roman" w:eastAsia="TimesNewRoman" w:hAnsi="Times New Roman"/>
          <w:lang w:val="hu-HU"/>
        </w:rPr>
        <w:t xml:space="preserve"> klinikai vizsgálatok során a szildenafil miatti gyógyszerelhagyások aránya alacsony volt, a placebóéhoz hasonló.</w:t>
      </w:r>
    </w:p>
    <w:p w14:paraId="52B0AC96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ED9CEC2" w14:textId="4208D70D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Valamennyi vizsgálatot egybevetve, a szildenafillal kezelt betegek közül javulást észlelők százalékos aránya a következő volt: pszichogén erectilis dysfunctióban 84%, kevert erectilis dysfunctióban 77%, organikus erectilis dysfunctióban 68%, idős korban 67%, diabetes mellitusban 59%, ischaemiás szívbetegség mellett 69%, magasvérnyomás</w:t>
      </w:r>
      <w:r w:rsidR="00DF7726">
        <w:rPr>
          <w:rFonts w:ascii="Times New Roman" w:eastAsia="TimesNewRoman" w:hAnsi="Times New Roman"/>
          <w:lang w:val="hu-HU"/>
        </w:rPr>
        <w:t>-betegségnél</w:t>
      </w:r>
      <w:r w:rsidRPr="00071884">
        <w:rPr>
          <w:rFonts w:ascii="Times New Roman" w:eastAsia="TimesNewRoman" w:hAnsi="Times New Roman"/>
          <w:lang w:val="hu-HU"/>
        </w:rPr>
        <w:t xml:space="preserve"> 68%, TURP-ot követően 61%, radikális prostatectomia után 43%, gerincvelősérülést követően 83%, depresszió esetén 75%. A szildenafil biztonságossága és hatásossága a hosszú távú vizsgálatok során is fennmaradt.</w:t>
      </w:r>
    </w:p>
    <w:p w14:paraId="64DDC144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A4C30E9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Gyermekek</w:t>
      </w:r>
    </w:p>
    <w:p w14:paraId="47FD2101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B423A5D" w14:textId="53B2B3FA" w:rsidR="004C1702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Az Európai Gyógyszerügynökség gyermekek esetén minden korosztálynál eltekint a</w:t>
      </w:r>
      <w:r w:rsidR="009B67E7">
        <w:rPr>
          <w:rFonts w:ascii="Times New Roman" w:eastAsia="TimesNewRoman" w:hAnsi="Times New Roman"/>
          <w:lang w:val="hu-HU"/>
        </w:rPr>
        <w:t>z</w:t>
      </w:r>
      <w:r w:rsidRPr="00071884">
        <w:rPr>
          <w:rFonts w:ascii="Times New Roman" w:eastAsia="TimesNewRoman" w:hAnsi="Times New Roman"/>
          <w:lang w:val="hu-HU"/>
        </w:rPr>
        <w:t xml:space="preserve"> </w:t>
      </w:r>
      <w:r w:rsidR="00046338" w:rsidRPr="00071884">
        <w:rPr>
          <w:rFonts w:ascii="Times New Roman" w:eastAsia="TimesNewRoman" w:hAnsi="Times New Roman"/>
          <w:lang w:val="hu-HU"/>
        </w:rPr>
        <w:t>Azurvig</w:t>
      </w:r>
      <w:r w:rsidRPr="00071884">
        <w:rPr>
          <w:rFonts w:ascii="Times New Roman" w:eastAsia="TimesNewRoman" w:hAnsi="Times New Roman"/>
          <w:lang w:val="hu-HU"/>
        </w:rPr>
        <w:t xml:space="preserve"> vizsgálati eredményeinek benyújtási kötelezettségétől erectilis dysfunctio kezelésében. (lásd 4.2 pont, gyermekgyógyászati alkalmazásra vonatkozó információk).</w:t>
      </w:r>
    </w:p>
    <w:p w14:paraId="2F4B1E1E" w14:textId="77777777" w:rsidR="004C1702" w:rsidRPr="00071884" w:rsidRDefault="004C1702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6336EE7" w14:textId="1488B901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5.2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F9016D" w:rsidRPr="00071884">
        <w:rPr>
          <w:rFonts w:ascii="Times New Roman" w:eastAsia="TimesNewRoman,Bold" w:hAnsi="Times New Roman"/>
          <w:b/>
          <w:bCs/>
          <w:lang w:val="hu-HU"/>
        </w:rPr>
        <w:t>Farmakokinetikai tulajdonságok</w:t>
      </w:r>
    </w:p>
    <w:p w14:paraId="3E3269DC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F1403E0" w14:textId="60B601EE" w:rsidR="00B76076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Felszívódás</w:t>
      </w:r>
    </w:p>
    <w:p w14:paraId="2DE571E2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73476B6C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szildenafil rövid idő alatt felszívódik. A gyógyszert éhgyomorra, szájon át adva 30-120 percen (középértékben 60 percen) belül kialakul a maximális plazmaszint. Az abszolút orális biohasznosulás </w:t>
      </w:r>
      <w:r w:rsidRPr="00071884">
        <w:rPr>
          <w:rFonts w:ascii="Times New Roman" w:eastAsia="TimesNewRoman" w:hAnsi="Times New Roman"/>
          <w:lang w:val="hu-HU"/>
        </w:rPr>
        <w:lastRenderedPageBreak/>
        <w:t>átlagértéke 41% (25-63%). A szildenafil orális adását követően a javasolt dózistartományban (25-100 mg) dózisfüggően változik az AUC-és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-értéke.</w:t>
      </w:r>
    </w:p>
    <w:p w14:paraId="15F10EBD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BCF2FEA" w14:textId="4C06CDC8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szildenafilt étkezés közben bevéve csökken a felszívódás </w:t>
      </w:r>
      <w:r w:rsidR="003026E5">
        <w:rPr>
          <w:rFonts w:ascii="Times New Roman" w:eastAsia="TimesNewRoman" w:hAnsi="Times New Roman"/>
          <w:lang w:val="hu-HU"/>
        </w:rPr>
        <w:t>sebessége</w:t>
      </w:r>
      <w:r w:rsidRPr="00071884">
        <w:rPr>
          <w:rFonts w:ascii="Times New Roman" w:eastAsia="TimesNewRoman" w:hAnsi="Times New Roman"/>
          <w:lang w:val="hu-HU"/>
        </w:rPr>
        <w:t>; átlagosan 60 perccel nő a t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-és átlagosan 29%-kal csökken a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-értéke.</w:t>
      </w:r>
    </w:p>
    <w:p w14:paraId="366E1A3F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8F1AE7D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Eloszlás</w:t>
      </w:r>
    </w:p>
    <w:p w14:paraId="2ABFD5D1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C7A75B0" w14:textId="6B22C939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Dinamikus egyensúlyi állapotban a szildenafil átlagos e</w:t>
      </w:r>
      <w:r w:rsidR="005D7487">
        <w:rPr>
          <w:rFonts w:ascii="Times New Roman" w:eastAsia="TimesNewRoman" w:hAnsi="Times New Roman"/>
          <w:lang w:val="hu-HU"/>
        </w:rPr>
        <w:t>l</w:t>
      </w:r>
      <w:r w:rsidRPr="00071884">
        <w:rPr>
          <w:rFonts w:ascii="Times New Roman" w:eastAsia="TimesNewRoman" w:hAnsi="Times New Roman"/>
          <w:lang w:val="hu-HU"/>
        </w:rPr>
        <w:t>oszlási térfogata (Vd) 105 liter, mely szöveti eloszlásra utal. A szildenafil átlagos maximális össz-plazmakoncentrációja egyszeri 100 mg-os adag szájon át történő adását követően kb. 440 ng/ml (CV 40%). Mivel a szildenafil (és a vérben keringő legjelentősebb, N-dezmetil metabolitjának) 96%-a kötődik plazmafehérjékhez, ez azt eredményezi, hogy a szildenafil átlagos maximális szabad plazmakoncentrációja 18 ng/ml (38 nM). A fehérjekötődés mértéke független a gyógyszer-összkoncentrációtól.</w:t>
      </w:r>
    </w:p>
    <w:p w14:paraId="2101B4B6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97E6070" w14:textId="72C08523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Egészséges </w:t>
      </w:r>
      <w:r w:rsidR="00B16E79">
        <w:rPr>
          <w:rFonts w:ascii="Times New Roman" w:eastAsia="TimesNewRoman" w:hAnsi="Times New Roman"/>
          <w:lang w:val="hu-HU"/>
        </w:rPr>
        <w:t>önkénteseknél</w:t>
      </w:r>
      <w:r w:rsidRPr="00071884">
        <w:rPr>
          <w:rFonts w:ascii="Times New Roman" w:eastAsia="TimesNewRoman" w:hAnsi="Times New Roman"/>
          <w:lang w:val="hu-HU"/>
        </w:rPr>
        <w:t>, 100 mg-os, egyszeri dózisban alkalmazott szildenafil adása után 90 perccel a gyógyszeradag kevesebb mint 0,0002%-a (átlagosan 188 ng) volt kimutatható az ejaculatumban.</w:t>
      </w:r>
    </w:p>
    <w:p w14:paraId="60469CF9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000F911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Biotranszformáció</w:t>
      </w:r>
    </w:p>
    <w:p w14:paraId="105FB747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306D7D0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szildenafilt elsősorban a máj mikroszomális enzimrendszerének CYP3A4, kisebb mértékben a</w:t>
      </w:r>
    </w:p>
    <w:p w14:paraId="7892292A" w14:textId="340C3D09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CYP2C9 izoenzimei metabolizálják. A szildenafil legjelentősebb keringő metabolitja N-demetilációval keletkezik. Ezen </w:t>
      </w:r>
      <w:proofErr w:type="spellStart"/>
      <w:r w:rsidRPr="00071884">
        <w:rPr>
          <w:rFonts w:ascii="Times New Roman" w:eastAsia="TimesNewRoman" w:hAnsi="Times New Roman"/>
          <w:lang w:val="hu-HU"/>
        </w:rPr>
        <w:t>metabolit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Pr="00071884">
        <w:rPr>
          <w:rFonts w:ascii="Times New Roman" w:eastAsia="TimesNewRoman" w:hAnsi="Times New Roman"/>
          <w:lang w:val="hu-HU"/>
        </w:rPr>
        <w:t>foszfo</w:t>
      </w:r>
      <w:r w:rsidR="00D7268A">
        <w:rPr>
          <w:rFonts w:ascii="Times New Roman" w:eastAsia="TimesNewRoman" w:hAnsi="Times New Roman"/>
          <w:lang w:val="hu-HU"/>
        </w:rPr>
        <w:t>diész</w:t>
      </w:r>
      <w:r w:rsidRPr="00071884">
        <w:rPr>
          <w:rFonts w:ascii="Times New Roman" w:eastAsia="TimesNewRoman" w:hAnsi="Times New Roman"/>
          <w:lang w:val="hu-HU"/>
        </w:rPr>
        <w:t>teráz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-szelektivitási profilja hasonló a szildenafiléhoz; a PDE5-höz való </w:t>
      </w:r>
      <w:r w:rsidRPr="00071884">
        <w:rPr>
          <w:rFonts w:ascii="Times New Roman" w:eastAsia="TimesNewRoman" w:hAnsi="Times New Roman"/>
          <w:i/>
          <w:lang w:val="hu-HU"/>
        </w:rPr>
        <w:t xml:space="preserve">in vitro </w:t>
      </w:r>
      <w:r w:rsidRPr="00071884">
        <w:rPr>
          <w:rFonts w:ascii="Times New Roman" w:eastAsia="TimesNewRoman" w:hAnsi="Times New Roman"/>
          <w:lang w:val="hu-HU"/>
        </w:rPr>
        <w:t>affinitása pedig annak kb. 50%-a. A metabolit plazmakoncentrációja a szildenafilénak kb. 40%-a. Az N-dezmetil metabolit tovább bomlik, terminális felezési ideje kb. 4 óra.</w:t>
      </w:r>
    </w:p>
    <w:p w14:paraId="1A4231F6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78836E06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>Elimináció</w:t>
      </w:r>
    </w:p>
    <w:p w14:paraId="6520DD34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8D30C00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A szildenafil teljes-test clearance-e 41 liter/óra; amely 3-5 órás terminális felezési időnek felel meg. A szájon át vagy intravénásan adott szildenafil, metabolitok formájában, elsősorban a széklettel (az alkalmazott dózis kb. 80%-a), kisebb mértékben (az alkalmazott dózis kb. 13%-a) a vizelettel ürül.</w:t>
      </w:r>
    </w:p>
    <w:p w14:paraId="13803C5C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9985F87" w14:textId="5EC072EB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u w:val="single"/>
          <w:lang w:val="hu-HU"/>
        </w:rPr>
        <w:t xml:space="preserve">Farmakokinetikai jellemzők </w:t>
      </w:r>
      <w:r w:rsidR="00B16E79">
        <w:rPr>
          <w:rFonts w:ascii="Times New Roman" w:eastAsia="TimesNewRoman" w:hAnsi="Times New Roman"/>
          <w:u w:val="single"/>
          <w:lang w:val="hu-HU"/>
        </w:rPr>
        <w:t>különleges</w:t>
      </w:r>
      <w:r w:rsidR="00B16E79" w:rsidRPr="00071884">
        <w:rPr>
          <w:rFonts w:ascii="Times New Roman" w:eastAsia="TimesNewRoman" w:hAnsi="Times New Roman"/>
          <w:u w:val="single"/>
          <w:lang w:val="hu-HU"/>
        </w:rPr>
        <w:t xml:space="preserve"> </w:t>
      </w:r>
      <w:r w:rsidRPr="00071884">
        <w:rPr>
          <w:rFonts w:ascii="Times New Roman" w:eastAsia="TimesNewRoman" w:hAnsi="Times New Roman"/>
          <w:u w:val="single"/>
          <w:lang w:val="hu-HU"/>
        </w:rPr>
        <w:t>betegcsoportokban</w:t>
      </w:r>
    </w:p>
    <w:p w14:paraId="25958A2C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4E28270" w14:textId="18058E18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>Idősek</w:t>
      </w:r>
    </w:p>
    <w:p w14:paraId="30B2F554" w14:textId="2828F7B3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Időskorú (65 éves vagy idősebb), egészséges önkéntesek</w:t>
      </w:r>
      <w:r w:rsidR="00B16E79">
        <w:rPr>
          <w:rFonts w:ascii="Times New Roman" w:eastAsia="TimesNewRoman" w:hAnsi="Times New Roman"/>
          <w:lang w:val="hu-HU"/>
        </w:rPr>
        <w:t>kel</w:t>
      </w:r>
      <w:r w:rsidRPr="00071884">
        <w:rPr>
          <w:rFonts w:ascii="Times New Roman" w:eastAsia="TimesNewRoman" w:hAnsi="Times New Roman"/>
          <w:lang w:val="hu-HU"/>
        </w:rPr>
        <w:t xml:space="preserve"> végzett vizsgálatok során a szildenafil clearance-ének csökkenését észlelték, mely a szildenafil és annak aktív N-dezmetil metabolitja plazmakoncentrációinak kb. 90%-os emelkedését okozta a fiatal (18-45 éves) egészséges önkéntesek esetében mértekéhez képest. A plazmafehérje</w:t>
      </w:r>
      <w:r w:rsidR="00A529ED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kötődés korral összefüggő különbségei miatt a szabad szildenafil</w:t>
      </w:r>
      <w:r w:rsidR="003026E5">
        <w:rPr>
          <w:rFonts w:ascii="Times New Roman" w:eastAsia="TimesNewRoman" w:hAnsi="Times New Roman"/>
          <w:lang w:val="hu-HU"/>
        </w:rPr>
        <w:t>-</w:t>
      </w:r>
      <w:r w:rsidRPr="00071884">
        <w:rPr>
          <w:rFonts w:ascii="Times New Roman" w:eastAsia="TimesNewRoman" w:hAnsi="Times New Roman"/>
          <w:lang w:val="hu-HU"/>
        </w:rPr>
        <w:t>koncentráció következményes emelkedése kb. 40% volt.</w:t>
      </w:r>
    </w:p>
    <w:p w14:paraId="5C7A6E0E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FDD076B" w14:textId="46B364B8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>Vese</w:t>
      </w:r>
      <w:r w:rsidR="00B16E79">
        <w:rPr>
          <w:rFonts w:ascii="Times New Roman" w:eastAsia="TimesNewRoman" w:hAnsi="Times New Roman"/>
          <w:i/>
          <w:lang w:val="hu-HU"/>
        </w:rPr>
        <w:t>károsodás</w:t>
      </w:r>
    </w:p>
    <w:p w14:paraId="3D728922" w14:textId="6B2BC6C0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Enyhe, ill. közepesen súlyos (kreatinin-clearance 30-80 ml/perc) vesekárosodásban szenvedő önkéntesek</w:t>
      </w:r>
      <w:r w:rsidR="00B16E79">
        <w:rPr>
          <w:rFonts w:ascii="Times New Roman" w:eastAsia="TimesNewRoman" w:hAnsi="Times New Roman"/>
          <w:lang w:val="hu-HU"/>
        </w:rPr>
        <w:t>kel</w:t>
      </w:r>
      <w:r w:rsidRPr="00071884">
        <w:rPr>
          <w:rFonts w:ascii="Times New Roman" w:eastAsia="TimesNewRoman" w:hAnsi="Times New Roman"/>
          <w:lang w:val="hu-HU"/>
        </w:rPr>
        <w:t xml:space="preserve"> végzett vizsgálatok során nem észlelték az egyszeri, 50 mg-os adagban, orálisan alkalmazott szildenafil farmakokinetikai jellemzőinek módosulását. Az N-dezmetil metabolit átlagos AUC és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 xml:space="preserve"> értéke 126%, illetve 73%-kal emelkedett az azonos korú, nem vesebeteg önkéntesek megfelelő adataihoz képest. Mégis, a vizsgálati egyének közötti nagymértékű variabilitás miatt ezek a különbségek statisztikailag nem voltak szignifikánsak. Súlyos veseelégtelenségben (kreatinin-clearance &lt;30 ml/perc) csökkent a szildenafil clearance értéke, és a hasonló korú, nem vesebeteg önkéntesekhez képest 100%-kal nőtt a koncentráció-idő görbe alatti terület (AUC), ill. 88%-kal a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-értéke. Ráadásul az N-dezmetil metabolit AUC- és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-értékei jelentősen, 200%, illetve 79%-kal emelkedtek.</w:t>
      </w:r>
    </w:p>
    <w:p w14:paraId="6E03C174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12172C2" w14:textId="0974A0C6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i/>
          <w:lang w:val="hu-HU"/>
        </w:rPr>
        <w:t>Máj</w:t>
      </w:r>
      <w:r w:rsidR="00B16E79">
        <w:rPr>
          <w:rFonts w:ascii="Times New Roman" w:eastAsia="TimesNewRoman" w:hAnsi="Times New Roman"/>
          <w:i/>
          <w:lang w:val="hu-HU"/>
        </w:rPr>
        <w:t>károsodás</w:t>
      </w:r>
    </w:p>
    <w:p w14:paraId="583D1CC3" w14:textId="07F756A5" w:rsidR="00B76076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Enyhe, ill. köz</w:t>
      </w:r>
      <w:r w:rsidR="00B16E79">
        <w:rPr>
          <w:rFonts w:ascii="Times New Roman" w:eastAsia="TimesNewRoman" w:hAnsi="Times New Roman"/>
          <w:lang w:val="hu-HU"/>
        </w:rPr>
        <w:t>e</w:t>
      </w:r>
      <w:r w:rsidRPr="00071884">
        <w:rPr>
          <w:rFonts w:ascii="Times New Roman" w:eastAsia="TimesNewRoman" w:hAnsi="Times New Roman"/>
          <w:lang w:val="hu-HU"/>
        </w:rPr>
        <w:t>p</w:t>
      </w:r>
      <w:r w:rsidR="00B16E79">
        <w:rPr>
          <w:rFonts w:ascii="Times New Roman" w:eastAsia="TimesNewRoman" w:hAnsi="Times New Roman"/>
          <w:lang w:val="hu-HU"/>
        </w:rPr>
        <w:t xml:space="preserve">esen </w:t>
      </w:r>
      <w:r w:rsidRPr="00071884">
        <w:rPr>
          <w:rFonts w:ascii="Times New Roman" w:eastAsia="TimesNewRoman" w:hAnsi="Times New Roman"/>
          <w:lang w:val="hu-HU"/>
        </w:rPr>
        <w:t>súlyos májcirrhosisban (Child</w:t>
      </w:r>
      <w:r w:rsidR="00B16E79">
        <w:rPr>
          <w:rFonts w:ascii="Times New Roman" w:eastAsia="TimesNewRoman" w:hAnsi="Times New Roman"/>
          <w:lang w:val="hu-HU"/>
        </w:rPr>
        <w:t>–</w:t>
      </w:r>
      <w:r w:rsidRPr="00071884">
        <w:rPr>
          <w:rFonts w:ascii="Times New Roman" w:eastAsia="TimesNewRoman" w:hAnsi="Times New Roman"/>
          <w:lang w:val="hu-HU"/>
        </w:rPr>
        <w:t>Pugh A és B stádium) szenvedő önkéntesek</w:t>
      </w:r>
      <w:r w:rsidR="00B16E79">
        <w:rPr>
          <w:rFonts w:ascii="Times New Roman" w:eastAsia="TimesNewRoman" w:hAnsi="Times New Roman"/>
          <w:lang w:val="hu-HU"/>
        </w:rPr>
        <w:t>nél</w:t>
      </w:r>
      <w:r w:rsidRPr="00071884">
        <w:rPr>
          <w:rFonts w:ascii="Times New Roman" w:eastAsia="TimesNewRoman" w:hAnsi="Times New Roman"/>
          <w:lang w:val="hu-HU"/>
        </w:rPr>
        <w:t xml:space="preserve"> a szildenafil clearance csökkenését észlelték. Ennek következtében a hasonló korú, nem májbeteg </w:t>
      </w:r>
      <w:r w:rsidRPr="00071884">
        <w:rPr>
          <w:rFonts w:ascii="Times New Roman" w:eastAsia="TimesNewRoman" w:hAnsi="Times New Roman"/>
          <w:lang w:val="hu-HU"/>
        </w:rPr>
        <w:lastRenderedPageBreak/>
        <w:t>önkéntesekhez képest 84%-kal nőtt a koncentráció-idő görbe alatti terület (AUC), ill. 47%-kal a C</w:t>
      </w:r>
      <w:r w:rsidRPr="00071884">
        <w:rPr>
          <w:rFonts w:ascii="Times New Roman" w:eastAsia="TimesNewRoman" w:hAnsi="Times New Roman"/>
          <w:vertAlign w:val="subscript"/>
          <w:lang w:val="hu-HU"/>
        </w:rPr>
        <w:t>max</w:t>
      </w:r>
      <w:r w:rsidRPr="00071884">
        <w:rPr>
          <w:rFonts w:ascii="Times New Roman" w:eastAsia="TimesNewRoman" w:hAnsi="Times New Roman"/>
          <w:lang w:val="hu-HU"/>
        </w:rPr>
        <w:t>-értéke. Súlyosan károsodott májfunkciójú betegek esetében a szildenafil farmakokinetikai jellemzőit nem tanulmányozták.</w:t>
      </w:r>
    </w:p>
    <w:p w14:paraId="52B99301" w14:textId="77777777" w:rsidR="00F9016D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B8536D0" w14:textId="5C2E0F70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5.3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F9016D" w:rsidRPr="00071884">
        <w:rPr>
          <w:rFonts w:ascii="Times New Roman" w:eastAsia="TimesNewRoman,Bold" w:hAnsi="Times New Roman"/>
          <w:b/>
          <w:bCs/>
          <w:lang w:val="hu-HU"/>
        </w:rPr>
        <w:t>A preklinikai biztonságossági vizsgálatok eredményei</w:t>
      </w:r>
    </w:p>
    <w:p w14:paraId="00949877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FA9CAF8" w14:textId="36D46EA0" w:rsidR="00B76076" w:rsidRPr="00071884" w:rsidRDefault="00F9016D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 xml:space="preserve">A hagyományos – farmakológiai biztonságossági, ismételt </w:t>
      </w:r>
      <w:proofErr w:type="spellStart"/>
      <w:r w:rsidR="0066387B">
        <w:rPr>
          <w:rFonts w:ascii="Times New Roman" w:eastAsia="TimesNewRoman" w:hAnsi="Times New Roman"/>
          <w:lang w:val="hu-HU"/>
        </w:rPr>
        <w:t>adagolású</w:t>
      </w:r>
      <w:proofErr w:type="spellEnd"/>
      <w:r w:rsidR="0066387B">
        <w:rPr>
          <w:rFonts w:ascii="Times New Roman" w:eastAsia="TimesNewRoman" w:hAnsi="Times New Roman"/>
          <w:lang w:val="hu-HU"/>
        </w:rPr>
        <w:t xml:space="preserve"> </w:t>
      </w:r>
      <w:r w:rsidRPr="00071884">
        <w:rPr>
          <w:rFonts w:ascii="Times New Roman" w:eastAsia="TimesNewRoman" w:hAnsi="Times New Roman"/>
          <w:lang w:val="hu-HU"/>
        </w:rPr>
        <w:t xml:space="preserve">dózistoxicitási, </w:t>
      </w:r>
      <w:proofErr w:type="spellStart"/>
      <w:r w:rsidRPr="00071884">
        <w:rPr>
          <w:rFonts w:ascii="Times New Roman" w:eastAsia="TimesNewRoman" w:hAnsi="Times New Roman"/>
          <w:lang w:val="hu-HU"/>
        </w:rPr>
        <w:t>genotoxicitási</w:t>
      </w:r>
      <w:proofErr w:type="spellEnd"/>
      <w:r w:rsidRPr="00071884">
        <w:rPr>
          <w:rFonts w:ascii="Times New Roman" w:eastAsia="TimesNewRoman" w:hAnsi="Times New Roman"/>
          <w:lang w:val="hu-HU"/>
        </w:rPr>
        <w:t xml:space="preserve">, </w:t>
      </w:r>
      <w:proofErr w:type="spellStart"/>
      <w:r w:rsidRPr="00071884">
        <w:rPr>
          <w:rFonts w:ascii="Times New Roman" w:eastAsia="TimesNewRoman" w:hAnsi="Times New Roman"/>
          <w:lang w:val="hu-HU"/>
        </w:rPr>
        <w:t>karcinogenitási</w:t>
      </w:r>
      <w:proofErr w:type="spellEnd"/>
      <w:r w:rsidRPr="00071884">
        <w:rPr>
          <w:rFonts w:ascii="Times New Roman" w:eastAsia="TimesNewRoman" w:hAnsi="Times New Roman"/>
          <w:lang w:val="hu-HU"/>
        </w:rPr>
        <w:t>, reprodukcióra és fejlődésre kifejtett toxicitási – vizsgálatokból származó nem klinikai jellegű adatok azt igazolták, hogy a készítmény alkalmazásakor humán vonatkozásban különleges kockázat nem várható.</w:t>
      </w:r>
    </w:p>
    <w:p w14:paraId="0FDC7FB6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91C327A" w14:textId="77777777" w:rsidR="00B6780E" w:rsidRPr="00071884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9C91F20" w14:textId="6E131EBD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6.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F9016D" w:rsidRPr="00071884">
        <w:rPr>
          <w:rFonts w:ascii="Times New Roman" w:eastAsia="TimesNewRoman,Bold" w:hAnsi="Times New Roman"/>
          <w:b/>
          <w:bCs/>
          <w:lang w:val="hu-HU"/>
        </w:rPr>
        <w:t>GYÓGYSZERÉSZETI JELLEMZŐK</w:t>
      </w:r>
    </w:p>
    <w:p w14:paraId="3E6405C7" w14:textId="77777777" w:rsidR="00A32057" w:rsidRPr="00071884" w:rsidRDefault="00A32057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1E3E768A" w14:textId="6E8F3DCE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6.1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Segédanyagok felsorolása</w:t>
      </w:r>
    </w:p>
    <w:p w14:paraId="5D565E67" w14:textId="77777777" w:rsidR="00A32057" w:rsidRPr="00071884" w:rsidRDefault="00A32057" w:rsidP="00491B27">
      <w:pPr>
        <w:pStyle w:val="Listaszerbekezds"/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</w:p>
    <w:p w14:paraId="2654AC33" w14:textId="0842FF80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5" w:name="_Hlk527029036"/>
      <w:r>
        <w:rPr>
          <w:rFonts w:ascii="Times New Roman" w:hAnsi="Times New Roman"/>
          <w:color w:val="000000"/>
          <w:lang w:val="hu-HU"/>
        </w:rPr>
        <w:t>n</w:t>
      </w:r>
      <w:r w:rsidR="00071884" w:rsidRPr="00067256">
        <w:rPr>
          <w:rFonts w:ascii="Times New Roman" w:hAnsi="Times New Roman"/>
          <w:color w:val="000000"/>
          <w:lang w:val="hu-HU"/>
        </w:rPr>
        <w:t>átrium-benzoát</w:t>
      </w:r>
    </w:p>
    <w:p w14:paraId="195ED80D" w14:textId="0D508820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v</w:t>
      </w:r>
      <w:r w:rsidR="00071884" w:rsidRPr="00067256">
        <w:rPr>
          <w:rFonts w:ascii="Times New Roman" w:hAnsi="Times New Roman"/>
          <w:color w:val="000000"/>
          <w:lang w:val="hu-HU"/>
        </w:rPr>
        <w:t>ízmentes citromsav</w:t>
      </w:r>
    </w:p>
    <w:p w14:paraId="6693350D" w14:textId="6582F70F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s</w:t>
      </w:r>
      <w:r w:rsidR="00071884" w:rsidRPr="00067256">
        <w:rPr>
          <w:rFonts w:ascii="Times New Roman" w:hAnsi="Times New Roman"/>
          <w:color w:val="000000"/>
          <w:lang w:val="hu-HU"/>
        </w:rPr>
        <w:t>zukralóz (E955)</w:t>
      </w:r>
    </w:p>
    <w:p w14:paraId="386714C1" w14:textId="6C4CE692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a</w:t>
      </w:r>
      <w:r w:rsidR="00071884" w:rsidRPr="00067256">
        <w:rPr>
          <w:rFonts w:ascii="Times New Roman" w:hAnsi="Times New Roman"/>
          <w:color w:val="000000"/>
          <w:lang w:val="hu-HU"/>
        </w:rPr>
        <w:t>ceszulfám-kálium (E950)</w:t>
      </w:r>
    </w:p>
    <w:p w14:paraId="65941291" w14:textId="5D364CFF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h</w:t>
      </w:r>
      <w:r w:rsidR="00071884" w:rsidRPr="00067256">
        <w:rPr>
          <w:rFonts w:ascii="Times New Roman" w:hAnsi="Times New Roman"/>
          <w:color w:val="000000"/>
          <w:lang w:val="hu-HU"/>
        </w:rPr>
        <w:t>ipromellóz (15 cP)</w:t>
      </w:r>
    </w:p>
    <w:p w14:paraId="7C993870" w14:textId="0734CA73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x</w:t>
      </w:r>
      <w:r w:rsidR="00071884" w:rsidRPr="00067256">
        <w:rPr>
          <w:rFonts w:ascii="Times New Roman" w:hAnsi="Times New Roman"/>
          <w:color w:val="000000"/>
          <w:lang w:val="hu-HU"/>
        </w:rPr>
        <w:t>antángumi</w:t>
      </w:r>
    </w:p>
    <w:p w14:paraId="1D1712E1" w14:textId="3A858ABF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b</w:t>
      </w:r>
      <w:r w:rsidR="00071884" w:rsidRPr="00067256">
        <w:rPr>
          <w:rFonts w:ascii="Times New Roman" w:hAnsi="Times New Roman"/>
          <w:color w:val="000000"/>
          <w:lang w:val="hu-HU"/>
        </w:rPr>
        <w:t xml:space="preserve">orsmentaaroma </w:t>
      </w:r>
      <w:r w:rsidR="00071884" w:rsidRPr="00067256">
        <w:rPr>
          <w:rFonts w:ascii="Times New Roman" w:hAnsi="Times New Roman"/>
          <w:lang w:val="hu-HU"/>
        </w:rPr>
        <w:t xml:space="preserve">501500 TP0504, amely a következőket tartalmazza: kukorica maltodextrin, ízesítő összetevők (mentofurán 0,6%, pulegon 0,2%, esztragol 0,09%) és módosított kukoricakeményítő </w:t>
      </w:r>
      <w:r w:rsidR="003C3EE3">
        <w:rPr>
          <w:rFonts w:ascii="Times New Roman" w:hAnsi="Times New Roman"/>
          <w:lang w:val="hu-HU"/>
        </w:rPr>
        <w:t>(</w:t>
      </w:r>
      <w:r w:rsidR="00071884" w:rsidRPr="00067256">
        <w:rPr>
          <w:rFonts w:ascii="Times New Roman" w:hAnsi="Times New Roman"/>
          <w:lang w:val="hu-HU"/>
        </w:rPr>
        <w:t>E1450</w:t>
      </w:r>
      <w:r w:rsidR="003C3EE3">
        <w:rPr>
          <w:rFonts w:ascii="Times New Roman" w:hAnsi="Times New Roman"/>
          <w:lang w:val="hu-HU"/>
        </w:rPr>
        <w:t>)</w:t>
      </w:r>
      <w:r w:rsidR="00071884" w:rsidRPr="00067256">
        <w:rPr>
          <w:rFonts w:ascii="Times New Roman" w:hAnsi="Times New Roman"/>
          <w:lang w:val="hu-HU"/>
        </w:rPr>
        <w:t xml:space="preserve"> (7,9%)</w:t>
      </w:r>
    </w:p>
    <w:p w14:paraId="193C14B0" w14:textId="00202213" w:rsidR="00071884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í</w:t>
      </w:r>
      <w:r w:rsidR="00071884" w:rsidRPr="00067256">
        <w:rPr>
          <w:rFonts w:ascii="Times New Roman" w:hAnsi="Times New Roman"/>
          <w:color w:val="000000"/>
          <w:lang w:val="hu-HU"/>
        </w:rPr>
        <w:t xml:space="preserve">zfedő aroma </w:t>
      </w:r>
      <w:r w:rsidR="00071884" w:rsidRPr="00067256">
        <w:rPr>
          <w:rFonts w:ascii="Times New Roman" w:hAnsi="Times New Roman"/>
          <w:lang w:val="hu-HU"/>
        </w:rPr>
        <w:t xml:space="preserve">SC241160, amely a következőket tartalmazza: természetes ízesítő anyagok, szukralóz </w:t>
      </w:r>
      <w:r w:rsidR="003C3EE3">
        <w:rPr>
          <w:rFonts w:ascii="Times New Roman" w:hAnsi="Times New Roman"/>
          <w:lang w:val="hu-HU"/>
        </w:rPr>
        <w:t>(</w:t>
      </w:r>
      <w:r w:rsidR="00071884" w:rsidRPr="00067256">
        <w:rPr>
          <w:rFonts w:ascii="Times New Roman" w:hAnsi="Times New Roman"/>
          <w:lang w:val="hu-HU"/>
        </w:rPr>
        <w:t>E955</w:t>
      </w:r>
      <w:r w:rsidR="003C3EE3">
        <w:rPr>
          <w:rFonts w:ascii="Times New Roman" w:hAnsi="Times New Roman"/>
          <w:lang w:val="hu-HU"/>
        </w:rPr>
        <w:t>)</w:t>
      </w:r>
      <w:r w:rsidR="00071884" w:rsidRPr="00067256">
        <w:rPr>
          <w:rFonts w:ascii="Times New Roman" w:hAnsi="Times New Roman"/>
          <w:lang w:val="hu-HU"/>
        </w:rPr>
        <w:t xml:space="preserve"> (94,5%), burgonya maltodextrin és monoammónium-glicirrizinát (0,4%)</w:t>
      </w:r>
    </w:p>
    <w:p w14:paraId="35954B64" w14:textId="4B4AB7E6" w:rsidR="00B76076" w:rsidRPr="00067256" w:rsidRDefault="0045595A" w:rsidP="0006725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color w:val="000000"/>
          <w:lang w:val="hu-HU"/>
        </w:rPr>
        <w:t>t</w:t>
      </w:r>
      <w:r w:rsidR="00071884" w:rsidRPr="00067256">
        <w:rPr>
          <w:rFonts w:ascii="Times New Roman" w:hAnsi="Times New Roman"/>
          <w:color w:val="000000"/>
          <w:lang w:val="hu-HU"/>
        </w:rPr>
        <w:t>isztított víz</w:t>
      </w:r>
    </w:p>
    <w:bookmarkEnd w:id="5"/>
    <w:p w14:paraId="3B7A1B16" w14:textId="77777777" w:rsidR="00B6780E" w:rsidRPr="00071884" w:rsidRDefault="00B6780E" w:rsidP="00491B27">
      <w:pPr>
        <w:pStyle w:val="Listaszerbekezds"/>
        <w:autoSpaceDE w:val="0"/>
        <w:autoSpaceDN w:val="0"/>
        <w:adjustRightInd w:val="0"/>
        <w:spacing w:line="240" w:lineRule="auto"/>
        <w:ind w:left="0"/>
        <w:jc w:val="left"/>
        <w:rPr>
          <w:rFonts w:ascii="Times New Roman" w:eastAsia="TimesNewRoman" w:hAnsi="Times New Roman"/>
          <w:lang w:val="hu-HU"/>
        </w:rPr>
      </w:pPr>
    </w:p>
    <w:p w14:paraId="541F97FF" w14:textId="35433C49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6.2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Inkompatibilitások</w:t>
      </w:r>
    </w:p>
    <w:p w14:paraId="5B16FD75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C0659F5" w14:textId="389CBBC0" w:rsidR="00B76076" w:rsidRPr="00071884" w:rsidRDefault="0004633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Nem értelmezhető.</w:t>
      </w:r>
    </w:p>
    <w:p w14:paraId="6AB055A5" w14:textId="77777777" w:rsidR="00A32057" w:rsidRPr="00071884" w:rsidRDefault="00A32057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09D28BDD" w14:textId="6F6C7A68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6.3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Felhasználhatósági időtartam</w:t>
      </w:r>
    </w:p>
    <w:p w14:paraId="6D4C467E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231667A" w14:textId="0EA4D1C3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6" w:name="_Hlk527029112"/>
      <w:r w:rsidRPr="00071884">
        <w:rPr>
          <w:rFonts w:ascii="Times New Roman" w:hAnsi="Times New Roman"/>
          <w:lang w:val="hu-HU"/>
        </w:rPr>
        <w:t xml:space="preserve">Felhasználhatósági időtartam: </w:t>
      </w:r>
      <w:r w:rsidR="00156042">
        <w:rPr>
          <w:rFonts w:ascii="Times New Roman" w:hAnsi="Times New Roman"/>
          <w:lang w:val="hu-HU"/>
        </w:rPr>
        <w:t xml:space="preserve">24 </w:t>
      </w:r>
      <w:r w:rsidR="008B4D9E">
        <w:rPr>
          <w:rFonts w:ascii="Times New Roman" w:hAnsi="Times New Roman"/>
          <w:lang w:val="hu-HU"/>
        </w:rPr>
        <w:t>hónap</w:t>
      </w:r>
    </w:p>
    <w:p w14:paraId="1232E81F" w14:textId="640FCCF3" w:rsidR="00785E95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 xml:space="preserve">Felhasználhatósági időtartam az első felbontás után: </w:t>
      </w:r>
      <w:r w:rsidR="00156042">
        <w:rPr>
          <w:rFonts w:ascii="Times New Roman" w:hAnsi="Times New Roman"/>
          <w:lang w:val="hu-HU"/>
        </w:rPr>
        <w:t xml:space="preserve">10 </w:t>
      </w:r>
      <w:r w:rsidR="008B4D9E">
        <w:rPr>
          <w:rFonts w:ascii="Times New Roman" w:hAnsi="Times New Roman"/>
          <w:lang w:val="hu-HU"/>
        </w:rPr>
        <w:t>hónap</w:t>
      </w:r>
    </w:p>
    <w:p w14:paraId="7995C5EF" w14:textId="4DCEEF97" w:rsidR="00DA7298" w:rsidRPr="00071884" w:rsidRDefault="00DA729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8A81B81" w14:textId="2FA0E955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6.4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Különleges tárolási előírások</w:t>
      </w:r>
    </w:p>
    <w:p w14:paraId="3433DB3D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CDA14E5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Bontatlan palack:</w:t>
      </w:r>
    </w:p>
    <w:p w14:paraId="156076E7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Legfeljebb 30 ºC-on tárolandó.</w:t>
      </w:r>
    </w:p>
    <w:p w14:paraId="30BE2A00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A5E10AE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Az első felbontás után:</w:t>
      </w:r>
    </w:p>
    <w:p w14:paraId="55B28C0C" w14:textId="77777777" w:rsidR="00071884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Legfeljebb 30 ºC-on tárolandó.</w:t>
      </w:r>
    </w:p>
    <w:p w14:paraId="296D757E" w14:textId="77777777" w:rsidR="00DA7298" w:rsidRPr="00071884" w:rsidRDefault="00DA729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</w:p>
    <w:p w14:paraId="3156DCEA" w14:textId="4B243DF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6.5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Csomagolás típusa és kiszerelése</w:t>
      </w:r>
    </w:p>
    <w:p w14:paraId="6C65CBAE" w14:textId="77777777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1843C7C7" w14:textId="65FD87D2" w:rsidR="00B76076" w:rsidRPr="00071884" w:rsidRDefault="0007188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7" w:name="_Hlk494710397"/>
      <w:r w:rsidRPr="00071884">
        <w:rPr>
          <w:rFonts w:ascii="Times New Roman" w:hAnsi="Times New Roman"/>
          <w:lang w:val="hu-HU"/>
        </w:rPr>
        <w:t>Az Azurvig elsődleges csomagolóanyaga: egy 30 ml-es, nagysűrűségű polietilén (HDPE) palack, nagysűrűségű polietilén (HDPE) gyermekbiztonsági záras kupakkal, valamint egy</w:t>
      </w:r>
      <w:r w:rsidR="00CC26B9">
        <w:rPr>
          <w:rFonts w:ascii="Times New Roman" w:hAnsi="Times New Roman"/>
          <w:lang w:val="hu-HU"/>
        </w:rPr>
        <w:t>, pumpálásonként 0,5 ml-es adagokra kalibrált</w:t>
      </w:r>
      <w:r w:rsidR="00CC26B9" w:rsidRPr="00071884" w:rsidDel="00CC26B9">
        <w:rPr>
          <w:rFonts w:ascii="Times New Roman" w:hAnsi="Times New Roman"/>
          <w:lang w:val="hu-HU"/>
        </w:rPr>
        <w:t xml:space="preserve"> </w:t>
      </w:r>
      <w:r w:rsidRPr="00071884">
        <w:rPr>
          <w:rFonts w:ascii="Times New Roman" w:hAnsi="Times New Roman"/>
          <w:lang w:val="hu-HU"/>
        </w:rPr>
        <w:t>polipropilén</w:t>
      </w:r>
      <w:r w:rsidR="00CC26B9">
        <w:rPr>
          <w:rFonts w:ascii="Times New Roman" w:hAnsi="Times New Roman"/>
          <w:lang w:val="hu-HU"/>
        </w:rPr>
        <w:t>pumpa</w:t>
      </w:r>
      <w:r w:rsidRPr="00071884">
        <w:rPr>
          <w:rFonts w:ascii="Times New Roman" w:hAnsi="Times New Roman"/>
          <w:lang w:val="hu-HU"/>
        </w:rPr>
        <w:t>.</w:t>
      </w:r>
      <w:r w:rsidR="005011BC" w:rsidRPr="00071884">
        <w:rPr>
          <w:rFonts w:ascii="Times New Roman" w:eastAsia="TimesNewRoman" w:hAnsi="Times New Roman"/>
          <w:lang w:val="hu-HU"/>
        </w:rPr>
        <w:t xml:space="preserve"> </w:t>
      </w:r>
      <w:bookmarkEnd w:id="7"/>
    </w:p>
    <w:p w14:paraId="6E812F47" w14:textId="77777777" w:rsidR="00DA7298" w:rsidRPr="00071884" w:rsidRDefault="00DA729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5977277F" w14:textId="486A0FA3" w:rsidR="00B76076" w:rsidRPr="00071884" w:rsidRDefault="00B76076" w:rsidP="00DD01E8">
      <w:pPr>
        <w:autoSpaceDE w:val="0"/>
        <w:autoSpaceDN w:val="0"/>
        <w:adjustRightInd w:val="0"/>
        <w:spacing w:line="240" w:lineRule="auto"/>
        <w:ind w:left="705" w:hanging="705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6.6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A megsemmisítésre vonatkozó különleges óvintézkedések és egyéb, a készítmény kezelésével kapcsolatos információk</w:t>
      </w:r>
    </w:p>
    <w:p w14:paraId="4B3314C5" w14:textId="67597A44" w:rsidR="00B76076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0D54887" w14:textId="77777777" w:rsidR="00411926" w:rsidRPr="00415B7D" w:rsidRDefault="00411926" w:rsidP="00411926">
      <w:pPr>
        <w:autoSpaceDE w:val="0"/>
        <w:autoSpaceDN w:val="0"/>
        <w:adjustRightInd w:val="0"/>
        <w:spacing w:line="240" w:lineRule="auto"/>
        <w:rPr>
          <w:rFonts w:ascii="Times New Roman" w:eastAsia="TimesNewRoman" w:hAnsi="Times New Roman"/>
          <w:u w:val="single"/>
          <w:lang w:val="en-US"/>
        </w:rPr>
      </w:pPr>
      <w:r w:rsidRPr="00415B7D">
        <w:rPr>
          <w:rFonts w:ascii="Times New Roman" w:eastAsia="TimesNewRoman" w:hAnsi="Times New Roman"/>
          <w:u w:val="single"/>
          <w:lang w:val="en-US"/>
        </w:rPr>
        <w:t>HASZNÁLATI UTASÍTÁS</w:t>
      </w:r>
    </w:p>
    <w:p w14:paraId="114C03F1" w14:textId="77777777" w:rsidR="00411926" w:rsidRPr="00071884" w:rsidRDefault="00411926" w:rsidP="00411926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</w:p>
    <w:p w14:paraId="2C3FDE10" w14:textId="77777777" w:rsidR="00411926" w:rsidRPr="00071884" w:rsidRDefault="00411926" w:rsidP="0041192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071884">
        <w:rPr>
          <w:rFonts w:ascii="Times New Roman" w:hAnsi="Times New Roman"/>
          <w:lang w:val="hu-HU"/>
        </w:rPr>
        <w:lastRenderedPageBreak/>
        <w:t>Minden használat előtt körülbelül 20 másodpercig erősen rázza fel a palackot, hogy az alján ne maradjon kiülepedett gyógyszer</w:t>
      </w:r>
      <w:r>
        <w:rPr>
          <w:rFonts w:ascii="Times New Roman" w:hAnsi="Times New Roman"/>
          <w:lang w:val="hu-HU"/>
        </w:rPr>
        <w:t>.</w:t>
      </w:r>
      <w:r w:rsidRPr="00071884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 xml:space="preserve">Lásd </w:t>
      </w:r>
      <w:r w:rsidRPr="00071884">
        <w:rPr>
          <w:rFonts w:ascii="Times New Roman" w:hAnsi="Times New Roman"/>
          <w:lang w:val="hu-HU"/>
        </w:rPr>
        <w:t>1. ábra</w:t>
      </w:r>
      <w:r>
        <w:rPr>
          <w:rFonts w:ascii="Times New Roman" w:hAnsi="Times New Roman"/>
          <w:lang w:val="hu-HU"/>
        </w:rPr>
        <w:t>.</w:t>
      </w:r>
    </w:p>
    <w:p w14:paraId="2936E2EB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39AC1E10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1B0A0EFD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6BEDC07F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52EB11A1" wp14:editId="1F1034D1">
            <wp:extent cx="2724150" cy="2724150"/>
            <wp:effectExtent l="0" t="0" r="0" b="0"/>
            <wp:docPr id="5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257" cy="2724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EB802" w14:textId="77777777" w:rsidR="00411926" w:rsidRPr="00071884" w:rsidRDefault="00411926" w:rsidP="0041192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071884">
        <w:rPr>
          <w:rFonts w:ascii="Times New Roman" w:hAnsi="Times New Roman"/>
          <w:lang w:val="hu-HU"/>
        </w:rPr>
        <w:t xml:space="preserve">A gyermekbiztonsági záras csavaros kupakot úgy kell levenni, hogy határozottan lenyomja és elfordítja az óramutató járásával ellentétes irányba. </w:t>
      </w:r>
      <w:r>
        <w:rPr>
          <w:rFonts w:ascii="Times New Roman" w:hAnsi="Times New Roman"/>
          <w:lang w:val="hu-HU"/>
        </w:rPr>
        <w:t xml:space="preserve">Lásd </w:t>
      </w:r>
      <w:r w:rsidRPr="00071884">
        <w:rPr>
          <w:rFonts w:ascii="Times New Roman" w:hAnsi="Times New Roman"/>
          <w:lang w:val="hu-HU"/>
        </w:rPr>
        <w:t>2. ábra</w:t>
      </w:r>
      <w:r>
        <w:rPr>
          <w:rFonts w:ascii="Times New Roman" w:hAnsi="Times New Roman"/>
          <w:lang w:val="hu-HU"/>
        </w:rPr>
        <w:t>.</w:t>
      </w:r>
    </w:p>
    <w:p w14:paraId="38E5DF8C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65BDC7E3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3CAA3AFD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4BC6FBE9" wp14:editId="2BBAE626">
            <wp:extent cx="2668979" cy="2657475"/>
            <wp:effectExtent l="0" t="0" r="0" b="0"/>
            <wp:docPr id="6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884" cy="266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5C87C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18092F51" w14:textId="77777777" w:rsidR="00411926" w:rsidRPr="008E36C0" w:rsidRDefault="00411926" w:rsidP="0041192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74660F">
        <w:rPr>
          <w:rFonts w:ascii="Times New Roman" w:hAnsi="Times New Roman"/>
          <w:lang w:val="hu-HU"/>
        </w:rPr>
        <w:t>Az adagolópumpát helyezze a palack tetejére, és óvatosan merítse a palackba a műanyag csövet. Ezután az adagolópumpát tartsa a palack nyakán, és az óramutató járásával megegyező irányban csavarva rögzítse rá erősen a palackra. Lásd 3. ábra</w:t>
      </w:r>
    </w:p>
    <w:p w14:paraId="3368E9FA" w14:textId="77777777" w:rsidR="00411926" w:rsidRPr="008E36C0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5AE4F476" w14:textId="77777777" w:rsidR="00411926" w:rsidRPr="008E36C0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noProof/>
          <w:lang w:val="hu-HU" w:eastAsia="hu-HU"/>
        </w:rPr>
        <w:lastRenderedPageBreak/>
        <w:drawing>
          <wp:inline distT="0" distB="0" distL="0" distR="0" wp14:anchorId="3C1C04BD" wp14:editId="046B303E">
            <wp:extent cx="2710800" cy="2710800"/>
            <wp:effectExtent l="0" t="0" r="0" b="0"/>
            <wp:docPr id="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32823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6EA79550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2E180CA8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6BAA66C4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03354FF6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2F49536E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2B126C3F" w14:textId="77777777" w:rsidR="00411926" w:rsidRPr="0074660F" w:rsidRDefault="00411926" w:rsidP="0041192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rPr>
          <w:rFonts w:ascii="Times New Roman" w:hAnsi="Times New Roman"/>
          <w:bCs/>
          <w:lang w:val="hu-HU"/>
        </w:rPr>
      </w:pPr>
      <w:r w:rsidRPr="0074660F">
        <w:rPr>
          <w:rFonts w:ascii="Times New Roman" w:hAnsi="Times New Roman"/>
          <w:bCs/>
          <w:lang w:val="hu-HU"/>
        </w:rPr>
        <w:t>Csavarja az adagolópumpát nyitott állásba. Lásd 4. ábra.</w:t>
      </w:r>
    </w:p>
    <w:p w14:paraId="7CCF69BA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rPr>
          <w:rFonts w:ascii="Times New Roman" w:hAnsi="Times New Roman"/>
          <w:bCs/>
          <w:lang w:val="hu-HU"/>
        </w:rPr>
      </w:pPr>
    </w:p>
    <w:p w14:paraId="3C17F14B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noProof/>
          <w:lang w:val="hu-HU" w:eastAsia="hu-HU"/>
        </w:rPr>
        <w:drawing>
          <wp:inline distT="0" distB="0" distL="0" distR="0" wp14:anchorId="733118ED" wp14:editId="3D963B40">
            <wp:extent cx="2710800" cy="2710800"/>
            <wp:effectExtent l="0" t="0" r="0" b="0"/>
            <wp:docPr id="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0934C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2E6FCEA2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1256F8CB" w14:textId="77777777" w:rsidR="00411926" w:rsidRPr="0074660F" w:rsidRDefault="00411926" w:rsidP="0041192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74660F">
        <w:rPr>
          <w:rFonts w:ascii="Times New Roman" w:hAnsi="Times New Roman"/>
          <w:bCs/>
          <w:lang w:val="hu-HU"/>
        </w:rPr>
        <w:t xml:space="preserve">Minden használat előtt (a legelső használatot is beleértve): Az adagolópumpa előkészítéséhez (feltöltéséhez) nyomja le a pumpát háromszor, </w:t>
      </w:r>
      <w:r>
        <w:rPr>
          <w:rFonts w:ascii="Times New Roman" w:hAnsi="Times New Roman"/>
          <w:bCs/>
          <w:lang w:val="hu-HU"/>
        </w:rPr>
        <w:t>közben a</w:t>
      </w:r>
      <w:r w:rsidRPr="0074660F">
        <w:rPr>
          <w:rFonts w:ascii="Times New Roman" w:hAnsi="Times New Roman"/>
          <w:bCs/>
          <w:lang w:val="hu-HU"/>
        </w:rPr>
        <w:t xml:space="preserve"> kipumpált anyagokat fújja egy nedvszívó anyagra. A pumpa most már készen áll a használatra, és minden adag </w:t>
      </w:r>
      <w:r>
        <w:rPr>
          <w:rFonts w:ascii="Times New Roman" w:hAnsi="Times New Roman"/>
          <w:bCs/>
          <w:lang w:val="hu-HU"/>
        </w:rPr>
        <w:t>permet</w:t>
      </w:r>
      <w:r w:rsidRPr="0074660F">
        <w:rPr>
          <w:rFonts w:ascii="Times New Roman" w:hAnsi="Times New Roman"/>
          <w:bCs/>
          <w:lang w:val="hu-HU"/>
        </w:rPr>
        <w:t xml:space="preserve"> átlagosan 12,5 mg szildenafilt tartalmaz.</w:t>
      </w:r>
    </w:p>
    <w:p w14:paraId="2D93325A" w14:textId="77777777" w:rsidR="00411926" w:rsidRPr="005B1790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537079">
        <w:rPr>
          <w:rFonts w:ascii="Times New Roman" w:hAnsi="Times New Roman"/>
          <w:bCs/>
          <w:lang w:val="hu-HU"/>
        </w:rPr>
        <w:t xml:space="preserve">Ha a feltöltési folyamatot nem megfelelően végzi el, </w:t>
      </w:r>
      <w:r>
        <w:rPr>
          <w:rFonts w:ascii="Times New Roman" w:hAnsi="Times New Roman"/>
          <w:bCs/>
          <w:lang w:val="hu-HU"/>
        </w:rPr>
        <w:t xml:space="preserve">akkor </w:t>
      </w:r>
      <w:r w:rsidRPr="00537079">
        <w:rPr>
          <w:rFonts w:ascii="Times New Roman" w:hAnsi="Times New Roman"/>
          <w:bCs/>
          <w:lang w:val="hu-HU"/>
        </w:rPr>
        <w:t>az alacsonyabb dózist eredményezhet a has</w:t>
      </w:r>
      <w:r w:rsidRPr="005B1790">
        <w:rPr>
          <w:rFonts w:ascii="Times New Roman" w:hAnsi="Times New Roman"/>
          <w:bCs/>
          <w:lang w:val="hu-HU"/>
        </w:rPr>
        <w:t>ználat során.</w:t>
      </w:r>
    </w:p>
    <w:p w14:paraId="02FF7FCA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ind w:left="709"/>
        <w:jc w:val="left"/>
        <w:rPr>
          <w:rFonts w:ascii="Times New Roman" w:hAnsi="Times New Roman"/>
          <w:b/>
          <w:bCs/>
          <w:lang w:val="hu-HU"/>
        </w:rPr>
      </w:pPr>
    </w:p>
    <w:p w14:paraId="1ED61ABD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ind w:left="709"/>
        <w:jc w:val="left"/>
        <w:rPr>
          <w:rFonts w:ascii="Times New Roman" w:hAnsi="Times New Roman"/>
          <w:b/>
          <w:bCs/>
          <w:lang w:val="hu-HU"/>
        </w:rPr>
      </w:pPr>
      <w:r>
        <w:rPr>
          <w:rFonts w:ascii="Times New Roman" w:hAnsi="Times New Roman"/>
          <w:b/>
          <w:bCs/>
          <w:lang w:val="hu-HU"/>
        </w:rPr>
        <w:t>A termék piros vonallal jelölt mennyiségét már dobja ki.</w:t>
      </w:r>
    </w:p>
    <w:p w14:paraId="16CC7A8A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ind w:left="709"/>
        <w:jc w:val="left"/>
        <w:rPr>
          <w:rFonts w:ascii="Times New Roman" w:hAnsi="Times New Roman"/>
          <w:b/>
          <w:bCs/>
          <w:lang w:val="hu-HU"/>
        </w:rPr>
      </w:pPr>
    </w:p>
    <w:p w14:paraId="3D85BB40" w14:textId="77777777" w:rsidR="00411926" w:rsidRPr="008E36C0" w:rsidRDefault="00411926" w:rsidP="0041192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8E36C0">
        <w:rPr>
          <w:rFonts w:ascii="Times New Roman" w:hAnsi="Times New Roman"/>
          <w:bCs/>
          <w:lang w:val="hu-HU"/>
        </w:rPr>
        <w:t>Hajtsa kissé hátra a fejét. Helyezze a pumpát a szájába. Nyomja le az adagolópumpát ahányszor az a kezelőorvosa által felírt dózisnak megfelelően szükséges, és</w:t>
      </w:r>
      <w:r w:rsidRPr="00D95DE5">
        <w:rPr>
          <w:rFonts w:ascii="Times New Roman" w:hAnsi="Times New Roman"/>
          <w:bCs/>
          <w:lang w:val="hu-HU"/>
        </w:rPr>
        <w:t xml:space="preserve"> permetezze a szuszpenziót a nyelv</w:t>
      </w:r>
      <w:r>
        <w:rPr>
          <w:rFonts w:ascii="Times New Roman" w:hAnsi="Times New Roman"/>
          <w:bCs/>
          <w:lang w:val="hu-HU"/>
        </w:rPr>
        <w:t>é</w:t>
      </w:r>
      <w:r w:rsidRPr="00D95DE5">
        <w:rPr>
          <w:rFonts w:ascii="Times New Roman" w:hAnsi="Times New Roman"/>
          <w:bCs/>
          <w:lang w:val="hu-HU"/>
        </w:rPr>
        <w:t>re, majd a nyállal együtt azonnal nyelje le.</w:t>
      </w:r>
      <w:r>
        <w:rPr>
          <w:rFonts w:ascii="Times New Roman" w:hAnsi="Times New Roman"/>
          <w:bCs/>
          <w:lang w:val="hu-HU"/>
        </w:rPr>
        <w:t xml:space="preserve"> </w:t>
      </w:r>
      <w:r w:rsidRPr="0074660F">
        <w:rPr>
          <w:rFonts w:ascii="Times New Roman" w:hAnsi="Times New Roman"/>
          <w:lang w:val="hu-HU"/>
        </w:rPr>
        <w:t>Ne érintse meg az adagolópumpa végével a szája belső felszínét és a nyelvét. Lásd 5. ábra.</w:t>
      </w:r>
    </w:p>
    <w:p w14:paraId="4E6D6C27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ind w:left="709"/>
        <w:rPr>
          <w:rFonts w:ascii="Times New Roman" w:hAnsi="Times New Roman"/>
          <w:b/>
          <w:bCs/>
          <w:lang w:val="hu-HU"/>
        </w:rPr>
      </w:pPr>
    </w:p>
    <w:p w14:paraId="56DAEF34" w14:textId="77777777" w:rsidR="00411926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ind w:left="709"/>
        <w:rPr>
          <w:rFonts w:ascii="Times New Roman" w:hAnsi="Times New Roman"/>
          <w:b/>
          <w:bCs/>
          <w:lang w:val="hu-HU"/>
        </w:rPr>
      </w:pPr>
    </w:p>
    <w:p w14:paraId="28179255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2B5584B2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476BE988" wp14:editId="11EAD3BC">
            <wp:extent cx="2676525" cy="2676525"/>
            <wp:effectExtent l="0" t="0" r="9525" b="9525"/>
            <wp:docPr id="10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59" cy="2676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074E3" w14:textId="77777777" w:rsidR="00411926" w:rsidRPr="00071884" w:rsidRDefault="00411926" w:rsidP="00411926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7A20E23B" w14:textId="77777777" w:rsidR="00411926" w:rsidRPr="0074660F" w:rsidRDefault="00411926" w:rsidP="002E63B1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lang w:val="hu-HU"/>
        </w:rPr>
      </w:pPr>
      <w:r w:rsidRPr="0074660F">
        <w:rPr>
          <w:rFonts w:ascii="Times New Roman" w:hAnsi="Times New Roman"/>
          <w:lang w:val="hu-HU"/>
        </w:rPr>
        <w:t>Csavarja az adagolópumpát zárt állásba (6. ábra), és az óramutató járásával ellentétesen csavarva távolítsa el a pumpát, miután a palack belső falá</w:t>
      </w:r>
      <w:r>
        <w:rPr>
          <w:rFonts w:ascii="Times New Roman" w:hAnsi="Times New Roman"/>
          <w:lang w:val="hu-HU"/>
        </w:rPr>
        <w:t>hoz</w:t>
      </w:r>
      <w:r w:rsidRPr="0074660F">
        <w:rPr>
          <w:rFonts w:ascii="Times New Roman" w:hAnsi="Times New Roman"/>
          <w:lang w:val="hu-HU"/>
        </w:rPr>
        <w:t xml:space="preserve"> finoman hozzáérintve lecsöpögtette (7. ábra).</w:t>
      </w:r>
    </w:p>
    <w:p w14:paraId="5A93F35C" w14:textId="77777777" w:rsidR="00411926" w:rsidRDefault="00411926" w:rsidP="002E63B1">
      <w:pPr>
        <w:autoSpaceDE w:val="0"/>
        <w:autoSpaceDN w:val="0"/>
        <w:adjustRightInd w:val="0"/>
        <w:spacing w:before="240" w:line="240" w:lineRule="auto"/>
        <w:ind w:right="-285"/>
        <w:rPr>
          <w:rFonts w:ascii="Times New Roman" w:hAnsi="Times New Roman"/>
          <w:lang w:val="hu-HU"/>
        </w:rPr>
      </w:pPr>
      <w:r>
        <w:rPr>
          <w:rFonts w:ascii="Times New Roman" w:hAnsi="Times New Roman"/>
          <w:noProof/>
          <w:lang w:val="hu-HU" w:eastAsia="hu-HU"/>
        </w:rPr>
        <w:drawing>
          <wp:anchor distT="0" distB="0" distL="114300" distR="114300" simplePos="0" relativeHeight="251666432" behindDoc="0" locked="0" layoutInCell="1" allowOverlap="1" wp14:anchorId="78C99827" wp14:editId="68DF0D99">
            <wp:simplePos x="0" y="0"/>
            <wp:positionH relativeFrom="column">
              <wp:posOffset>3441396</wp:posOffset>
            </wp:positionH>
            <wp:positionV relativeFrom="paragraph">
              <wp:posOffset>112313</wp:posOffset>
            </wp:positionV>
            <wp:extent cx="2657475" cy="2657475"/>
            <wp:effectExtent l="0" t="0" r="9525" b="9525"/>
            <wp:wrapThrough wrapText="bothSides">
              <wp:wrapPolygon edited="0">
                <wp:start x="0" y="0"/>
                <wp:lineTo x="0" y="21523"/>
                <wp:lineTo x="21523" y="21523"/>
                <wp:lineTo x="21523" y="0"/>
                <wp:lineTo x="0" y="0"/>
              </wp:wrapPolygon>
            </wp:wrapThrough>
            <wp:docPr id="11" name="Picture 13" descr="A diagram of a troph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diagram of a trophy&#10;&#10;Description automatically generated with low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lang w:val="hu-HU" w:eastAsia="hu-HU"/>
        </w:rPr>
        <w:drawing>
          <wp:inline distT="0" distB="0" distL="0" distR="0" wp14:anchorId="5019831E" wp14:editId="7DC7FC3F">
            <wp:extent cx="2647950" cy="2647950"/>
            <wp:effectExtent l="0" t="0" r="0" b="0"/>
            <wp:docPr id="12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6" cy="264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BE90F" w14:textId="77777777" w:rsidR="00411926" w:rsidRPr="0074660F" w:rsidRDefault="00411926" w:rsidP="002E63B1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74660F">
        <w:rPr>
          <w:rFonts w:ascii="Times New Roman" w:hAnsi="Times New Roman"/>
          <w:lang w:val="hu-HU"/>
        </w:rPr>
        <w:t>Minden használat után a gyermekbiztonsági záras csavaros kupakkal azonnal vissza kell zárni a palackot (8. ábra).</w:t>
      </w:r>
    </w:p>
    <w:p w14:paraId="0D58E016" w14:textId="77777777" w:rsidR="00411926" w:rsidRDefault="00411926" w:rsidP="00FD226F">
      <w:pPr>
        <w:pStyle w:val="Listaszerbekezds"/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lastRenderedPageBreak/>
        <w:drawing>
          <wp:inline distT="0" distB="0" distL="0" distR="0" wp14:anchorId="7C2501BB" wp14:editId="32C06516">
            <wp:extent cx="2705100" cy="2693441"/>
            <wp:effectExtent l="0" t="0" r="0" b="0"/>
            <wp:docPr id="1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987" cy="270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50C0F" w14:textId="77777777" w:rsidR="00FD226F" w:rsidRPr="00071884" w:rsidRDefault="00FD226F" w:rsidP="002E63B1">
      <w:pPr>
        <w:pStyle w:val="Listaszerbekezds"/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/>
          <w:bCs/>
          <w:lang w:val="hu-HU"/>
        </w:rPr>
      </w:pPr>
    </w:p>
    <w:p w14:paraId="25995461" w14:textId="77777777" w:rsidR="00411926" w:rsidRDefault="00411926" w:rsidP="00FD226F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lang w:val="hu-HU"/>
        </w:rPr>
        <w:t>Mossa el alaposan az adagolópumpát vízzel, majd nyomja le néhány alkalommal a pumpát, miközben a permetet egy nedvszívó anyaggal felfogja, így meggyőződhet arról, hogy nem maradt termék vagy víz a pumpa belsejében. A következő használat előtt hagyja teljesen megszáradni. Lásd 9. és 10. ábra.</w:t>
      </w:r>
    </w:p>
    <w:p w14:paraId="0646E369" w14:textId="77777777" w:rsidR="00411926" w:rsidRDefault="00411926" w:rsidP="00FD226F">
      <w:pPr>
        <w:pStyle w:val="Listaszerbekezds"/>
        <w:autoSpaceDE w:val="0"/>
        <w:autoSpaceDN w:val="0"/>
        <w:adjustRightInd w:val="0"/>
        <w:spacing w:before="240" w:line="240" w:lineRule="auto"/>
        <w:ind w:left="0"/>
        <w:rPr>
          <w:rFonts w:ascii="Times New Roman" w:hAnsi="Times New Roman"/>
          <w:bCs/>
          <w:lang w:val="hu-HU"/>
        </w:rPr>
      </w:pPr>
    </w:p>
    <w:p w14:paraId="688EE246" w14:textId="77777777" w:rsidR="00411926" w:rsidRPr="00071884" w:rsidRDefault="00411926" w:rsidP="00FD226F">
      <w:pPr>
        <w:pStyle w:val="Listaszerbekezds"/>
        <w:autoSpaceDE w:val="0"/>
        <w:autoSpaceDN w:val="0"/>
        <w:adjustRightInd w:val="0"/>
        <w:spacing w:before="240" w:line="240" w:lineRule="auto"/>
        <w:ind w:left="0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anchor distT="0" distB="0" distL="114300" distR="114300" simplePos="0" relativeHeight="251667456" behindDoc="0" locked="0" layoutInCell="1" allowOverlap="1" wp14:anchorId="19F2C41A" wp14:editId="1159DB63">
            <wp:simplePos x="0" y="0"/>
            <wp:positionH relativeFrom="margin">
              <wp:posOffset>3204845</wp:posOffset>
            </wp:positionH>
            <wp:positionV relativeFrom="paragraph">
              <wp:posOffset>13970</wp:posOffset>
            </wp:positionV>
            <wp:extent cx="2710180" cy="2713228"/>
            <wp:effectExtent l="0" t="0" r="0" b="0"/>
            <wp:wrapNone/>
            <wp:docPr id="15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180" cy="2713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3F421272" wp14:editId="64CA8311">
            <wp:extent cx="2707200" cy="2713297"/>
            <wp:effectExtent l="0" t="0" r="0" b="0"/>
            <wp:docPr id="16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200" cy="271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7AEF" w14:textId="77777777" w:rsidR="00411926" w:rsidRPr="002B116F" w:rsidRDefault="00411926" w:rsidP="00FD226F">
      <w:p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1DF8050F" w14:textId="77777777" w:rsidR="00411926" w:rsidRDefault="00411926" w:rsidP="00FD226F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Ez a gyógyszer gyermekektől elzárva tartandó!</w:t>
      </w:r>
    </w:p>
    <w:p w14:paraId="4EE6C8F2" w14:textId="77777777" w:rsidR="00411926" w:rsidRDefault="00411926" w:rsidP="00411926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06B7C41C" w14:textId="77777777" w:rsidR="00411926" w:rsidRPr="00071884" w:rsidRDefault="00411926" w:rsidP="00411926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415B7D">
        <w:rPr>
          <w:rFonts w:ascii="Times New Roman" w:eastAsia="TimesNewRoman" w:hAnsi="Times New Roman"/>
          <w:lang w:val="hu-HU"/>
        </w:rPr>
        <w:t>MEGJEGYZÉS A BETEGEK SZÁMÁRA </w:t>
      </w:r>
      <w:r w:rsidRPr="00212CDC">
        <w:rPr>
          <w:rFonts w:ascii="Times New Roman" w:hAnsi="Times New Roman"/>
          <w:lang w:val="hu-HU"/>
        </w:rPr>
        <w:t>– Ezen használati utasítás</w:t>
      </w:r>
      <w:r w:rsidRPr="008A6380">
        <w:rPr>
          <w:rFonts w:ascii="Times New Roman" w:hAnsi="Times New Roman"/>
          <w:lang w:val="hu-HU"/>
        </w:rPr>
        <w:t xml:space="preserve"> mellett, amely minden adagolás </w:t>
      </w:r>
      <w:r w:rsidRPr="001079A0">
        <w:rPr>
          <w:rFonts w:ascii="Times New Roman" w:hAnsi="Times New Roman"/>
          <w:lang w:val="hu-HU"/>
        </w:rPr>
        <w:t>előtt újratöltést és az adagoló</w:t>
      </w:r>
      <w:r>
        <w:rPr>
          <w:rFonts w:ascii="Times New Roman" w:hAnsi="Times New Roman"/>
          <w:lang w:val="hu-HU"/>
        </w:rPr>
        <w:t>pumpa</w:t>
      </w:r>
      <w:r w:rsidRPr="001079A0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>el</w:t>
      </w:r>
      <w:r w:rsidRPr="001079A0">
        <w:rPr>
          <w:rFonts w:ascii="Times New Roman" w:hAnsi="Times New Roman"/>
          <w:lang w:val="hu-HU"/>
        </w:rPr>
        <w:t xml:space="preserve">mosását </w:t>
      </w:r>
      <w:r>
        <w:rPr>
          <w:rFonts w:ascii="Times New Roman" w:hAnsi="Times New Roman"/>
          <w:lang w:val="hu-HU"/>
        </w:rPr>
        <w:t xml:space="preserve">írja elő, </w:t>
      </w:r>
      <w:r w:rsidRPr="001079A0">
        <w:rPr>
          <w:rFonts w:ascii="Times New Roman" w:hAnsi="Times New Roman"/>
          <w:lang w:val="hu-HU"/>
        </w:rPr>
        <w:t>a palack</w:t>
      </w:r>
      <w:r>
        <w:rPr>
          <w:rFonts w:ascii="Times New Roman" w:hAnsi="Times New Roman"/>
          <w:lang w:val="hu-HU"/>
        </w:rPr>
        <w:t>ból átlagosan</w:t>
      </w:r>
      <w:r w:rsidRPr="001079A0">
        <w:rPr>
          <w:rFonts w:ascii="Times New Roman" w:hAnsi="Times New Roman"/>
          <w:lang w:val="hu-HU"/>
        </w:rPr>
        <w:t xml:space="preserve"> 20</w:t>
      </w:r>
      <w:r>
        <w:rPr>
          <w:rFonts w:ascii="Times New Roman" w:hAnsi="Times New Roman"/>
          <w:lang w:val="hu-HU"/>
        </w:rPr>
        <w:t> </w:t>
      </w:r>
      <w:r w:rsidRPr="001079A0">
        <w:rPr>
          <w:rFonts w:ascii="Times New Roman" w:hAnsi="Times New Roman"/>
          <w:lang w:val="hu-HU"/>
        </w:rPr>
        <w:t xml:space="preserve">ml </w:t>
      </w:r>
      <w:r>
        <w:rPr>
          <w:rFonts w:ascii="Times New Roman" w:hAnsi="Times New Roman"/>
          <w:lang w:val="hu-HU"/>
        </w:rPr>
        <w:t>végtérfogatú belsőleges</w:t>
      </w:r>
      <w:r w:rsidRPr="001079A0">
        <w:rPr>
          <w:rFonts w:ascii="Times New Roman" w:hAnsi="Times New Roman"/>
          <w:lang w:val="hu-HU"/>
        </w:rPr>
        <w:t xml:space="preserve"> szuszpenzió </w:t>
      </w:r>
      <w:r>
        <w:rPr>
          <w:rFonts w:ascii="Times New Roman" w:hAnsi="Times New Roman"/>
          <w:lang w:val="hu-HU"/>
        </w:rPr>
        <w:t>nyerhető ki</w:t>
      </w:r>
      <w:r w:rsidRPr="001079A0">
        <w:rPr>
          <w:rFonts w:ascii="Times New Roman" w:hAnsi="Times New Roman"/>
          <w:lang w:val="hu-HU"/>
        </w:rPr>
        <w:t>.</w:t>
      </w:r>
    </w:p>
    <w:p w14:paraId="6EB4823B" w14:textId="77777777" w:rsidR="00411926" w:rsidRPr="00071884" w:rsidRDefault="0041192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bookmarkEnd w:id="6"/>
    <w:p w14:paraId="60ABB81B" w14:textId="531F5415" w:rsidR="00653F04" w:rsidRPr="00071884" w:rsidRDefault="00071884" w:rsidP="00DC365F">
      <w:pPr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hAnsi="Times New Roman"/>
          <w:lang w:val="hu-HU"/>
        </w:rPr>
        <w:t>A megfelelő kezelés érdekében a megmaradt gyógyszert a megfelelően lezárt palackban kell tartani, és minden felhasznált anyagot meg kell semmisíteni.</w:t>
      </w:r>
    </w:p>
    <w:p w14:paraId="32200303" w14:textId="5C77A2A0" w:rsidR="000D67B4" w:rsidRPr="00071884" w:rsidRDefault="00046338" w:rsidP="00DC365F">
      <w:pPr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lang w:val="hu-HU"/>
        </w:rPr>
        <w:t>Bármilyen fel nem használt gyógyszer, illetve hulladékanyag megsemmisítését a gyógyszerekre vonatkozó előírások szerint kell végrehajtani.</w:t>
      </w:r>
    </w:p>
    <w:p w14:paraId="6E9F53CA" w14:textId="1EDD8BB0" w:rsidR="00D87072" w:rsidRDefault="00D87072" w:rsidP="00DE79F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E655A67" w14:textId="7445E83B" w:rsidR="00416505" w:rsidRPr="00416505" w:rsidRDefault="00416505" w:rsidP="0041650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416505">
        <w:rPr>
          <w:rFonts w:ascii="Times New Roman" w:eastAsia="TimesNewRoman" w:hAnsi="Times New Roman"/>
          <w:lang w:val="hu-HU"/>
        </w:rPr>
        <w:t xml:space="preserve">Megjegyzés: </w:t>
      </w:r>
      <w:r w:rsidRPr="00B966E8">
        <w:sym w:font="Wingdings" w:char="F058"/>
      </w:r>
      <w:r w:rsidRPr="00416505">
        <w:rPr>
          <w:rFonts w:ascii="Times New Roman" w:eastAsia="TimesNewRoman" w:hAnsi="Times New Roman"/>
          <w:lang w:val="hu-HU"/>
        </w:rPr>
        <w:t xml:space="preserve"> (egy kereszt)</w:t>
      </w:r>
    </w:p>
    <w:p w14:paraId="6149DC63" w14:textId="77777777" w:rsidR="00416505" w:rsidRPr="00416505" w:rsidRDefault="00416505" w:rsidP="0041650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416505">
        <w:rPr>
          <w:rFonts w:ascii="Times New Roman" w:eastAsia="TimesNewRoman" w:hAnsi="Times New Roman"/>
          <w:lang w:val="hu-HU"/>
        </w:rPr>
        <w:t>Osztályozás: II. csoport</w:t>
      </w:r>
    </w:p>
    <w:p w14:paraId="34448F6B" w14:textId="49612206" w:rsidR="00416505" w:rsidRDefault="00416505" w:rsidP="0041650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416505">
        <w:rPr>
          <w:rFonts w:ascii="Times New Roman" w:eastAsia="TimesNewRoman" w:hAnsi="Times New Roman"/>
          <w:lang w:val="hu-HU"/>
        </w:rPr>
        <w:t>Kizárólag orvosi rendelvényhez kötött gyógyszer (V).</w:t>
      </w:r>
    </w:p>
    <w:p w14:paraId="2E631E84" w14:textId="77777777" w:rsidR="008B4975" w:rsidRDefault="008B4975" w:rsidP="0041650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B4F6E6B" w14:textId="77777777" w:rsidR="00416505" w:rsidRPr="00071884" w:rsidRDefault="00416505" w:rsidP="00DE79F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9AB56C6" w14:textId="54CE358A" w:rsidR="00046338" w:rsidRPr="00071884" w:rsidRDefault="0004633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071884">
        <w:rPr>
          <w:rFonts w:ascii="Times New Roman" w:eastAsia="TimesNewRoman" w:hAnsi="Times New Roman"/>
          <w:b/>
          <w:lang w:val="hu-HU"/>
        </w:rPr>
        <w:t>7.</w:t>
      </w:r>
      <w:r w:rsidR="0045595A">
        <w:rPr>
          <w:rFonts w:ascii="Times New Roman" w:eastAsia="TimesNewRoman" w:hAnsi="Times New Roman"/>
          <w:b/>
          <w:lang w:val="hu-HU"/>
        </w:rPr>
        <w:tab/>
      </w:r>
      <w:r w:rsidRPr="00071884">
        <w:rPr>
          <w:rFonts w:ascii="Times New Roman" w:eastAsia="TimesNewRoman" w:hAnsi="Times New Roman"/>
          <w:b/>
          <w:lang w:val="hu-HU"/>
        </w:rPr>
        <w:t>A FORGALOMBA HOZATALI ENGEDÉLY JOGOSULTJA</w:t>
      </w:r>
    </w:p>
    <w:p w14:paraId="61041568" w14:textId="6D78F438" w:rsidR="00B6780E" w:rsidRPr="00071884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</w:p>
    <w:p w14:paraId="4A7F0321" w14:textId="77777777" w:rsidR="00C06140" w:rsidRPr="00A210DA" w:rsidRDefault="00C06140" w:rsidP="00C06140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color w:val="000000"/>
          <w:lang w:val="hu-HU" w:eastAsia="es-ES"/>
        </w:rPr>
      </w:pPr>
      <w:r w:rsidRPr="00A210DA">
        <w:rPr>
          <w:rFonts w:ascii="Times New Roman" w:eastAsia="TimesNewRoman" w:hAnsi="Times New Roman"/>
          <w:color w:val="000000"/>
          <w:lang w:val="hu-HU" w:eastAsia="es-ES"/>
        </w:rPr>
        <w:t>Alpen Pharma GmbH</w:t>
      </w:r>
    </w:p>
    <w:p w14:paraId="05A7E66E" w14:textId="77777777" w:rsidR="00C06140" w:rsidRPr="00A210DA" w:rsidRDefault="00C06140" w:rsidP="00C06140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color w:val="000000"/>
          <w:lang w:val="hu-HU" w:eastAsia="es-ES"/>
        </w:rPr>
      </w:pPr>
      <w:r w:rsidRPr="00A210DA">
        <w:rPr>
          <w:rFonts w:ascii="Times New Roman" w:eastAsia="TimesNewRoman" w:hAnsi="Times New Roman"/>
          <w:color w:val="000000"/>
          <w:lang w:val="hu-HU" w:eastAsia="es-ES"/>
        </w:rPr>
        <w:t>Steinenfeld 3</w:t>
      </w:r>
    </w:p>
    <w:p w14:paraId="153FAA7C" w14:textId="77777777" w:rsidR="00C06140" w:rsidRPr="00A210DA" w:rsidRDefault="00C06140" w:rsidP="00C06140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color w:val="000000"/>
          <w:lang w:val="hu-HU" w:eastAsia="es-ES"/>
        </w:rPr>
      </w:pPr>
      <w:r w:rsidRPr="00A210DA">
        <w:rPr>
          <w:rFonts w:ascii="Times New Roman" w:eastAsia="TimesNewRoman" w:hAnsi="Times New Roman"/>
          <w:color w:val="000000"/>
          <w:lang w:val="hu-HU" w:eastAsia="es-ES"/>
        </w:rPr>
        <w:t>77736 Zell am Harmersbach</w:t>
      </w:r>
    </w:p>
    <w:p w14:paraId="467C0414" w14:textId="77777777" w:rsidR="00C06140" w:rsidRPr="00A210DA" w:rsidRDefault="00C06140" w:rsidP="00C06140">
      <w:pPr>
        <w:pStyle w:val="Default"/>
        <w:rPr>
          <w:rFonts w:eastAsia="TimesNewRoman"/>
          <w:sz w:val="22"/>
          <w:szCs w:val="22"/>
          <w:lang w:val="hu-HU"/>
        </w:rPr>
      </w:pPr>
      <w:r w:rsidRPr="00A210DA">
        <w:rPr>
          <w:rFonts w:eastAsia="TimesNewRoman"/>
          <w:sz w:val="22"/>
          <w:szCs w:val="22"/>
          <w:lang w:val="hu-HU"/>
        </w:rPr>
        <w:t>Németország</w:t>
      </w:r>
    </w:p>
    <w:p w14:paraId="543DF19E" w14:textId="676B1C2E" w:rsidR="00046338" w:rsidRPr="00071884" w:rsidRDefault="0004633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</w:p>
    <w:p w14:paraId="1324EC20" w14:textId="77777777" w:rsidR="00046338" w:rsidRPr="00071884" w:rsidRDefault="00046338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</w:p>
    <w:p w14:paraId="74B62AC4" w14:textId="05E8E1DA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8.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A FORGALOMBA HOZATALI ENGEDÉLY SZÁMA(I)</w:t>
      </w:r>
    </w:p>
    <w:p w14:paraId="0B93A84D" w14:textId="5A5B82E8" w:rsidR="00B76076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FB2A8A5" w14:textId="522D1F31" w:rsidR="00866D6A" w:rsidRPr="00805554" w:rsidRDefault="00866D6A" w:rsidP="00866D6A">
      <w:pPr>
        <w:rPr>
          <w:rFonts w:ascii="Times New Roman" w:hAnsi="Times New Roman"/>
          <w:lang w:val="hu-HU"/>
        </w:rPr>
      </w:pPr>
      <w:r w:rsidRPr="00805554">
        <w:rPr>
          <w:rFonts w:ascii="Times New Roman" w:hAnsi="Times New Roman"/>
          <w:lang w:val="hu-HU"/>
        </w:rPr>
        <w:t>OGYI-T-23613/0</w:t>
      </w:r>
      <w:r w:rsidR="0045595A">
        <w:rPr>
          <w:rFonts w:ascii="Times New Roman" w:hAnsi="Times New Roman"/>
          <w:lang w:val="hu-HU"/>
        </w:rPr>
        <w:t>2</w:t>
      </w:r>
      <w:r w:rsidR="00904299">
        <w:rPr>
          <w:rFonts w:ascii="Times New Roman" w:hAnsi="Times New Roman"/>
          <w:lang w:val="hu-HU"/>
        </w:rPr>
        <w:tab/>
        <w:t>1×30 ml</w:t>
      </w:r>
      <w:r w:rsidR="00A15288">
        <w:rPr>
          <w:rFonts w:ascii="Times New Roman" w:hAnsi="Times New Roman"/>
          <w:lang w:val="hu-HU"/>
        </w:rPr>
        <w:tab/>
        <w:t>HDPE palack és polipropilén pumpa</w:t>
      </w:r>
    </w:p>
    <w:p w14:paraId="03B9DB1F" w14:textId="77777777" w:rsidR="00866D6A" w:rsidRPr="00071884" w:rsidRDefault="00866D6A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AAC58A1" w14:textId="77777777" w:rsidR="00B6780E" w:rsidRPr="00071884" w:rsidRDefault="00B6780E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0D0FD59" w14:textId="28128114" w:rsidR="00B76076" w:rsidRPr="00071884" w:rsidRDefault="00B76076" w:rsidP="002E63B1">
      <w:pPr>
        <w:autoSpaceDE w:val="0"/>
        <w:autoSpaceDN w:val="0"/>
        <w:adjustRightInd w:val="0"/>
        <w:spacing w:line="240" w:lineRule="auto"/>
        <w:ind w:left="709" w:hanging="709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9.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A FORGALOMBA HOZATALI ENGEDÉLY ELSŐ KIADÁSÁNAK/ MEGÚJÍTÁSÁNAK DÁTUMA</w:t>
      </w:r>
    </w:p>
    <w:p w14:paraId="6C93DF2D" w14:textId="5C21D050" w:rsidR="00B76076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5457722" w14:textId="77777777" w:rsidR="00805554" w:rsidRPr="00914162" w:rsidRDefault="00DE79F7" w:rsidP="00805554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DE79F7">
        <w:rPr>
          <w:rFonts w:ascii="Times New Roman" w:eastAsia="TimesNewRoman" w:hAnsi="Times New Roman"/>
          <w:lang w:val="hu-HU"/>
        </w:rPr>
        <w:t>A forgalomba hozatali engedély első kiadásának dátuma:</w:t>
      </w:r>
      <w:r w:rsidR="00805554">
        <w:rPr>
          <w:rFonts w:ascii="Times New Roman" w:eastAsia="TimesNewRoman" w:hAnsi="Times New Roman"/>
          <w:lang w:val="hu-HU"/>
        </w:rPr>
        <w:t xml:space="preserve"> </w:t>
      </w:r>
      <w:r w:rsidR="00805554" w:rsidRPr="00914162">
        <w:rPr>
          <w:rFonts w:ascii="Times New Roman" w:hAnsi="Times New Roman"/>
          <w:lang w:val="hu-HU"/>
        </w:rPr>
        <w:t>2019. november 12.</w:t>
      </w:r>
    </w:p>
    <w:p w14:paraId="1841778A" w14:textId="7D11DD60" w:rsidR="00DE79F7" w:rsidRPr="00071884" w:rsidRDefault="00DE79F7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0A39642" w14:textId="77777777" w:rsidR="00731204" w:rsidRPr="00071884" w:rsidRDefault="00731204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7A1B097" w14:textId="68EEB3C8" w:rsidR="00B76076" w:rsidRPr="00071884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071884">
        <w:rPr>
          <w:rFonts w:ascii="Times New Roman" w:eastAsia="TimesNewRoman,Bold" w:hAnsi="Times New Roman"/>
          <w:b/>
          <w:bCs/>
          <w:lang w:val="hu-HU"/>
        </w:rPr>
        <w:t>10.</w:t>
      </w:r>
      <w:r w:rsidR="0045595A">
        <w:rPr>
          <w:rFonts w:ascii="Times New Roman" w:eastAsia="TimesNewRoman,Bold" w:hAnsi="Times New Roman"/>
          <w:b/>
          <w:bCs/>
          <w:lang w:val="hu-HU"/>
        </w:rPr>
        <w:tab/>
      </w:r>
      <w:r w:rsidR="00046338" w:rsidRPr="00071884">
        <w:rPr>
          <w:rFonts w:ascii="Times New Roman" w:eastAsia="TimesNewRoman,Bold" w:hAnsi="Times New Roman"/>
          <w:b/>
          <w:bCs/>
          <w:lang w:val="hu-HU"/>
        </w:rPr>
        <w:t>A SZÖVEG ELLENŐRZÉSÉNEK DÁTUMA</w:t>
      </w:r>
    </w:p>
    <w:p w14:paraId="010048AE" w14:textId="77777777" w:rsidR="00B76076" w:rsidRPr="00067256" w:rsidRDefault="00B76076" w:rsidP="00491B27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5D8625E8" w14:textId="585B82B0" w:rsidR="007122CF" w:rsidRDefault="006D0C4B" w:rsidP="00DE79F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2026. május </w:t>
      </w:r>
      <w:r w:rsidR="002E63B1">
        <w:rPr>
          <w:rFonts w:ascii="Times New Roman" w:hAnsi="Times New Roman"/>
          <w:lang w:val="hu-HU"/>
        </w:rPr>
        <w:t>18</w:t>
      </w:r>
      <w:r>
        <w:rPr>
          <w:rFonts w:ascii="Times New Roman" w:hAnsi="Times New Roman"/>
          <w:lang w:val="hu-HU"/>
        </w:rPr>
        <w:t>.</w:t>
      </w:r>
    </w:p>
    <w:p w14:paraId="68D365B6" w14:textId="77777777" w:rsidR="006D0C4B" w:rsidRDefault="006D0C4B" w:rsidP="00DE79F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518C27A6" w14:textId="77777777" w:rsidR="006D0C4B" w:rsidRPr="00914162" w:rsidRDefault="006D0C4B" w:rsidP="00DE79F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sectPr w:rsidR="006D0C4B" w:rsidRPr="00914162" w:rsidSect="00182083">
      <w:headerReference w:type="default" r:id="rId19"/>
      <w:footerReference w:type="first" r:id="rId2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ED076" w14:textId="77777777" w:rsidR="00EE6A73" w:rsidRDefault="00EE6A73" w:rsidP="00A91304">
      <w:pPr>
        <w:spacing w:line="240" w:lineRule="auto"/>
      </w:pPr>
      <w:r>
        <w:separator/>
      </w:r>
    </w:p>
  </w:endnote>
  <w:endnote w:type="continuationSeparator" w:id="0">
    <w:p w14:paraId="5AD4F85B" w14:textId="77777777" w:rsidR="00EE6A73" w:rsidRDefault="00EE6A73" w:rsidP="00A91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FF14E" w14:textId="16D13C6F" w:rsidR="000F09EA" w:rsidRPr="00DC365F" w:rsidRDefault="006D0C4B" w:rsidP="008B1D13">
    <w:pPr>
      <w:pStyle w:val="llb"/>
      <w:rPr>
        <w:rFonts w:ascii="Times New Roman" w:hAnsi="Times New Roman"/>
        <w:sz w:val="18"/>
        <w:szCs w:val="18"/>
      </w:rPr>
    </w:pPr>
    <w:r w:rsidRPr="006D0C4B">
      <w:rPr>
        <w:rFonts w:ascii="Times New Roman" w:hAnsi="Times New Roman"/>
        <w:sz w:val="18"/>
        <w:szCs w:val="18"/>
      </w:rPr>
      <w:t>NNGYK/ETGY/22443/2025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524F6" w14:textId="77777777" w:rsidR="00EE6A73" w:rsidRDefault="00EE6A73" w:rsidP="00A91304">
      <w:pPr>
        <w:spacing w:line="240" w:lineRule="auto"/>
      </w:pPr>
      <w:r>
        <w:separator/>
      </w:r>
    </w:p>
  </w:footnote>
  <w:footnote w:type="continuationSeparator" w:id="0">
    <w:p w14:paraId="5610DBFE" w14:textId="77777777" w:rsidR="00EE6A73" w:rsidRDefault="00EE6A73" w:rsidP="00A913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870509"/>
      <w:docPartObj>
        <w:docPartGallery w:val="Page Numbers (Top of Page)"/>
        <w:docPartUnique/>
      </w:docPartObj>
    </w:sdtPr>
    <w:sdtEndPr/>
    <w:sdtContent>
      <w:p w14:paraId="4B2CD480" w14:textId="322F5CAE" w:rsidR="00D31AAF" w:rsidRDefault="00D31AAF">
        <w:pPr>
          <w:pStyle w:val="lfej"/>
          <w:jc w:val="center"/>
        </w:pPr>
        <w:r w:rsidRPr="00D31AAF">
          <w:rPr>
            <w:rFonts w:ascii="Times New Roman" w:hAnsi="Times New Roman"/>
            <w:sz w:val="18"/>
            <w:szCs w:val="18"/>
          </w:rPr>
          <w:fldChar w:fldCharType="begin"/>
        </w:r>
        <w:r w:rsidRPr="00D31AA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D31AAF">
          <w:rPr>
            <w:rFonts w:ascii="Times New Roman" w:hAnsi="Times New Roman"/>
            <w:sz w:val="18"/>
            <w:szCs w:val="18"/>
          </w:rPr>
          <w:fldChar w:fldCharType="separate"/>
        </w:r>
        <w:r w:rsidR="00DD01E8" w:rsidRPr="00DD01E8">
          <w:rPr>
            <w:rFonts w:ascii="Times New Roman" w:hAnsi="Times New Roman"/>
            <w:noProof/>
            <w:sz w:val="18"/>
            <w:szCs w:val="18"/>
            <w:lang w:val="hu-HU"/>
          </w:rPr>
          <w:t>19</w:t>
        </w:r>
        <w:r w:rsidRPr="00D31AA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576"/>
    <w:multiLevelType w:val="hybridMultilevel"/>
    <w:tmpl w:val="6400DD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70681"/>
    <w:multiLevelType w:val="hybridMultilevel"/>
    <w:tmpl w:val="4E3E0878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A0E63"/>
    <w:multiLevelType w:val="hybridMultilevel"/>
    <w:tmpl w:val="536CB7C4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923B3"/>
    <w:multiLevelType w:val="hybridMultilevel"/>
    <w:tmpl w:val="6400DD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97E1B"/>
    <w:multiLevelType w:val="hybridMultilevel"/>
    <w:tmpl w:val="69AA2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D0E8F"/>
    <w:multiLevelType w:val="hybridMultilevel"/>
    <w:tmpl w:val="4E766D12"/>
    <w:lvl w:ilvl="0" w:tplc="5B02EC92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43998"/>
    <w:multiLevelType w:val="hybridMultilevel"/>
    <w:tmpl w:val="AF8AD3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56912"/>
    <w:multiLevelType w:val="hybridMultilevel"/>
    <w:tmpl w:val="70F4C8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52207"/>
    <w:multiLevelType w:val="hybridMultilevel"/>
    <w:tmpl w:val="2F426FDA"/>
    <w:lvl w:ilvl="0" w:tplc="80885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27267A"/>
    <w:multiLevelType w:val="hybridMultilevel"/>
    <w:tmpl w:val="88466972"/>
    <w:lvl w:ilvl="0" w:tplc="DAB04E26">
      <w:start w:val="1"/>
      <w:numFmt w:val="decimal"/>
      <w:lvlText w:val="%1"/>
      <w:lvlJc w:val="left"/>
      <w:pPr>
        <w:ind w:left="720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91EDA"/>
    <w:multiLevelType w:val="hybridMultilevel"/>
    <w:tmpl w:val="ADA645F6"/>
    <w:lvl w:ilvl="0" w:tplc="224882A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BF1160"/>
    <w:multiLevelType w:val="hybridMultilevel"/>
    <w:tmpl w:val="416073A8"/>
    <w:lvl w:ilvl="0" w:tplc="3D10206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B0904"/>
    <w:multiLevelType w:val="hybridMultilevel"/>
    <w:tmpl w:val="607A86BC"/>
    <w:lvl w:ilvl="0" w:tplc="D34CB74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4D1F85"/>
    <w:multiLevelType w:val="hybridMultilevel"/>
    <w:tmpl w:val="C882CDE8"/>
    <w:lvl w:ilvl="0" w:tplc="0068D764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550847">
    <w:abstractNumId w:val="12"/>
  </w:num>
  <w:num w:numId="2" w16cid:durableId="2076706709">
    <w:abstractNumId w:val="10"/>
  </w:num>
  <w:num w:numId="3" w16cid:durableId="853760990">
    <w:abstractNumId w:val="5"/>
  </w:num>
  <w:num w:numId="4" w16cid:durableId="798181399">
    <w:abstractNumId w:val="11"/>
  </w:num>
  <w:num w:numId="5" w16cid:durableId="1780947891">
    <w:abstractNumId w:val="8"/>
  </w:num>
  <w:num w:numId="6" w16cid:durableId="2022855557">
    <w:abstractNumId w:val="9"/>
  </w:num>
  <w:num w:numId="7" w16cid:durableId="1034189028">
    <w:abstractNumId w:val="2"/>
  </w:num>
  <w:num w:numId="8" w16cid:durableId="362482751">
    <w:abstractNumId w:val="1"/>
  </w:num>
  <w:num w:numId="9" w16cid:durableId="1511219703">
    <w:abstractNumId w:val="0"/>
  </w:num>
  <w:num w:numId="10" w16cid:durableId="700975857">
    <w:abstractNumId w:val="3"/>
  </w:num>
  <w:num w:numId="11" w16cid:durableId="1542278681">
    <w:abstractNumId w:val="13"/>
  </w:num>
  <w:num w:numId="12" w16cid:durableId="1247959339">
    <w:abstractNumId w:val="7"/>
  </w:num>
  <w:num w:numId="13" w16cid:durableId="1719888680">
    <w:abstractNumId w:val="4"/>
  </w:num>
  <w:num w:numId="14" w16cid:durableId="5026237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304"/>
    <w:rsid w:val="000017C3"/>
    <w:rsid w:val="000047CC"/>
    <w:rsid w:val="00006970"/>
    <w:rsid w:val="00010712"/>
    <w:rsid w:val="00010A05"/>
    <w:rsid w:val="000218DB"/>
    <w:rsid w:val="00026EF4"/>
    <w:rsid w:val="00044EB0"/>
    <w:rsid w:val="00046338"/>
    <w:rsid w:val="000500C1"/>
    <w:rsid w:val="0005126A"/>
    <w:rsid w:val="0005203D"/>
    <w:rsid w:val="00062861"/>
    <w:rsid w:val="00067256"/>
    <w:rsid w:val="00067E53"/>
    <w:rsid w:val="00071884"/>
    <w:rsid w:val="0007425F"/>
    <w:rsid w:val="00077516"/>
    <w:rsid w:val="000934EB"/>
    <w:rsid w:val="000A0015"/>
    <w:rsid w:val="000A2DF4"/>
    <w:rsid w:val="000A5741"/>
    <w:rsid w:val="000B2D23"/>
    <w:rsid w:val="000B2FB1"/>
    <w:rsid w:val="000B7036"/>
    <w:rsid w:val="000C2DDF"/>
    <w:rsid w:val="000D280F"/>
    <w:rsid w:val="000D67B4"/>
    <w:rsid w:val="000E2440"/>
    <w:rsid w:val="000F09EA"/>
    <w:rsid w:val="000F133E"/>
    <w:rsid w:val="00102AF2"/>
    <w:rsid w:val="00112171"/>
    <w:rsid w:val="0011740C"/>
    <w:rsid w:val="001212D3"/>
    <w:rsid w:val="00123827"/>
    <w:rsid w:val="00127C06"/>
    <w:rsid w:val="0013544E"/>
    <w:rsid w:val="0013718E"/>
    <w:rsid w:val="00140169"/>
    <w:rsid w:val="001463D8"/>
    <w:rsid w:val="00150318"/>
    <w:rsid w:val="00156042"/>
    <w:rsid w:val="0015657C"/>
    <w:rsid w:val="00161342"/>
    <w:rsid w:val="00161A28"/>
    <w:rsid w:val="00163CAC"/>
    <w:rsid w:val="00165127"/>
    <w:rsid w:val="00167388"/>
    <w:rsid w:val="001716CC"/>
    <w:rsid w:val="00176DD4"/>
    <w:rsid w:val="00182083"/>
    <w:rsid w:val="00186CC4"/>
    <w:rsid w:val="00191134"/>
    <w:rsid w:val="001A3083"/>
    <w:rsid w:val="001A334F"/>
    <w:rsid w:val="001A3455"/>
    <w:rsid w:val="001A42F3"/>
    <w:rsid w:val="001A72E6"/>
    <w:rsid w:val="001B185D"/>
    <w:rsid w:val="001B6FED"/>
    <w:rsid w:val="001C0086"/>
    <w:rsid w:val="001C611A"/>
    <w:rsid w:val="001D0DF1"/>
    <w:rsid w:val="001D14AE"/>
    <w:rsid w:val="001E44E8"/>
    <w:rsid w:val="001E4D9D"/>
    <w:rsid w:val="001F5570"/>
    <w:rsid w:val="002070E2"/>
    <w:rsid w:val="00212CDC"/>
    <w:rsid w:val="00216084"/>
    <w:rsid w:val="00217116"/>
    <w:rsid w:val="002233AF"/>
    <w:rsid w:val="002315D6"/>
    <w:rsid w:val="00240746"/>
    <w:rsid w:val="0024697B"/>
    <w:rsid w:val="002608CC"/>
    <w:rsid w:val="00264D7E"/>
    <w:rsid w:val="00267021"/>
    <w:rsid w:val="00271DCE"/>
    <w:rsid w:val="00274034"/>
    <w:rsid w:val="00275B26"/>
    <w:rsid w:val="00275FF0"/>
    <w:rsid w:val="002833C9"/>
    <w:rsid w:val="00283DA9"/>
    <w:rsid w:val="00292043"/>
    <w:rsid w:val="00294A17"/>
    <w:rsid w:val="00296ABD"/>
    <w:rsid w:val="002972BB"/>
    <w:rsid w:val="002A5513"/>
    <w:rsid w:val="002B0729"/>
    <w:rsid w:val="002B0D96"/>
    <w:rsid w:val="002B116F"/>
    <w:rsid w:val="002B4DB5"/>
    <w:rsid w:val="002C0E47"/>
    <w:rsid w:val="002C6B31"/>
    <w:rsid w:val="002C7710"/>
    <w:rsid w:val="002D64DE"/>
    <w:rsid w:val="002E04D6"/>
    <w:rsid w:val="002E17D3"/>
    <w:rsid w:val="002E24D0"/>
    <w:rsid w:val="002E2C17"/>
    <w:rsid w:val="002E4B49"/>
    <w:rsid w:val="002E5BC0"/>
    <w:rsid w:val="002E63B1"/>
    <w:rsid w:val="002F2A06"/>
    <w:rsid w:val="002F3589"/>
    <w:rsid w:val="002F7185"/>
    <w:rsid w:val="00301459"/>
    <w:rsid w:val="00302400"/>
    <w:rsid w:val="00302511"/>
    <w:rsid w:val="003026E5"/>
    <w:rsid w:val="00310D9A"/>
    <w:rsid w:val="0031252F"/>
    <w:rsid w:val="003218AE"/>
    <w:rsid w:val="00323509"/>
    <w:rsid w:val="00330F9A"/>
    <w:rsid w:val="003351E3"/>
    <w:rsid w:val="00335ECD"/>
    <w:rsid w:val="00340069"/>
    <w:rsid w:val="0034315E"/>
    <w:rsid w:val="00347D9F"/>
    <w:rsid w:val="00350FFE"/>
    <w:rsid w:val="00354CF4"/>
    <w:rsid w:val="003551B0"/>
    <w:rsid w:val="00355EAB"/>
    <w:rsid w:val="00356784"/>
    <w:rsid w:val="0036239C"/>
    <w:rsid w:val="00362F02"/>
    <w:rsid w:val="003654E2"/>
    <w:rsid w:val="00372BB1"/>
    <w:rsid w:val="00384496"/>
    <w:rsid w:val="00395DB2"/>
    <w:rsid w:val="003A25FA"/>
    <w:rsid w:val="003A3561"/>
    <w:rsid w:val="003B5A20"/>
    <w:rsid w:val="003B7D64"/>
    <w:rsid w:val="003C10BF"/>
    <w:rsid w:val="003C3EE3"/>
    <w:rsid w:val="003C4810"/>
    <w:rsid w:val="003D10AE"/>
    <w:rsid w:val="003E5C8C"/>
    <w:rsid w:val="003E743C"/>
    <w:rsid w:val="003F2BEF"/>
    <w:rsid w:val="003F4B3A"/>
    <w:rsid w:val="00401151"/>
    <w:rsid w:val="0040474F"/>
    <w:rsid w:val="00411926"/>
    <w:rsid w:val="00411CA1"/>
    <w:rsid w:val="00414650"/>
    <w:rsid w:val="00415B7D"/>
    <w:rsid w:val="00416505"/>
    <w:rsid w:val="00417675"/>
    <w:rsid w:val="00420543"/>
    <w:rsid w:val="00421FFF"/>
    <w:rsid w:val="00422622"/>
    <w:rsid w:val="00423882"/>
    <w:rsid w:val="00424735"/>
    <w:rsid w:val="0043195B"/>
    <w:rsid w:val="00433472"/>
    <w:rsid w:val="004411D1"/>
    <w:rsid w:val="0045595A"/>
    <w:rsid w:val="00461F9E"/>
    <w:rsid w:val="00462355"/>
    <w:rsid w:val="0047191F"/>
    <w:rsid w:val="00473B92"/>
    <w:rsid w:val="00477356"/>
    <w:rsid w:val="004822BD"/>
    <w:rsid w:val="00491B27"/>
    <w:rsid w:val="00494E91"/>
    <w:rsid w:val="00497B9A"/>
    <w:rsid w:val="004A2AEE"/>
    <w:rsid w:val="004A3569"/>
    <w:rsid w:val="004A7D09"/>
    <w:rsid w:val="004B2E40"/>
    <w:rsid w:val="004B358B"/>
    <w:rsid w:val="004C1702"/>
    <w:rsid w:val="004C61AD"/>
    <w:rsid w:val="004D1C05"/>
    <w:rsid w:val="004D2764"/>
    <w:rsid w:val="004D3BFD"/>
    <w:rsid w:val="004D429C"/>
    <w:rsid w:val="004D617C"/>
    <w:rsid w:val="004E1798"/>
    <w:rsid w:val="004E1E1D"/>
    <w:rsid w:val="004E3A54"/>
    <w:rsid w:val="004F2D4E"/>
    <w:rsid w:val="004F3ACB"/>
    <w:rsid w:val="004F4974"/>
    <w:rsid w:val="004F4B81"/>
    <w:rsid w:val="004F78D4"/>
    <w:rsid w:val="005011BC"/>
    <w:rsid w:val="00505F97"/>
    <w:rsid w:val="00507C22"/>
    <w:rsid w:val="00511D1A"/>
    <w:rsid w:val="0051344D"/>
    <w:rsid w:val="00513BFC"/>
    <w:rsid w:val="00523779"/>
    <w:rsid w:val="005243E1"/>
    <w:rsid w:val="00527F50"/>
    <w:rsid w:val="0053051B"/>
    <w:rsid w:val="0053243D"/>
    <w:rsid w:val="00541167"/>
    <w:rsid w:val="005428D9"/>
    <w:rsid w:val="0054292C"/>
    <w:rsid w:val="0055222F"/>
    <w:rsid w:val="005535EB"/>
    <w:rsid w:val="00554C18"/>
    <w:rsid w:val="0056031F"/>
    <w:rsid w:val="00564E54"/>
    <w:rsid w:val="00566F1D"/>
    <w:rsid w:val="005732C1"/>
    <w:rsid w:val="0057536E"/>
    <w:rsid w:val="0059406B"/>
    <w:rsid w:val="005A55AD"/>
    <w:rsid w:val="005A605C"/>
    <w:rsid w:val="005B1B70"/>
    <w:rsid w:val="005B1BFE"/>
    <w:rsid w:val="005B4695"/>
    <w:rsid w:val="005B54DE"/>
    <w:rsid w:val="005B766B"/>
    <w:rsid w:val="005C1D8A"/>
    <w:rsid w:val="005C56A3"/>
    <w:rsid w:val="005C59BF"/>
    <w:rsid w:val="005C63ED"/>
    <w:rsid w:val="005C762E"/>
    <w:rsid w:val="005D4A2B"/>
    <w:rsid w:val="005D7487"/>
    <w:rsid w:val="005E1875"/>
    <w:rsid w:val="005E3638"/>
    <w:rsid w:val="005E559C"/>
    <w:rsid w:val="005F24ED"/>
    <w:rsid w:val="005F5E38"/>
    <w:rsid w:val="005F73CC"/>
    <w:rsid w:val="00600219"/>
    <w:rsid w:val="00604851"/>
    <w:rsid w:val="00605CE3"/>
    <w:rsid w:val="00605FEA"/>
    <w:rsid w:val="00607F26"/>
    <w:rsid w:val="0061582D"/>
    <w:rsid w:val="00630467"/>
    <w:rsid w:val="00634D09"/>
    <w:rsid w:val="006409FB"/>
    <w:rsid w:val="006430A1"/>
    <w:rsid w:val="00645F04"/>
    <w:rsid w:val="006502B6"/>
    <w:rsid w:val="00651A1A"/>
    <w:rsid w:val="00653F04"/>
    <w:rsid w:val="00660EED"/>
    <w:rsid w:val="00662291"/>
    <w:rsid w:val="0066387B"/>
    <w:rsid w:val="00663A41"/>
    <w:rsid w:val="006645D5"/>
    <w:rsid w:val="00674324"/>
    <w:rsid w:val="00674D54"/>
    <w:rsid w:val="006842E6"/>
    <w:rsid w:val="00686016"/>
    <w:rsid w:val="00690559"/>
    <w:rsid w:val="006959B7"/>
    <w:rsid w:val="00695BB3"/>
    <w:rsid w:val="006A43D9"/>
    <w:rsid w:val="006A4AAE"/>
    <w:rsid w:val="006B138E"/>
    <w:rsid w:val="006B185B"/>
    <w:rsid w:val="006B454E"/>
    <w:rsid w:val="006B47ED"/>
    <w:rsid w:val="006B6D35"/>
    <w:rsid w:val="006C21CF"/>
    <w:rsid w:val="006C6A36"/>
    <w:rsid w:val="006D0C4B"/>
    <w:rsid w:val="006D7ED6"/>
    <w:rsid w:val="006E183E"/>
    <w:rsid w:val="006F016C"/>
    <w:rsid w:val="006F4295"/>
    <w:rsid w:val="007028B2"/>
    <w:rsid w:val="00707922"/>
    <w:rsid w:val="007113AA"/>
    <w:rsid w:val="007122CF"/>
    <w:rsid w:val="00713362"/>
    <w:rsid w:val="00713BBB"/>
    <w:rsid w:val="0072020C"/>
    <w:rsid w:val="00722D35"/>
    <w:rsid w:val="0072613C"/>
    <w:rsid w:val="00727969"/>
    <w:rsid w:val="00731204"/>
    <w:rsid w:val="00731723"/>
    <w:rsid w:val="00734D76"/>
    <w:rsid w:val="00744350"/>
    <w:rsid w:val="00750DA8"/>
    <w:rsid w:val="0075463A"/>
    <w:rsid w:val="007566E9"/>
    <w:rsid w:val="007569A6"/>
    <w:rsid w:val="00756EF8"/>
    <w:rsid w:val="00763853"/>
    <w:rsid w:val="00763E16"/>
    <w:rsid w:val="00770EEC"/>
    <w:rsid w:val="00772B6B"/>
    <w:rsid w:val="007754B7"/>
    <w:rsid w:val="00776A2F"/>
    <w:rsid w:val="0078091B"/>
    <w:rsid w:val="00785E95"/>
    <w:rsid w:val="00791A4E"/>
    <w:rsid w:val="00797640"/>
    <w:rsid w:val="007A1C02"/>
    <w:rsid w:val="007A6562"/>
    <w:rsid w:val="007B120D"/>
    <w:rsid w:val="007B1733"/>
    <w:rsid w:val="007B4060"/>
    <w:rsid w:val="007C1B9B"/>
    <w:rsid w:val="007C27B0"/>
    <w:rsid w:val="007C29DB"/>
    <w:rsid w:val="007C5E7F"/>
    <w:rsid w:val="007D690F"/>
    <w:rsid w:val="007D6B28"/>
    <w:rsid w:val="007E30B8"/>
    <w:rsid w:val="007E653C"/>
    <w:rsid w:val="007F3750"/>
    <w:rsid w:val="00801197"/>
    <w:rsid w:val="00805554"/>
    <w:rsid w:val="00807B1A"/>
    <w:rsid w:val="00813E2A"/>
    <w:rsid w:val="00817873"/>
    <w:rsid w:val="00817D1E"/>
    <w:rsid w:val="00820BAD"/>
    <w:rsid w:val="008220FD"/>
    <w:rsid w:val="008316B7"/>
    <w:rsid w:val="00831E90"/>
    <w:rsid w:val="0083289C"/>
    <w:rsid w:val="00834511"/>
    <w:rsid w:val="00866D6A"/>
    <w:rsid w:val="00867F04"/>
    <w:rsid w:val="00871E86"/>
    <w:rsid w:val="00872A22"/>
    <w:rsid w:val="00875CF3"/>
    <w:rsid w:val="00875DEA"/>
    <w:rsid w:val="00876A45"/>
    <w:rsid w:val="00880048"/>
    <w:rsid w:val="00881853"/>
    <w:rsid w:val="00885771"/>
    <w:rsid w:val="0088649A"/>
    <w:rsid w:val="00891A12"/>
    <w:rsid w:val="00892AEC"/>
    <w:rsid w:val="0089661B"/>
    <w:rsid w:val="0089708D"/>
    <w:rsid w:val="008A0F1B"/>
    <w:rsid w:val="008A6380"/>
    <w:rsid w:val="008B1D13"/>
    <w:rsid w:val="008B2244"/>
    <w:rsid w:val="008B419E"/>
    <w:rsid w:val="008B4975"/>
    <w:rsid w:val="008B4D9E"/>
    <w:rsid w:val="008B4FFB"/>
    <w:rsid w:val="008B6A0C"/>
    <w:rsid w:val="008C0FDD"/>
    <w:rsid w:val="008C2979"/>
    <w:rsid w:val="008C3AF8"/>
    <w:rsid w:val="008C6B46"/>
    <w:rsid w:val="008D14B4"/>
    <w:rsid w:val="008D27D9"/>
    <w:rsid w:val="008D6A00"/>
    <w:rsid w:val="008E08DF"/>
    <w:rsid w:val="008E1B39"/>
    <w:rsid w:val="008E1B3B"/>
    <w:rsid w:val="008E36C0"/>
    <w:rsid w:val="008E47B1"/>
    <w:rsid w:val="008F3FCA"/>
    <w:rsid w:val="00901C66"/>
    <w:rsid w:val="009040D5"/>
    <w:rsid w:val="00904299"/>
    <w:rsid w:val="00905ABD"/>
    <w:rsid w:val="00906B6E"/>
    <w:rsid w:val="0091110F"/>
    <w:rsid w:val="00914162"/>
    <w:rsid w:val="00914BC0"/>
    <w:rsid w:val="00923185"/>
    <w:rsid w:val="009316F3"/>
    <w:rsid w:val="009333E8"/>
    <w:rsid w:val="00934DF9"/>
    <w:rsid w:val="0093502D"/>
    <w:rsid w:val="00935058"/>
    <w:rsid w:val="0093616C"/>
    <w:rsid w:val="0093635A"/>
    <w:rsid w:val="00936C09"/>
    <w:rsid w:val="00937B0E"/>
    <w:rsid w:val="0094427E"/>
    <w:rsid w:val="009478C0"/>
    <w:rsid w:val="0095133C"/>
    <w:rsid w:val="00956286"/>
    <w:rsid w:val="00956B81"/>
    <w:rsid w:val="00970287"/>
    <w:rsid w:val="00971627"/>
    <w:rsid w:val="009727E2"/>
    <w:rsid w:val="00974329"/>
    <w:rsid w:val="00975F40"/>
    <w:rsid w:val="00976D16"/>
    <w:rsid w:val="009866C7"/>
    <w:rsid w:val="009903B5"/>
    <w:rsid w:val="00994B8E"/>
    <w:rsid w:val="00997A63"/>
    <w:rsid w:val="009B20B2"/>
    <w:rsid w:val="009B67E7"/>
    <w:rsid w:val="009B7B55"/>
    <w:rsid w:val="009C340A"/>
    <w:rsid w:val="009C5D9E"/>
    <w:rsid w:val="009C6D7A"/>
    <w:rsid w:val="009D676D"/>
    <w:rsid w:val="009E1F51"/>
    <w:rsid w:val="009F16B4"/>
    <w:rsid w:val="009F3779"/>
    <w:rsid w:val="009F4057"/>
    <w:rsid w:val="00A0071E"/>
    <w:rsid w:val="00A065A5"/>
    <w:rsid w:val="00A07968"/>
    <w:rsid w:val="00A1220F"/>
    <w:rsid w:val="00A15288"/>
    <w:rsid w:val="00A17925"/>
    <w:rsid w:val="00A210DA"/>
    <w:rsid w:val="00A21982"/>
    <w:rsid w:val="00A26386"/>
    <w:rsid w:val="00A3103C"/>
    <w:rsid w:val="00A32057"/>
    <w:rsid w:val="00A349EA"/>
    <w:rsid w:val="00A40790"/>
    <w:rsid w:val="00A41AE2"/>
    <w:rsid w:val="00A41B90"/>
    <w:rsid w:val="00A427C8"/>
    <w:rsid w:val="00A45063"/>
    <w:rsid w:val="00A529ED"/>
    <w:rsid w:val="00A60D60"/>
    <w:rsid w:val="00A61727"/>
    <w:rsid w:val="00A66F9B"/>
    <w:rsid w:val="00A7520A"/>
    <w:rsid w:val="00A75431"/>
    <w:rsid w:val="00A85A22"/>
    <w:rsid w:val="00A874CC"/>
    <w:rsid w:val="00A90E84"/>
    <w:rsid w:val="00A91304"/>
    <w:rsid w:val="00A93E90"/>
    <w:rsid w:val="00A9417E"/>
    <w:rsid w:val="00A95E83"/>
    <w:rsid w:val="00A96DDF"/>
    <w:rsid w:val="00A973E9"/>
    <w:rsid w:val="00AA0B5E"/>
    <w:rsid w:val="00AA2F91"/>
    <w:rsid w:val="00AA4E84"/>
    <w:rsid w:val="00AB1AB8"/>
    <w:rsid w:val="00AB59D7"/>
    <w:rsid w:val="00AC1420"/>
    <w:rsid w:val="00AC1C6E"/>
    <w:rsid w:val="00AC20CA"/>
    <w:rsid w:val="00AC4E6B"/>
    <w:rsid w:val="00AC580A"/>
    <w:rsid w:val="00AD1F69"/>
    <w:rsid w:val="00AE13AC"/>
    <w:rsid w:val="00AE34DA"/>
    <w:rsid w:val="00AE463A"/>
    <w:rsid w:val="00AF36C2"/>
    <w:rsid w:val="00AF3891"/>
    <w:rsid w:val="00AF5B6B"/>
    <w:rsid w:val="00B01C59"/>
    <w:rsid w:val="00B03A52"/>
    <w:rsid w:val="00B04890"/>
    <w:rsid w:val="00B071D1"/>
    <w:rsid w:val="00B1152E"/>
    <w:rsid w:val="00B13E34"/>
    <w:rsid w:val="00B15455"/>
    <w:rsid w:val="00B16E79"/>
    <w:rsid w:val="00B234FF"/>
    <w:rsid w:val="00B239B9"/>
    <w:rsid w:val="00B35FE2"/>
    <w:rsid w:val="00B557F4"/>
    <w:rsid w:val="00B55CA7"/>
    <w:rsid w:val="00B61A7F"/>
    <w:rsid w:val="00B6521B"/>
    <w:rsid w:val="00B66760"/>
    <w:rsid w:val="00B6780E"/>
    <w:rsid w:val="00B71C56"/>
    <w:rsid w:val="00B71D23"/>
    <w:rsid w:val="00B75601"/>
    <w:rsid w:val="00B76076"/>
    <w:rsid w:val="00B80CE8"/>
    <w:rsid w:val="00B812FC"/>
    <w:rsid w:val="00B851BC"/>
    <w:rsid w:val="00B90F3C"/>
    <w:rsid w:val="00B9649F"/>
    <w:rsid w:val="00BA645D"/>
    <w:rsid w:val="00BC0F32"/>
    <w:rsid w:val="00BD27CD"/>
    <w:rsid w:val="00BD386F"/>
    <w:rsid w:val="00BD61A6"/>
    <w:rsid w:val="00BE16E5"/>
    <w:rsid w:val="00BE466F"/>
    <w:rsid w:val="00BE7E03"/>
    <w:rsid w:val="00BF7E09"/>
    <w:rsid w:val="00C00575"/>
    <w:rsid w:val="00C06140"/>
    <w:rsid w:val="00C1472F"/>
    <w:rsid w:val="00C151C1"/>
    <w:rsid w:val="00C20AA9"/>
    <w:rsid w:val="00C225A4"/>
    <w:rsid w:val="00C26041"/>
    <w:rsid w:val="00C307C1"/>
    <w:rsid w:val="00C30A15"/>
    <w:rsid w:val="00C35220"/>
    <w:rsid w:val="00C36B57"/>
    <w:rsid w:val="00C36C7C"/>
    <w:rsid w:val="00C40396"/>
    <w:rsid w:val="00C40D5C"/>
    <w:rsid w:val="00C41ED1"/>
    <w:rsid w:val="00C51983"/>
    <w:rsid w:val="00C523F4"/>
    <w:rsid w:val="00C52B54"/>
    <w:rsid w:val="00C722C5"/>
    <w:rsid w:val="00C76F08"/>
    <w:rsid w:val="00C770BD"/>
    <w:rsid w:val="00C81E13"/>
    <w:rsid w:val="00C86314"/>
    <w:rsid w:val="00C93778"/>
    <w:rsid w:val="00C97009"/>
    <w:rsid w:val="00CA5A71"/>
    <w:rsid w:val="00CA5EEB"/>
    <w:rsid w:val="00CA72A5"/>
    <w:rsid w:val="00CB0E7E"/>
    <w:rsid w:val="00CB0FBA"/>
    <w:rsid w:val="00CB1A7B"/>
    <w:rsid w:val="00CC087F"/>
    <w:rsid w:val="00CC161A"/>
    <w:rsid w:val="00CC26B9"/>
    <w:rsid w:val="00CD55EF"/>
    <w:rsid w:val="00CD6141"/>
    <w:rsid w:val="00CE0EC5"/>
    <w:rsid w:val="00CE3656"/>
    <w:rsid w:val="00CF6F85"/>
    <w:rsid w:val="00CF771D"/>
    <w:rsid w:val="00D06D84"/>
    <w:rsid w:val="00D113F3"/>
    <w:rsid w:val="00D11ABD"/>
    <w:rsid w:val="00D12294"/>
    <w:rsid w:val="00D13B58"/>
    <w:rsid w:val="00D15CC8"/>
    <w:rsid w:val="00D170AE"/>
    <w:rsid w:val="00D17825"/>
    <w:rsid w:val="00D23BC8"/>
    <w:rsid w:val="00D26CD5"/>
    <w:rsid w:val="00D31AAF"/>
    <w:rsid w:val="00D45D21"/>
    <w:rsid w:val="00D5729A"/>
    <w:rsid w:val="00D57CE2"/>
    <w:rsid w:val="00D605E2"/>
    <w:rsid w:val="00D63B66"/>
    <w:rsid w:val="00D70AB4"/>
    <w:rsid w:val="00D7268A"/>
    <w:rsid w:val="00D728E8"/>
    <w:rsid w:val="00D73001"/>
    <w:rsid w:val="00D73B75"/>
    <w:rsid w:val="00D8480B"/>
    <w:rsid w:val="00D8634E"/>
    <w:rsid w:val="00D87072"/>
    <w:rsid w:val="00D91954"/>
    <w:rsid w:val="00D94779"/>
    <w:rsid w:val="00D948AF"/>
    <w:rsid w:val="00D95DE5"/>
    <w:rsid w:val="00D965D3"/>
    <w:rsid w:val="00DA49E4"/>
    <w:rsid w:val="00DA7298"/>
    <w:rsid w:val="00DB0159"/>
    <w:rsid w:val="00DB0B99"/>
    <w:rsid w:val="00DB7D80"/>
    <w:rsid w:val="00DC365F"/>
    <w:rsid w:val="00DD01E8"/>
    <w:rsid w:val="00DD0BFF"/>
    <w:rsid w:val="00DD56E7"/>
    <w:rsid w:val="00DD583F"/>
    <w:rsid w:val="00DE0B1F"/>
    <w:rsid w:val="00DE481B"/>
    <w:rsid w:val="00DE54DC"/>
    <w:rsid w:val="00DE73A1"/>
    <w:rsid w:val="00DE79F7"/>
    <w:rsid w:val="00DF267C"/>
    <w:rsid w:val="00DF35D0"/>
    <w:rsid w:val="00DF6C1C"/>
    <w:rsid w:val="00DF7726"/>
    <w:rsid w:val="00E018BA"/>
    <w:rsid w:val="00E02602"/>
    <w:rsid w:val="00E03D28"/>
    <w:rsid w:val="00E056EE"/>
    <w:rsid w:val="00E068B9"/>
    <w:rsid w:val="00E11885"/>
    <w:rsid w:val="00E1355E"/>
    <w:rsid w:val="00E141E9"/>
    <w:rsid w:val="00E21B01"/>
    <w:rsid w:val="00E21E74"/>
    <w:rsid w:val="00E41199"/>
    <w:rsid w:val="00E44B31"/>
    <w:rsid w:val="00E5457B"/>
    <w:rsid w:val="00E56F6C"/>
    <w:rsid w:val="00E61BA7"/>
    <w:rsid w:val="00E6387E"/>
    <w:rsid w:val="00E72119"/>
    <w:rsid w:val="00E72FE7"/>
    <w:rsid w:val="00E75323"/>
    <w:rsid w:val="00E75967"/>
    <w:rsid w:val="00E8280F"/>
    <w:rsid w:val="00E84ABF"/>
    <w:rsid w:val="00E84B85"/>
    <w:rsid w:val="00E85364"/>
    <w:rsid w:val="00E9099E"/>
    <w:rsid w:val="00E91125"/>
    <w:rsid w:val="00EA12A3"/>
    <w:rsid w:val="00EA67E9"/>
    <w:rsid w:val="00EA68DE"/>
    <w:rsid w:val="00EB0273"/>
    <w:rsid w:val="00EB1D38"/>
    <w:rsid w:val="00EC1782"/>
    <w:rsid w:val="00EC28EA"/>
    <w:rsid w:val="00EC399B"/>
    <w:rsid w:val="00EC7AE3"/>
    <w:rsid w:val="00ED0D2B"/>
    <w:rsid w:val="00ED335D"/>
    <w:rsid w:val="00EE05FF"/>
    <w:rsid w:val="00EE1613"/>
    <w:rsid w:val="00EE6A73"/>
    <w:rsid w:val="00EE6B18"/>
    <w:rsid w:val="00EF151B"/>
    <w:rsid w:val="00EF294D"/>
    <w:rsid w:val="00F0146C"/>
    <w:rsid w:val="00F0244E"/>
    <w:rsid w:val="00F10C7B"/>
    <w:rsid w:val="00F153C1"/>
    <w:rsid w:val="00F154ED"/>
    <w:rsid w:val="00F17514"/>
    <w:rsid w:val="00F208AA"/>
    <w:rsid w:val="00F268BF"/>
    <w:rsid w:val="00F333E4"/>
    <w:rsid w:val="00F359BE"/>
    <w:rsid w:val="00F51BD1"/>
    <w:rsid w:val="00F5222F"/>
    <w:rsid w:val="00F52E68"/>
    <w:rsid w:val="00F564EE"/>
    <w:rsid w:val="00F60A9B"/>
    <w:rsid w:val="00F639FD"/>
    <w:rsid w:val="00F709FC"/>
    <w:rsid w:val="00F72FCD"/>
    <w:rsid w:val="00F7495C"/>
    <w:rsid w:val="00F76CE9"/>
    <w:rsid w:val="00F80E1D"/>
    <w:rsid w:val="00F82E35"/>
    <w:rsid w:val="00F9016D"/>
    <w:rsid w:val="00F93B26"/>
    <w:rsid w:val="00FB162D"/>
    <w:rsid w:val="00FB5DD4"/>
    <w:rsid w:val="00FC1297"/>
    <w:rsid w:val="00FC2A9B"/>
    <w:rsid w:val="00FC496D"/>
    <w:rsid w:val="00FC7320"/>
    <w:rsid w:val="00FD09C4"/>
    <w:rsid w:val="00FD0BC8"/>
    <w:rsid w:val="00FD226F"/>
    <w:rsid w:val="00FE6B83"/>
    <w:rsid w:val="00FE6BA8"/>
    <w:rsid w:val="00FF21C7"/>
    <w:rsid w:val="00FF3DD2"/>
    <w:rsid w:val="00FF3FAD"/>
    <w:rsid w:val="00FF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B9E2"/>
  <w15:docId w15:val="{6F88F4D2-C6CF-4CAB-822E-8E88BF598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E5BC0"/>
    <w:pPr>
      <w:spacing w:line="360" w:lineRule="atLeast"/>
      <w:jc w:val="both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CTD Kopfzeile,Car Car"/>
    <w:basedOn w:val="Norml"/>
    <w:link w:val="lfejChar"/>
    <w:uiPriority w:val="99"/>
    <w:unhideWhenUsed/>
    <w:rsid w:val="00A91304"/>
    <w:pPr>
      <w:tabs>
        <w:tab w:val="center" w:pos="4252"/>
        <w:tab w:val="right" w:pos="8504"/>
      </w:tabs>
      <w:spacing w:line="240" w:lineRule="auto"/>
    </w:pPr>
  </w:style>
  <w:style w:type="character" w:customStyle="1" w:styleId="lfejChar">
    <w:name w:val="Élőfej Char"/>
    <w:aliases w:val="CTD Kopfzeile Char,Car Car Char"/>
    <w:basedOn w:val="Bekezdsalapbettpusa"/>
    <w:link w:val="lfej"/>
    <w:uiPriority w:val="99"/>
    <w:rsid w:val="00A91304"/>
  </w:style>
  <w:style w:type="paragraph" w:styleId="llb">
    <w:name w:val="footer"/>
    <w:basedOn w:val="Norml"/>
    <w:link w:val="llbChar"/>
    <w:unhideWhenUsed/>
    <w:rsid w:val="00A91304"/>
    <w:pPr>
      <w:tabs>
        <w:tab w:val="center" w:pos="4252"/>
        <w:tab w:val="right" w:pos="8504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A91304"/>
  </w:style>
  <w:style w:type="paragraph" w:styleId="Buborkszveg">
    <w:name w:val="Balloon Text"/>
    <w:basedOn w:val="Norml"/>
    <w:link w:val="BuborkszvegChar"/>
    <w:uiPriority w:val="99"/>
    <w:semiHidden/>
    <w:unhideWhenUsed/>
    <w:rsid w:val="00A913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1304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A91304"/>
  </w:style>
  <w:style w:type="table" w:styleId="Rcsostblzat">
    <w:name w:val="Table Grid"/>
    <w:basedOn w:val="Normltblzat"/>
    <w:uiPriority w:val="59"/>
    <w:rsid w:val="00A9130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aszerbekezds">
    <w:name w:val="List Paragraph"/>
    <w:basedOn w:val="Norml"/>
    <w:uiPriority w:val="34"/>
    <w:qFormat/>
    <w:rsid w:val="00A91304"/>
    <w:pPr>
      <w:ind w:left="720"/>
      <w:contextualSpacing/>
    </w:pPr>
  </w:style>
  <w:style w:type="paragraph" w:styleId="Szvegtrzs3">
    <w:name w:val="Body Text 3"/>
    <w:basedOn w:val="Norml"/>
    <w:link w:val="Szvegtrzs3Char"/>
    <w:rsid w:val="00D73001"/>
    <w:pPr>
      <w:tabs>
        <w:tab w:val="right" w:leader="dot" w:pos="-2410"/>
      </w:tabs>
      <w:spacing w:line="360" w:lineRule="auto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Szvegtrzs3Char">
    <w:name w:val="Szövegtörzs 3 Char"/>
    <w:basedOn w:val="Bekezdsalapbettpusa"/>
    <w:link w:val="Szvegtrzs3"/>
    <w:rsid w:val="00D73001"/>
    <w:rPr>
      <w:rFonts w:ascii="Times New Roman" w:eastAsia="Times New Roman" w:hAnsi="Times New Roman"/>
      <w:sz w:val="24"/>
      <w:lang w:val="es-ES_tradnl"/>
    </w:rPr>
  </w:style>
  <w:style w:type="paragraph" w:styleId="Szvegtrzs">
    <w:name w:val="Body Text"/>
    <w:basedOn w:val="Norml"/>
    <w:link w:val="SzvegtrzsChar"/>
    <w:uiPriority w:val="99"/>
    <w:unhideWhenUsed/>
    <w:rsid w:val="00ED0D2B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ED0D2B"/>
    <w:rPr>
      <w:sz w:val="22"/>
      <w:szCs w:val="22"/>
      <w:lang w:eastAsia="en-US"/>
    </w:rPr>
  </w:style>
  <w:style w:type="paragraph" w:customStyle="1" w:styleId="Estilo1">
    <w:name w:val="Estilo1"/>
    <w:basedOn w:val="Norml"/>
    <w:rsid w:val="00936C09"/>
    <w:pPr>
      <w:spacing w:line="360" w:lineRule="auto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Cuerpotexto">
    <w:name w:val="Cuerpo texto"/>
    <w:basedOn w:val="Norml"/>
    <w:rsid w:val="00936C09"/>
    <w:pPr>
      <w:spacing w:line="240" w:lineRule="auto"/>
      <w:ind w:left="567" w:right="85"/>
    </w:pPr>
    <w:rPr>
      <w:rFonts w:ascii="Times New Roman" w:eastAsia="Times New Roman" w:hAnsi="Times New Roman"/>
      <w:color w:val="000000"/>
      <w:kern w:val="24"/>
      <w:sz w:val="24"/>
      <w:szCs w:val="20"/>
      <w:lang w:val="es-ES_tradnl" w:eastAsia="es-ES"/>
    </w:rPr>
  </w:style>
  <w:style w:type="character" w:styleId="Kiemels2">
    <w:name w:val="Strong"/>
    <w:basedOn w:val="Bekezdsalapbettpusa"/>
    <w:uiPriority w:val="22"/>
    <w:qFormat/>
    <w:rsid w:val="00FF3FAD"/>
    <w:rPr>
      <w:b/>
      <w:bCs/>
    </w:rPr>
  </w:style>
  <w:style w:type="character" w:customStyle="1" w:styleId="apple-converted-space">
    <w:name w:val="apple-converted-space"/>
    <w:basedOn w:val="Bekezdsalapbettpusa"/>
    <w:rsid w:val="00FF3FAD"/>
  </w:style>
  <w:style w:type="paragraph" w:styleId="Szvegblokk">
    <w:name w:val="Block Text"/>
    <w:basedOn w:val="Norml"/>
    <w:rsid w:val="00D94779"/>
    <w:pPr>
      <w:spacing w:line="240" w:lineRule="auto"/>
      <w:ind w:left="601" w:right="-896" w:hanging="601"/>
      <w:jc w:val="left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Cm">
    <w:name w:val="Title"/>
    <w:basedOn w:val="Norml"/>
    <w:link w:val="CmChar"/>
    <w:qFormat/>
    <w:rsid w:val="00EC28EA"/>
    <w:pPr>
      <w:tabs>
        <w:tab w:val="left" w:pos="340"/>
      </w:tabs>
      <w:ind w:left="340" w:hanging="340"/>
      <w:jc w:val="left"/>
    </w:pPr>
    <w:rPr>
      <w:rFonts w:eastAsia="Times New Roman"/>
      <w:b/>
      <w:sz w:val="32"/>
      <w:szCs w:val="20"/>
      <w:lang w:val="en-US"/>
    </w:rPr>
  </w:style>
  <w:style w:type="character" w:customStyle="1" w:styleId="CmChar">
    <w:name w:val="Cím Char"/>
    <w:basedOn w:val="Bekezdsalapbettpusa"/>
    <w:link w:val="Cm"/>
    <w:rsid w:val="00EC28EA"/>
    <w:rPr>
      <w:rFonts w:eastAsia="Times New Roman"/>
      <w:b/>
      <w:sz w:val="32"/>
      <w:lang w:val="en-US" w:eastAsia="en-US"/>
    </w:rPr>
  </w:style>
  <w:style w:type="character" w:styleId="Hiperhivatkozs">
    <w:name w:val="Hyperlink"/>
    <w:basedOn w:val="Bekezdsalapbettpusa"/>
    <w:uiPriority w:val="99"/>
    <w:unhideWhenUsed/>
    <w:rsid w:val="005E559C"/>
    <w:rPr>
      <w:color w:val="0000FF" w:themeColor="hyperlink"/>
      <w:u w:val="single"/>
    </w:rPr>
  </w:style>
  <w:style w:type="character" w:customStyle="1" w:styleId="shorttext">
    <w:name w:val="short_text"/>
    <w:basedOn w:val="Bekezdsalapbettpusa"/>
    <w:rsid w:val="009333E8"/>
  </w:style>
  <w:style w:type="character" w:customStyle="1" w:styleId="hps">
    <w:name w:val="hps"/>
    <w:basedOn w:val="Bekezdsalapbettpusa"/>
    <w:rsid w:val="009333E8"/>
  </w:style>
  <w:style w:type="character" w:styleId="Jegyzethivatkozs">
    <w:name w:val="annotation reference"/>
    <w:basedOn w:val="Bekezdsalapbettpusa"/>
    <w:uiPriority w:val="99"/>
    <w:semiHidden/>
    <w:unhideWhenUsed/>
    <w:rsid w:val="001D0DF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D0DF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D0DF1"/>
    <w:rPr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D0DF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D0DF1"/>
    <w:rPr>
      <w:b/>
      <w:bCs/>
      <w:lang w:val="en-GB" w:eastAsia="en-US"/>
    </w:rPr>
  </w:style>
  <w:style w:type="table" w:customStyle="1" w:styleId="Tablaconcuadrcula1">
    <w:name w:val="Tabla con cuadrícula1"/>
    <w:basedOn w:val="Normltblzat"/>
    <w:uiPriority w:val="59"/>
    <w:rsid w:val="008E36C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ltozat">
    <w:name w:val="Revision"/>
    <w:hidden/>
    <w:uiPriority w:val="99"/>
    <w:semiHidden/>
    <w:rsid w:val="0045595A"/>
    <w:rPr>
      <w:sz w:val="22"/>
      <w:szCs w:val="22"/>
      <w:lang w:val="en-GB" w:eastAsia="en-US"/>
    </w:rPr>
  </w:style>
  <w:style w:type="paragraph" w:customStyle="1" w:styleId="Default">
    <w:name w:val="Default"/>
    <w:rsid w:val="00C0614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F8F55-F641-434F-873D-D8772B6E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5426</Words>
  <Characters>37441</Characters>
  <Application>Microsoft Office Word</Application>
  <DocSecurity>0</DocSecurity>
  <Lines>312</Lines>
  <Paragraphs>85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Farmalider</Company>
  <LinksUpToDate>false</LinksUpToDate>
  <CharactersWithSpaces>42782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Bánrévi Andrea dr.</dc:creator>
  <cp:lastModifiedBy>HU_NNGYK_56.1</cp:lastModifiedBy>
  <cp:revision>4</cp:revision>
  <cp:lastPrinted>2018-08-08T11:31:00Z</cp:lastPrinted>
  <dcterms:created xsi:type="dcterms:W3CDTF">2026-05-18T11:03:00Z</dcterms:created>
  <dcterms:modified xsi:type="dcterms:W3CDTF">2026-05-18T14:51:00Z</dcterms:modified>
</cp:coreProperties>
</file>